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4649D" w14:textId="77777777" w:rsidR="006E7B5E" w:rsidRPr="00BC0D1F" w:rsidRDefault="006E7B5E" w:rsidP="006E7B5E">
      <w:pPr>
        <w:pStyle w:val="Title"/>
      </w:pPr>
      <w:r w:rsidRPr="00BC0D1F">
        <w:t>Annual Report</w:t>
      </w:r>
    </w:p>
    <w:p w14:paraId="66E4C428" w14:textId="77777777" w:rsidR="006E7B5E" w:rsidRPr="00BC0D1F" w:rsidRDefault="006E7B5E" w:rsidP="006E7B5E">
      <w:pPr>
        <w:pStyle w:val="Title"/>
        <w:spacing w:before="240"/>
        <w:rPr>
          <w:b w:val="0"/>
          <w:sz w:val="44"/>
          <w:szCs w:val="44"/>
        </w:rPr>
      </w:pPr>
      <w:proofErr w:type="gramStart"/>
      <w:r w:rsidRPr="00BC0D1F">
        <w:rPr>
          <w:b w:val="0"/>
          <w:sz w:val="44"/>
          <w:szCs w:val="44"/>
        </w:rPr>
        <w:t>for</w:t>
      </w:r>
      <w:proofErr w:type="gramEnd"/>
      <w:r w:rsidRPr="00BC0D1F">
        <w:rPr>
          <w:b w:val="0"/>
          <w:sz w:val="44"/>
          <w:szCs w:val="44"/>
        </w:rPr>
        <w:t xml:space="preserve"> the year ended 30 June 2016</w:t>
      </w:r>
    </w:p>
    <w:p w14:paraId="71462CA9" w14:textId="77777777" w:rsidR="006E7B5E" w:rsidRPr="00BC0D1F" w:rsidRDefault="006E7B5E" w:rsidP="006E7B5E">
      <w:pPr>
        <w:pStyle w:val="Title"/>
        <w:spacing w:before="240"/>
        <w:rPr>
          <w:b w:val="0"/>
          <w:sz w:val="56"/>
          <w:szCs w:val="56"/>
        </w:rPr>
      </w:pPr>
      <w:r w:rsidRPr="00BC0D1F">
        <w:rPr>
          <w:b w:val="0"/>
          <w:sz w:val="56"/>
          <w:szCs w:val="56"/>
        </w:rPr>
        <w:t>Ministry of Health</w:t>
      </w:r>
    </w:p>
    <w:p w14:paraId="2C2C5272" w14:textId="77777777" w:rsidR="00C86248" w:rsidRPr="00BC0D1F" w:rsidRDefault="006E7B5E" w:rsidP="00343365">
      <w:pPr>
        <w:pStyle w:val="Subhead"/>
      </w:pPr>
      <w:r w:rsidRPr="00BC0D1F">
        <w:t>Presented to the House of Representatives</w:t>
      </w:r>
      <w:r w:rsidRPr="00BC0D1F">
        <w:br/>
        <w:t>pursuant to section 44 of the Public Finance Act 1989</w:t>
      </w:r>
    </w:p>
    <w:p w14:paraId="3B63AD6A" w14:textId="77777777" w:rsidR="00142954" w:rsidRPr="00BC0D1F" w:rsidRDefault="00142954" w:rsidP="00142954">
      <w:pPr>
        <w:sectPr w:rsidR="00142954" w:rsidRPr="00BC0D1F" w:rsidSect="000F2AE2">
          <w:headerReference w:type="default" r:id="rId8"/>
          <w:footerReference w:type="default" r:id="rId9"/>
          <w:pgSz w:w="11907" w:h="16834" w:code="9"/>
          <w:pgMar w:top="3969" w:right="851" w:bottom="851" w:left="2552" w:header="851" w:footer="851" w:gutter="0"/>
          <w:cols w:space="720"/>
        </w:sectPr>
      </w:pPr>
    </w:p>
    <w:p w14:paraId="7A0098B7" w14:textId="77777777" w:rsidR="00A80363" w:rsidRPr="00BC0D1F" w:rsidRDefault="00A80363">
      <w:pPr>
        <w:pStyle w:val="Imprint"/>
      </w:pPr>
      <w:r w:rsidRPr="00BC0D1F">
        <w:lastRenderedPageBreak/>
        <w:t xml:space="preserve">Citation: </w:t>
      </w:r>
      <w:r w:rsidR="00442C1C" w:rsidRPr="00BC0D1F">
        <w:t xml:space="preserve">Ministry of Health. </w:t>
      </w:r>
      <w:r w:rsidR="006E7B5E" w:rsidRPr="00BC0D1F">
        <w:t>2016</w:t>
      </w:r>
      <w:r w:rsidR="00442C1C" w:rsidRPr="00BC0D1F">
        <w:t xml:space="preserve">. </w:t>
      </w:r>
      <w:r w:rsidR="006E7B5E" w:rsidRPr="00BC0D1F">
        <w:rPr>
          <w:i/>
        </w:rPr>
        <w:t>Annual Report for the Year Ended 30 June 2016: Ministry of Health</w:t>
      </w:r>
      <w:r w:rsidR="00442C1C" w:rsidRPr="00BC0D1F">
        <w:t>. Wellington: Ministry of Health.</w:t>
      </w:r>
    </w:p>
    <w:p w14:paraId="03EFA330" w14:textId="77777777" w:rsidR="00C86248" w:rsidRPr="00BC0D1F" w:rsidRDefault="00C86248">
      <w:pPr>
        <w:pStyle w:val="Imprint"/>
      </w:pPr>
      <w:r w:rsidRPr="00BC0D1F">
        <w:t xml:space="preserve">Published in </w:t>
      </w:r>
      <w:r w:rsidR="006E7B5E" w:rsidRPr="00BC0D1F">
        <w:t>October 2016</w:t>
      </w:r>
      <w:r w:rsidR="005019AE" w:rsidRPr="00BC0D1F">
        <w:br/>
      </w:r>
      <w:r w:rsidRPr="00BC0D1F">
        <w:t>by the</w:t>
      </w:r>
      <w:r w:rsidR="00442C1C" w:rsidRPr="00BC0D1F">
        <w:t xml:space="preserve"> </w:t>
      </w:r>
      <w:r w:rsidRPr="00BC0D1F">
        <w:t>Ministry of Health</w:t>
      </w:r>
      <w:r w:rsidRPr="00BC0D1F">
        <w:br/>
        <w:t>PO Box 5013, Wellington</w:t>
      </w:r>
      <w:r w:rsidR="00A80363" w:rsidRPr="00BC0D1F">
        <w:t xml:space="preserve"> 614</w:t>
      </w:r>
      <w:r w:rsidR="006041F0" w:rsidRPr="00BC0D1F">
        <w:t>0</w:t>
      </w:r>
      <w:r w:rsidRPr="00BC0D1F">
        <w:t>, New Zealand</w:t>
      </w:r>
    </w:p>
    <w:p w14:paraId="1B5421E9" w14:textId="77777777" w:rsidR="00082CD6" w:rsidRPr="00BC0D1F" w:rsidRDefault="00D863D0" w:rsidP="00C024A1">
      <w:pPr>
        <w:pStyle w:val="Imprint"/>
      </w:pPr>
      <w:r w:rsidRPr="00BC0D1F">
        <w:t>ISBN</w:t>
      </w:r>
      <w:r w:rsidR="00442C1C" w:rsidRPr="00BC0D1F">
        <w:t xml:space="preserve"> </w:t>
      </w:r>
      <w:r w:rsidR="00C024A1">
        <w:t xml:space="preserve">978-0-947515-68-3 </w:t>
      </w:r>
      <w:r w:rsidR="00C024A1" w:rsidRPr="00BC0D1F">
        <w:t>(print</w:t>
      </w:r>
      <w:proofErr w:type="gramStart"/>
      <w:r w:rsidR="00C024A1" w:rsidRPr="00BC0D1F">
        <w:t>)</w:t>
      </w:r>
      <w:proofErr w:type="gramEnd"/>
      <w:r w:rsidR="006E7B5E" w:rsidRPr="00BC0D1F">
        <w:br/>
        <w:t xml:space="preserve">ISBN </w:t>
      </w:r>
      <w:r w:rsidR="00C024A1">
        <w:t>978-0-947515-69-0</w:t>
      </w:r>
      <w:r w:rsidR="00C024A1" w:rsidRPr="00BC0D1F">
        <w:t xml:space="preserve"> </w:t>
      </w:r>
      <w:r w:rsidRPr="00BC0D1F">
        <w:t>(</w:t>
      </w:r>
      <w:r w:rsidR="00442C1C" w:rsidRPr="00BC0D1F">
        <w:t>online</w:t>
      </w:r>
      <w:r w:rsidRPr="00BC0D1F">
        <w:t>)</w:t>
      </w:r>
      <w:r w:rsidR="00082CD6" w:rsidRPr="00BC0D1F">
        <w:br/>
        <w:t xml:space="preserve">HP </w:t>
      </w:r>
      <w:r w:rsidR="000157EF">
        <w:t>6496</w:t>
      </w:r>
    </w:p>
    <w:p w14:paraId="05A5A756" w14:textId="77777777" w:rsidR="00C86248" w:rsidRPr="00BC0D1F" w:rsidRDefault="00C86248">
      <w:pPr>
        <w:pStyle w:val="Imprint"/>
      </w:pPr>
      <w:r w:rsidRPr="00BC0D1F">
        <w:t xml:space="preserve">This document is available </w:t>
      </w:r>
      <w:r w:rsidR="0071741C" w:rsidRPr="00BC0D1F">
        <w:t xml:space="preserve">at </w:t>
      </w:r>
      <w:r w:rsidRPr="00BC0D1F">
        <w:t>h</w:t>
      </w:r>
      <w:r w:rsidR="00A80363" w:rsidRPr="00BC0D1F">
        <w:t>ealth</w:t>
      </w:r>
      <w:r w:rsidRPr="00BC0D1F">
        <w:t>.govt.nz</w:t>
      </w:r>
    </w:p>
    <w:p w14:paraId="3F1150DB" w14:textId="77777777" w:rsidR="00C86248" w:rsidRPr="00BC0D1F" w:rsidRDefault="00CD7E9C">
      <w:pPr>
        <w:jc w:val="center"/>
      </w:pPr>
      <w:r w:rsidRPr="00BC0D1F">
        <w:rPr>
          <w:noProof/>
          <w:lang w:eastAsia="en-NZ"/>
        </w:rPr>
        <w:drawing>
          <wp:inline distT="0" distB="0" distL="0" distR="0" wp14:anchorId="7F05CDC5" wp14:editId="1CB3E9B7">
            <wp:extent cx="1670685" cy="681355"/>
            <wp:effectExtent l="0" t="0" r="5715" b="444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1657A765" w14:textId="77777777" w:rsidR="007E74F1" w:rsidRPr="00BC0D1F" w:rsidRDefault="00CD7E9C" w:rsidP="001F45A7">
      <w:pPr>
        <w:spacing w:before="240"/>
        <w:ind w:right="-851"/>
        <w:rPr>
          <w:sz w:val="18"/>
          <w:szCs w:val="18"/>
        </w:rPr>
      </w:pPr>
      <w:r w:rsidRPr="00BC0D1F">
        <w:rPr>
          <w:b/>
          <w:noProof/>
          <w:sz w:val="18"/>
          <w:szCs w:val="18"/>
          <w:lang w:eastAsia="en-NZ"/>
        </w:rPr>
        <w:drawing>
          <wp:inline distT="0" distB="0" distL="0" distR="0" wp14:anchorId="3D19E1BB" wp14:editId="24F58B04">
            <wp:extent cx="806450" cy="282575"/>
            <wp:effectExtent l="0" t="0" r="0" b="3175"/>
            <wp:docPr id="2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r w:rsidR="007E74F1" w:rsidRPr="00BC0D1F">
        <w:rPr>
          <w:sz w:val="18"/>
          <w:szCs w:val="18"/>
        </w:rPr>
        <w:t xml:space="preserve"> This work is licensed under the Creative Commons Attribution 4.0 International licence. In essence, </w:t>
      </w:r>
      <w:r w:rsidR="007E74F1" w:rsidRPr="00BC0D1F">
        <w:rPr>
          <w:bCs/>
          <w:sz w:val="18"/>
          <w:szCs w:val="18"/>
        </w:rPr>
        <w:t xml:space="preserve">you are free to: </w:t>
      </w:r>
      <w:r w:rsidR="007E74F1" w:rsidRPr="00BC0D1F">
        <w:rPr>
          <w:sz w:val="18"/>
          <w:szCs w:val="18"/>
        </w:rPr>
        <w:t xml:space="preserve">share </w:t>
      </w:r>
      <w:proofErr w:type="spellStart"/>
      <w:r w:rsidR="007E74F1" w:rsidRPr="00BC0D1F">
        <w:rPr>
          <w:sz w:val="18"/>
          <w:szCs w:val="18"/>
        </w:rPr>
        <w:t>ie</w:t>
      </w:r>
      <w:proofErr w:type="spellEnd"/>
      <w:r w:rsidR="007E74F1" w:rsidRPr="00BC0D1F">
        <w:rPr>
          <w:sz w:val="18"/>
          <w:szCs w:val="18"/>
        </w:rPr>
        <w:t xml:space="preserve">, copy and redistribute the material in any medium or format; adapt </w:t>
      </w:r>
      <w:proofErr w:type="spellStart"/>
      <w:r w:rsidR="007E74F1" w:rsidRPr="00BC0D1F">
        <w:rPr>
          <w:sz w:val="18"/>
          <w:szCs w:val="18"/>
        </w:rPr>
        <w:t>ie</w:t>
      </w:r>
      <w:proofErr w:type="spellEnd"/>
      <w:r w:rsidR="007E74F1" w:rsidRPr="00BC0D1F">
        <w:rPr>
          <w:sz w:val="18"/>
          <w:szCs w:val="18"/>
        </w:rPr>
        <w:t xml:space="preserve">, remix, transform and build upon the material. </w:t>
      </w:r>
      <w:r w:rsidR="007E74F1" w:rsidRPr="00BC0D1F">
        <w:rPr>
          <w:bCs/>
          <w:sz w:val="18"/>
          <w:szCs w:val="18"/>
        </w:rPr>
        <w:t>You must give appropriate credit, provide a link to the licence and indicate if changes were made.</w:t>
      </w:r>
    </w:p>
    <w:p w14:paraId="3BBD8C42" w14:textId="77777777" w:rsidR="00C86248" w:rsidRPr="00BC0D1F" w:rsidRDefault="00C86248">
      <w:pPr>
        <w:jc w:val="center"/>
        <w:sectPr w:rsidR="00C86248" w:rsidRPr="00BC0D1F" w:rsidSect="0016468A">
          <w:footerReference w:type="even" r:id="rId12"/>
          <w:footerReference w:type="default" r:id="rId13"/>
          <w:pgSz w:w="11907" w:h="16834" w:code="9"/>
          <w:pgMar w:top="1701" w:right="1134" w:bottom="1134" w:left="1985" w:header="0" w:footer="0" w:gutter="0"/>
          <w:cols w:space="720"/>
          <w:vAlign w:val="bottom"/>
        </w:sectPr>
      </w:pPr>
    </w:p>
    <w:p w14:paraId="71BA8D26" w14:textId="77777777" w:rsidR="00DE3B20" w:rsidRPr="00BC0D1F" w:rsidRDefault="006E7B5E" w:rsidP="0021763B">
      <w:pPr>
        <w:pStyle w:val="Heading1"/>
      </w:pPr>
      <w:bookmarkStart w:id="0" w:name="_Toc463507907"/>
      <w:bookmarkStart w:id="1" w:name="_Toc405792991"/>
      <w:bookmarkStart w:id="2" w:name="_Toc405793224"/>
      <w:r w:rsidRPr="00BC0D1F">
        <w:lastRenderedPageBreak/>
        <w:t>Director-General</w:t>
      </w:r>
      <w:r w:rsidR="00DF4B9A" w:rsidRPr="00BC0D1F">
        <w:t>’</w:t>
      </w:r>
      <w:r w:rsidRPr="00BC0D1F">
        <w:t>s overview</w:t>
      </w:r>
      <w:bookmarkEnd w:id="0"/>
    </w:p>
    <w:p w14:paraId="00214F3C" w14:textId="54222DB7" w:rsidR="006B0E35" w:rsidRDefault="006B0E35" w:rsidP="006B0E35">
      <w:r>
        <w:t>The Ministry of Health</w:t>
      </w:r>
      <w:r w:rsidR="000F2F95">
        <w:t>,</w:t>
      </w:r>
      <w:r>
        <w:t xml:space="preserve"> as steward of the New Zealand </w:t>
      </w:r>
      <w:r w:rsidR="00867DD6">
        <w:t>health and d</w:t>
      </w:r>
      <w:r>
        <w:t>isability system</w:t>
      </w:r>
      <w:r w:rsidR="000F2F95">
        <w:t>,</w:t>
      </w:r>
      <w:r>
        <w:t xml:space="preserve"> is resolutely focused on realising our goal for all New Zealanders to live well, stay well and get well. We understand the influence health</w:t>
      </w:r>
      <w:r w:rsidR="005A0CEA">
        <w:t xml:space="preserve"> has </w:t>
      </w:r>
      <w:r>
        <w:t>on quality of li</w:t>
      </w:r>
      <w:r w:rsidR="005A0CEA">
        <w:t>f</w:t>
      </w:r>
      <w:r>
        <w:t xml:space="preserve">e and strive for all New Zealanders to have the best possible health outcomes to contribute to a healthy, happy and productive country. </w:t>
      </w:r>
    </w:p>
    <w:p w14:paraId="127637DF" w14:textId="77777777" w:rsidR="006B0E35" w:rsidRDefault="006B0E35" w:rsidP="006B0E35"/>
    <w:p w14:paraId="18E96686" w14:textId="637E4164" w:rsidR="006B0E35" w:rsidRDefault="006B0E35" w:rsidP="006B0E35">
      <w:r>
        <w:t>The 2015/16 year can be characterised as one of great transformation for the health and disability system. In April 2016 the Minister of Health, Hon Dr Jonathan Coleman, launched a refreshed New Zealand Health Strategy which builds on the achievements of the previous health strategy</w:t>
      </w:r>
      <w:r w:rsidR="00B31453">
        <w:t>,</w:t>
      </w:r>
      <w:r>
        <w:t xml:space="preserve"> developed </w:t>
      </w:r>
      <w:r w:rsidR="00867DD6">
        <w:t>16</w:t>
      </w:r>
      <w:r>
        <w:t xml:space="preserve"> years prior. The New Zealand Health St</w:t>
      </w:r>
      <w:r w:rsidR="00867DD6">
        <w:t>rategy 2016 provides a new high-</w:t>
      </w:r>
      <w:r>
        <w:t xml:space="preserve">level direction for New Zealand’s health system over the next </w:t>
      </w:r>
      <w:r w:rsidR="00867DD6">
        <w:t>10</w:t>
      </w:r>
      <w:r>
        <w:t xml:space="preserve"> years within five themes – people powered, closer to home, value and high performance, one team and smart system. </w:t>
      </w:r>
    </w:p>
    <w:p w14:paraId="5C4A2EC4" w14:textId="77777777" w:rsidR="006B0E35" w:rsidRDefault="006B0E35" w:rsidP="006B0E35"/>
    <w:p w14:paraId="4D0EDF39" w14:textId="7DDBDD77" w:rsidR="006B0E35" w:rsidRDefault="006B0E35" w:rsidP="006B0E35">
      <w:r>
        <w:t>The strategy is the result of extensive consultation throughout New Zealand and I would like to take this opportunity</w:t>
      </w:r>
      <w:r w:rsidR="00B31453">
        <w:t xml:space="preserve"> </w:t>
      </w:r>
      <w:r>
        <w:t>once again</w:t>
      </w:r>
      <w:r w:rsidR="00175E73">
        <w:t xml:space="preserve"> to</w:t>
      </w:r>
      <w:r>
        <w:t xml:space="preserve"> thank all of those who participated.</w:t>
      </w:r>
    </w:p>
    <w:p w14:paraId="24F0FD5B" w14:textId="77777777" w:rsidR="006B0E35" w:rsidRDefault="006B0E35" w:rsidP="006B0E35"/>
    <w:p w14:paraId="4E966CEC" w14:textId="697F4560" w:rsidR="006B0E35" w:rsidRDefault="006B0E35" w:rsidP="006B0E35">
      <w:r>
        <w:t xml:space="preserve">To be better placed to lead the health and disability system through </w:t>
      </w:r>
      <w:r w:rsidR="00175E73">
        <w:t xml:space="preserve">this </w:t>
      </w:r>
      <w:r>
        <w:t>period of change and innovation, the Ministry of Health also commenced a transformation programme in 2015/16.</w:t>
      </w:r>
      <w:bookmarkStart w:id="3" w:name="01what"/>
      <w:bookmarkEnd w:id="3"/>
      <w:r>
        <w:t xml:space="preserve"> </w:t>
      </w:r>
      <w:r w:rsidRPr="006B0E35">
        <w:t>Ministry on the Move is a five-year programme that will transform the Ministry into a flexible, focused, co</w:t>
      </w:r>
      <w:r w:rsidR="00867DD6">
        <w:t>nnected and collaborative, high-</w:t>
      </w:r>
      <w:r w:rsidRPr="006B0E35">
        <w:t>performing organisation that effectively leads and shapes the health and disability system.</w:t>
      </w:r>
    </w:p>
    <w:p w14:paraId="4C3451F7" w14:textId="77777777" w:rsidR="006B0E35" w:rsidRDefault="006B0E35" w:rsidP="006B0E35"/>
    <w:p w14:paraId="7BDD7644" w14:textId="33F51642" w:rsidR="006B0E35" w:rsidRDefault="006B0E35" w:rsidP="006B0E35">
      <w:r>
        <w:t>I am pleased to say that</w:t>
      </w:r>
      <w:r w:rsidR="008D4375">
        <w:t>,</w:t>
      </w:r>
      <w:r>
        <w:t xml:space="preserve"> while there has been significant focus on the future direction of the health and disability system, the Ministry has </w:t>
      </w:r>
      <w:r w:rsidR="00175E73">
        <w:t xml:space="preserve">also </w:t>
      </w:r>
      <w:r>
        <w:t>achieved good results in delivering current government priorities and meeting system needs</w:t>
      </w:r>
      <w:r w:rsidR="00175E73">
        <w:t xml:space="preserve">, as demonstrated in this </w:t>
      </w:r>
      <w:r w:rsidR="00867DD6">
        <w:t>a</w:t>
      </w:r>
      <w:r w:rsidR="00175E73">
        <w:t xml:space="preserve">nnual </w:t>
      </w:r>
      <w:r w:rsidR="00867DD6">
        <w:t>r</w:t>
      </w:r>
      <w:r w:rsidR="00175E73">
        <w:t>eport</w:t>
      </w:r>
      <w:r>
        <w:t xml:space="preserve">. </w:t>
      </w:r>
    </w:p>
    <w:p w14:paraId="4B0B3AC8" w14:textId="77777777" w:rsidR="00F17CC5" w:rsidRDefault="00F17CC5" w:rsidP="006B0E35"/>
    <w:p w14:paraId="7A0F1B6A" w14:textId="5C4A90DD" w:rsidR="006B0E35" w:rsidRDefault="006B0E35" w:rsidP="006B0E35">
      <w:r>
        <w:t xml:space="preserve">Our achievements in the past year have been made possible through the commitment and professionalism of people across the health and disability system, and our colleagues across the social sector and wider government, </w:t>
      </w:r>
      <w:r w:rsidR="00B31453">
        <w:t xml:space="preserve">all of </w:t>
      </w:r>
      <w:r>
        <w:t>who</w:t>
      </w:r>
      <w:r w:rsidR="00B31453">
        <w:t>m</w:t>
      </w:r>
      <w:r>
        <w:t xml:space="preserve"> work to improve, promote and protect the health of our people so that All New Zealanders can live well, get well and stay well.  </w:t>
      </w:r>
    </w:p>
    <w:p w14:paraId="49A3558B" w14:textId="77777777" w:rsidR="006B0E35" w:rsidRDefault="006B0E35" w:rsidP="006B0E35"/>
    <w:p w14:paraId="309BB682" w14:textId="6A1472CF" w:rsidR="006B0E35" w:rsidRDefault="006B0E35" w:rsidP="006B0E35">
      <w:r>
        <w:t xml:space="preserve">Reflecting on last year’s achievements, I am encouraged by the progress we have </w:t>
      </w:r>
      <w:r w:rsidR="00867DD6">
        <w:t>made in improving New Zealander</w:t>
      </w:r>
      <w:r>
        <w:t>s health outcomes</w:t>
      </w:r>
      <w:r w:rsidR="00B31453">
        <w:t>,</w:t>
      </w:r>
      <w:r>
        <w:t xml:space="preserve"> as measured against the </w:t>
      </w:r>
      <w:r w:rsidR="00867DD6">
        <w:t>G</w:t>
      </w:r>
      <w:r>
        <w:t xml:space="preserve">overnment’s health targets and international comparators. </w:t>
      </w:r>
      <w:r w:rsidR="001C4EDB" w:rsidRPr="001C4EDB">
        <w:t xml:space="preserve">This year we have established our focus on using and sharing information for better outcomes across government, we are building on our approaches to make the best use of new technology, and have reaffirmed our commitment to working across the public sector to make the most positive impact on people’s lives. </w:t>
      </w:r>
      <w:r>
        <w:t>The development of a package of initiatives to combat rising prevalence of childhood obesity was a</w:t>
      </w:r>
      <w:r w:rsidR="008062D6">
        <w:t xml:space="preserve"> particular</w:t>
      </w:r>
      <w:r>
        <w:t xml:space="preserve"> highlight and I look forward to seeing the impacts of its implementation on the lives of many people.</w:t>
      </w:r>
    </w:p>
    <w:p w14:paraId="0E9D4729" w14:textId="77777777" w:rsidR="00F17CC5" w:rsidRDefault="00F17CC5" w:rsidP="006B0E35"/>
    <w:p w14:paraId="6D3264CF" w14:textId="77777777" w:rsidR="001C4EDB" w:rsidRDefault="001C4EDB">
      <w:pPr>
        <w:spacing w:line="240" w:lineRule="auto"/>
      </w:pPr>
      <w:r>
        <w:br w:type="page"/>
      </w:r>
    </w:p>
    <w:p w14:paraId="4AD32D40" w14:textId="77777777" w:rsidR="00C85493" w:rsidRDefault="00C85493" w:rsidP="006B0E35"/>
    <w:p w14:paraId="227BC7C5" w14:textId="77777777" w:rsidR="00C85493" w:rsidRDefault="00C85493" w:rsidP="006B0E35"/>
    <w:p w14:paraId="28ADCBA6" w14:textId="5B67862A" w:rsidR="006B0E35" w:rsidRDefault="00AA7359" w:rsidP="006B0E35">
      <w:r>
        <w:t xml:space="preserve">The New Zealand Health Strategy provides </w:t>
      </w:r>
      <w:r w:rsidR="006B0E35">
        <w:t xml:space="preserve">a clear direction for the next </w:t>
      </w:r>
      <w:r w:rsidR="00867DD6">
        <w:t xml:space="preserve">10 </w:t>
      </w:r>
      <w:r w:rsidR="006B0E35">
        <w:t xml:space="preserve">years and I </w:t>
      </w:r>
      <w:r w:rsidR="003D53A0" w:rsidRPr="003D53A0">
        <w:t>believe we have a great foundation on which</w:t>
      </w:r>
      <w:r>
        <w:t xml:space="preserve"> to </w:t>
      </w:r>
      <w:r w:rsidR="006B0E35">
        <w:t>achiev</w:t>
      </w:r>
      <w:r>
        <w:t>e</w:t>
      </w:r>
      <w:r w:rsidR="006B0E35">
        <w:t xml:space="preserve"> even better health outcomes for New Zealanders.</w:t>
      </w:r>
    </w:p>
    <w:p w14:paraId="5008F2EE" w14:textId="77777777" w:rsidR="006B0E35" w:rsidRDefault="006B0E35" w:rsidP="006B0E35"/>
    <w:p w14:paraId="2E6A5B06" w14:textId="1AEE0FB7" w:rsidR="006B0E35" w:rsidRPr="0068558F" w:rsidRDefault="006B0E35" w:rsidP="006B0E35">
      <w:proofErr w:type="spellStart"/>
      <w:r w:rsidRPr="006B0E35">
        <w:t>Ora</w:t>
      </w:r>
      <w:proofErr w:type="spellEnd"/>
      <w:r w:rsidRPr="006B0E35">
        <w:t xml:space="preserve"> </w:t>
      </w:r>
      <w:proofErr w:type="spellStart"/>
      <w:r w:rsidRPr="006B0E35">
        <w:t>pai</w:t>
      </w:r>
      <w:proofErr w:type="spellEnd"/>
      <w:r w:rsidRPr="006B0E35">
        <w:t xml:space="preserve">, </w:t>
      </w:r>
      <w:proofErr w:type="spellStart"/>
      <w:r w:rsidRPr="006B0E35">
        <w:t>pai</w:t>
      </w:r>
      <w:proofErr w:type="spellEnd"/>
      <w:r w:rsidRPr="006B0E35">
        <w:t xml:space="preserve"> </w:t>
      </w:r>
      <w:proofErr w:type="spellStart"/>
      <w:r w:rsidRPr="006B0E35">
        <w:t>noho</w:t>
      </w:r>
      <w:proofErr w:type="spellEnd"/>
      <w:r w:rsidRPr="006B0E35">
        <w:t xml:space="preserve">, </w:t>
      </w:r>
      <w:proofErr w:type="spellStart"/>
      <w:proofErr w:type="gramStart"/>
      <w:r w:rsidRPr="006B0E35">
        <w:t>te</w:t>
      </w:r>
      <w:proofErr w:type="spellEnd"/>
      <w:proofErr w:type="gramEnd"/>
      <w:r w:rsidRPr="006B0E35">
        <w:t xml:space="preserve"> </w:t>
      </w:r>
      <w:proofErr w:type="spellStart"/>
      <w:r w:rsidRPr="006B0E35">
        <w:t>tiki</w:t>
      </w:r>
      <w:proofErr w:type="spellEnd"/>
      <w:r w:rsidRPr="006B0E35">
        <w:t xml:space="preserve"> </w:t>
      </w:r>
      <w:proofErr w:type="spellStart"/>
      <w:r w:rsidRPr="006B0E35">
        <w:t>pai</w:t>
      </w:r>
      <w:proofErr w:type="spellEnd"/>
      <w:r w:rsidR="009A43C0">
        <w:t>.</w:t>
      </w:r>
    </w:p>
    <w:p w14:paraId="4DF4D2BA" w14:textId="77777777" w:rsidR="005D6F4D" w:rsidRDefault="005D6F4D" w:rsidP="00DE3B20"/>
    <w:p w14:paraId="1FF24134" w14:textId="77777777" w:rsidR="006B0E35" w:rsidRDefault="006B0E35" w:rsidP="00DE3B20"/>
    <w:p w14:paraId="415248D8" w14:textId="21D0A3DF" w:rsidR="001C4EDB" w:rsidRDefault="00A22BD7" w:rsidP="00DE3B20">
      <w:r>
        <w:rPr>
          <w:noProof/>
          <w:lang w:eastAsia="en-NZ"/>
        </w:rPr>
        <w:drawing>
          <wp:inline distT="0" distB="0" distL="0" distR="0" wp14:anchorId="5C2B710F" wp14:editId="0D89D9AA">
            <wp:extent cx="2490216" cy="8382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iSig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0216" cy="838200"/>
                    </a:xfrm>
                    <a:prstGeom prst="rect">
                      <a:avLst/>
                    </a:prstGeom>
                  </pic:spPr>
                </pic:pic>
              </a:graphicData>
            </a:graphic>
          </wp:inline>
        </w:drawing>
      </w:r>
    </w:p>
    <w:p w14:paraId="0CC152D3" w14:textId="77777777" w:rsidR="001C4EDB" w:rsidRDefault="001C4EDB" w:rsidP="00DE3B20"/>
    <w:p w14:paraId="7059B786" w14:textId="77777777" w:rsidR="006E7B5E" w:rsidRPr="00BC0D1F" w:rsidRDefault="006E7B5E" w:rsidP="00DE3B20">
      <w:r w:rsidRPr="00BC0D1F">
        <w:t xml:space="preserve">Chai </w:t>
      </w:r>
      <w:proofErr w:type="spellStart"/>
      <w:r w:rsidRPr="00BC0D1F">
        <w:t>Chuah</w:t>
      </w:r>
      <w:proofErr w:type="spellEnd"/>
    </w:p>
    <w:p w14:paraId="3CE27249" w14:textId="77777777" w:rsidR="000157EF" w:rsidRDefault="006E7B5E" w:rsidP="00DE3B20">
      <w:r w:rsidRPr="00BC0D1F">
        <w:t>Director-General of Health</w:t>
      </w:r>
    </w:p>
    <w:p w14:paraId="04E9FC83" w14:textId="18C62CD8" w:rsidR="006E7B5E" w:rsidRPr="00BC0D1F" w:rsidRDefault="000157EF" w:rsidP="00DE3B20">
      <w:r>
        <w:br w:type="page"/>
      </w:r>
    </w:p>
    <w:p w14:paraId="1F88DAEC" w14:textId="77777777" w:rsidR="00C86248" w:rsidRPr="00BC0D1F" w:rsidRDefault="00C86248">
      <w:pPr>
        <w:pStyle w:val="IntroHead"/>
      </w:pPr>
      <w:r w:rsidRPr="00BC0D1F">
        <w:lastRenderedPageBreak/>
        <w:t>Contents</w:t>
      </w:r>
      <w:bookmarkEnd w:id="1"/>
      <w:bookmarkEnd w:id="2"/>
    </w:p>
    <w:p w14:paraId="38A54C9E" w14:textId="77777777" w:rsidR="00FF394D" w:rsidRDefault="00C86248">
      <w:pPr>
        <w:pStyle w:val="TOC1"/>
        <w:rPr>
          <w:rFonts w:asciiTheme="minorHAnsi" w:eastAsiaTheme="minorEastAsia" w:hAnsiTheme="minorHAnsi" w:cstheme="minorBidi"/>
          <w:b w:val="0"/>
          <w:noProof/>
          <w:szCs w:val="22"/>
          <w:lang w:eastAsia="en-NZ"/>
        </w:rPr>
      </w:pPr>
      <w:r w:rsidRPr="00BC0D1F">
        <w:rPr>
          <w:b w:val="0"/>
        </w:rPr>
        <w:fldChar w:fldCharType="begin"/>
      </w:r>
      <w:r w:rsidRPr="00BC0D1F">
        <w:instrText xml:space="preserve"> TOC \o "1-2" </w:instrText>
      </w:r>
      <w:r w:rsidRPr="00BC0D1F">
        <w:rPr>
          <w:b w:val="0"/>
        </w:rPr>
        <w:fldChar w:fldCharType="separate"/>
      </w:r>
      <w:r w:rsidR="00FF394D">
        <w:rPr>
          <w:noProof/>
        </w:rPr>
        <w:t>Director-General’s overview</w:t>
      </w:r>
      <w:r w:rsidR="00FF394D">
        <w:rPr>
          <w:noProof/>
        </w:rPr>
        <w:tab/>
      </w:r>
      <w:r w:rsidR="00FF394D">
        <w:rPr>
          <w:noProof/>
        </w:rPr>
        <w:fldChar w:fldCharType="begin"/>
      </w:r>
      <w:r w:rsidR="00FF394D">
        <w:rPr>
          <w:noProof/>
        </w:rPr>
        <w:instrText xml:space="preserve"> PAGEREF _Toc463507907 \h </w:instrText>
      </w:r>
      <w:r w:rsidR="00FF394D">
        <w:rPr>
          <w:noProof/>
        </w:rPr>
      </w:r>
      <w:r w:rsidR="00FF394D">
        <w:rPr>
          <w:noProof/>
        </w:rPr>
        <w:fldChar w:fldCharType="separate"/>
      </w:r>
      <w:r w:rsidR="000D381E">
        <w:rPr>
          <w:noProof/>
        </w:rPr>
        <w:t>iii</w:t>
      </w:r>
      <w:r w:rsidR="00FF394D">
        <w:rPr>
          <w:noProof/>
        </w:rPr>
        <w:fldChar w:fldCharType="end"/>
      </w:r>
    </w:p>
    <w:p w14:paraId="38791CB8" w14:textId="77777777" w:rsidR="00FF394D" w:rsidRDefault="00FF394D">
      <w:pPr>
        <w:pStyle w:val="TOC1"/>
        <w:rPr>
          <w:rFonts w:asciiTheme="minorHAnsi" w:eastAsiaTheme="minorEastAsia" w:hAnsiTheme="minorHAnsi" w:cstheme="minorBidi"/>
          <w:b w:val="0"/>
          <w:noProof/>
          <w:szCs w:val="22"/>
          <w:lang w:eastAsia="en-NZ"/>
        </w:rPr>
      </w:pPr>
      <w:r>
        <w:rPr>
          <w:noProof/>
        </w:rPr>
        <w:t>The Ministry’s year in review</w:t>
      </w:r>
      <w:r>
        <w:rPr>
          <w:noProof/>
        </w:rPr>
        <w:tab/>
      </w:r>
      <w:r>
        <w:rPr>
          <w:noProof/>
        </w:rPr>
        <w:fldChar w:fldCharType="begin"/>
      </w:r>
      <w:r>
        <w:rPr>
          <w:noProof/>
        </w:rPr>
        <w:instrText xml:space="preserve"> PAGEREF _Toc463507908 \h </w:instrText>
      </w:r>
      <w:r>
        <w:rPr>
          <w:noProof/>
        </w:rPr>
      </w:r>
      <w:r>
        <w:rPr>
          <w:noProof/>
        </w:rPr>
        <w:fldChar w:fldCharType="separate"/>
      </w:r>
      <w:r w:rsidR="000D381E">
        <w:rPr>
          <w:noProof/>
        </w:rPr>
        <w:t>1</w:t>
      </w:r>
      <w:r>
        <w:rPr>
          <w:noProof/>
        </w:rPr>
        <w:fldChar w:fldCharType="end"/>
      </w:r>
    </w:p>
    <w:p w14:paraId="194F9816" w14:textId="77777777" w:rsidR="00FF394D" w:rsidRDefault="00FF394D">
      <w:pPr>
        <w:pStyle w:val="TOC1"/>
        <w:rPr>
          <w:rFonts w:asciiTheme="minorHAnsi" w:eastAsiaTheme="minorEastAsia" w:hAnsiTheme="minorHAnsi" w:cstheme="minorBidi"/>
          <w:b w:val="0"/>
          <w:noProof/>
          <w:szCs w:val="22"/>
          <w:lang w:eastAsia="en-NZ"/>
        </w:rPr>
      </w:pPr>
      <w:r>
        <w:rPr>
          <w:noProof/>
        </w:rPr>
        <w:t>Strategic direction</w:t>
      </w:r>
      <w:r>
        <w:rPr>
          <w:noProof/>
        </w:rPr>
        <w:tab/>
      </w:r>
      <w:r>
        <w:rPr>
          <w:noProof/>
        </w:rPr>
        <w:fldChar w:fldCharType="begin"/>
      </w:r>
      <w:r>
        <w:rPr>
          <w:noProof/>
        </w:rPr>
        <w:instrText xml:space="preserve"> PAGEREF _Toc463507909 \h </w:instrText>
      </w:r>
      <w:r>
        <w:rPr>
          <w:noProof/>
        </w:rPr>
      </w:r>
      <w:r>
        <w:rPr>
          <w:noProof/>
        </w:rPr>
        <w:fldChar w:fldCharType="separate"/>
      </w:r>
      <w:r w:rsidR="000D381E">
        <w:rPr>
          <w:noProof/>
        </w:rPr>
        <w:t>4</w:t>
      </w:r>
      <w:r>
        <w:rPr>
          <w:noProof/>
        </w:rPr>
        <w:fldChar w:fldCharType="end"/>
      </w:r>
    </w:p>
    <w:p w14:paraId="1D8A4448" w14:textId="77777777" w:rsidR="00FF394D" w:rsidRDefault="00FF394D">
      <w:pPr>
        <w:pStyle w:val="TOC2"/>
        <w:rPr>
          <w:rFonts w:asciiTheme="minorHAnsi" w:eastAsiaTheme="minorEastAsia" w:hAnsiTheme="minorHAnsi" w:cstheme="minorBidi"/>
          <w:noProof/>
          <w:szCs w:val="22"/>
          <w:lang w:eastAsia="en-NZ"/>
        </w:rPr>
      </w:pPr>
      <w:r>
        <w:rPr>
          <w:noProof/>
        </w:rPr>
        <w:t>The Government’s priorities</w:t>
      </w:r>
      <w:r>
        <w:rPr>
          <w:noProof/>
        </w:rPr>
        <w:tab/>
      </w:r>
      <w:r>
        <w:rPr>
          <w:noProof/>
        </w:rPr>
        <w:fldChar w:fldCharType="begin"/>
      </w:r>
      <w:r>
        <w:rPr>
          <w:noProof/>
        </w:rPr>
        <w:instrText xml:space="preserve"> PAGEREF _Toc463507910 \h </w:instrText>
      </w:r>
      <w:r>
        <w:rPr>
          <w:noProof/>
        </w:rPr>
      </w:r>
      <w:r>
        <w:rPr>
          <w:noProof/>
        </w:rPr>
        <w:fldChar w:fldCharType="separate"/>
      </w:r>
      <w:r w:rsidR="000D381E">
        <w:rPr>
          <w:noProof/>
        </w:rPr>
        <w:t>4</w:t>
      </w:r>
      <w:r>
        <w:rPr>
          <w:noProof/>
        </w:rPr>
        <w:fldChar w:fldCharType="end"/>
      </w:r>
    </w:p>
    <w:p w14:paraId="5C6A5226" w14:textId="77777777" w:rsidR="00FF394D" w:rsidRDefault="00FF394D">
      <w:pPr>
        <w:pStyle w:val="TOC2"/>
        <w:rPr>
          <w:rFonts w:asciiTheme="minorHAnsi" w:eastAsiaTheme="minorEastAsia" w:hAnsiTheme="minorHAnsi" w:cstheme="minorBidi"/>
          <w:noProof/>
          <w:szCs w:val="22"/>
          <w:lang w:eastAsia="en-NZ"/>
        </w:rPr>
      </w:pPr>
      <w:r>
        <w:rPr>
          <w:noProof/>
        </w:rPr>
        <w:t>Delivering the Government’s cross-sector priorities</w:t>
      </w:r>
      <w:r>
        <w:rPr>
          <w:noProof/>
        </w:rPr>
        <w:tab/>
      </w:r>
      <w:r>
        <w:rPr>
          <w:noProof/>
        </w:rPr>
        <w:fldChar w:fldCharType="begin"/>
      </w:r>
      <w:r>
        <w:rPr>
          <w:noProof/>
        </w:rPr>
        <w:instrText xml:space="preserve"> PAGEREF _Toc463507911 \h </w:instrText>
      </w:r>
      <w:r>
        <w:rPr>
          <w:noProof/>
        </w:rPr>
      </w:r>
      <w:r>
        <w:rPr>
          <w:noProof/>
        </w:rPr>
        <w:fldChar w:fldCharType="separate"/>
      </w:r>
      <w:r w:rsidR="000D381E">
        <w:rPr>
          <w:noProof/>
        </w:rPr>
        <w:t>7</w:t>
      </w:r>
      <w:r>
        <w:rPr>
          <w:noProof/>
        </w:rPr>
        <w:fldChar w:fldCharType="end"/>
      </w:r>
    </w:p>
    <w:p w14:paraId="75DE6D65" w14:textId="77777777" w:rsidR="00FF394D" w:rsidRDefault="00FF394D">
      <w:pPr>
        <w:pStyle w:val="TOC2"/>
        <w:rPr>
          <w:rFonts w:asciiTheme="minorHAnsi" w:eastAsiaTheme="minorEastAsia" w:hAnsiTheme="minorHAnsi" w:cstheme="minorBidi"/>
          <w:noProof/>
          <w:szCs w:val="22"/>
          <w:lang w:eastAsia="en-NZ"/>
        </w:rPr>
      </w:pPr>
      <w:r>
        <w:rPr>
          <w:noProof/>
        </w:rPr>
        <w:t>The health targets</w:t>
      </w:r>
      <w:r>
        <w:rPr>
          <w:noProof/>
        </w:rPr>
        <w:tab/>
      </w:r>
      <w:r>
        <w:rPr>
          <w:noProof/>
        </w:rPr>
        <w:fldChar w:fldCharType="begin"/>
      </w:r>
      <w:r>
        <w:rPr>
          <w:noProof/>
        </w:rPr>
        <w:instrText xml:space="preserve"> PAGEREF _Toc463507912 \h </w:instrText>
      </w:r>
      <w:r>
        <w:rPr>
          <w:noProof/>
        </w:rPr>
      </w:r>
      <w:r>
        <w:rPr>
          <w:noProof/>
        </w:rPr>
        <w:fldChar w:fldCharType="separate"/>
      </w:r>
      <w:r w:rsidR="000D381E">
        <w:rPr>
          <w:noProof/>
        </w:rPr>
        <w:t>12</w:t>
      </w:r>
      <w:r>
        <w:rPr>
          <w:noProof/>
        </w:rPr>
        <w:fldChar w:fldCharType="end"/>
      </w:r>
    </w:p>
    <w:p w14:paraId="7117A39D" w14:textId="77777777" w:rsidR="00FF394D" w:rsidRDefault="00FF394D">
      <w:pPr>
        <w:pStyle w:val="TOC2"/>
        <w:rPr>
          <w:rFonts w:asciiTheme="minorHAnsi" w:eastAsiaTheme="minorEastAsia" w:hAnsiTheme="minorHAnsi" w:cstheme="minorBidi"/>
          <w:noProof/>
          <w:szCs w:val="22"/>
          <w:lang w:eastAsia="en-NZ"/>
        </w:rPr>
      </w:pPr>
      <w:r>
        <w:rPr>
          <w:noProof/>
        </w:rPr>
        <w:t>Implementing the Minister’s strategic priorities</w:t>
      </w:r>
      <w:r>
        <w:rPr>
          <w:noProof/>
        </w:rPr>
        <w:tab/>
      </w:r>
      <w:r>
        <w:rPr>
          <w:noProof/>
        </w:rPr>
        <w:fldChar w:fldCharType="begin"/>
      </w:r>
      <w:r>
        <w:rPr>
          <w:noProof/>
        </w:rPr>
        <w:instrText xml:space="preserve"> PAGEREF _Toc463507913 \h </w:instrText>
      </w:r>
      <w:r>
        <w:rPr>
          <w:noProof/>
        </w:rPr>
      </w:r>
      <w:r>
        <w:rPr>
          <w:noProof/>
        </w:rPr>
        <w:fldChar w:fldCharType="separate"/>
      </w:r>
      <w:r w:rsidR="000D381E">
        <w:rPr>
          <w:noProof/>
        </w:rPr>
        <w:t>21</w:t>
      </w:r>
      <w:r>
        <w:rPr>
          <w:noProof/>
        </w:rPr>
        <w:fldChar w:fldCharType="end"/>
      </w:r>
    </w:p>
    <w:p w14:paraId="32ECBBD7" w14:textId="77777777" w:rsidR="00FF394D" w:rsidRDefault="00FF394D">
      <w:pPr>
        <w:pStyle w:val="TOC2"/>
        <w:rPr>
          <w:rFonts w:asciiTheme="minorHAnsi" w:eastAsiaTheme="minorEastAsia" w:hAnsiTheme="minorHAnsi" w:cstheme="minorBidi"/>
          <w:noProof/>
          <w:szCs w:val="22"/>
          <w:lang w:eastAsia="en-NZ"/>
        </w:rPr>
      </w:pPr>
      <w:r>
        <w:rPr>
          <w:noProof/>
        </w:rPr>
        <w:t>Other Ministry priorities</w:t>
      </w:r>
      <w:r>
        <w:rPr>
          <w:noProof/>
        </w:rPr>
        <w:tab/>
      </w:r>
      <w:r>
        <w:rPr>
          <w:noProof/>
        </w:rPr>
        <w:fldChar w:fldCharType="begin"/>
      </w:r>
      <w:r>
        <w:rPr>
          <w:noProof/>
        </w:rPr>
        <w:instrText xml:space="preserve"> PAGEREF _Toc463507914 \h </w:instrText>
      </w:r>
      <w:r>
        <w:rPr>
          <w:noProof/>
        </w:rPr>
      </w:r>
      <w:r>
        <w:rPr>
          <w:noProof/>
        </w:rPr>
        <w:fldChar w:fldCharType="separate"/>
      </w:r>
      <w:r w:rsidR="000D381E">
        <w:rPr>
          <w:noProof/>
        </w:rPr>
        <w:t>35</w:t>
      </w:r>
      <w:r>
        <w:rPr>
          <w:noProof/>
        </w:rPr>
        <w:fldChar w:fldCharType="end"/>
      </w:r>
    </w:p>
    <w:p w14:paraId="3EEF000C" w14:textId="77777777" w:rsidR="00FF394D" w:rsidRDefault="00FF394D">
      <w:pPr>
        <w:pStyle w:val="TOC1"/>
        <w:rPr>
          <w:rFonts w:asciiTheme="minorHAnsi" w:eastAsiaTheme="minorEastAsia" w:hAnsiTheme="minorHAnsi" w:cstheme="minorBidi"/>
          <w:b w:val="0"/>
          <w:noProof/>
          <w:szCs w:val="22"/>
          <w:lang w:eastAsia="en-NZ"/>
        </w:rPr>
      </w:pPr>
      <w:r>
        <w:rPr>
          <w:noProof/>
        </w:rPr>
        <w:t>Achieving our objectives</w:t>
      </w:r>
      <w:r>
        <w:rPr>
          <w:noProof/>
        </w:rPr>
        <w:tab/>
      </w:r>
      <w:r>
        <w:rPr>
          <w:noProof/>
        </w:rPr>
        <w:fldChar w:fldCharType="begin"/>
      </w:r>
      <w:r>
        <w:rPr>
          <w:noProof/>
        </w:rPr>
        <w:instrText xml:space="preserve"> PAGEREF _Toc463507915 \h </w:instrText>
      </w:r>
      <w:r>
        <w:rPr>
          <w:noProof/>
        </w:rPr>
      </w:r>
      <w:r>
        <w:rPr>
          <w:noProof/>
        </w:rPr>
        <w:fldChar w:fldCharType="separate"/>
      </w:r>
      <w:r w:rsidR="000D381E">
        <w:rPr>
          <w:noProof/>
        </w:rPr>
        <w:t>38</w:t>
      </w:r>
      <w:r>
        <w:rPr>
          <w:noProof/>
        </w:rPr>
        <w:fldChar w:fldCharType="end"/>
      </w:r>
    </w:p>
    <w:p w14:paraId="71E19723" w14:textId="77777777" w:rsidR="00FF394D" w:rsidRDefault="00FF394D">
      <w:pPr>
        <w:pStyle w:val="TOC2"/>
        <w:rPr>
          <w:rFonts w:asciiTheme="minorHAnsi" w:eastAsiaTheme="minorEastAsia" w:hAnsiTheme="minorHAnsi" w:cstheme="minorBidi"/>
          <w:noProof/>
          <w:szCs w:val="22"/>
          <w:lang w:eastAsia="en-NZ"/>
        </w:rPr>
      </w:pPr>
      <w:r>
        <w:rPr>
          <w:noProof/>
        </w:rPr>
        <w:t>Overview of the Ministry’s outcomes framework</w:t>
      </w:r>
      <w:r>
        <w:rPr>
          <w:noProof/>
        </w:rPr>
        <w:tab/>
      </w:r>
      <w:r>
        <w:rPr>
          <w:noProof/>
        </w:rPr>
        <w:fldChar w:fldCharType="begin"/>
      </w:r>
      <w:r>
        <w:rPr>
          <w:noProof/>
        </w:rPr>
        <w:instrText xml:space="preserve"> PAGEREF _Toc463507916 \h </w:instrText>
      </w:r>
      <w:r>
        <w:rPr>
          <w:noProof/>
        </w:rPr>
      </w:r>
      <w:r>
        <w:rPr>
          <w:noProof/>
        </w:rPr>
        <w:fldChar w:fldCharType="separate"/>
      </w:r>
      <w:r w:rsidR="000D381E">
        <w:rPr>
          <w:noProof/>
        </w:rPr>
        <w:t>38</w:t>
      </w:r>
      <w:r>
        <w:rPr>
          <w:noProof/>
        </w:rPr>
        <w:fldChar w:fldCharType="end"/>
      </w:r>
    </w:p>
    <w:p w14:paraId="766FFE31" w14:textId="77777777" w:rsidR="00FF394D" w:rsidRDefault="00FF394D">
      <w:pPr>
        <w:pStyle w:val="TOC2"/>
        <w:rPr>
          <w:rFonts w:asciiTheme="minorHAnsi" w:eastAsiaTheme="minorEastAsia" w:hAnsiTheme="minorHAnsi" w:cstheme="minorBidi"/>
          <w:noProof/>
          <w:szCs w:val="22"/>
          <w:lang w:eastAsia="en-NZ"/>
        </w:rPr>
      </w:pPr>
      <w:r>
        <w:rPr>
          <w:noProof/>
        </w:rPr>
        <w:t>Health and disability system outcomes</w:t>
      </w:r>
      <w:r>
        <w:rPr>
          <w:noProof/>
        </w:rPr>
        <w:tab/>
      </w:r>
      <w:r>
        <w:rPr>
          <w:noProof/>
        </w:rPr>
        <w:fldChar w:fldCharType="begin"/>
      </w:r>
      <w:r>
        <w:rPr>
          <w:noProof/>
        </w:rPr>
        <w:instrText xml:space="preserve"> PAGEREF _Toc463507917 \h </w:instrText>
      </w:r>
      <w:r>
        <w:rPr>
          <w:noProof/>
        </w:rPr>
      </w:r>
      <w:r>
        <w:rPr>
          <w:noProof/>
        </w:rPr>
        <w:fldChar w:fldCharType="separate"/>
      </w:r>
      <w:r w:rsidR="000D381E">
        <w:rPr>
          <w:noProof/>
        </w:rPr>
        <w:t>39</w:t>
      </w:r>
      <w:r>
        <w:rPr>
          <w:noProof/>
        </w:rPr>
        <w:fldChar w:fldCharType="end"/>
      </w:r>
    </w:p>
    <w:p w14:paraId="41778DF8" w14:textId="77777777" w:rsidR="00FF394D" w:rsidRDefault="00FF394D">
      <w:pPr>
        <w:pStyle w:val="TOC2"/>
        <w:rPr>
          <w:rFonts w:asciiTheme="minorHAnsi" w:eastAsiaTheme="minorEastAsia" w:hAnsiTheme="minorHAnsi" w:cstheme="minorBidi"/>
          <w:noProof/>
          <w:szCs w:val="22"/>
          <w:lang w:eastAsia="en-NZ"/>
        </w:rPr>
      </w:pPr>
      <w:r>
        <w:rPr>
          <w:noProof/>
        </w:rPr>
        <w:t>The Ministry of Health’s high-level outcomes</w:t>
      </w:r>
      <w:r>
        <w:rPr>
          <w:noProof/>
        </w:rPr>
        <w:tab/>
      </w:r>
      <w:r>
        <w:rPr>
          <w:noProof/>
        </w:rPr>
        <w:fldChar w:fldCharType="begin"/>
      </w:r>
      <w:r>
        <w:rPr>
          <w:noProof/>
        </w:rPr>
        <w:instrText xml:space="preserve"> PAGEREF _Toc463507918 \h </w:instrText>
      </w:r>
      <w:r>
        <w:rPr>
          <w:noProof/>
        </w:rPr>
      </w:r>
      <w:r>
        <w:rPr>
          <w:noProof/>
        </w:rPr>
        <w:fldChar w:fldCharType="separate"/>
      </w:r>
      <w:r w:rsidR="000D381E">
        <w:rPr>
          <w:noProof/>
        </w:rPr>
        <w:t>41</w:t>
      </w:r>
      <w:r>
        <w:rPr>
          <w:noProof/>
        </w:rPr>
        <w:fldChar w:fldCharType="end"/>
      </w:r>
    </w:p>
    <w:p w14:paraId="228E39CA" w14:textId="77777777" w:rsidR="00FF394D" w:rsidRDefault="00FF394D">
      <w:pPr>
        <w:pStyle w:val="TOC1"/>
        <w:rPr>
          <w:rFonts w:asciiTheme="minorHAnsi" w:eastAsiaTheme="minorEastAsia" w:hAnsiTheme="minorHAnsi" w:cstheme="minorBidi"/>
          <w:b w:val="0"/>
          <w:noProof/>
          <w:szCs w:val="22"/>
          <w:lang w:eastAsia="en-NZ"/>
        </w:rPr>
      </w:pPr>
      <w:r>
        <w:rPr>
          <w:noProof/>
        </w:rPr>
        <w:t>Statement of performance</w:t>
      </w:r>
      <w:r>
        <w:rPr>
          <w:noProof/>
        </w:rPr>
        <w:tab/>
      </w:r>
      <w:r>
        <w:rPr>
          <w:noProof/>
        </w:rPr>
        <w:fldChar w:fldCharType="begin"/>
      </w:r>
      <w:r>
        <w:rPr>
          <w:noProof/>
        </w:rPr>
        <w:instrText xml:space="preserve"> PAGEREF _Toc463507919 \h </w:instrText>
      </w:r>
      <w:r>
        <w:rPr>
          <w:noProof/>
        </w:rPr>
      </w:r>
      <w:r>
        <w:rPr>
          <w:noProof/>
        </w:rPr>
        <w:fldChar w:fldCharType="separate"/>
      </w:r>
      <w:r w:rsidR="000D381E">
        <w:rPr>
          <w:noProof/>
        </w:rPr>
        <w:t>53</w:t>
      </w:r>
      <w:r>
        <w:rPr>
          <w:noProof/>
        </w:rPr>
        <w:fldChar w:fldCharType="end"/>
      </w:r>
    </w:p>
    <w:p w14:paraId="454BB3EE" w14:textId="77777777" w:rsidR="00FF394D" w:rsidRDefault="00FF394D">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_Toc463507920 \h </w:instrText>
      </w:r>
      <w:r>
        <w:rPr>
          <w:noProof/>
        </w:rPr>
      </w:r>
      <w:r>
        <w:rPr>
          <w:noProof/>
        </w:rPr>
        <w:fldChar w:fldCharType="separate"/>
      </w:r>
      <w:r w:rsidR="000D381E">
        <w:rPr>
          <w:noProof/>
        </w:rPr>
        <w:t>53</w:t>
      </w:r>
      <w:r>
        <w:rPr>
          <w:noProof/>
        </w:rPr>
        <w:fldChar w:fldCharType="end"/>
      </w:r>
    </w:p>
    <w:p w14:paraId="0442781F" w14:textId="77777777" w:rsidR="00FF394D" w:rsidRDefault="00FF394D">
      <w:pPr>
        <w:pStyle w:val="TOC2"/>
        <w:rPr>
          <w:rFonts w:asciiTheme="minorHAnsi" w:eastAsiaTheme="minorEastAsia" w:hAnsiTheme="minorHAnsi" w:cstheme="minorBidi"/>
          <w:noProof/>
          <w:szCs w:val="22"/>
          <w:lang w:eastAsia="en-NZ"/>
        </w:rPr>
      </w:pPr>
      <w:r>
        <w:rPr>
          <w:noProof/>
        </w:rPr>
        <w:t>Health sector information systems</w:t>
      </w:r>
      <w:r>
        <w:rPr>
          <w:noProof/>
        </w:rPr>
        <w:tab/>
      </w:r>
      <w:r>
        <w:rPr>
          <w:noProof/>
        </w:rPr>
        <w:fldChar w:fldCharType="begin"/>
      </w:r>
      <w:r>
        <w:rPr>
          <w:noProof/>
        </w:rPr>
        <w:instrText xml:space="preserve"> PAGEREF _Toc463507921 \h </w:instrText>
      </w:r>
      <w:r>
        <w:rPr>
          <w:noProof/>
        </w:rPr>
      </w:r>
      <w:r>
        <w:rPr>
          <w:noProof/>
        </w:rPr>
        <w:fldChar w:fldCharType="separate"/>
      </w:r>
      <w:r w:rsidR="000D381E">
        <w:rPr>
          <w:noProof/>
        </w:rPr>
        <w:t>54</w:t>
      </w:r>
      <w:r>
        <w:rPr>
          <w:noProof/>
        </w:rPr>
        <w:fldChar w:fldCharType="end"/>
      </w:r>
    </w:p>
    <w:p w14:paraId="0506FBC1" w14:textId="77777777" w:rsidR="00FF394D" w:rsidRDefault="00FF394D">
      <w:pPr>
        <w:pStyle w:val="TOC2"/>
        <w:rPr>
          <w:rFonts w:asciiTheme="minorHAnsi" w:eastAsiaTheme="minorEastAsia" w:hAnsiTheme="minorHAnsi" w:cstheme="minorBidi"/>
          <w:noProof/>
          <w:szCs w:val="22"/>
          <w:lang w:eastAsia="en-NZ"/>
        </w:rPr>
      </w:pPr>
      <w:r>
        <w:rPr>
          <w:noProof/>
        </w:rPr>
        <w:t>Managing the purchase of services</w:t>
      </w:r>
      <w:r>
        <w:rPr>
          <w:noProof/>
        </w:rPr>
        <w:tab/>
      </w:r>
      <w:r>
        <w:rPr>
          <w:noProof/>
        </w:rPr>
        <w:fldChar w:fldCharType="begin"/>
      </w:r>
      <w:r>
        <w:rPr>
          <w:noProof/>
        </w:rPr>
        <w:instrText xml:space="preserve"> PAGEREF _Toc463507922 \h </w:instrText>
      </w:r>
      <w:r>
        <w:rPr>
          <w:noProof/>
        </w:rPr>
      </w:r>
      <w:r>
        <w:rPr>
          <w:noProof/>
        </w:rPr>
        <w:fldChar w:fldCharType="separate"/>
      </w:r>
      <w:r w:rsidR="000D381E">
        <w:rPr>
          <w:noProof/>
        </w:rPr>
        <w:t>56</w:t>
      </w:r>
      <w:r>
        <w:rPr>
          <w:noProof/>
        </w:rPr>
        <w:fldChar w:fldCharType="end"/>
      </w:r>
    </w:p>
    <w:p w14:paraId="77F4E151" w14:textId="77777777" w:rsidR="00FF394D" w:rsidRDefault="00FF394D">
      <w:pPr>
        <w:pStyle w:val="TOC2"/>
        <w:rPr>
          <w:rFonts w:asciiTheme="minorHAnsi" w:eastAsiaTheme="minorEastAsia" w:hAnsiTheme="minorHAnsi" w:cstheme="minorBidi"/>
          <w:noProof/>
          <w:szCs w:val="22"/>
          <w:lang w:eastAsia="en-NZ"/>
        </w:rPr>
      </w:pPr>
      <w:r>
        <w:rPr>
          <w:noProof/>
        </w:rPr>
        <w:t>Payment services</w:t>
      </w:r>
      <w:r>
        <w:rPr>
          <w:noProof/>
        </w:rPr>
        <w:tab/>
      </w:r>
      <w:r>
        <w:rPr>
          <w:noProof/>
        </w:rPr>
        <w:fldChar w:fldCharType="begin"/>
      </w:r>
      <w:r>
        <w:rPr>
          <w:noProof/>
        </w:rPr>
        <w:instrText xml:space="preserve"> PAGEREF _Toc463507923 \h </w:instrText>
      </w:r>
      <w:r>
        <w:rPr>
          <w:noProof/>
        </w:rPr>
      </w:r>
      <w:r>
        <w:rPr>
          <w:noProof/>
        </w:rPr>
        <w:fldChar w:fldCharType="separate"/>
      </w:r>
      <w:r w:rsidR="000D381E">
        <w:rPr>
          <w:noProof/>
        </w:rPr>
        <w:t>59</w:t>
      </w:r>
      <w:r>
        <w:rPr>
          <w:noProof/>
        </w:rPr>
        <w:fldChar w:fldCharType="end"/>
      </w:r>
    </w:p>
    <w:p w14:paraId="0874E833" w14:textId="77777777" w:rsidR="00FF394D" w:rsidRDefault="00FF394D">
      <w:pPr>
        <w:pStyle w:val="TOC2"/>
        <w:rPr>
          <w:rFonts w:asciiTheme="minorHAnsi" w:eastAsiaTheme="minorEastAsia" w:hAnsiTheme="minorHAnsi" w:cstheme="minorBidi"/>
          <w:noProof/>
          <w:szCs w:val="22"/>
          <w:lang w:eastAsia="en-NZ"/>
        </w:rPr>
      </w:pPr>
      <w:r>
        <w:rPr>
          <w:noProof/>
        </w:rPr>
        <w:t>Regulatory and enforcement services</w:t>
      </w:r>
      <w:r>
        <w:rPr>
          <w:noProof/>
        </w:rPr>
        <w:tab/>
      </w:r>
      <w:r>
        <w:rPr>
          <w:noProof/>
        </w:rPr>
        <w:fldChar w:fldCharType="begin"/>
      </w:r>
      <w:r>
        <w:rPr>
          <w:noProof/>
        </w:rPr>
        <w:instrText xml:space="preserve"> PAGEREF _Toc463507924 \h </w:instrText>
      </w:r>
      <w:r>
        <w:rPr>
          <w:noProof/>
        </w:rPr>
      </w:r>
      <w:r>
        <w:rPr>
          <w:noProof/>
        </w:rPr>
        <w:fldChar w:fldCharType="separate"/>
      </w:r>
      <w:r w:rsidR="000D381E">
        <w:rPr>
          <w:noProof/>
        </w:rPr>
        <w:t>62</w:t>
      </w:r>
      <w:r>
        <w:rPr>
          <w:noProof/>
        </w:rPr>
        <w:fldChar w:fldCharType="end"/>
      </w:r>
    </w:p>
    <w:p w14:paraId="07FCA51A" w14:textId="77777777" w:rsidR="00FF394D" w:rsidRDefault="00FF394D">
      <w:pPr>
        <w:pStyle w:val="TOC2"/>
        <w:rPr>
          <w:rFonts w:asciiTheme="minorHAnsi" w:eastAsiaTheme="minorEastAsia" w:hAnsiTheme="minorHAnsi" w:cstheme="minorBidi"/>
          <w:noProof/>
          <w:szCs w:val="22"/>
          <w:lang w:eastAsia="en-NZ"/>
        </w:rPr>
      </w:pPr>
      <w:r>
        <w:rPr>
          <w:noProof/>
        </w:rPr>
        <w:t>Sector planning and performance</w:t>
      </w:r>
      <w:r>
        <w:rPr>
          <w:noProof/>
        </w:rPr>
        <w:tab/>
      </w:r>
      <w:r>
        <w:rPr>
          <w:noProof/>
        </w:rPr>
        <w:fldChar w:fldCharType="begin"/>
      </w:r>
      <w:r>
        <w:rPr>
          <w:noProof/>
        </w:rPr>
        <w:instrText xml:space="preserve"> PAGEREF _Toc463507925 \h </w:instrText>
      </w:r>
      <w:r>
        <w:rPr>
          <w:noProof/>
        </w:rPr>
      </w:r>
      <w:r>
        <w:rPr>
          <w:noProof/>
        </w:rPr>
        <w:fldChar w:fldCharType="separate"/>
      </w:r>
      <w:r w:rsidR="000D381E">
        <w:rPr>
          <w:noProof/>
        </w:rPr>
        <w:t>66</w:t>
      </w:r>
      <w:r>
        <w:rPr>
          <w:noProof/>
        </w:rPr>
        <w:fldChar w:fldCharType="end"/>
      </w:r>
    </w:p>
    <w:p w14:paraId="02568F3F" w14:textId="77777777" w:rsidR="00FF394D" w:rsidRDefault="00FF394D">
      <w:pPr>
        <w:pStyle w:val="TOC2"/>
        <w:rPr>
          <w:rFonts w:asciiTheme="minorHAnsi" w:eastAsiaTheme="minorEastAsia" w:hAnsiTheme="minorHAnsi" w:cstheme="minorBidi"/>
          <w:noProof/>
          <w:szCs w:val="22"/>
          <w:lang w:eastAsia="en-NZ"/>
        </w:rPr>
      </w:pPr>
      <w:r>
        <w:rPr>
          <w:noProof/>
        </w:rPr>
        <w:t>Policy advice and ministerial servicing</w:t>
      </w:r>
      <w:r>
        <w:rPr>
          <w:noProof/>
        </w:rPr>
        <w:tab/>
      </w:r>
      <w:r>
        <w:rPr>
          <w:noProof/>
        </w:rPr>
        <w:fldChar w:fldCharType="begin"/>
      </w:r>
      <w:r>
        <w:rPr>
          <w:noProof/>
        </w:rPr>
        <w:instrText xml:space="preserve"> PAGEREF _Toc463507926 \h </w:instrText>
      </w:r>
      <w:r>
        <w:rPr>
          <w:noProof/>
        </w:rPr>
      </w:r>
      <w:r>
        <w:rPr>
          <w:noProof/>
        </w:rPr>
        <w:fldChar w:fldCharType="separate"/>
      </w:r>
      <w:r w:rsidR="000D381E">
        <w:rPr>
          <w:noProof/>
        </w:rPr>
        <w:t>70</w:t>
      </w:r>
      <w:r>
        <w:rPr>
          <w:noProof/>
        </w:rPr>
        <w:fldChar w:fldCharType="end"/>
      </w:r>
    </w:p>
    <w:p w14:paraId="4DC20B39" w14:textId="77777777" w:rsidR="00FF394D" w:rsidRDefault="00FF394D">
      <w:pPr>
        <w:pStyle w:val="TOC1"/>
        <w:rPr>
          <w:rFonts w:asciiTheme="minorHAnsi" w:eastAsiaTheme="minorEastAsia" w:hAnsiTheme="minorHAnsi" w:cstheme="minorBidi"/>
          <w:b w:val="0"/>
          <w:noProof/>
          <w:szCs w:val="22"/>
          <w:lang w:eastAsia="en-NZ"/>
        </w:rPr>
      </w:pPr>
      <w:r>
        <w:rPr>
          <w:noProof/>
        </w:rPr>
        <w:t>Statement of responsibility</w:t>
      </w:r>
      <w:r>
        <w:rPr>
          <w:noProof/>
        </w:rPr>
        <w:tab/>
      </w:r>
      <w:r>
        <w:rPr>
          <w:noProof/>
        </w:rPr>
        <w:fldChar w:fldCharType="begin"/>
      </w:r>
      <w:r>
        <w:rPr>
          <w:noProof/>
        </w:rPr>
        <w:instrText xml:space="preserve"> PAGEREF _Toc463507927 \h </w:instrText>
      </w:r>
      <w:r>
        <w:rPr>
          <w:noProof/>
        </w:rPr>
      </w:r>
      <w:r>
        <w:rPr>
          <w:noProof/>
        </w:rPr>
        <w:fldChar w:fldCharType="separate"/>
      </w:r>
      <w:r w:rsidR="000D381E">
        <w:rPr>
          <w:noProof/>
        </w:rPr>
        <w:t>72</w:t>
      </w:r>
      <w:r>
        <w:rPr>
          <w:noProof/>
        </w:rPr>
        <w:fldChar w:fldCharType="end"/>
      </w:r>
    </w:p>
    <w:p w14:paraId="28357169" w14:textId="77777777" w:rsidR="00FF394D" w:rsidRDefault="00FF394D">
      <w:pPr>
        <w:pStyle w:val="TOC1"/>
        <w:rPr>
          <w:rFonts w:asciiTheme="minorHAnsi" w:eastAsiaTheme="minorEastAsia" w:hAnsiTheme="minorHAnsi" w:cstheme="minorBidi"/>
          <w:b w:val="0"/>
          <w:noProof/>
          <w:szCs w:val="22"/>
          <w:lang w:eastAsia="en-NZ"/>
        </w:rPr>
      </w:pPr>
      <w:r>
        <w:rPr>
          <w:noProof/>
        </w:rPr>
        <w:t>Independent auditor’s report</w:t>
      </w:r>
      <w:r>
        <w:rPr>
          <w:noProof/>
        </w:rPr>
        <w:tab/>
      </w:r>
      <w:r>
        <w:rPr>
          <w:noProof/>
        </w:rPr>
        <w:fldChar w:fldCharType="begin"/>
      </w:r>
      <w:r>
        <w:rPr>
          <w:noProof/>
        </w:rPr>
        <w:instrText xml:space="preserve"> PAGEREF _Toc463507928 \h </w:instrText>
      </w:r>
      <w:r>
        <w:rPr>
          <w:noProof/>
        </w:rPr>
      </w:r>
      <w:r>
        <w:rPr>
          <w:noProof/>
        </w:rPr>
        <w:fldChar w:fldCharType="separate"/>
      </w:r>
      <w:r w:rsidR="000D381E">
        <w:rPr>
          <w:noProof/>
        </w:rPr>
        <w:t>73</w:t>
      </w:r>
      <w:r>
        <w:rPr>
          <w:noProof/>
        </w:rPr>
        <w:fldChar w:fldCharType="end"/>
      </w:r>
    </w:p>
    <w:p w14:paraId="254CA29C" w14:textId="77777777" w:rsidR="00FF394D" w:rsidRDefault="00FF394D">
      <w:pPr>
        <w:pStyle w:val="TOC1"/>
        <w:rPr>
          <w:rFonts w:asciiTheme="minorHAnsi" w:eastAsiaTheme="minorEastAsia" w:hAnsiTheme="minorHAnsi" w:cstheme="minorBidi"/>
          <w:b w:val="0"/>
          <w:noProof/>
          <w:szCs w:val="22"/>
          <w:lang w:eastAsia="en-NZ"/>
        </w:rPr>
      </w:pPr>
      <w:r>
        <w:rPr>
          <w:noProof/>
        </w:rPr>
        <w:t>Section 2: Financial statements</w:t>
      </w:r>
      <w:r>
        <w:rPr>
          <w:noProof/>
        </w:rPr>
        <w:tab/>
      </w:r>
      <w:r>
        <w:rPr>
          <w:noProof/>
        </w:rPr>
        <w:fldChar w:fldCharType="begin"/>
      </w:r>
      <w:r>
        <w:rPr>
          <w:noProof/>
        </w:rPr>
        <w:instrText xml:space="preserve"> PAGEREF _Toc463507929 \h </w:instrText>
      </w:r>
      <w:r>
        <w:rPr>
          <w:noProof/>
        </w:rPr>
      </w:r>
      <w:r>
        <w:rPr>
          <w:noProof/>
        </w:rPr>
        <w:fldChar w:fldCharType="separate"/>
      </w:r>
      <w:r w:rsidR="000D381E">
        <w:rPr>
          <w:noProof/>
        </w:rPr>
        <w:t>79</w:t>
      </w:r>
      <w:r>
        <w:rPr>
          <w:noProof/>
        </w:rPr>
        <w:fldChar w:fldCharType="end"/>
      </w:r>
    </w:p>
    <w:p w14:paraId="08070FDE" w14:textId="77777777" w:rsidR="00FF394D" w:rsidRDefault="00FF394D">
      <w:pPr>
        <w:pStyle w:val="TOC2"/>
        <w:rPr>
          <w:rFonts w:asciiTheme="minorHAnsi" w:eastAsiaTheme="minorEastAsia" w:hAnsiTheme="minorHAnsi" w:cstheme="minorBidi"/>
          <w:noProof/>
          <w:szCs w:val="22"/>
          <w:lang w:eastAsia="en-NZ"/>
        </w:rPr>
      </w:pPr>
      <w:r>
        <w:rPr>
          <w:noProof/>
        </w:rPr>
        <w:t>Statement of budgeted and actual expenses and capital expenditure against appropriations for the year ended 30 June 2016</w:t>
      </w:r>
      <w:r>
        <w:rPr>
          <w:noProof/>
        </w:rPr>
        <w:tab/>
      </w:r>
      <w:r>
        <w:rPr>
          <w:noProof/>
        </w:rPr>
        <w:fldChar w:fldCharType="begin"/>
      </w:r>
      <w:r>
        <w:rPr>
          <w:noProof/>
        </w:rPr>
        <w:instrText xml:space="preserve"> PAGEREF _Toc463507930 \h </w:instrText>
      </w:r>
      <w:r>
        <w:rPr>
          <w:noProof/>
        </w:rPr>
      </w:r>
      <w:r>
        <w:rPr>
          <w:noProof/>
        </w:rPr>
        <w:fldChar w:fldCharType="separate"/>
      </w:r>
      <w:r w:rsidR="000D381E">
        <w:rPr>
          <w:noProof/>
        </w:rPr>
        <w:t>79</w:t>
      </w:r>
      <w:r>
        <w:rPr>
          <w:noProof/>
        </w:rPr>
        <w:fldChar w:fldCharType="end"/>
      </w:r>
    </w:p>
    <w:p w14:paraId="11F87F48" w14:textId="77777777" w:rsidR="00FF394D" w:rsidRDefault="00FF394D">
      <w:pPr>
        <w:pStyle w:val="TOC2"/>
        <w:rPr>
          <w:rFonts w:asciiTheme="minorHAnsi" w:eastAsiaTheme="minorEastAsia" w:hAnsiTheme="minorHAnsi" w:cstheme="minorBidi"/>
          <w:noProof/>
          <w:szCs w:val="22"/>
          <w:lang w:eastAsia="en-NZ"/>
        </w:rPr>
      </w:pPr>
      <w:r>
        <w:rPr>
          <w:noProof/>
        </w:rPr>
        <w:t>Statement of comprehensive revenue and expense for the year ended 30 June 2016</w:t>
      </w:r>
      <w:r>
        <w:rPr>
          <w:noProof/>
        </w:rPr>
        <w:tab/>
      </w:r>
      <w:r>
        <w:rPr>
          <w:noProof/>
        </w:rPr>
        <w:fldChar w:fldCharType="begin"/>
      </w:r>
      <w:r>
        <w:rPr>
          <w:noProof/>
        </w:rPr>
        <w:instrText xml:space="preserve"> PAGEREF _Toc463507931 \h </w:instrText>
      </w:r>
      <w:r>
        <w:rPr>
          <w:noProof/>
        </w:rPr>
      </w:r>
      <w:r>
        <w:rPr>
          <w:noProof/>
        </w:rPr>
        <w:fldChar w:fldCharType="separate"/>
      </w:r>
      <w:r w:rsidR="000D381E">
        <w:rPr>
          <w:noProof/>
        </w:rPr>
        <w:t>82</w:t>
      </w:r>
      <w:r>
        <w:rPr>
          <w:noProof/>
        </w:rPr>
        <w:fldChar w:fldCharType="end"/>
      </w:r>
    </w:p>
    <w:p w14:paraId="0537B983" w14:textId="77777777" w:rsidR="00FF394D" w:rsidRDefault="00FF394D">
      <w:pPr>
        <w:pStyle w:val="TOC2"/>
        <w:rPr>
          <w:rFonts w:asciiTheme="minorHAnsi" w:eastAsiaTheme="minorEastAsia" w:hAnsiTheme="minorHAnsi" w:cstheme="minorBidi"/>
          <w:noProof/>
          <w:szCs w:val="22"/>
          <w:lang w:eastAsia="en-NZ"/>
        </w:rPr>
      </w:pPr>
      <w:r>
        <w:rPr>
          <w:noProof/>
        </w:rPr>
        <w:t>Statement of movements in equity for the year ended 30 June 2016</w:t>
      </w:r>
      <w:r>
        <w:rPr>
          <w:noProof/>
        </w:rPr>
        <w:tab/>
      </w:r>
      <w:r>
        <w:rPr>
          <w:noProof/>
        </w:rPr>
        <w:fldChar w:fldCharType="begin"/>
      </w:r>
      <w:r>
        <w:rPr>
          <w:noProof/>
        </w:rPr>
        <w:instrText xml:space="preserve"> PAGEREF _Toc463507932 \h </w:instrText>
      </w:r>
      <w:r>
        <w:rPr>
          <w:noProof/>
        </w:rPr>
      </w:r>
      <w:r>
        <w:rPr>
          <w:noProof/>
        </w:rPr>
        <w:fldChar w:fldCharType="separate"/>
      </w:r>
      <w:r w:rsidR="000D381E">
        <w:rPr>
          <w:noProof/>
        </w:rPr>
        <w:t>83</w:t>
      </w:r>
      <w:r>
        <w:rPr>
          <w:noProof/>
        </w:rPr>
        <w:fldChar w:fldCharType="end"/>
      </w:r>
    </w:p>
    <w:p w14:paraId="45D48D96" w14:textId="77777777" w:rsidR="00FF394D" w:rsidRDefault="00FF394D">
      <w:pPr>
        <w:pStyle w:val="TOC2"/>
        <w:rPr>
          <w:rFonts w:asciiTheme="minorHAnsi" w:eastAsiaTheme="minorEastAsia" w:hAnsiTheme="minorHAnsi" w:cstheme="minorBidi"/>
          <w:noProof/>
          <w:szCs w:val="22"/>
          <w:lang w:eastAsia="en-NZ"/>
        </w:rPr>
      </w:pPr>
      <w:r>
        <w:rPr>
          <w:noProof/>
        </w:rPr>
        <w:t>Statement of financial position as at 30 June 2016</w:t>
      </w:r>
      <w:r>
        <w:rPr>
          <w:noProof/>
        </w:rPr>
        <w:tab/>
      </w:r>
      <w:r>
        <w:rPr>
          <w:noProof/>
        </w:rPr>
        <w:fldChar w:fldCharType="begin"/>
      </w:r>
      <w:r>
        <w:rPr>
          <w:noProof/>
        </w:rPr>
        <w:instrText xml:space="preserve"> PAGEREF _Toc463507933 \h </w:instrText>
      </w:r>
      <w:r>
        <w:rPr>
          <w:noProof/>
        </w:rPr>
      </w:r>
      <w:r>
        <w:rPr>
          <w:noProof/>
        </w:rPr>
        <w:fldChar w:fldCharType="separate"/>
      </w:r>
      <w:r w:rsidR="000D381E">
        <w:rPr>
          <w:noProof/>
        </w:rPr>
        <w:t>84</w:t>
      </w:r>
      <w:r>
        <w:rPr>
          <w:noProof/>
        </w:rPr>
        <w:fldChar w:fldCharType="end"/>
      </w:r>
    </w:p>
    <w:p w14:paraId="064899C6" w14:textId="77777777" w:rsidR="00FF394D" w:rsidRDefault="00FF394D">
      <w:pPr>
        <w:pStyle w:val="TOC2"/>
        <w:rPr>
          <w:rFonts w:asciiTheme="minorHAnsi" w:eastAsiaTheme="minorEastAsia" w:hAnsiTheme="minorHAnsi" w:cstheme="minorBidi"/>
          <w:noProof/>
          <w:szCs w:val="22"/>
          <w:lang w:eastAsia="en-NZ"/>
        </w:rPr>
      </w:pPr>
      <w:r>
        <w:rPr>
          <w:noProof/>
        </w:rPr>
        <w:t>Statement of cash flows for the year ended 30 June 2016</w:t>
      </w:r>
      <w:r>
        <w:rPr>
          <w:noProof/>
        </w:rPr>
        <w:tab/>
      </w:r>
      <w:r>
        <w:rPr>
          <w:noProof/>
        </w:rPr>
        <w:fldChar w:fldCharType="begin"/>
      </w:r>
      <w:r>
        <w:rPr>
          <w:noProof/>
        </w:rPr>
        <w:instrText xml:space="preserve"> PAGEREF _Toc463507934 \h </w:instrText>
      </w:r>
      <w:r>
        <w:rPr>
          <w:noProof/>
        </w:rPr>
      </w:r>
      <w:r>
        <w:rPr>
          <w:noProof/>
        </w:rPr>
        <w:fldChar w:fldCharType="separate"/>
      </w:r>
      <w:r w:rsidR="000D381E">
        <w:rPr>
          <w:noProof/>
        </w:rPr>
        <w:t>85</w:t>
      </w:r>
      <w:r>
        <w:rPr>
          <w:noProof/>
        </w:rPr>
        <w:fldChar w:fldCharType="end"/>
      </w:r>
    </w:p>
    <w:p w14:paraId="2A3FF216" w14:textId="77777777" w:rsidR="00FF394D" w:rsidRDefault="00FF394D">
      <w:pPr>
        <w:pStyle w:val="TOC2"/>
        <w:rPr>
          <w:rFonts w:asciiTheme="minorHAnsi" w:eastAsiaTheme="minorEastAsia" w:hAnsiTheme="minorHAnsi" w:cstheme="minorBidi"/>
          <w:noProof/>
          <w:szCs w:val="22"/>
          <w:lang w:eastAsia="en-NZ"/>
        </w:rPr>
      </w:pPr>
      <w:r>
        <w:rPr>
          <w:noProof/>
        </w:rPr>
        <w:t>Statement of commitments as at 30 June 2016</w:t>
      </w:r>
      <w:r>
        <w:rPr>
          <w:noProof/>
        </w:rPr>
        <w:tab/>
      </w:r>
      <w:r>
        <w:rPr>
          <w:noProof/>
        </w:rPr>
        <w:fldChar w:fldCharType="begin"/>
      </w:r>
      <w:r>
        <w:rPr>
          <w:noProof/>
        </w:rPr>
        <w:instrText xml:space="preserve"> PAGEREF _Toc463507935 \h </w:instrText>
      </w:r>
      <w:r>
        <w:rPr>
          <w:noProof/>
        </w:rPr>
      </w:r>
      <w:r>
        <w:rPr>
          <w:noProof/>
        </w:rPr>
        <w:fldChar w:fldCharType="separate"/>
      </w:r>
      <w:r w:rsidR="000D381E">
        <w:rPr>
          <w:noProof/>
        </w:rPr>
        <w:t>86</w:t>
      </w:r>
      <w:r>
        <w:rPr>
          <w:noProof/>
        </w:rPr>
        <w:fldChar w:fldCharType="end"/>
      </w:r>
    </w:p>
    <w:p w14:paraId="7236EF76" w14:textId="77777777" w:rsidR="00FF394D" w:rsidRDefault="00FF394D">
      <w:pPr>
        <w:pStyle w:val="TOC2"/>
        <w:rPr>
          <w:rFonts w:asciiTheme="minorHAnsi" w:eastAsiaTheme="minorEastAsia" w:hAnsiTheme="minorHAnsi" w:cstheme="minorBidi"/>
          <w:noProof/>
          <w:szCs w:val="22"/>
          <w:lang w:eastAsia="en-NZ"/>
        </w:rPr>
      </w:pPr>
      <w:r>
        <w:rPr>
          <w:noProof/>
        </w:rPr>
        <w:t>Notes to the financial statements for the year ended 30 June 2016</w:t>
      </w:r>
      <w:r>
        <w:rPr>
          <w:noProof/>
        </w:rPr>
        <w:tab/>
      </w:r>
      <w:r>
        <w:rPr>
          <w:noProof/>
        </w:rPr>
        <w:fldChar w:fldCharType="begin"/>
      </w:r>
      <w:r>
        <w:rPr>
          <w:noProof/>
        </w:rPr>
        <w:instrText xml:space="preserve"> PAGEREF _Toc463507936 \h </w:instrText>
      </w:r>
      <w:r>
        <w:rPr>
          <w:noProof/>
        </w:rPr>
      </w:r>
      <w:r>
        <w:rPr>
          <w:noProof/>
        </w:rPr>
        <w:fldChar w:fldCharType="separate"/>
      </w:r>
      <w:r w:rsidR="000D381E">
        <w:rPr>
          <w:noProof/>
        </w:rPr>
        <w:t>87</w:t>
      </w:r>
      <w:r>
        <w:rPr>
          <w:noProof/>
        </w:rPr>
        <w:fldChar w:fldCharType="end"/>
      </w:r>
    </w:p>
    <w:p w14:paraId="408D67EB" w14:textId="77777777" w:rsidR="00FF394D" w:rsidRDefault="00FF394D">
      <w:pPr>
        <w:pStyle w:val="TOC1"/>
        <w:rPr>
          <w:rFonts w:asciiTheme="minorHAnsi" w:eastAsiaTheme="minorEastAsia" w:hAnsiTheme="minorHAnsi" w:cstheme="minorBidi"/>
          <w:b w:val="0"/>
          <w:noProof/>
          <w:szCs w:val="22"/>
          <w:lang w:eastAsia="en-NZ"/>
        </w:rPr>
      </w:pPr>
      <w:r>
        <w:rPr>
          <w:noProof/>
        </w:rPr>
        <w:t>Non-departmental statements and schedules for the year ended 30 June 2016</w:t>
      </w:r>
      <w:r>
        <w:rPr>
          <w:noProof/>
        </w:rPr>
        <w:tab/>
      </w:r>
      <w:r>
        <w:rPr>
          <w:noProof/>
        </w:rPr>
        <w:fldChar w:fldCharType="begin"/>
      </w:r>
      <w:r>
        <w:rPr>
          <w:noProof/>
        </w:rPr>
        <w:instrText xml:space="preserve"> PAGEREF _Toc463507937 \h </w:instrText>
      </w:r>
      <w:r>
        <w:rPr>
          <w:noProof/>
        </w:rPr>
      </w:r>
      <w:r>
        <w:rPr>
          <w:noProof/>
        </w:rPr>
        <w:fldChar w:fldCharType="separate"/>
      </w:r>
      <w:r w:rsidR="000D381E">
        <w:rPr>
          <w:noProof/>
        </w:rPr>
        <w:t>105</w:t>
      </w:r>
      <w:r>
        <w:rPr>
          <w:noProof/>
        </w:rPr>
        <w:fldChar w:fldCharType="end"/>
      </w:r>
    </w:p>
    <w:p w14:paraId="0BD88B80" w14:textId="77777777" w:rsidR="00FF394D" w:rsidRDefault="00FF394D">
      <w:pPr>
        <w:pStyle w:val="TOC2"/>
        <w:rPr>
          <w:rFonts w:asciiTheme="minorHAnsi" w:eastAsiaTheme="minorEastAsia" w:hAnsiTheme="minorHAnsi" w:cstheme="minorBidi"/>
          <w:noProof/>
          <w:szCs w:val="22"/>
          <w:lang w:eastAsia="en-NZ"/>
        </w:rPr>
      </w:pPr>
      <w:r>
        <w:rPr>
          <w:noProof/>
        </w:rPr>
        <w:t>Statement of non-departmental expenses and capital expenditure against appropriations for the year ended 30 June 2016</w:t>
      </w:r>
      <w:r>
        <w:rPr>
          <w:noProof/>
        </w:rPr>
        <w:tab/>
      </w:r>
      <w:r>
        <w:rPr>
          <w:noProof/>
        </w:rPr>
        <w:fldChar w:fldCharType="begin"/>
      </w:r>
      <w:r>
        <w:rPr>
          <w:noProof/>
        </w:rPr>
        <w:instrText xml:space="preserve"> PAGEREF _Toc463507938 \h </w:instrText>
      </w:r>
      <w:r>
        <w:rPr>
          <w:noProof/>
        </w:rPr>
      </w:r>
      <w:r>
        <w:rPr>
          <w:noProof/>
        </w:rPr>
        <w:fldChar w:fldCharType="separate"/>
      </w:r>
      <w:r w:rsidR="000D381E">
        <w:rPr>
          <w:noProof/>
        </w:rPr>
        <w:t>105</w:t>
      </w:r>
      <w:r>
        <w:rPr>
          <w:noProof/>
        </w:rPr>
        <w:fldChar w:fldCharType="end"/>
      </w:r>
    </w:p>
    <w:p w14:paraId="0D6C5AE9" w14:textId="77777777" w:rsidR="00FF394D" w:rsidRDefault="00FF394D">
      <w:pPr>
        <w:pStyle w:val="TOC2"/>
        <w:rPr>
          <w:rFonts w:asciiTheme="minorHAnsi" w:eastAsiaTheme="minorEastAsia" w:hAnsiTheme="minorHAnsi" w:cstheme="minorBidi"/>
          <w:noProof/>
          <w:szCs w:val="22"/>
          <w:lang w:eastAsia="en-NZ"/>
        </w:rPr>
      </w:pPr>
      <w:r>
        <w:rPr>
          <w:noProof/>
        </w:rPr>
        <w:lastRenderedPageBreak/>
        <w:t>Schedule of non-departmental revenue and capital receipts for the year ended 30 June 2016</w:t>
      </w:r>
      <w:r>
        <w:rPr>
          <w:noProof/>
        </w:rPr>
        <w:tab/>
      </w:r>
      <w:r>
        <w:rPr>
          <w:noProof/>
        </w:rPr>
        <w:fldChar w:fldCharType="begin"/>
      </w:r>
      <w:r>
        <w:rPr>
          <w:noProof/>
        </w:rPr>
        <w:instrText xml:space="preserve"> PAGEREF _Toc463507939 \h </w:instrText>
      </w:r>
      <w:r>
        <w:rPr>
          <w:noProof/>
        </w:rPr>
      </w:r>
      <w:r>
        <w:rPr>
          <w:noProof/>
        </w:rPr>
        <w:fldChar w:fldCharType="separate"/>
      </w:r>
      <w:r w:rsidR="000D381E">
        <w:rPr>
          <w:noProof/>
        </w:rPr>
        <w:t>106</w:t>
      </w:r>
      <w:r>
        <w:rPr>
          <w:noProof/>
        </w:rPr>
        <w:fldChar w:fldCharType="end"/>
      </w:r>
    </w:p>
    <w:p w14:paraId="10E852F9" w14:textId="77777777" w:rsidR="00FF394D" w:rsidRDefault="00FF394D">
      <w:pPr>
        <w:pStyle w:val="TOC2"/>
        <w:rPr>
          <w:rFonts w:asciiTheme="minorHAnsi" w:eastAsiaTheme="minorEastAsia" w:hAnsiTheme="minorHAnsi" w:cstheme="minorBidi"/>
          <w:noProof/>
          <w:szCs w:val="22"/>
          <w:lang w:eastAsia="en-NZ"/>
        </w:rPr>
      </w:pPr>
      <w:r>
        <w:rPr>
          <w:noProof/>
        </w:rPr>
        <w:t>Schedule of non-departmental assets and liabilities as at 30 June 2016</w:t>
      </w:r>
      <w:r>
        <w:rPr>
          <w:noProof/>
        </w:rPr>
        <w:tab/>
      </w:r>
      <w:r>
        <w:rPr>
          <w:noProof/>
        </w:rPr>
        <w:fldChar w:fldCharType="begin"/>
      </w:r>
      <w:r>
        <w:rPr>
          <w:noProof/>
        </w:rPr>
        <w:instrText xml:space="preserve"> PAGEREF _Toc463507940 \h </w:instrText>
      </w:r>
      <w:r>
        <w:rPr>
          <w:noProof/>
        </w:rPr>
      </w:r>
      <w:r>
        <w:rPr>
          <w:noProof/>
        </w:rPr>
        <w:fldChar w:fldCharType="separate"/>
      </w:r>
      <w:r w:rsidR="000D381E">
        <w:rPr>
          <w:noProof/>
        </w:rPr>
        <w:t>107</w:t>
      </w:r>
      <w:r>
        <w:rPr>
          <w:noProof/>
        </w:rPr>
        <w:fldChar w:fldCharType="end"/>
      </w:r>
    </w:p>
    <w:p w14:paraId="3BC3C205" w14:textId="77777777" w:rsidR="00FF394D" w:rsidRDefault="00FF394D">
      <w:pPr>
        <w:pStyle w:val="TOC2"/>
        <w:rPr>
          <w:rFonts w:asciiTheme="minorHAnsi" w:eastAsiaTheme="minorEastAsia" w:hAnsiTheme="minorHAnsi" w:cstheme="minorBidi"/>
          <w:noProof/>
          <w:szCs w:val="22"/>
          <w:lang w:eastAsia="en-NZ"/>
        </w:rPr>
      </w:pPr>
      <w:r>
        <w:rPr>
          <w:noProof/>
        </w:rPr>
        <w:t>Schedule of non-departmental commitments as at 30 June 2016</w:t>
      </w:r>
      <w:r>
        <w:rPr>
          <w:noProof/>
        </w:rPr>
        <w:tab/>
      </w:r>
      <w:r>
        <w:rPr>
          <w:noProof/>
        </w:rPr>
        <w:fldChar w:fldCharType="begin"/>
      </w:r>
      <w:r>
        <w:rPr>
          <w:noProof/>
        </w:rPr>
        <w:instrText xml:space="preserve"> PAGEREF _Toc463507941 \h </w:instrText>
      </w:r>
      <w:r>
        <w:rPr>
          <w:noProof/>
        </w:rPr>
      </w:r>
      <w:r>
        <w:rPr>
          <w:noProof/>
        </w:rPr>
        <w:fldChar w:fldCharType="separate"/>
      </w:r>
      <w:r w:rsidR="000D381E">
        <w:rPr>
          <w:noProof/>
        </w:rPr>
        <w:t>108</w:t>
      </w:r>
      <w:r>
        <w:rPr>
          <w:noProof/>
        </w:rPr>
        <w:fldChar w:fldCharType="end"/>
      </w:r>
    </w:p>
    <w:p w14:paraId="5FF7100F" w14:textId="77777777" w:rsidR="00FF394D" w:rsidRDefault="00FF394D">
      <w:pPr>
        <w:pStyle w:val="TOC2"/>
        <w:rPr>
          <w:rFonts w:asciiTheme="minorHAnsi" w:eastAsiaTheme="minorEastAsia" w:hAnsiTheme="minorHAnsi" w:cstheme="minorBidi"/>
          <w:noProof/>
          <w:szCs w:val="22"/>
          <w:lang w:eastAsia="en-NZ"/>
        </w:rPr>
      </w:pPr>
      <w:r>
        <w:rPr>
          <w:noProof/>
        </w:rPr>
        <w:t>Schedule of non-departmental contingent liabilities and contingent assets as at 30 June 2016</w:t>
      </w:r>
      <w:r>
        <w:rPr>
          <w:noProof/>
        </w:rPr>
        <w:tab/>
      </w:r>
      <w:r>
        <w:rPr>
          <w:noProof/>
        </w:rPr>
        <w:fldChar w:fldCharType="begin"/>
      </w:r>
      <w:r>
        <w:rPr>
          <w:noProof/>
        </w:rPr>
        <w:instrText xml:space="preserve"> PAGEREF _Toc463507942 \h </w:instrText>
      </w:r>
      <w:r>
        <w:rPr>
          <w:noProof/>
        </w:rPr>
      </w:r>
      <w:r>
        <w:rPr>
          <w:noProof/>
        </w:rPr>
        <w:fldChar w:fldCharType="separate"/>
      </w:r>
      <w:r w:rsidR="000D381E">
        <w:rPr>
          <w:noProof/>
        </w:rPr>
        <w:t>108</w:t>
      </w:r>
      <w:r>
        <w:rPr>
          <w:noProof/>
        </w:rPr>
        <w:fldChar w:fldCharType="end"/>
      </w:r>
    </w:p>
    <w:p w14:paraId="242FEBEA" w14:textId="77777777" w:rsidR="00FF394D" w:rsidRDefault="00FF394D">
      <w:pPr>
        <w:pStyle w:val="TOC2"/>
        <w:rPr>
          <w:rFonts w:asciiTheme="minorHAnsi" w:eastAsiaTheme="minorEastAsia" w:hAnsiTheme="minorHAnsi" w:cstheme="minorBidi"/>
          <w:noProof/>
          <w:szCs w:val="22"/>
          <w:lang w:eastAsia="en-NZ"/>
        </w:rPr>
      </w:pPr>
      <w:r>
        <w:rPr>
          <w:noProof/>
        </w:rPr>
        <w:t>Problem Gambling Levy Report for the year ended 30 June 2016</w:t>
      </w:r>
      <w:r>
        <w:rPr>
          <w:noProof/>
        </w:rPr>
        <w:tab/>
      </w:r>
      <w:r>
        <w:rPr>
          <w:noProof/>
        </w:rPr>
        <w:fldChar w:fldCharType="begin"/>
      </w:r>
      <w:r>
        <w:rPr>
          <w:noProof/>
        </w:rPr>
        <w:instrText xml:space="preserve"> PAGEREF _Toc463507943 \h </w:instrText>
      </w:r>
      <w:r>
        <w:rPr>
          <w:noProof/>
        </w:rPr>
      </w:r>
      <w:r>
        <w:rPr>
          <w:noProof/>
        </w:rPr>
        <w:fldChar w:fldCharType="separate"/>
      </w:r>
      <w:r w:rsidR="000D381E">
        <w:rPr>
          <w:noProof/>
        </w:rPr>
        <w:t>109</w:t>
      </w:r>
      <w:r>
        <w:rPr>
          <w:noProof/>
        </w:rPr>
        <w:fldChar w:fldCharType="end"/>
      </w:r>
    </w:p>
    <w:p w14:paraId="5D7A2907" w14:textId="77777777" w:rsidR="00FF394D" w:rsidRDefault="00FF394D">
      <w:pPr>
        <w:pStyle w:val="TOC2"/>
        <w:rPr>
          <w:rFonts w:asciiTheme="minorHAnsi" w:eastAsiaTheme="minorEastAsia" w:hAnsiTheme="minorHAnsi" w:cstheme="minorBidi"/>
          <w:noProof/>
          <w:szCs w:val="22"/>
          <w:lang w:eastAsia="en-NZ"/>
        </w:rPr>
      </w:pPr>
      <w:r>
        <w:rPr>
          <w:noProof/>
        </w:rPr>
        <w:t>Statement of trust monies for the year ended 30 June 2016</w:t>
      </w:r>
      <w:r>
        <w:rPr>
          <w:noProof/>
        </w:rPr>
        <w:tab/>
      </w:r>
      <w:r>
        <w:rPr>
          <w:noProof/>
        </w:rPr>
        <w:fldChar w:fldCharType="begin"/>
      </w:r>
      <w:r>
        <w:rPr>
          <w:noProof/>
        </w:rPr>
        <w:instrText xml:space="preserve"> PAGEREF _Toc463507944 \h </w:instrText>
      </w:r>
      <w:r>
        <w:rPr>
          <w:noProof/>
        </w:rPr>
      </w:r>
      <w:r>
        <w:rPr>
          <w:noProof/>
        </w:rPr>
        <w:fldChar w:fldCharType="separate"/>
      </w:r>
      <w:r w:rsidR="000D381E">
        <w:rPr>
          <w:noProof/>
        </w:rPr>
        <w:t>109</w:t>
      </w:r>
      <w:r>
        <w:rPr>
          <w:noProof/>
        </w:rPr>
        <w:fldChar w:fldCharType="end"/>
      </w:r>
    </w:p>
    <w:p w14:paraId="3284D426" w14:textId="77777777" w:rsidR="00FF394D" w:rsidRDefault="00FF394D">
      <w:pPr>
        <w:pStyle w:val="TOC2"/>
        <w:rPr>
          <w:rFonts w:asciiTheme="minorHAnsi" w:eastAsiaTheme="minorEastAsia" w:hAnsiTheme="minorHAnsi" w:cstheme="minorBidi"/>
          <w:noProof/>
          <w:szCs w:val="22"/>
          <w:lang w:eastAsia="en-NZ"/>
        </w:rPr>
      </w:pPr>
      <w:r>
        <w:rPr>
          <w:noProof/>
        </w:rPr>
        <w:t>Statement of non-departmental unappropriated expenses and capital expenditure for the year ended 30 June 2016</w:t>
      </w:r>
      <w:r>
        <w:rPr>
          <w:noProof/>
        </w:rPr>
        <w:tab/>
      </w:r>
      <w:r>
        <w:rPr>
          <w:noProof/>
        </w:rPr>
        <w:fldChar w:fldCharType="begin"/>
      </w:r>
      <w:r>
        <w:rPr>
          <w:noProof/>
        </w:rPr>
        <w:instrText xml:space="preserve"> PAGEREF _Toc463507945 \h </w:instrText>
      </w:r>
      <w:r>
        <w:rPr>
          <w:noProof/>
        </w:rPr>
      </w:r>
      <w:r>
        <w:rPr>
          <w:noProof/>
        </w:rPr>
        <w:fldChar w:fldCharType="separate"/>
      </w:r>
      <w:r w:rsidR="000D381E">
        <w:rPr>
          <w:noProof/>
        </w:rPr>
        <w:t>110</w:t>
      </w:r>
      <w:r>
        <w:rPr>
          <w:noProof/>
        </w:rPr>
        <w:fldChar w:fldCharType="end"/>
      </w:r>
    </w:p>
    <w:p w14:paraId="2CCB9125" w14:textId="77777777" w:rsidR="00FF394D" w:rsidRDefault="00FF394D">
      <w:pPr>
        <w:pStyle w:val="TOC2"/>
        <w:rPr>
          <w:rFonts w:asciiTheme="minorHAnsi" w:eastAsiaTheme="minorEastAsia" w:hAnsiTheme="minorHAnsi" w:cstheme="minorBidi"/>
          <w:noProof/>
          <w:szCs w:val="22"/>
          <w:lang w:eastAsia="en-NZ"/>
        </w:rPr>
      </w:pPr>
      <w:r>
        <w:rPr>
          <w:noProof/>
        </w:rPr>
        <w:t>Notes to the non-departmental statements and schedules</w:t>
      </w:r>
      <w:r>
        <w:rPr>
          <w:noProof/>
        </w:rPr>
        <w:tab/>
      </w:r>
      <w:r>
        <w:rPr>
          <w:noProof/>
        </w:rPr>
        <w:fldChar w:fldCharType="begin"/>
      </w:r>
      <w:r>
        <w:rPr>
          <w:noProof/>
        </w:rPr>
        <w:instrText xml:space="preserve"> PAGEREF _Toc463507946 \h </w:instrText>
      </w:r>
      <w:r>
        <w:rPr>
          <w:noProof/>
        </w:rPr>
      </w:r>
      <w:r>
        <w:rPr>
          <w:noProof/>
        </w:rPr>
        <w:fldChar w:fldCharType="separate"/>
      </w:r>
      <w:r w:rsidR="000D381E">
        <w:rPr>
          <w:noProof/>
        </w:rPr>
        <w:t>111</w:t>
      </w:r>
      <w:r>
        <w:rPr>
          <w:noProof/>
        </w:rPr>
        <w:fldChar w:fldCharType="end"/>
      </w:r>
    </w:p>
    <w:p w14:paraId="188BFC08" w14:textId="77777777" w:rsidR="00FF394D" w:rsidRDefault="00FF394D">
      <w:pPr>
        <w:pStyle w:val="TOC1"/>
        <w:rPr>
          <w:rFonts w:asciiTheme="minorHAnsi" w:eastAsiaTheme="minorEastAsia" w:hAnsiTheme="minorHAnsi" w:cstheme="minorBidi"/>
          <w:b w:val="0"/>
          <w:noProof/>
          <w:szCs w:val="22"/>
          <w:lang w:eastAsia="en-NZ"/>
        </w:rPr>
      </w:pPr>
      <w:r>
        <w:rPr>
          <w:noProof/>
        </w:rPr>
        <w:t>Organisational health and capability</w:t>
      </w:r>
      <w:r>
        <w:rPr>
          <w:noProof/>
        </w:rPr>
        <w:tab/>
      </w:r>
      <w:r>
        <w:rPr>
          <w:noProof/>
        </w:rPr>
        <w:fldChar w:fldCharType="begin"/>
      </w:r>
      <w:r>
        <w:rPr>
          <w:noProof/>
        </w:rPr>
        <w:instrText xml:space="preserve"> PAGEREF _Toc463507947 \h </w:instrText>
      </w:r>
      <w:r>
        <w:rPr>
          <w:noProof/>
        </w:rPr>
      </w:r>
      <w:r>
        <w:rPr>
          <w:noProof/>
        </w:rPr>
        <w:fldChar w:fldCharType="separate"/>
      </w:r>
      <w:r w:rsidR="000D381E">
        <w:rPr>
          <w:noProof/>
        </w:rPr>
        <w:t>115</w:t>
      </w:r>
      <w:r>
        <w:rPr>
          <w:noProof/>
        </w:rPr>
        <w:fldChar w:fldCharType="end"/>
      </w:r>
    </w:p>
    <w:p w14:paraId="4D506C3D" w14:textId="77777777" w:rsidR="00FF394D" w:rsidRDefault="00FF394D">
      <w:pPr>
        <w:pStyle w:val="TOC2"/>
        <w:rPr>
          <w:rFonts w:asciiTheme="minorHAnsi" w:eastAsiaTheme="minorEastAsia" w:hAnsiTheme="minorHAnsi" w:cstheme="minorBidi"/>
          <w:noProof/>
          <w:szCs w:val="22"/>
          <w:lang w:eastAsia="en-NZ"/>
        </w:rPr>
      </w:pPr>
      <w:r>
        <w:rPr>
          <w:noProof/>
        </w:rPr>
        <w:t>Developing our story</w:t>
      </w:r>
      <w:r>
        <w:rPr>
          <w:noProof/>
        </w:rPr>
        <w:tab/>
      </w:r>
      <w:r>
        <w:rPr>
          <w:noProof/>
        </w:rPr>
        <w:fldChar w:fldCharType="begin"/>
      </w:r>
      <w:r>
        <w:rPr>
          <w:noProof/>
        </w:rPr>
        <w:instrText xml:space="preserve"> PAGEREF _Toc463507948 \h </w:instrText>
      </w:r>
      <w:r>
        <w:rPr>
          <w:noProof/>
        </w:rPr>
      </w:r>
      <w:r>
        <w:rPr>
          <w:noProof/>
        </w:rPr>
        <w:fldChar w:fldCharType="separate"/>
      </w:r>
      <w:r w:rsidR="000D381E">
        <w:rPr>
          <w:noProof/>
        </w:rPr>
        <w:t>115</w:t>
      </w:r>
      <w:r>
        <w:rPr>
          <w:noProof/>
        </w:rPr>
        <w:fldChar w:fldCharType="end"/>
      </w:r>
    </w:p>
    <w:p w14:paraId="215535E1" w14:textId="77777777" w:rsidR="00FF394D" w:rsidRDefault="00FF394D">
      <w:pPr>
        <w:pStyle w:val="TOC2"/>
        <w:rPr>
          <w:rFonts w:asciiTheme="minorHAnsi" w:eastAsiaTheme="minorEastAsia" w:hAnsiTheme="minorHAnsi" w:cstheme="minorBidi"/>
          <w:noProof/>
          <w:szCs w:val="22"/>
          <w:lang w:eastAsia="en-NZ"/>
        </w:rPr>
      </w:pPr>
      <w:r>
        <w:rPr>
          <w:noProof/>
        </w:rPr>
        <w:t>Recruitment and retention</w:t>
      </w:r>
      <w:r>
        <w:rPr>
          <w:noProof/>
        </w:rPr>
        <w:tab/>
      </w:r>
      <w:r>
        <w:rPr>
          <w:noProof/>
        </w:rPr>
        <w:fldChar w:fldCharType="begin"/>
      </w:r>
      <w:r>
        <w:rPr>
          <w:noProof/>
        </w:rPr>
        <w:instrText xml:space="preserve"> PAGEREF _Toc463507949 \h </w:instrText>
      </w:r>
      <w:r>
        <w:rPr>
          <w:noProof/>
        </w:rPr>
      </w:r>
      <w:r>
        <w:rPr>
          <w:noProof/>
        </w:rPr>
        <w:fldChar w:fldCharType="separate"/>
      </w:r>
      <w:r w:rsidR="000D381E">
        <w:rPr>
          <w:noProof/>
        </w:rPr>
        <w:t>115</w:t>
      </w:r>
      <w:r>
        <w:rPr>
          <w:noProof/>
        </w:rPr>
        <w:fldChar w:fldCharType="end"/>
      </w:r>
    </w:p>
    <w:p w14:paraId="5D00CAC9" w14:textId="77777777" w:rsidR="00FF394D" w:rsidRDefault="00FF394D">
      <w:pPr>
        <w:pStyle w:val="TOC2"/>
        <w:rPr>
          <w:rFonts w:asciiTheme="minorHAnsi" w:eastAsiaTheme="minorEastAsia" w:hAnsiTheme="minorHAnsi" w:cstheme="minorBidi"/>
          <w:noProof/>
          <w:szCs w:val="22"/>
          <w:lang w:eastAsia="en-NZ"/>
        </w:rPr>
      </w:pPr>
      <w:r>
        <w:rPr>
          <w:noProof/>
        </w:rPr>
        <w:t>People and capability enhancement</w:t>
      </w:r>
      <w:r>
        <w:rPr>
          <w:noProof/>
        </w:rPr>
        <w:tab/>
      </w:r>
      <w:r>
        <w:rPr>
          <w:noProof/>
        </w:rPr>
        <w:fldChar w:fldCharType="begin"/>
      </w:r>
      <w:r>
        <w:rPr>
          <w:noProof/>
        </w:rPr>
        <w:instrText xml:space="preserve"> PAGEREF _Toc463507950 \h </w:instrText>
      </w:r>
      <w:r>
        <w:rPr>
          <w:noProof/>
        </w:rPr>
      </w:r>
      <w:r>
        <w:rPr>
          <w:noProof/>
        </w:rPr>
        <w:fldChar w:fldCharType="separate"/>
      </w:r>
      <w:r w:rsidR="000D381E">
        <w:rPr>
          <w:noProof/>
        </w:rPr>
        <w:t>115</w:t>
      </w:r>
      <w:r>
        <w:rPr>
          <w:noProof/>
        </w:rPr>
        <w:fldChar w:fldCharType="end"/>
      </w:r>
    </w:p>
    <w:p w14:paraId="027056E4" w14:textId="77777777" w:rsidR="00FF394D" w:rsidRDefault="00FF394D">
      <w:pPr>
        <w:pStyle w:val="TOC2"/>
        <w:rPr>
          <w:rFonts w:asciiTheme="minorHAnsi" w:eastAsiaTheme="minorEastAsia" w:hAnsiTheme="minorHAnsi" w:cstheme="minorBidi"/>
          <w:noProof/>
          <w:szCs w:val="22"/>
          <w:lang w:eastAsia="en-NZ"/>
        </w:rPr>
      </w:pPr>
      <w:r>
        <w:rPr>
          <w:noProof/>
        </w:rPr>
        <w:t>Equal employment opportunities</w:t>
      </w:r>
      <w:r>
        <w:rPr>
          <w:noProof/>
        </w:rPr>
        <w:tab/>
      </w:r>
      <w:r>
        <w:rPr>
          <w:noProof/>
        </w:rPr>
        <w:fldChar w:fldCharType="begin"/>
      </w:r>
      <w:r>
        <w:rPr>
          <w:noProof/>
        </w:rPr>
        <w:instrText xml:space="preserve"> PAGEREF _Toc463507951 \h </w:instrText>
      </w:r>
      <w:r>
        <w:rPr>
          <w:noProof/>
        </w:rPr>
      </w:r>
      <w:r>
        <w:rPr>
          <w:noProof/>
        </w:rPr>
        <w:fldChar w:fldCharType="separate"/>
      </w:r>
      <w:r w:rsidR="000D381E">
        <w:rPr>
          <w:noProof/>
        </w:rPr>
        <w:t>116</w:t>
      </w:r>
      <w:r>
        <w:rPr>
          <w:noProof/>
        </w:rPr>
        <w:fldChar w:fldCharType="end"/>
      </w:r>
    </w:p>
    <w:p w14:paraId="2AC22273" w14:textId="77777777" w:rsidR="00FF394D" w:rsidRDefault="00FF394D">
      <w:pPr>
        <w:pStyle w:val="TOC2"/>
        <w:rPr>
          <w:rFonts w:asciiTheme="minorHAnsi" w:eastAsiaTheme="minorEastAsia" w:hAnsiTheme="minorHAnsi" w:cstheme="minorBidi"/>
          <w:noProof/>
          <w:szCs w:val="22"/>
          <w:lang w:eastAsia="en-NZ"/>
        </w:rPr>
      </w:pPr>
      <w:r>
        <w:rPr>
          <w:noProof/>
        </w:rPr>
        <w:t>Information technology (IT)</w:t>
      </w:r>
      <w:r>
        <w:rPr>
          <w:noProof/>
        </w:rPr>
        <w:tab/>
      </w:r>
      <w:r>
        <w:rPr>
          <w:noProof/>
        </w:rPr>
        <w:fldChar w:fldCharType="begin"/>
      </w:r>
      <w:r>
        <w:rPr>
          <w:noProof/>
        </w:rPr>
        <w:instrText xml:space="preserve"> PAGEREF _Toc463507952 \h </w:instrText>
      </w:r>
      <w:r>
        <w:rPr>
          <w:noProof/>
        </w:rPr>
      </w:r>
      <w:r>
        <w:rPr>
          <w:noProof/>
        </w:rPr>
        <w:fldChar w:fldCharType="separate"/>
      </w:r>
      <w:r w:rsidR="000D381E">
        <w:rPr>
          <w:noProof/>
        </w:rPr>
        <w:t>116</w:t>
      </w:r>
      <w:r>
        <w:rPr>
          <w:noProof/>
        </w:rPr>
        <w:fldChar w:fldCharType="end"/>
      </w:r>
    </w:p>
    <w:p w14:paraId="74B06367" w14:textId="77777777" w:rsidR="00FF394D" w:rsidRDefault="00FF394D">
      <w:pPr>
        <w:pStyle w:val="TOC2"/>
        <w:rPr>
          <w:rFonts w:asciiTheme="minorHAnsi" w:eastAsiaTheme="minorEastAsia" w:hAnsiTheme="minorHAnsi" w:cstheme="minorBidi"/>
          <w:noProof/>
          <w:szCs w:val="22"/>
          <w:lang w:eastAsia="en-NZ"/>
        </w:rPr>
      </w:pPr>
      <w:r>
        <w:rPr>
          <w:noProof/>
        </w:rPr>
        <w:t>Procurement strategy</w:t>
      </w:r>
      <w:r>
        <w:rPr>
          <w:noProof/>
        </w:rPr>
        <w:tab/>
      </w:r>
      <w:r>
        <w:rPr>
          <w:noProof/>
        </w:rPr>
        <w:fldChar w:fldCharType="begin"/>
      </w:r>
      <w:r>
        <w:rPr>
          <w:noProof/>
        </w:rPr>
        <w:instrText xml:space="preserve"> PAGEREF _Toc463507953 \h </w:instrText>
      </w:r>
      <w:r>
        <w:rPr>
          <w:noProof/>
        </w:rPr>
      </w:r>
      <w:r>
        <w:rPr>
          <w:noProof/>
        </w:rPr>
        <w:fldChar w:fldCharType="separate"/>
      </w:r>
      <w:r w:rsidR="000D381E">
        <w:rPr>
          <w:noProof/>
        </w:rPr>
        <w:t>117</w:t>
      </w:r>
      <w:r>
        <w:rPr>
          <w:noProof/>
        </w:rPr>
        <w:fldChar w:fldCharType="end"/>
      </w:r>
    </w:p>
    <w:p w14:paraId="2DE25E28" w14:textId="77777777" w:rsidR="00FF394D" w:rsidRDefault="00FF394D">
      <w:pPr>
        <w:pStyle w:val="TOC2"/>
        <w:rPr>
          <w:rFonts w:asciiTheme="minorHAnsi" w:eastAsiaTheme="minorEastAsia" w:hAnsiTheme="minorHAnsi" w:cstheme="minorBidi"/>
          <w:noProof/>
          <w:szCs w:val="22"/>
          <w:lang w:eastAsia="en-NZ"/>
        </w:rPr>
      </w:pPr>
      <w:r>
        <w:rPr>
          <w:noProof/>
        </w:rPr>
        <w:t>Property management</w:t>
      </w:r>
      <w:r>
        <w:rPr>
          <w:noProof/>
        </w:rPr>
        <w:tab/>
      </w:r>
      <w:r>
        <w:rPr>
          <w:noProof/>
        </w:rPr>
        <w:fldChar w:fldCharType="begin"/>
      </w:r>
      <w:r>
        <w:rPr>
          <w:noProof/>
        </w:rPr>
        <w:instrText xml:space="preserve"> PAGEREF _Toc463507954 \h </w:instrText>
      </w:r>
      <w:r>
        <w:rPr>
          <w:noProof/>
        </w:rPr>
      </w:r>
      <w:r>
        <w:rPr>
          <w:noProof/>
        </w:rPr>
        <w:fldChar w:fldCharType="separate"/>
      </w:r>
      <w:r w:rsidR="000D381E">
        <w:rPr>
          <w:noProof/>
        </w:rPr>
        <w:t>117</w:t>
      </w:r>
      <w:r>
        <w:rPr>
          <w:noProof/>
        </w:rPr>
        <w:fldChar w:fldCharType="end"/>
      </w:r>
    </w:p>
    <w:p w14:paraId="6042E232" w14:textId="77777777" w:rsidR="00FF394D" w:rsidRDefault="00FF394D">
      <w:pPr>
        <w:pStyle w:val="TOC2"/>
        <w:rPr>
          <w:rFonts w:asciiTheme="minorHAnsi" w:eastAsiaTheme="minorEastAsia" w:hAnsiTheme="minorHAnsi" w:cstheme="minorBidi"/>
          <w:noProof/>
          <w:szCs w:val="22"/>
          <w:lang w:eastAsia="en-NZ"/>
        </w:rPr>
      </w:pPr>
      <w:r>
        <w:rPr>
          <w:noProof/>
        </w:rPr>
        <w:t>Business continuity</w:t>
      </w:r>
      <w:r>
        <w:rPr>
          <w:noProof/>
        </w:rPr>
        <w:tab/>
      </w:r>
      <w:r>
        <w:rPr>
          <w:noProof/>
        </w:rPr>
        <w:fldChar w:fldCharType="begin"/>
      </w:r>
      <w:r>
        <w:rPr>
          <w:noProof/>
        </w:rPr>
        <w:instrText xml:space="preserve"> PAGEREF _Toc463507955 \h </w:instrText>
      </w:r>
      <w:r>
        <w:rPr>
          <w:noProof/>
        </w:rPr>
      </w:r>
      <w:r>
        <w:rPr>
          <w:noProof/>
        </w:rPr>
        <w:fldChar w:fldCharType="separate"/>
      </w:r>
      <w:r w:rsidR="000D381E">
        <w:rPr>
          <w:noProof/>
        </w:rPr>
        <w:t>118</w:t>
      </w:r>
      <w:r>
        <w:rPr>
          <w:noProof/>
        </w:rPr>
        <w:fldChar w:fldCharType="end"/>
      </w:r>
    </w:p>
    <w:p w14:paraId="00EC84D0" w14:textId="77777777" w:rsidR="00FF394D" w:rsidRDefault="00FF394D">
      <w:pPr>
        <w:pStyle w:val="TOC2"/>
        <w:rPr>
          <w:rFonts w:asciiTheme="minorHAnsi" w:eastAsiaTheme="minorEastAsia" w:hAnsiTheme="minorHAnsi" w:cstheme="minorBidi"/>
          <w:noProof/>
          <w:szCs w:val="22"/>
          <w:lang w:eastAsia="en-NZ"/>
        </w:rPr>
      </w:pPr>
      <w:r>
        <w:rPr>
          <w:noProof/>
        </w:rPr>
        <w:t>Managing risk</w:t>
      </w:r>
      <w:r>
        <w:rPr>
          <w:noProof/>
        </w:rPr>
        <w:tab/>
      </w:r>
      <w:r>
        <w:rPr>
          <w:noProof/>
        </w:rPr>
        <w:fldChar w:fldCharType="begin"/>
      </w:r>
      <w:r>
        <w:rPr>
          <w:noProof/>
        </w:rPr>
        <w:instrText xml:space="preserve"> PAGEREF _Toc463507956 \h </w:instrText>
      </w:r>
      <w:r>
        <w:rPr>
          <w:noProof/>
        </w:rPr>
      </w:r>
      <w:r>
        <w:rPr>
          <w:noProof/>
        </w:rPr>
        <w:fldChar w:fldCharType="separate"/>
      </w:r>
      <w:r w:rsidR="000D381E">
        <w:rPr>
          <w:noProof/>
        </w:rPr>
        <w:t>118</w:t>
      </w:r>
      <w:r>
        <w:rPr>
          <w:noProof/>
        </w:rPr>
        <w:fldChar w:fldCharType="end"/>
      </w:r>
    </w:p>
    <w:p w14:paraId="0CAFE194" w14:textId="77777777" w:rsidR="00FF394D" w:rsidRDefault="00FF394D">
      <w:pPr>
        <w:pStyle w:val="TOC2"/>
        <w:rPr>
          <w:rFonts w:asciiTheme="minorHAnsi" w:eastAsiaTheme="minorEastAsia" w:hAnsiTheme="minorHAnsi" w:cstheme="minorBidi"/>
          <w:noProof/>
          <w:szCs w:val="22"/>
          <w:lang w:eastAsia="en-NZ"/>
        </w:rPr>
      </w:pPr>
      <w:r>
        <w:rPr>
          <w:noProof/>
        </w:rPr>
        <w:t>Assurance</w:t>
      </w:r>
      <w:r>
        <w:rPr>
          <w:noProof/>
        </w:rPr>
        <w:tab/>
      </w:r>
      <w:r>
        <w:rPr>
          <w:noProof/>
        </w:rPr>
        <w:fldChar w:fldCharType="begin"/>
      </w:r>
      <w:r>
        <w:rPr>
          <w:noProof/>
        </w:rPr>
        <w:instrText xml:space="preserve"> PAGEREF _Toc463507957 \h </w:instrText>
      </w:r>
      <w:r>
        <w:rPr>
          <w:noProof/>
        </w:rPr>
      </w:r>
      <w:r>
        <w:rPr>
          <w:noProof/>
        </w:rPr>
        <w:fldChar w:fldCharType="separate"/>
      </w:r>
      <w:r w:rsidR="000D381E">
        <w:rPr>
          <w:noProof/>
        </w:rPr>
        <w:t>119</w:t>
      </w:r>
      <w:r>
        <w:rPr>
          <w:noProof/>
        </w:rPr>
        <w:fldChar w:fldCharType="end"/>
      </w:r>
    </w:p>
    <w:p w14:paraId="526D9F37" w14:textId="77777777" w:rsidR="00FF394D" w:rsidRDefault="00FF394D">
      <w:pPr>
        <w:pStyle w:val="TOC2"/>
        <w:rPr>
          <w:rFonts w:asciiTheme="minorHAnsi" w:eastAsiaTheme="minorEastAsia" w:hAnsiTheme="minorHAnsi" w:cstheme="minorBidi"/>
          <w:noProof/>
          <w:szCs w:val="22"/>
          <w:lang w:eastAsia="en-NZ"/>
        </w:rPr>
      </w:pPr>
      <w:r>
        <w:rPr>
          <w:noProof/>
        </w:rPr>
        <w:t>Emergency management</w:t>
      </w:r>
      <w:r>
        <w:rPr>
          <w:noProof/>
        </w:rPr>
        <w:tab/>
      </w:r>
      <w:r>
        <w:rPr>
          <w:noProof/>
        </w:rPr>
        <w:fldChar w:fldCharType="begin"/>
      </w:r>
      <w:r>
        <w:rPr>
          <w:noProof/>
        </w:rPr>
        <w:instrText xml:space="preserve"> PAGEREF _Toc463507958 \h </w:instrText>
      </w:r>
      <w:r>
        <w:rPr>
          <w:noProof/>
        </w:rPr>
      </w:r>
      <w:r>
        <w:rPr>
          <w:noProof/>
        </w:rPr>
        <w:fldChar w:fldCharType="separate"/>
      </w:r>
      <w:r w:rsidR="000D381E">
        <w:rPr>
          <w:noProof/>
        </w:rPr>
        <w:t>119</w:t>
      </w:r>
      <w:r>
        <w:rPr>
          <w:noProof/>
        </w:rPr>
        <w:fldChar w:fldCharType="end"/>
      </w:r>
    </w:p>
    <w:p w14:paraId="5281EC04" w14:textId="77777777" w:rsidR="00FF394D" w:rsidRDefault="00FF394D">
      <w:pPr>
        <w:pStyle w:val="TOC2"/>
        <w:rPr>
          <w:rFonts w:asciiTheme="minorHAnsi" w:eastAsiaTheme="minorEastAsia" w:hAnsiTheme="minorHAnsi" w:cstheme="minorBidi"/>
          <w:noProof/>
          <w:szCs w:val="22"/>
          <w:lang w:eastAsia="en-NZ"/>
        </w:rPr>
      </w:pPr>
      <w:r>
        <w:rPr>
          <w:noProof/>
        </w:rPr>
        <w:t>Departmental capital and asset management intentions</w:t>
      </w:r>
      <w:r>
        <w:rPr>
          <w:noProof/>
        </w:rPr>
        <w:tab/>
      </w:r>
      <w:r>
        <w:rPr>
          <w:noProof/>
        </w:rPr>
        <w:fldChar w:fldCharType="begin"/>
      </w:r>
      <w:r>
        <w:rPr>
          <w:noProof/>
        </w:rPr>
        <w:instrText xml:space="preserve"> PAGEREF _Toc463507959 \h </w:instrText>
      </w:r>
      <w:r>
        <w:rPr>
          <w:noProof/>
        </w:rPr>
      </w:r>
      <w:r>
        <w:rPr>
          <w:noProof/>
        </w:rPr>
        <w:fldChar w:fldCharType="separate"/>
      </w:r>
      <w:r w:rsidR="000D381E">
        <w:rPr>
          <w:noProof/>
        </w:rPr>
        <w:t>120</w:t>
      </w:r>
      <w:r>
        <w:rPr>
          <w:noProof/>
        </w:rPr>
        <w:fldChar w:fldCharType="end"/>
      </w:r>
    </w:p>
    <w:p w14:paraId="5D482E51" w14:textId="77777777" w:rsidR="00FF394D" w:rsidRDefault="00FF394D">
      <w:pPr>
        <w:pStyle w:val="TOC1"/>
        <w:rPr>
          <w:rFonts w:asciiTheme="minorHAnsi" w:eastAsiaTheme="minorEastAsia" w:hAnsiTheme="minorHAnsi" w:cstheme="minorBidi"/>
          <w:b w:val="0"/>
          <w:noProof/>
          <w:szCs w:val="22"/>
          <w:lang w:eastAsia="en-NZ"/>
        </w:rPr>
      </w:pPr>
      <w:r>
        <w:rPr>
          <w:noProof/>
        </w:rPr>
        <w:t>Additional information</w:t>
      </w:r>
      <w:r>
        <w:rPr>
          <w:noProof/>
        </w:rPr>
        <w:tab/>
      </w:r>
      <w:r>
        <w:rPr>
          <w:noProof/>
        </w:rPr>
        <w:fldChar w:fldCharType="begin"/>
      </w:r>
      <w:r>
        <w:rPr>
          <w:noProof/>
        </w:rPr>
        <w:instrText xml:space="preserve"> PAGEREF _Toc463507960 \h </w:instrText>
      </w:r>
      <w:r>
        <w:rPr>
          <w:noProof/>
        </w:rPr>
      </w:r>
      <w:r>
        <w:rPr>
          <w:noProof/>
        </w:rPr>
        <w:fldChar w:fldCharType="separate"/>
      </w:r>
      <w:r w:rsidR="000D381E">
        <w:rPr>
          <w:noProof/>
        </w:rPr>
        <w:t>121</w:t>
      </w:r>
      <w:r>
        <w:rPr>
          <w:noProof/>
        </w:rPr>
        <w:fldChar w:fldCharType="end"/>
      </w:r>
    </w:p>
    <w:p w14:paraId="3525C39A" w14:textId="77777777" w:rsidR="00FF394D" w:rsidRDefault="00FF394D">
      <w:pPr>
        <w:pStyle w:val="TOC2"/>
        <w:rPr>
          <w:rFonts w:asciiTheme="minorHAnsi" w:eastAsiaTheme="minorEastAsia" w:hAnsiTheme="minorHAnsi" w:cstheme="minorBidi"/>
          <w:noProof/>
          <w:szCs w:val="22"/>
          <w:lang w:eastAsia="en-NZ"/>
        </w:rPr>
      </w:pPr>
      <w:r>
        <w:rPr>
          <w:noProof/>
        </w:rPr>
        <w:t>Additional statutory reporting requirements</w:t>
      </w:r>
      <w:r>
        <w:rPr>
          <w:noProof/>
        </w:rPr>
        <w:tab/>
      </w:r>
      <w:r>
        <w:rPr>
          <w:noProof/>
        </w:rPr>
        <w:fldChar w:fldCharType="begin"/>
      </w:r>
      <w:r>
        <w:rPr>
          <w:noProof/>
        </w:rPr>
        <w:instrText xml:space="preserve"> PAGEREF _Toc463507961 \h </w:instrText>
      </w:r>
      <w:r>
        <w:rPr>
          <w:noProof/>
        </w:rPr>
      </w:r>
      <w:r>
        <w:rPr>
          <w:noProof/>
        </w:rPr>
        <w:fldChar w:fldCharType="separate"/>
      </w:r>
      <w:r w:rsidR="000D381E">
        <w:rPr>
          <w:noProof/>
        </w:rPr>
        <w:t>121</w:t>
      </w:r>
      <w:r>
        <w:rPr>
          <w:noProof/>
        </w:rPr>
        <w:fldChar w:fldCharType="end"/>
      </w:r>
    </w:p>
    <w:p w14:paraId="04CDAD30" w14:textId="77777777" w:rsidR="00FF394D" w:rsidRDefault="00FF394D">
      <w:pPr>
        <w:pStyle w:val="TOC2"/>
        <w:rPr>
          <w:rFonts w:asciiTheme="minorHAnsi" w:eastAsiaTheme="minorEastAsia" w:hAnsiTheme="minorHAnsi" w:cstheme="minorBidi"/>
          <w:noProof/>
          <w:szCs w:val="22"/>
          <w:lang w:eastAsia="en-NZ"/>
        </w:rPr>
      </w:pPr>
      <w:r>
        <w:rPr>
          <w:noProof/>
        </w:rPr>
        <w:t>Health Act 1956</w:t>
      </w:r>
      <w:r>
        <w:rPr>
          <w:noProof/>
        </w:rPr>
        <w:tab/>
      </w:r>
      <w:r>
        <w:rPr>
          <w:noProof/>
        </w:rPr>
        <w:fldChar w:fldCharType="begin"/>
      </w:r>
      <w:r>
        <w:rPr>
          <w:noProof/>
        </w:rPr>
        <w:instrText xml:space="preserve"> PAGEREF _Toc463507962 \h </w:instrText>
      </w:r>
      <w:r>
        <w:rPr>
          <w:noProof/>
        </w:rPr>
      </w:r>
      <w:r>
        <w:rPr>
          <w:noProof/>
        </w:rPr>
        <w:fldChar w:fldCharType="separate"/>
      </w:r>
      <w:r w:rsidR="000D381E">
        <w:rPr>
          <w:noProof/>
        </w:rPr>
        <w:t>121</w:t>
      </w:r>
      <w:r>
        <w:rPr>
          <w:noProof/>
        </w:rPr>
        <w:fldChar w:fldCharType="end"/>
      </w:r>
    </w:p>
    <w:p w14:paraId="6179AD6D" w14:textId="77777777" w:rsidR="00FF394D" w:rsidRDefault="00FF394D">
      <w:pPr>
        <w:pStyle w:val="TOC2"/>
        <w:rPr>
          <w:rFonts w:asciiTheme="minorHAnsi" w:eastAsiaTheme="minorEastAsia" w:hAnsiTheme="minorHAnsi" w:cstheme="minorBidi"/>
          <w:noProof/>
          <w:szCs w:val="22"/>
          <w:lang w:eastAsia="en-NZ"/>
        </w:rPr>
      </w:pPr>
      <w:r>
        <w:rPr>
          <w:noProof/>
        </w:rPr>
        <w:t>New Zealand Public Health and Disability Act 2000</w:t>
      </w:r>
      <w:r>
        <w:rPr>
          <w:noProof/>
        </w:rPr>
        <w:tab/>
      </w:r>
      <w:r>
        <w:rPr>
          <w:noProof/>
        </w:rPr>
        <w:fldChar w:fldCharType="begin"/>
      </w:r>
      <w:r>
        <w:rPr>
          <w:noProof/>
        </w:rPr>
        <w:instrText xml:space="preserve"> PAGEREF _Toc463507963 \h </w:instrText>
      </w:r>
      <w:r>
        <w:rPr>
          <w:noProof/>
        </w:rPr>
      </w:r>
      <w:r>
        <w:rPr>
          <w:noProof/>
        </w:rPr>
        <w:fldChar w:fldCharType="separate"/>
      </w:r>
      <w:r w:rsidR="000D381E">
        <w:rPr>
          <w:noProof/>
        </w:rPr>
        <w:t>121</w:t>
      </w:r>
      <w:r>
        <w:rPr>
          <w:noProof/>
        </w:rPr>
        <w:fldChar w:fldCharType="end"/>
      </w:r>
    </w:p>
    <w:p w14:paraId="13FF2822" w14:textId="77777777" w:rsidR="00FF394D" w:rsidRDefault="00FF394D">
      <w:pPr>
        <w:pStyle w:val="TOC2"/>
        <w:rPr>
          <w:rFonts w:asciiTheme="minorHAnsi" w:eastAsiaTheme="minorEastAsia" w:hAnsiTheme="minorHAnsi" w:cstheme="minorBidi"/>
          <w:noProof/>
          <w:szCs w:val="22"/>
          <w:lang w:eastAsia="en-NZ"/>
        </w:rPr>
      </w:pPr>
      <w:r>
        <w:rPr>
          <w:noProof/>
        </w:rPr>
        <w:t>Public Finance Act 1989</w:t>
      </w:r>
      <w:r>
        <w:rPr>
          <w:noProof/>
        </w:rPr>
        <w:tab/>
      </w:r>
      <w:r>
        <w:rPr>
          <w:noProof/>
        </w:rPr>
        <w:fldChar w:fldCharType="begin"/>
      </w:r>
      <w:r>
        <w:rPr>
          <w:noProof/>
        </w:rPr>
        <w:instrText xml:space="preserve"> PAGEREF _Toc463507964 \h </w:instrText>
      </w:r>
      <w:r>
        <w:rPr>
          <w:noProof/>
        </w:rPr>
      </w:r>
      <w:r>
        <w:rPr>
          <w:noProof/>
        </w:rPr>
        <w:fldChar w:fldCharType="separate"/>
      </w:r>
      <w:r w:rsidR="000D381E">
        <w:rPr>
          <w:noProof/>
        </w:rPr>
        <w:t>121</w:t>
      </w:r>
      <w:r>
        <w:rPr>
          <w:noProof/>
        </w:rPr>
        <w:fldChar w:fldCharType="end"/>
      </w:r>
    </w:p>
    <w:p w14:paraId="3EB36BA8" w14:textId="77777777" w:rsidR="00FF394D" w:rsidRDefault="00FF394D">
      <w:pPr>
        <w:pStyle w:val="TOC2"/>
        <w:rPr>
          <w:rFonts w:asciiTheme="minorHAnsi" w:eastAsiaTheme="minorEastAsia" w:hAnsiTheme="minorHAnsi" w:cstheme="minorBidi"/>
          <w:noProof/>
          <w:szCs w:val="22"/>
          <w:lang w:eastAsia="en-NZ"/>
        </w:rPr>
      </w:pPr>
      <w:r>
        <w:rPr>
          <w:noProof/>
        </w:rPr>
        <w:t>Other legislation</w:t>
      </w:r>
      <w:r>
        <w:rPr>
          <w:noProof/>
        </w:rPr>
        <w:tab/>
      </w:r>
      <w:r>
        <w:rPr>
          <w:noProof/>
        </w:rPr>
        <w:fldChar w:fldCharType="begin"/>
      </w:r>
      <w:r>
        <w:rPr>
          <w:noProof/>
        </w:rPr>
        <w:instrText xml:space="preserve"> PAGEREF _Toc463507965 \h </w:instrText>
      </w:r>
      <w:r>
        <w:rPr>
          <w:noProof/>
        </w:rPr>
      </w:r>
      <w:r>
        <w:rPr>
          <w:noProof/>
        </w:rPr>
        <w:fldChar w:fldCharType="separate"/>
      </w:r>
      <w:r w:rsidR="000D381E">
        <w:rPr>
          <w:noProof/>
        </w:rPr>
        <w:t>121</w:t>
      </w:r>
      <w:r>
        <w:rPr>
          <w:noProof/>
        </w:rPr>
        <w:fldChar w:fldCharType="end"/>
      </w:r>
    </w:p>
    <w:p w14:paraId="0435D491" w14:textId="77777777" w:rsidR="00FF394D" w:rsidRDefault="00FF394D">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_Toc463507966 \h </w:instrText>
      </w:r>
      <w:r>
        <w:rPr>
          <w:noProof/>
        </w:rPr>
      </w:r>
      <w:r>
        <w:rPr>
          <w:noProof/>
        </w:rPr>
        <w:fldChar w:fldCharType="separate"/>
      </w:r>
      <w:r w:rsidR="000D381E">
        <w:rPr>
          <w:noProof/>
        </w:rPr>
        <w:t>122</w:t>
      </w:r>
      <w:r>
        <w:rPr>
          <w:noProof/>
        </w:rPr>
        <w:fldChar w:fldCharType="end"/>
      </w:r>
    </w:p>
    <w:p w14:paraId="20286B8F" w14:textId="77777777" w:rsidR="00FF394D" w:rsidRDefault="00FF394D">
      <w:pPr>
        <w:pStyle w:val="TOC1"/>
        <w:rPr>
          <w:rFonts w:asciiTheme="minorHAnsi" w:eastAsiaTheme="minorEastAsia" w:hAnsiTheme="minorHAnsi" w:cstheme="minorBidi"/>
          <w:b w:val="0"/>
          <w:noProof/>
          <w:szCs w:val="22"/>
          <w:lang w:eastAsia="en-NZ"/>
        </w:rPr>
      </w:pPr>
      <w:r>
        <w:rPr>
          <w:noProof/>
        </w:rPr>
        <w:t>Appendix A: Legal and regulatory framework</w:t>
      </w:r>
      <w:r>
        <w:rPr>
          <w:noProof/>
        </w:rPr>
        <w:tab/>
      </w:r>
      <w:r>
        <w:rPr>
          <w:noProof/>
        </w:rPr>
        <w:fldChar w:fldCharType="begin"/>
      </w:r>
      <w:r>
        <w:rPr>
          <w:noProof/>
        </w:rPr>
        <w:instrText xml:space="preserve"> PAGEREF _Toc463507967 \h </w:instrText>
      </w:r>
      <w:r>
        <w:rPr>
          <w:noProof/>
        </w:rPr>
      </w:r>
      <w:r>
        <w:rPr>
          <w:noProof/>
        </w:rPr>
        <w:fldChar w:fldCharType="separate"/>
      </w:r>
      <w:r w:rsidR="000D381E">
        <w:rPr>
          <w:noProof/>
        </w:rPr>
        <w:t>123</w:t>
      </w:r>
      <w:r>
        <w:rPr>
          <w:noProof/>
        </w:rPr>
        <w:fldChar w:fldCharType="end"/>
      </w:r>
    </w:p>
    <w:p w14:paraId="49B31F38" w14:textId="77777777" w:rsidR="00FF394D" w:rsidRDefault="00FF394D">
      <w:pPr>
        <w:pStyle w:val="TOC1"/>
        <w:rPr>
          <w:rFonts w:asciiTheme="minorHAnsi" w:eastAsiaTheme="minorEastAsia" w:hAnsiTheme="minorHAnsi" w:cstheme="minorBidi"/>
          <w:b w:val="0"/>
          <w:noProof/>
          <w:szCs w:val="22"/>
          <w:lang w:eastAsia="en-NZ"/>
        </w:rPr>
      </w:pPr>
      <w:r>
        <w:rPr>
          <w:noProof/>
        </w:rPr>
        <w:t>Appendix B: Section 11 committees</w:t>
      </w:r>
      <w:r>
        <w:rPr>
          <w:noProof/>
        </w:rPr>
        <w:tab/>
      </w:r>
      <w:r>
        <w:rPr>
          <w:noProof/>
        </w:rPr>
        <w:fldChar w:fldCharType="begin"/>
      </w:r>
      <w:r>
        <w:rPr>
          <w:noProof/>
        </w:rPr>
        <w:instrText xml:space="preserve"> PAGEREF _Toc463507968 \h </w:instrText>
      </w:r>
      <w:r>
        <w:rPr>
          <w:noProof/>
        </w:rPr>
      </w:r>
      <w:r>
        <w:rPr>
          <w:noProof/>
        </w:rPr>
        <w:fldChar w:fldCharType="separate"/>
      </w:r>
      <w:r w:rsidR="000D381E">
        <w:rPr>
          <w:noProof/>
        </w:rPr>
        <w:t>125</w:t>
      </w:r>
      <w:r>
        <w:rPr>
          <w:noProof/>
        </w:rPr>
        <w:fldChar w:fldCharType="end"/>
      </w:r>
    </w:p>
    <w:p w14:paraId="77C1921D" w14:textId="77777777" w:rsidR="00FF394D" w:rsidRDefault="00FF394D">
      <w:pPr>
        <w:pStyle w:val="TOC1"/>
        <w:rPr>
          <w:rFonts w:asciiTheme="minorHAnsi" w:eastAsiaTheme="minorEastAsia" w:hAnsiTheme="minorHAnsi" w:cstheme="minorBidi"/>
          <w:b w:val="0"/>
          <w:noProof/>
          <w:szCs w:val="22"/>
          <w:lang w:eastAsia="en-NZ"/>
        </w:rPr>
      </w:pPr>
      <w:r>
        <w:rPr>
          <w:noProof/>
        </w:rPr>
        <w:t>Appendix C: Organisational structure</w:t>
      </w:r>
      <w:r>
        <w:rPr>
          <w:noProof/>
        </w:rPr>
        <w:tab/>
      </w:r>
      <w:r>
        <w:rPr>
          <w:noProof/>
        </w:rPr>
        <w:fldChar w:fldCharType="begin"/>
      </w:r>
      <w:r>
        <w:rPr>
          <w:noProof/>
        </w:rPr>
        <w:instrText xml:space="preserve"> PAGEREF _Toc463507969 \h </w:instrText>
      </w:r>
      <w:r>
        <w:rPr>
          <w:noProof/>
        </w:rPr>
      </w:r>
      <w:r>
        <w:rPr>
          <w:noProof/>
        </w:rPr>
        <w:fldChar w:fldCharType="separate"/>
      </w:r>
      <w:r w:rsidR="000D381E">
        <w:rPr>
          <w:noProof/>
        </w:rPr>
        <w:t>128</w:t>
      </w:r>
      <w:r>
        <w:rPr>
          <w:noProof/>
        </w:rPr>
        <w:fldChar w:fldCharType="end"/>
      </w:r>
    </w:p>
    <w:p w14:paraId="580F5C84" w14:textId="77777777" w:rsidR="00FF394D" w:rsidRDefault="00FF394D">
      <w:pPr>
        <w:pStyle w:val="TOC1"/>
        <w:rPr>
          <w:rFonts w:asciiTheme="minorHAnsi" w:eastAsiaTheme="minorEastAsia" w:hAnsiTheme="minorHAnsi" w:cstheme="minorBidi"/>
          <w:b w:val="0"/>
          <w:noProof/>
          <w:szCs w:val="22"/>
          <w:lang w:eastAsia="en-NZ"/>
        </w:rPr>
      </w:pPr>
      <w:r>
        <w:rPr>
          <w:noProof/>
        </w:rPr>
        <w:t>Appendix D: Staff information</w:t>
      </w:r>
      <w:r>
        <w:rPr>
          <w:noProof/>
        </w:rPr>
        <w:tab/>
      </w:r>
      <w:r>
        <w:rPr>
          <w:noProof/>
        </w:rPr>
        <w:fldChar w:fldCharType="begin"/>
      </w:r>
      <w:r>
        <w:rPr>
          <w:noProof/>
        </w:rPr>
        <w:instrText xml:space="preserve"> PAGEREF _Toc463507970 \h </w:instrText>
      </w:r>
      <w:r>
        <w:rPr>
          <w:noProof/>
        </w:rPr>
      </w:r>
      <w:r>
        <w:rPr>
          <w:noProof/>
        </w:rPr>
        <w:fldChar w:fldCharType="separate"/>
      </w:r>
      <w:r w:rsidR="000D381E">
        <w:rPr>
          <w:noProof/>
        </w:rPr>
        <w:t>130</w:t>
      </w:r>
      <w:r>
        <w:rPr>
          <w:noProof/>
        </w:rPr>
        <w:fldChar w:fldCharType="end"/>
      </w:r>
    </w:p>
    <w:p w14:paraId="605D2910" w14:textId="77777777" w:rsidR="00FF394D" w:rsidRDefault="00FF394D">
      <w:pPr>
        <w:pStyle w:val="TOC1"/>
        <w:rPr>
          <w:rFonts w:asciiTheme="minorHAnsi" w:eastAsiaTheme="minorEastAsia" w:hAnsiTheme="minorHAnsi" w:cstheme="minorBidi"/>
          <w:b w:val="0"/>
          <w:noProof/>
          <w:szCs w:val="22"/>
          <w:lang w:eastAsia="en-NZ"/>
        </w:rPr>
      </w:pPr>
      <w:r>
        <w:rPr>
          <w:noProof/>
        </w:rPr>
        <w:t>Appendix E: Staff location</w:t>
      </w:r>
      <w:r>
        <w:rPr>
          <w:noProof/>
        </w:rPr>
        <w:tab/>
      </w:r>
      <w:r>
        <w:rPr>
          <w:noProof/>
        </w:rPr>
        <w:fldChar w:fldCharType="begin"/>
      </w:r>
      <w:r>
        <w:rPr>
          <w:noProof/>
        </w:rPr>
        <w:instrText xml:space="preserve"> PAGEREF _Toc463507971 \h </w:instrText>
      </w:r>
      <w:r>
        <w:rPr>
          <w:noProof/>
        </w:rPr>
      </w:r>
      <w:r>
        <w:rPr>
          <w:noProof/>
        </w:rPr>
        <w:fldChar w:fldCharType="separate"/>
      </w:r>
      <w:r w:rsidR="000D381E">
        <w:rPr>
          <w:noProof/>
        </w:rPr>
        <w:t>135</w:t>
      </w:r>
      <w:r>
        <w:rPr>
          <w:noProof/>
        </w:rPr>
        <w:fldChar w:fldCharType="end"/>
      </w:r>
    </w:p>
    <w:p w14:paraId="5EC0614F" w14:textId="77777777" w:rsidR="00C86248" w:rsidRPr="00BC0D1F" w:rsidRDefault="00C86248">
      <w:r w:rsidRPr="00BC0D1F">
        <w:rPr>
          <w:b/>
        </w:rPr>
        <w:fldChar w:fldCharType="end"/>
      </w:r>
    </w:p>
    <w:p w14:paraId="6921D5F5" w14:textId="4B7E3E16" w:rsidR="00C86248" w:rsidRPr="00BC0D1F" w:rsidRDefault="00C86248" w:rsidP="003B1D10">
      <w:pPr>
        <w:pStyle w:val="TOC1"/>
        <w:keepNext/>
      </w:pPr>
      <w:r w:rsidRPr="00BC0D1F">
        <w:lastRenderedPageBreak/>
        <w:t xml:space="preserve">List of </w:t>
      </w:r>
      <w:r w:rsidR="00C02369">
        <w:t>t</w:t>
      </w:r>
      <w:r w:rsidRPr="00BC0D1F">
        <w:t>ables</w:t>
      </w:r>
    </w:p>
    <w:p w14:paraId="118462CC" w14:textId="77777777" w:rsidR="00191DB8" w:rsidRDefault="00C86248">
      <w:pPr>
        <w:pStyle w:val="TOC3"/>
        <w:rPr>
          <w:rFonts w:asciiTheme="minorHAnsi" w:eastAsiaTheme="minorEastAsia" w:hAnsiTheme="minorHAnsi" w:cstheme="minorBidi"/>
          <w:noProof/>
          <w:szCs w:val="22"/>
          <w:lang w:eastAsia="en-NZ"/>
        </w:rPr>
      </w:pPr>
      <w:r w:rsidRPr="00BC0D1F">
        <w:rPr>
          <w:sz w:val="20"/>
        </w:rPr>
        <w:fldChar w:fldCharType="begin"/>
      </w:r>
      <w:r w:rsidRPr="00BC0D1F">
        <w:instrText xml:space="preserve"> TOC \t "Table,3" </w:instrText>
      </w:r>
      <w:r w:rsidRPr="00BC0D1F">
        <w:rPr>
          <w:sz w:val="20"/>
        </w:rPr>
        <w:fldChar w:fldCharType="separate"/>
      </w:r>
      <w:r w:rsidR="00191DB8">
        <w:rPr>
          <w:noProof/>
        </w:rPr>
        <w:t>Table 1: Six health targets for 2015/16</w:t>
      </w:r>
      <w:r w:rsidR="00191DB8">
        <w:rPr>
          <w:noProof/>
        </w:rPr>
        <w:tab/>
      </w:r>
      <w:r w:rsidR="00191DB8">
        <w:rPr>
          <w:noProof/>
        </w:rPr>
        <w:fldChar w:fldCharType="begin"/>
      </w:r>
      <w:r w:rsidR="00191DB8">
        <w:rPr>
          <w:noProof/>
        </w:rPr>
        <w:instrText xml:space="preserve"> PAGEREF _Toc462926706 \h </w:instrText>
      </w:r>
      <w:r w:rsidR="00191DB8">
        <w:rPr>
          <w:noProof/>
        </w:rPr>
      </w:r>
      <w:r w:rsidR="00191DB8">
        <w:rPr>
          <w:noProof/>
        </w:rPr>
        <w:fldChar w:fldCharType="separate"/>
      </w:r>
      <w:r w:rsidR="000D381E">
        <w:rPr>
          <w:noProof/>
        </w:rPr>
        <w:t>12</w:t>
      </w:r>
      <w:r w:rsidR="00191DB8">
        <w:rPr>
          <w:noProof/>
        </w:rPr>
        <w:fldChar w:fldCharType="end"/>
      </w:r>
    </w:p>
    <w:p w14:paraId="1ECEDFBD" w14:textId="77777777" w:rsidR="00191DB8" w:rsidRDefault="00191DB8">
      <w:pPr>
        <w:pStyle w:val="TOC3"/>
        <w:rPr>
          <w:rFonts w:asciiTheme="minorHAnsi" w:eastAsiaTheme="minorEastAsia" w:hAnsiTheme="minorHAnsi" w:cstheme="minorBidi"/>
          <w:noProof/>
          <w:szCs w:val="22"/>
          <w:lang w:eastAsia="en-NZ"/>
        </w:rPr>
      </w:pPr>
      <w:r>
        <w:rPr>
          <w:noProof/>
        </w:rPr>
        <w:t>Table 2: Health target results for DHBs, by quarters for 2015/16</w:t>
      </w:r>
      <w:r>
        <w:rPr>
          <w:noProof/>
        </w:rPr>
        <w:tab/>
      </w:r>
      <w:r>
        <w:rPr>
          <w:noProof/>
        </w:rPr>
        <w:fldChar w:fldCharType="begin"/>
      </w:r>
      <w:r>
        <w:rPr>
          <w:noProof/>
        </w:rPr>
        <w:instrText xml:space="preserve"> PAGEREF _Toc462926707 \h </w:instrText>
      </w:r>
      <w:r>
        <w:rPr>
          <w:noProof/>
        </w:rPr>
      </w:r>
      <w:r>
        <w:rPr>
          <w:noProof/>
        </w:rPr>
        <w:fldChar w:fldCharType="separate"/>
      </w:r>
      <w:r w:rsidR="000D381E">
        <w:rPr>
          <w:noProof/>
        </w:rPr>
        <w:t>13</w:t>
      </w:r>
      <w:r>
        <w:rPr>
          <w:noProof/>
        </w:rPr>
        <w:fldChar w:fldCharType="end"/>
      </w:r>
    </w:p>
    <w:p w14:paraId="016A0EE9" w14:textId="77777777" w:rsidR="00191DB8" w:rsidRDefault="00191DB8">
      <w:pPr>
        <w:pStyle w:val="TOC3"/>
        <w:rPr>
          <w:rFonts w:asciiTheme="minorHAnsi" w:eastAsiaTheme="minorEastAsia" w:hAnsiTheme="minorHAnsi" w:cstheme="minorBidi"/>
          <w:noProof/>
          <w:szCs w:val="22"/>
          <w:lang w:eastAsia="en-NZ"/>
        </w:rPr>
      </w:pPr>
      <w:r>
        <w:rPr>
          <w:noProof/>
        </w:rPr>
        <w:t>Table 3: Selected New Zealand Health Survey indicators: unadjusted prevalence (%)</w:t>
      </w:r>
      <w:r>
        <w:rPr>
          <w:noProof/>
        </w:rPr>
        <w:tab/>
      </w:r>
      <w:r>
        <w:rPr>
          <w:noProof/>
        </w:rPr>
        <w:fldChar w:fldCharType="begin"/>
      </w:r>
      <w:r>
        <w:rPr>
          <w:noProof/>
        </w:rPr>
        <w:instrText xml:space="preserve"> PAGEREF _Toc462926708 \h </w:instrText>
      </w:r>
      <w:r>
        <w:rPr>
          <w:noProof/>
        </w:rPr>
      </w:r>
      <w:r>
        <w:rPr>
          <w:noProof/>
        </w:rPr>
        <w:fldChar w:fldCharType="separate"/>
      </w:r>
      <w:r w:rsidR="000D381E">
        <w:rPr>
          <w:noProof/>
        </w:rPr>
        <w:t>43</w:t>
      </w:r>
      <w:r>
        <w:rPr>
          <w:noProof/>
        </w:rPr>
        <w:fldChar w:fldCharType="end"/>
      </w:r>
    </w:p>
    <w:p w14:paraId="5CCAAB6D" w14:textId="77777777" w:rsidR="00191DB8" w:rsidRDefault="00191DB8">
      <w:pPr>
        <w:pStyle w:val="TOC3"/>
        <w:rPr>
          <w:rFonts w:asciiTheme="minorHAnsi" w:eastAsiaTheme="minorEastAsia" w:hAnsiTheme="minorHAnsi" w:cstheme="minorBidi"/>
          <w:noProof/>
          <w:szCs w:val="22"/>
          <w:lang w:eastAsia="en-NZ"/>
        </w:rPr>
      </w:pPr>
      <w:r>
        <w:rPr>
          <w:noProof/>
        </w:rPr>
        <w:t>Table 4: Summary of service performance measures, by departmental expense appropriation</w:t>
      </w:r>
      <w:r>
        <w:rPr>
          <w:noProof/>
        </w:rPr>
        <w:tab/>
      </w:r>
      <w:r>
        <w:rPr>
          <w:noProof/>
        </w:rPr>
        <w:fldChar w:fldCharType="begin"/>
      </w:r>
      <w:r>
        <w:rPr>
          <w:noProof/>
        </w:rPr>
        <w:instrText xml:space="preserve"> PAGEREF _Toc462926709 \h </w:instrText>
      </w:r>
      <w:r>
        <w:rPr>
          <w:noProof/>
        </w:rPr>
      </w:r>
      <w:r>
        <w:rPr>
          <w:noProof/>
        </w:rPr>
        <w:fldChar w:fldCharType="separate"/>
      </w:r>
      <w:r w:rsidR="000D381E">
        <w:rPr>
          <w:noProof/>
        </w:rPr>
        <w:t>53</w:t>
      </w:r>
      <w:r>
        <w:rPr>
          <w:noProof/>
        </w:rPr>
        <w:fldChar w:fldCharType="end"/>
      </w:r>
    </w:p>
    <w:p w14:paraId="661F69EF" w14:textId="77777777" w:rsidR="00191DB8" w:rsidRDefault="00191DB8">
      <w:pPr>
        <w:pStyle w:val="TOC3"/>
        <w:rPr>
          <w:rFonts w:asciiTheme="minorHAnsi" w:eastAsiaTheme="minorEastAsia" w:hAnsiTheme="minorHAnsi" w:cstheme="minorBidi"/>
          <w:noProof/>
          <w:szCs w:val="22"/>
          <w:lang w:eastAsia="en-NZ"/>
        </w:rPr>
      </w:pPr>
      <w:r>
        <w:rPr>
          <w:noProof/>
        </w:rPr>
        <w:t>Table 5: Summary of output performance measures and standards for health sector information systems</w:t>
      </w:r>
      <w:r>
        <w:rPr>
          <w:noProof/>
        </w:rPr>
        <w:tab/>
      </w:r>
      <w:r>
        <w:rPr>
          <w:noProof/>
        </w:rPr>
        <w:fldChar w:fldCharType="begin"/>
      </w:r>
      <w:r>
        <w:rPr>
          <w:noProof/>
        </w:rPr>
        <w:instrText xml:space="preserve"> PAGEREF _Toc462926710 \h </w:instrText>
      </w:r>
      <w:r>
        <w:rPr>
          <w:noProof/>
        </w:rPr>
      </w:r>
      <w:r>
        <w:rPr>
          <w:noProof/>
        </w:rPr>
        <w:fldChar w:fldCharType="separate"/>
      </w:r>
      <w:r w:rsidR="000D381E">
        <w:rPr>
          <w:noProof/>
        </w:rPr>
        <w:t>54</w:t>
      </w:r>
      <w:r>
        <w:rPr>
          <w:noProof/>
        </w:rPr>
        <w:fldChar w:fldCharType="end"/>
      </w:r>
    </w:p>
    <w:p w14:paraId="5E2FEC5C" w14:textId="77777777" w:rsidR="00191DB8" w:rsidRDefault="00191DB8">
      <w:pPr>
        <w:pStyle w:val="TOC3"/>
        <w:rPr>
          <w:rFonts w:asciiTheme="minorHAnsi" w:eastAsiaTheme="minorEastAsia" w:hAnsiTheme="minorHAnsi" w:cstheme="minorBidi"/>
          <w:noProof/>
          <w:szCs w:val="22"/>
          <w:lang w:eastAsia="en-NZ"/>
        </w:rPr>
      </w:pPr>
      <w:r>
        <w:rPr>
          <w:noProof/>
        </w:rPr>
        <w:t>Table 6: Financial performance for health sector information systems</w:t>
      </w:r>
      <w:r>
        <w:rPr>
          <w:noProof/>
        </w:rPr>
        <w:tab/>
      </w:r>
      <w:r>
        <w:rPr>
          <w:noProof/>
        </w:rPr>
        <w:fldChar w:fldCharType="begin"/>
      </w:r>
      <w:r>
        <w:rPr>
          <w:noProof/>
        </w:rPr>
        <w:instrText xml:space="preserve"> PAGEREF _Toc462926711 \h </w:instrText>
      </w:r>
      <w:r>
        <w:rPr>
          <w:noProof/>
        </w:rPr>
      </w:r>
      <w:r>
        <w:rPr>
          <w:noProof/>
        </w:rPr>
        <w:fldChar w:fldCharType="separate"/>
      </w:r>
      <w:r w:rsidR="000D381E">
        <w:rPr>
          <w:noProof/>
        </w:rPr>
        <w:t>55</w:t>
      </w:r>
      <w:r>
        <w:rPr>
          <w:noProof/>
        </w:rPr>
        <w:fldChar w:fldCharType="end"/>
      </w:r>
    </w:p>
    <w:p w14:paraId="6F8B6CE5" w14:textId="77777777" w:rsidR="00191DB8" w:rsidRDefault="00191DB8">
      <w:pPr>
        <w:pStyle w:val="TOC3"/>
        <w:rPr>
          <w:rFonts w:asciiTheme="minorHAnsi" w:eastAsiaTheme="minorEastAsia" w:hAnsiTheme="minorHAnsi" w:cstheme="minorBidi"/>
          <w:noProof/>
          <w:szCs w:val="22"/>
          <w:lang w:eastAsia="en-NZ"/>
        </w:rPr>
      </w:pPr>
      <w:r>
        <w:rPr>
          <w:noProof/>
        </w:rPr>
        <w:t>Table 7: Summary of output performance measures and standards for managing the purchase of services</w:t>
      </w:r>
      <w:r>
        <w:rPr>
          <w:noProof/>
        </w:rPr>
        <w:tab/>
      </w:r>
      <w:r>
        <w:rPr>
          <w:noProof/>
        </w:rPr>
        <w:fldChar w:fldCharType="begin"/>
      </w:r>
      <w:r>
        <w:rPr>
          <w:noProof/>
        </w:rPr>
        <w:instrText xml:space="preserve"> PAGEREF _Toc462926712 \h </w:instrText>
      </w:r>
      <w:r>
        <w:rPr>
          <w:noProof/>
        </w:rPr>
      </w:r>
      <w:r>
        <w:rPr>
          <w:noProof/>
        </w:rPr>
        <w:fldChar w:fldCharType="separate"/>
      </w:r>
      <w:r w:rsidR="000D381E">
        <w:rPr>
          <w:noProof/>
        </w:rPr>
        <w:t>56</w:t>
      </w:r>
      <w:r>
        <w:rPr>
          <w:noProof/>
        </w:rPr>
        <w:fldChar w:fldCharType="end"/>
      </w:r>
    </w:p>
    <w:p w14:paraId="52DD8779" w14:textId="77777777" w:rsidR="00191DB8" w:rsidRDefault="00191DB8">
      <w:pPr>
        <w:pStyle w:val="TOC3"/>
        <w:rPr>
          <w:rFonts w:asciiTheme="minorHAnsi" w:eastAsiaTheme="minorEastAsia" w:hAnsiTheme="minorHAnsi" w:cstheme="minorBidi"/>
          <w:noProof/>
          <w:szCs w:val="22"/>
          <w:lang w:eastAsia="en-NZ"/>
        </w:rPr>
      </w:pPr>
      <w:r>
        <w:rPr>
          <w:noProof/>
        </w:rPr>
        <w:t>Table 8: Financial performance for managing the purchase of services</w:t>
      </w:r>
      <w:r>
        <w:rPr>
          <w:noProof/>
        </w:rPr>
        <w:tab/>
      </w:r>
      <w:r>
        <w:rPr>
          <w:noProof/>
        </w:rPr>
        <w:fldChar w:fldCharType="begin"/>
      </w:r>
      <w:r>
        <w:rPr>
          <w:noProof/>
        </w:rPr>
        <w:instrText xml:space="preserve"> PAGEREF _Toc462926713 \h </w:instrText>
      </w:r>
      <w:r>
        <w:rPr>
          <w:noProof/>
        </w:rPr>
      </w:r>
      <w:r>
        <w:rPr>
          <w:noProof/>
        </w:rPr>
        <w:fldChar w:fldCharType="separate"/>
      </w:r>
      <w:r w:rsidR="000D381E">
        <w:rPr>
          <w:noProof/>
        </w:rPr>
        <w:t>58</w:t>
      </w:r>
      <w:r>
        <w:rPr>
          <w:noProof/>
        </w:rPr>
        <w:fldChar w:fldCharType="end"/>
      </w:r>
    </w:p>
    <w:p w14:paraId="17A31795" w14:textId="77777777" w:rsidR="00191DB8" w:rsidRDefault="00191DB8">
      <w:pPr>
        <w:pStyle w:val="TOC3"/>
        <w:rPr>
          <w:rFonts w:asciiTheme="minorHAnsi" w:eastAsiaTheme="minorEastAsia" w:hAnsiTheme="minorHAnsi" w:cstheme="minorBidi"/>
          <w:noProof/>
          <w:szCs w:val="22"/>
          <w:lang w:eastAsia="en-NZ"/>
        </w:rPr>
      </w:pPr>
      <w:r>
        <w:rPr>
          <w:noProof/>
        </w:rPr>
        <w:t>Table 9: Summary of output performance measures and standards for payment services</w:t>
      </w:r>
      <w:r>
        <w:rPr>
          <w:noProof/>
        </w:rPr>
        <w:tab/>
      </w:r>
      <w:r>
        <w:rPr>
          <w:noProof/>
        </w:rPr>
        <w:fldChar w:fldCharType="begin"/>
      </w:r>
      <w:r>
        <w:rPr>
          <w:noProof/>
        </w:rPr>
        <w:instrText xml:space="preserve"> PAGEREF _Toc462926714 \h </w:instrText>
      </w:r>
      <w:r>
        <w:rPr>
          <w:noProof/>
        </w:rPr>
      </w:r>
      <w:r>
        <w:rPr>
          <w:noProof/>
        </w:rPr>
        <w:fldChar w:fldCharType="separate"/>
      </w:r>
      <w:r w:rsidR="000D381E">
        <w:rPr>
          <w:noProof/>
        </w:rPr>
        <w:t>59</w:t>
      </w:r>
      <w:r>
        <w:rPr>
          <w:noProof/>
        </w:rPr>
        <w:fldChar w:fldCharType="end"/>
      </w:r>
    </w:p>
    <w:p w14:paraId="66CC74CF" w14:textId="77777777" w:rsidR="00191DB8" w:rsidRDefault="00191DB8">
      <w:pPr>
        <w:pStyle w:val="TOC3"/>
        <w:rPr>
          <w:rFonts w:asciiTheme="minorHAnsi" w:eastAsiaTheme="minorEastAsia" w:hAnsiTheme="minorHAnsi" w:cstheme="minorBidi"/>
          <w:noProof/>
          <w:szCs w:val="22"/>
          <w:lang w:eastAsia="en-NZ"/>
        </w:rPr>
      </w:pPr>
      <w:r>
        <w:rPr>
          <w:noProof/>
        </w:rPr>
        <w:t>Table 10: Financial performance for payment services</w:t>
      </w:r>
      <w:r>
        <w:rPr>
          <w:noProof/>
        </w:rPr>
        <w:tab/>
      </w:r>
      <w:r>
        <w:rPr>
          <w:noProof/>
        </w:rPr>
        <w:fldChar w:fldCharType="begin"/>
      </w:r>
      <w:r>
        <w:rPr>
          <w:noProof/>
        </w:rPr>
        <w:instrText xml:space="preserve"> PAGEREF _Toc462926715 \h </w:instrText>
      </w:r>
      <w:r>
        <w:rPr>
          <w:noProof/>
        </w:rPr>
      </w:r>
      <w:r>
        <w:rPr>
          <w:noProof/>
        </w:rPr>
        <w:fldChar w:fldCharType="separate"/>
      </w:r>
      <w:r w:rsidR="000D381E">
        <w:rPr>
          <w:noProof/>
        </w:rPr>
        <w:t>61</w:t>
      </w:r>
      <w:r>
        <w:rPr>
          <w:noProof/>
        </w:rPr>
        <w:fldChar w:fldCharType="end"/>
      </w:r>
    </w:p>
    <w:p w14:paraId="4CAA268E" w14:textId="77777777" w:rsidR="00191DB8" w:rsidRDefault="00191DB8">
      <w:pPr>
        <w:pStyle w:val="TOC3"/>
        <w:rPr>
          <w:rFonts w:asciiTheme="minorHAnsi" w:eastAsiaTheme="minorEastAsia" w:hAnsiTheme="minorHAnsi" w:cstheme="minorBidi"/>
          <w:noProof/>
          <w:szCs w:val="22"/>
          <w:lang w:eastAsia="en-NZ"/>
        </w:rPr>
      </w:pPr>
      <w:r>
        <w:rPr>
          <w:noProof/>
        </w:rPr>
        <w:t>Table 11: Summary of output performance measures and standards for regulatory and enforcement services</w:t>
      </w:r>
      <w:r>
        <w:rPr>
          <w:noProof/>
        </w:rPr>
        <w:tab/>
      </w:r>
      <w:r>
        <w:rPr>
          <w:noProof/>
        </w:rPr>
        <w:fldChar w:fldCharType="begin"/>
      </w:r>
      <w:r>
        <w:rPr>
          <w:noProof/>
        </w:rPr>
        <w:instrText xml:space="preserve"> PAGEREF _Toc462926716 \h </w:instrText>
      </w:r>
      <w:r>
        <w:rPr>
          <w:noProof/>
        </w:rPr>
      </w:r>
      <w:r>
        <w:rPr>
          <w:noProof/>
        </w:rPr>
        <w:fldChar w:fldCharType="separate"/>
      </w:r>
      <w:r w:rsidR="000D381E">
        <w:rPr>
          <w:noProof/>
        </w:rPr>
        <w:t>62</w:t>
      </w:r>
      <w:r>
        <w:rPr>
          <w:noProof/>
        </w:rPr>
        <w:fldChar w:fldCharType="end"/>
      </w:r>
    </w:p>
    <w:p w14:paraId="3695EB01" w14:textId="77777777" w:rsidR="00191DB8" w:rsidRDefault="00191DB8">
      <w:pPr>
        <w:pStyle w:val="TOC3"/>
        <w:rPr>
          <w:rFonts w:asciiTheme="minorHAnsi" w:eastAsiaTheme="minorEastAsia" w:hAnsiTheme="minorHAnsi" w:cstheme="minorBidi"/>
          <w:noProof/>
          <w:szCs w:val="22"/>
          <w:lang w:eastAsia="en-NZ"/>
        </w:rPr>
      </w:pPr>
      <w:r>
        <w:rPr>
          <w:noProof/>
        </w:rPr>
        <w:t>Table 12: Financial performance for regulatory and enforcement services</w:t>
      </w:r>
      <w:r>
        <w:rPr>
          <w:noProof/>
        </w:rPr>
        <w:tab/>
      </w:r>
      <w:r>
        <w:rPr>
          <w:noProof/>
        </w:rPr>
        <w:fldChar w:fldCharType="begin"/>
      </w:r>
      <w:r>
        <w:rPr>
          <w:noProof/>
        </w:rPr>
        <w:instrText xml:space="preserve"> PAGEREF _Toc462926717 \h </w:instrText>
      </w:r>
      <w:r>
        <w:rPr>
          <w:noProof/>
        </w:rPr>
      </w:r>
      <w:r>
        <w:rPr>
          <w:noProof/>
        </w:rPr>
        <w:fldChar w:fldCharType="separate"/>
      </w:r>
      <w:r w:rsidR="000D381E">
        <w:rPr>
          <w:noProof/>
        </w:rPr>
        <w:t>65</w:t>
      </w:r>
      <w:r>
        <w:rPr>
          <w:noProof/>
        </w:rPr>
        <w:fldChar w:fldCharType="end"/>
      </w:r>
    </w:p>
    <w:p w14:paraId="306561E7" w14:textId="77777777" w:rsidR="00191DB8" w:rsidRDefault="00191DB8">
      <w:pPr>
        <w:pStyle w:val="TOC3"/>
        <w:rPr>
          <w:rFonts w:asciiTheme="minorHAnsi" w:eastAsiaTheme="minorEastAsia" w:hAnsiTheme="minorHAnsi" w:cstheme="minorBidi"/>
          <w:noProof/>
          <w:szCs w:val="22"/>
          <w:lang w:eastAsia="en-NZ"/>
        </w:rPr>
      </w:pPr>
      <w:r>
        <w:rPr>
          <w:noProof/>
        </w:rPr>
        <w:t>Table 13: Summary of output performance measures and standards for sector planning and performance</w:t>
      </w:r>
      <w:r>
        <w:rPr>
          <w:noProof/>
        </w:rPr>
        <w:tab/>
      </w:r>
      <w:r>
        <w:rPr>
          <w:noProof/>
        </w:rPr>
        <w:fldChar w:fldCharType="begin"/>
      </w:r>
      <w:r>
        <w:rPr>
          <w:noProof/>
        </w:rPr>
        <w:instrText xml:space="preserve"> PAGEREF _Toc462926718 \h </w:instrText>
      </w:r>
      <w:r>
        <w:rPr>
          <w:noProof/>
        </w:rPr>
      </w:r>
      <w:r>
        <w:rPr>
          <w:noProof/>
        </w:rPr>
        <w:fldChar w:fldCharType="separate"/>
      </w:r>
      <w:r w:rsidR="000D381E">
        <w:rPr>
          <w:noProof/>
        </w:rPr>
        <w:t>66</w:t>
      </w:r>
      <w:r>
        <w:rPr>
          <w:noProof/>
        </w:rPr>
        <w:fldChar w:fldCharType="end"/>
      </w:r>
    </w:p>
    <w:p w14:paraId="3C699AE8" w14:textId="77777777" w:rsidR="00191DB8" w:rsidRDefault="00191DB8">
      <w:pPr>
        <w:pStyle w:val="TOC3"/>
        <w:rPr>
          <w:rFonts w:asciiTheme="minorHAnsi" w:eastAsiaTheme="minorEastAsia" w:hAnsiTheme="minorHAnsi" w:cstheme="minorBidi"/>
          <w:noProof/>
          <w:szCs w:val="22"/>
          <w:lang w:eastAsia="en-NZ"/>
        </w:rPr>
      </w:pPr>
      <w:r>
        <w:rPr>
          <w:noProof/>
        </w:rPr>
        <w:t>Table 14: Financial performance for sector planning and performance</w:t>
      </w:r>
      <w:r>
        <w:rPr>
          <w:noProof/>
        </w:rPr>
        <w:tab/>
      </w:r>
      <w:r>
        <w:rPr>
          <w:noProof/>
        </w:rPr>
        <w:fldChar w:fldCharType="begin"/>
      </w:r>
      <w:r>
        <w:rPr>
          <w:noProof/>
        </w:rPr>
        <w:instrText xml:space="preserve"> PAGEREF _Toc462926719 \h </w:instrText>
      </w:r>
      <w:r>
        <w:rPr>
          <w:noProof/>
        </w:rPr>
      </w:r>
      <w:r>
        <w:rPr>
          <w:noProof/>
        </w:rPr>
        <w:fldChar w:fldCharType="separate"/>
      </w:r>
      <w:r w:rsidR="000D381E">
        <w:rPr>
          <w:noProof/>
        </w:rPr>
        <w:t>69</w:t>
      </w:r>
      <w:r>
        <w:rPr>
          <w:noProof/>
        </w:rPr>
        <w:fldChar w:fldCharType="end"/>
      </w:r>
    </w:p>
    <w:p w14:paraId="3A6894C4" w14:textId="77777777" w:rsidR="00191DB8" w:rsidRDefault="00191DB8">
      <w:pPr>
        <w:pStyle w:val="TOC3"/>
        <w:rPr>
          <w:rFonts w:asciiTheme="minorHAnsi" w:eastAsiaTheme="minorEastAsia" w:hAnsiTheme="minorHAnsi" w:cstheme="minorBidi"/>
          <w:noProof/>
          <w:szCs w:val="22"/>
          <w:lang w:eastAsia="en-NZ"/>
        </w:rPr>
      </w:pPr>
      <w:r>
        <w:rPr>
          <w:noProof/>
        </w:rPr>
        <w:t>Table 15: Summary of output performance measures and standards for policy advice</w:t>
      </w:r>
      <w:r>
        <w:rPr>
          <w:noProof/>
        </w:rPr>
        <w:tab/>
      </w:r>
      <w:r>
        <w:rPr>
          <w:noProof/>
        </w:rPr>
        <w:fldChar w:fldCharType="begin"/>
      </w:r>
      <w:r>
        <w:rPr>
          <w:noProof/>
        </w:rPr>
        <w:instrText xml:space="preserve"> PAGEREF _Toc462926720 \h </w:instrText>
      </w:r>
      <w:r>
        <w:rPr>
          <w:noProof/>
        </w:rPr>
      </w:r>
      <w:r>
        <w:rPr>
          <w:noProof/>
        </w:rPr>
        <w:fldChar w:fldCharType="separate"/>
      </w:r>
      <w:r w:rsidR="000D381E">
        <w:rPr>
          <w:noProof/>
        </w:rPr>
        <w:t>70</w:t>
      </w:r>
      <w:r>
        <w:rPr>
          <w:noProof/>
        </w:rPr>
        <w:fldChar w:fldCharType="end"/>
      </w:r>
    </w:p>
    <w:p w14:paraId="591FFEEA" w14:textId="77777777" w:rsidR="00191DB8" w:rsidRDefault="00191DB8">
      <w:pPr>
        <w:pStyle w:val="TOC3"/>
        <w:rPr>
          <w:rFonts w:asciiTheme="minorHAnsi" w:eastAsiaTheme="minorEastAsia" w:hAnsiTheme="minorHAnsi" w:cstheme="minorBidi"/>
          <w:noProof/>
          <w:szCs w:val="22"/>
          <w:lang w:eastAsia="en-NZ"/>
        </w:rPr>
      </w:pPr>
      <w:r>
        <w:rPr>
          <w:noProof/>
        </w:rPr>
        <w:t>Table 16: Financial performance for policy advice</w:t>
      </w:r>
      <w:r>
        <w:rPr>
          <w:noProof/>
        </w:rPr>
        <w:tab/>
      </w:r>
      <w:r>
        <w:rPr>
          <w:noProof/>
        </w:rPr>
        <w:fldChar w:fldCharType="begin"/>
      </w:r>
      <w:r>
        <w:rPr>
          <w:noProof/>
        </w:rPr>
        <w:instrText xml:space="preserve"> PAGEREF _Toc462926721 \h </w:instrText>
      </w:r>
      <w:r>
        <w:rPr>
          <w:noProof/>
        </w:rPr>
      </w:r>
      <w:r>
        <w:rPr>
          <w:noProof/>
        </w:rPr>
        <w:fldChar w:fldCharType="separate"/>
      </w:r>
      <w:r w:rsidR="000D381E">
        <w:rPr>
          <w:noProof/>
        </w:rPr>
        <w:t>71</w:t>
      </w:r>
      <w:r>
        <w:rPr>
          <w:noProof/>
        </w:rPr>
        <w:fldChar w:fldCharType="end"/>
      </w:r>
    </w:p>
    <w:p w14:paraId="3B833D6F" w14:textId="77777777" w:rsidR="00191DB8" w:rsidRDefault="00191DB8">
      <w:pPr>
        <w:pStyle w:val="TOC3"/>
        <w:rPr>
          <w:rFonts w:asciiTheme="minorHAnsi" w:eastAsiaTheme="minorEastAsia" w:hAnsiTheme="minorHAnsi" w:cstheme="minorBidi"/>
          <w:noProof/>
          <w:szCs w:val="22"/>
          <w:lang w:eastAsia="en-NZ"/>
        </w:rPr>
      </w:pPr>
      <w:r>
        <w:rPr>
          <w:noProof/>
        </w:rPr>
        <w:t>Table 17: People capability measures</w:t>
      </w:r>
      <w:r>
        <w:rPr>
          <w:noProof/>
        </w:rPr>
        <w:tab/>
      </w:r>
      <w:r>
        <w:rPr>
          <w:noProof/>
        </w:rPr>
        <w:fldChar w:fldCharType="begin"/>
      </w:r>
      <w:r>
        <w:rPr>
          <w:noProof/>
        </w:rPr>
        <w:instrText xml:space="preserve"> PAGEREF _Toc462926722 \h </w:instrText>
      </w:r>
      <w:r>
        <w:rPr>
          <w:noProof/>
        </w:rPr>
      </w:r>
      <w:r>
        <w:rPr>
          <w:noProof/>
        </w:rPr>
        <w:fldChar w:fldCharType="separate"/>
      </w:r>
      <w:r w:rsidR="000D381E">
        <w:rPr>
          <w:noProof/>
        </w:rPr>
        <w:t>116</w:t>
      </w:r>
      <w:r>
        <w:rPr>
          <w:noProof/>
        </w:rPr>
        <w:fldChar w:fldCharType="end"/>
      </w:r>
    </w:p>
    <w:p w14:paraId="2FA4FF09" w14:textId="77777777" w:rsidR="00C86248" w:rsidRPr="00BC0D1F" w:rsidRDefault="00C86248" w:rsidP="0030382F">
      <w:r w:rsidRPr="00BC0D1F">
        <w:fldChar w:fldCharType="end"/>
      </w:r>
    </w:p>
    <w:p w14:paraId="67D8CD57" w14:textId="1216746C" w:rsidR="003A5FEA" w:rsidRPr="00BC0D1F" w:rsidRDefault="003A5FEA" w:rsidP="00C94034">
      <w:pPr>
        <w:pStyle w:val="TOC1"/>
        <w:spacing w:before="120"/>
      </w:pPr>
      <w:r w:rsidRPr="00BC0D1F">
        <w:t xml:space="preserve">List of </w:t>
      </w:r>
      <w:r w:rsidR="00C02369">
        <w:t>f</w:t>
      </w:r>
      <w:r w:rsidRPr="00BC0D1F">
        <w:t>igures</w:t>
      </w:r>
    </w:p>
    <w:p w14:paraId="0C53FF00" w14:textId="77777777" w:rsidR="00191DB8" w:rsidRDefault="003A5FEA">
      <w:pPr>
        <w:pStyle w:val="TOC3"/>
        <w:rPr>
          <w:rFonts w:asciiTheme="minorHAnsi" w:eastAsiaTheme="minorEastAsia" w:hAnsiTheme="minorHAnsi" w:cstheme="minorBidi"/>
          <w:noProof/>
          <w:szCs w:val="22"/>
          <w:lang w:eastAsia="en-NZ"/>
        </w:rPr>
      </w:pPr>
      <w:r w:rsidRPr="00BC0D1F">
        <w:fldChar w:fldCharType="begin"/>
      </w:r>
      <w:r w:rsidRPr="00BC0D1F">
        <w:instrText xml:space="preserve"> TOC \t "Figure,3" </w:instrText>
      </w:r>
      <w:r w:rsidRPr="00BC0D1F">
        <w:fldChar w:fldCharType="separate"/>
      </w:r>
      <w:r w:rsidR="00191DB8">
        <w:rPr>
          <w:noProof/>
        </w:rPr>
        <w:t>Figure 1: Percentage of patients admitted, discharged or transferred from an emergency department within six hours, 2009/10–2015/16</w:t>
      </w:r>
      <w:r w:rsidR="00191DB8">
        <w:rPr>
          <w:noProof/>
        </w:rPr>
        <w:tab/>
      </w:r>
      <w:r w:rsidR="00191DB8">
        <w:rPr>
          <w:noProof/>
        </w:rPr>
        <w:fldChar w:fldCharType="begin"/>
      </w:r>
      <w:r w:rsidR="00191DB8">
        <w:rPr>
          <w:noProof/>
        </w:rPr>
        <w:instrText xml:space="preserve"> PAGEREF _Toc462926723 \h </w:instrText>
      </w:r>
      <w:r w:rsidR="00191DB8">
        <w:rPr>
          <w:noProof/>
        </w:rPr>
      </w:r>
      <w:r w:rsidR="00191DB8">
        <w:rPr>
          <w:noProof/>
        </w:rPr>
        <w:fldChar w:fldCharType="separate"/>
      </w:r>
      <w:r w:rsidR="000D381E">
        <w:rPr>
          <w:noProof/>
        </w:rPr>
        <w:t>14</w:t>
      </w:r>
      <w:r w:rsidR="00191DB8">
        <w:rPr>
          <w:noProof/>
        </w:rPr>
        <w:fldChar w:fldCharType="end"/>
      </w:r>
    </w:p>
    <w:p w14:paraId="0D6A4F10" w14:textId="77777777" w:rsidR="00191DB8" w:rsidRDefault="00191DB8">
      <w:pPr>
        <w:pStyle w:val="TOC3"/>
        <w:rPr>
          <w:rFonts w:asciiTheme="minorHAnsi" w:eastAsiaTheme="minorEastAsia" w:hAnsiTheme="minorHAnsi" w:cstheme="minorBidi"/>
          <w:noProof/>
          <w:szCs w:val="22"/>
          <w:lang w:eastAsia="en-NZ"/>
        </w:rPr>
      </w:pPr>
      <w:r>
        <w:rPr>
          <w:noProof/>
        </w:rPr>
        <w:t>Figure 2: Volume of elective surgery, 2007/08–2015/16</w:t>
      </w:r>
      <w:r>
        <w:rPr>
          <w:noProof/>
        </w:rPr>
        <w:tab/>
      </w:r>
      <w:r>
        <w:rPr>
          <w:noProof/>
        </w:rPr>
        <w:fldChar w:fldCharType="begin"/>
      </w:r>
      <w:r>
        <w:rPr>
          <w:noProof/>
        </w:rPr>
        <w:instrText xml:space="preserve"> PAGEREF _Toc462926724 \h </w:instrText>
      </w:r>
      <w:r>
        <w:rPr>
          <w:noProof/>
        </w:rPr>
      </w:r>
      <w:r>
        <w:rPr>
          <w:noProof/>
        </w:rPr>
        <w:fldChar w:fldCharType="separate"/>
      </w:r>
      <w:r w:rsidR="000D381E">
        <w:rPr>
          <w:noProof/>
        </w:rPr>
        <w:t>15</w:t>
      </w:r>
      <w:r>
        <w:rPr>
          <w:noProof/>
        </w:rPr>
        <w:fldChar w:fldCharType="end"/>
      </w:r>
    </w:p>
    <w:p w14:paraId="4267C4CC" w14:textId="77777777" w:rsidR="00191DB8" w:rsidRDefault="00191DB8">
      <w:pPr>
        <w:pStyle w:val="TOC3"/>
        <w:rPr>
          <w:rFonts w:asciiTheme="minorHAnsi" w:eastAsiaTheme="minorEastAsia" w:hAnsiTheme="minorHAnsi" w:cstheme="minorBidi"/>
          <w:noProof/>
          <w:szCs w:val="22"/>
          <w:lang w:eastAsia="en-NZ"/>
        </w:rPr>
      </w:pPr>
      <w:r>
        <w:rPr>
          <w:noProof/>
        </w:rPr>
        <w:t>Figure 3: Percentage of patients receiving their first cancer treatment within the target timeframe, quarter two 2014/15 to 2015/16</w:t>
      </w:r>
      <w:r>
        <w:rPr>
          <w:noProof/>
        </w:rPr>
        <w:tab/>
      </w:r>
      <w:r>
        <w:rPr>
          <w:noProof/>
        </w:rPr>
        <w:fldChar w:fldCharType="begin"/>
      </w:r>
      <w:r>
        <w:rPr>
          <w:noProof/>
        </w:rPr>
        <w:instrText xml:space="preserve"> PAGEREF _Toc462926725 \h </w:instrText>
      </w:r>
      <w:r>
        <w:rPr>
          <w:noProof/>
        </w:rPr>
      </w:r>
      <w:r>
        <w:rPr>
          <w:noProof/>
        </w:rPr>
        <w:fldChar w:fldCharType="separate"/>
      </w:r>
      <w:r w:rsidR="000D381E">
        <w:rPr>
          <w:noProof/>
        </w:rPr>
        <w:t>16</w:t>
      </w:r>
      <w:r>
        <w:rPr>
          <w:noProof/>
        </w:rPr>
        <w:fldChar w:fldCharType="end"/>
      </w:r>
    </w:p>
    <w:p w14:paraId="21F5917D" w14:textId="77777777" w:rsidR="00191DB8" w:rsidRDefault="00191DB8">
      <w:pPr>
        <w:pStyle w:val="TOC3"/>
        <w:rPr>
          <w:rFonts w:asciiTheme="minorHAnsi" w:eastAsiaTheme="minorEastAsia" w:hAnsiTheme="minorHAnsi" w:cstheme="minorBidi"/>
          <w:noProof/>
          <w:szCs w:val="22"/>
          <w:lang w:eastAsia="en-NZ"/>
        </w:rPr>
      </w:pPr>
      <w:r>
        <w:rPr>
          <w:noProof/>
        </w:rPr>
        <w:t>Figure 4: Percentage of eight-month-olds fully immunised, 2012/13–2015/16</w:t>
      </w:r>
      <w:r>
        <w:rPr>
          <w:noProof/>
        </w:rPr>
        <w:tab/>
      </w:r>
      <w:r>
        <w:rPr>
          <w:noProof/>
        </w:rPr>
        <w:fldChar w:fldCharType="begin"/>
      </w:r>
      <w:r>
        <w:rPr>
          <w:noProof/>
        </w:rPr>
        <w:instrText xml:space="preserve"> PAGEREF _Toc462926726 \h </w:instrText>
      </w:r>
      <w:r>
        <w:rPr>
          <w:noProof/>
        </w:rPr>
      </w:r>
      <w:r>
        <w:rPr>
          <w:noProof/>
        </w:rPr>
        <w:fldChar w:fldCharType="separate"/>
      </w:r>
      <w:r w:rsidR="000D381E">
        <w:rPr>
          <w:noProof/>
        </w:rPr>
        <w:t>17</w:t>
      </w:r>
      <w:r>
        <w:rPr>
          <w:noProof/>
        </w:rPr>
        <w:fldChar w:fldCharType="end"/>
      </w:r>
    </w:p>
    <w:p w14:paraId="64DB37E8" w14:textId="77777777" w:rsidR="00191DB8" w:rsidRDefault="00191DB8">
      <w:pPr>
        <w:pStyle w:val="TOC3"/>
        <w:rPr>
          <w:rFonts w:asciiTheme="minorHAnsi" w:eastAsiaTheme="minorEastAsia" w:hAnsiTheme="minorHAnsi" w:cstheme="minorBidi"/>
          <w:noProof/>
          <w:szCs w:val="22"/>
          <w:lang w:eastAsia="en-NZ"/>
        </w:rPr>
      </w:pPr>
      <w:r>
        <w:rPr>
          <w:noProof/>
        </w:rPr>
        <w:t>Figure 5: Percentage of smokers offered help to quit, 2009/10–2015/16</w:t>
      </w:r>
      <w:r>
        <w:rPr>
          <w:noProof/>
        </w:rPr>
        <w:tab/>
      </w:r>
      <w:r>
        <w:rPr>
          <w:noProof/>
        </w:rPr>
        <w:fldChar w:fldCharType="begin"/>
      </w:r>
      <w:r>
        <w:rPr>
          <w:noProof/>
        </w:rPr>
        <w:instrText xml:space="preserve"> PAGEREF _Toc462926727 \h </w:instrText>
      </w:r>
      <w:r>
        <w:rPr>
          <w:noProof/>
        </w:rPr>
      </w:r>
      <w:r>
        <w:rPr>
          <w:noProof/>
        </w:rPr>
        <w:fldChar w:fldCharType="separate"/>
      </w:r>
      <w:r w:rsidR="000D381E">
        <w:rPr>
          <w:noProof/>
        </w:rPr>
        <w:t>18</w:t>
      </w:r>
      <w:r>
        <w:rPr>
          <w:noProof/>
        </w:rPr>
        <w:fldChar w:fldCharType="end"/>
      </w:r>
    </w:p>
    <w:p w14:paraId="48FCB4C5" w14:textId="77777777" w:rsidR="00191DB8" w:rsidRDefault="00191DB8">
      <w:pPr>
        <w:pStyle w:val="TOC3"/>
        <w:rPr>
          <w:rFonts w:asciiTheme="minorHAnsi" w:eastAsiaTheme="minorEastAsia" w:hAnsiTheme="minorHAnsi" w:cstheme="minorBidi"/>
          <w:noProof/>
          <w:szCs w:val="22"/>
          <w:lang w:eastAsia="en-NZ"/>
        </w:rPr>
      </w:pPr>
      <w:r>
        <w:rPr>
          <w:noProof/>
        </w:rPr>
        <w:t>Figure 6: Percentage of cardiovascular risk assessments completed, Quarter three 2011/12–2015/16</w:t>
      </w:r>
      <w:r>
        <w:rPr>
          <w:noProof/>
        </w:rPr>
        <w:tab/>
      </w:r>
      <w:r>
        <w:rPr>
          <w:noProof/>
        </w:rPr>
        <w:fldChar w:fldCharType="begin"/>
      </w:r>
      <w:r>
        <w:rPr>
          <w:noProof/>
        </w:rPr>
        <w:instrText xml:space="preserve"> PAGEREF _Toc462926728 \h </w:instrText>
      </w:r>
      <w:r>
        <w:rPr>
          <w:noProof/>
        </w:rPr>
      </w:r>
      <w:r>
        <w:rPr>
          <w:noProof/>
        </w:rPr>
        <w:fldChar w:fldCharType="separate"/>
      </w:r>
      <w:r w:rsidR="000D381E">
        <w:rPr>
          <w:noProof/>
        </w:rPr>
        <w:t>20</w:t>
      </w:r>
      <w:r>
        <w:rPr>
          <w:noProof/>
        </w:rPr>
        <w:fldChar w:fldCharType="end"/>
      </w:r>
    </w:p>
    <w:p w14:paraId="21AFBC37" w14:textId="77777777" w:rsidR="00191DB8" w:rsidRDefault="00191DB8">
      <w:pPr>
        <w:pStyle w:val="TOC3"/>
        <w:rPr>
          <w:rFonts w:asciiTheme="minorHAnsi" w:eastAsiaTheme="minorEastAsia" w:hAnsiTheme="minorHAnsi" w:cstheme="minorBidi"/>
          <w:noProof/>
          <w:szCs w:val="22"/>
          <w:lang w:eastAsia="en-NZ"/>
        </w:rPr>
      </w:pPr>
      <w:r>
        <w:rPr>
          <w:noProof/>
        </w:rPr>
        <w:t>Figure D1: Staff FTEs and headcounts, by business unit</w:t>
      </w:r>
      <w:r>
        <w:rPr>
          <w:noProof/>
        </w:rPr>
        <w:tab/>
      </w:r>
      <w:r>
        <w:rPr>
          <w:noProof/>
        </w:rPr>
        <w:fldChar w:fldCharType="begin"/>
      </w:r>
      <w:r>
        <w:rPr>
          <w:noProof/>
        </w:rPr>
        <w:instrText xml:space="preserve"> PAGEREF _Toc462926729 \h </w:instrText>
      </w:r>
      <w:r>
        <w:rPr>
          <w:noProof/>
        </w:rPr>
      </w:r>
      <w:r>
        <w:rPr>
          <w:noProof/>
        </w:rPr>
        <w:fldChar w:fldCharType="separate"/>
      </w:r>
      <w:r w:rsidR="000D381E">
        <w:rPr>
          <w:noProof/>
        </w:rPr>
        <w:t>130</w:t>
      </w:r>
      <w:r>
        <w:rPr>
          <w:noProof/>
        </w:rPr>
        <w:fldChar w:fldCharType="end"/>
      </w:r>
    </w:p>
    <w:p w14:paraId="6DD44ADE" w14:textId="77777777" w:rsidR="00191DB8" w:rsidRDefault="00191DB8">
      <w:pPr>
        <w:pStyle w:val="TOC3"/>
        <w:rPr>
          <w:rFonts w:asciiTheme="minorHAnsi" w:eastAsiaTheme="minorEastAsia" w:hAnsiTheme="minorHAnsi" w:cstheme="minorBidi"/>
          <w:noProof/>
          <w:szCs w:val="22"/>
          <w:lang w:eastAsia="en-NZ"/>
        </w:rPr>
      </w:pPr>
      <w:r>
        <w:rPr>
          <w:noProof/>
        </w:rPr>
        <w:t>Figure D2: Staff numbers, by length of service</w:t>
      </w:r>
      <w:r>
        <w:rPr>
          <w:noProof/>
        </w:rPr>
        <w:tab/>
      </w:r>
      <w:r>
        <w:rPr>
          <w:noProof/>
        </w:rPr>
        <w:fldChar w:fldCharType="begin"/>
      </w:r>
      <w:r>
        <w:rPr>
          <w:noProof/>
        </w:rPr>
        <w:instrText xml:space="preserve"> PAGEREF _Toc462926730 \h </w:instrText>
      </w:r>
      <w:r>
        <w:rPr>
          <w:noProof/>
        </w:rPr>
      </w:r>
      <w:r>
        <w:rPr>
          <w:noProof/>
        </w:rPr>
        <w:fldChar w:fldCharType="separate"/>
      </w:r>
      <w:r w:rsidR="000D381E">
        <w:rPr>
          <w:noProof/>
        </w:rPr>
        <w:t>131</w:t>
      </w:r>
      <w:r>
        <w:rPr>
          <w:noProof/>
        </w:rPr>
        <w:fldChar w:fldCharType="end"/>
      </w:r>
    </w:p>
    <w:p w14:paraId="04490C08" w14:textId="77777777" w:rsidR="00191DB8" w:rsidRDefault="00191DB8">
      <w:pPr>
        <w:pStyle w:val="TOC3"/>
        <w:rPr>
          <w:rFonts w:asciiTheme="minorHAnsi" w:eastAsiaTheme="minorEastAsia" w:hAnsiTheme="minorHAnsi" w:cstheme="minorBidi"/>
          <w:noProof/>
          <w:szCs w:val="22"/>
          <w:lang w:eastAsia="en-NZ"/>
        </w:rPr>
      </w:pPr>
      <w:r>
        <w:rPr>
          <w:noProof/>
        </w:rPr>
        <w:t>Figure D3: Staff ethnicity</w:t>
      </w:r>
      <w:r>
        <w:rPr>
          <w:noProof/>
        </w:rPr>
        <w:tab/>
      </w:r>
      <w:r>
        <w:rPr>
          <w:noProof/>
        </w:rPr>
        <w:fldChar w:fldCharType="begin"/>
      </w:r>
      <w:r>
        <w:rPr>
          <w:noProof/>
        </w:rPr>
        <w:instrText xml:space="preserve"> PAGEREF _Toc462926731 \h </w:instrText>
      </w:r>
      <w:r>
        <w:rPr>
          <w:noProof/>
        </w:rPr>
      </w:r>
      <w:r>
        <w:rPr>
          <w:noProof/>
        </w:rPr>
        <w:fldChar w:fldCharType="separate"/>
      </w:r>
      <w:r w:rsidR="000D381E">
        <w:rPr>
          <w:noProof/>
        </w:rPr>
        <w:t>131</w:t>
      </w:r>
      <w:r>
        <w:rPr>
          <w:noProof/>
        </w:rPr>
        <w:fldChar w:fldCharType="end"/>
      </w:r>
    </w:p>
    <w:p w14:paraId="015F393F" w14:textId="77777777" w:rsidR="00191DB8" w:rsidRDefault="00191DB8">
      <w:pPr>
        <w:pStyle w:val="TOC3"/>
        <w:rPr>
          <w:rFonts w:asciiTheme="minorHAnsi" w:eastAsiaTheme="minorEastAsia" w:hAnsiTheme="minorHAnsi" w:cstheme="minorBidi"/>
          <w:noProof/>
          <w:szCs w:val="22"/>
          <w:lang w:eastAsia="en-NZ"/>
        </w:rPr>
      </w:pPr>
      <w:r>
        <w:rPr>
          <w:noProof/>
        </w:rPr>
        <w:t>Figure D4: Staff numbers, by age group and gender</w:t>
      </w:r>
      <w:r>
        <w:rPr>
          <w:noProof/>
        </w:rPr>
        <w:tab/>
      </w:r>
      <w:r>
        <w:rPr>
          <w:noProof/>
        </w:rPr>
        <w:fldChar w:fldCharType="begin"/>
      </w:r>
      <w:r>
        <w:rPr>
          <w:noProof/>
        </w:rPr>
        <w:instrText xml:space="preserve"> PAGEREF _Toc462926732 \h </w:instrText>
      </w:r>
      <w:r>
        <w:rPr>
          <w:noProof/>
        </w:rPr>
      </w:r>
      <w:r>
        <w:rPr>
          <w:noProof/>
        </w:rPr>
        <w:fldChar w:fldCharType="separate"/>
      </w:r>
      <w:r w:rsidR="000D381E">
        <w:rPr>
          <w:noProof/>
        </w:rPr>
        <w:t>132</w:t>
      </w:r>
      <w:r>
        <w:rPr>
          <w:noProof/>
        </w:rPr>
        <w:fldChar w:fldCharType="end"/>
      </w:r>
    </w:p>
    <w:p w14:paraId="3D23CB0D" w14:textId="77777777" w:rsidR="00191DB8" w:rsidRDefault="00191DB8">
      <w:pPr>
        <w:pStyle w:val="TOC3"/>
        <w:rPr>
          <w:rFonts w:asciiTheme="minorHAnsi" w:eastAsiaTheme="minorEastAsia" w:hAnsiTheme="minorHAnsi" w:cstheme="minorBidi"/>
          <w:noProof/>
          <w:szCs w:val="22"/>
          <w:lang w:eastAsia="en-NZ"/>
        </w:rPr>
      </w:pPr>
      <w:r>
        <w:rPr>
          <w:noProof/>
        </w:rPr>
        <w:t>Figure D5: Gender proportion, by age group</w:t>
      </w:r>
      <w:r>
        <w:rPr>
          <w:noProof/>
        </w:rPr>
        <w:tab/>
      </w:r>
      <w:r>
        <w:rPr>
          <w:noProof/>
        </w:rPr>
        <w:fldChar w:fldCharType="begin"/>
      </w:r>
      <w:r>
        <w:rPr>
          <w:noProof/>
        </w:rPr>
        <w:instrText xml:space="preserve"> PAGEREF _Toc462926733 \h </w:instrText>
      </w:r>
      <w:r>
        <w:rPr>
          <w:noProof/>
        </w:rPr>
      </w:r>
      <w:r>
        <w:rPr>
          <w:noProof/>
        </w:rPr>
        <w:fldChar w:fldCharType="separate"/>
      </w:r>
      <w:r w:rsidR="000D381E">
        <w:rPr>
          <w:noProof/>
        </w:rPr>
        <w:t>132</w:t>
      </w:r>
      <w:r>
        <w:rPr>
          <w:noProof/>
        </w:rPr>
        <w:fldChar w:fldCharType="end"/>
      </w:r>
    </w:p>
    <w:p w14:paraId="21318F29" w14:textId="77777777" w:rsidR="00191DB8" w:rsidRDefault="00191DB8">
      <w:pPr>
        <w:pStyle w:val="TOC3"/>
        <w:rPr>
          <w:rFonts w:asciiTheme="minorHAnsi" w:eastAsiaTheme="minorEastAsia" w:hAnsiTheme="minorHAnsi" w:cstheme="minorBidi"/>
          <w:noProof/>
          <w:szCs w:val="22"/>
          <w:lang w:eastAsia="en-NZ"/>
        </w:rPr>
      </w:pPr>
      <w:r>
        <w:rPr>
          <w:noProof/>
        </w:rPr>
        <w:t>Figure D6: Staff numbers, by salary band</w:t>
      </w:r>
      <w:r>
        <w:rPr>
          <w:noProof/>
        </w:rPr>
        <w:tab/>
      </w:r>
      <w:r>
        <w:rPr>
          <w:noProof/>
        </w:rPr>
        <w:fldChar w:fldCharType="begin"/>
      </w:r>
      <w:r>
        <w:rPr>
          <w:noProof/>
        </w:rPr>
        <w:instrText xml:space="preserve"> PAGEREF _Toc462926734 \h </w:instrText>
      </w:r>
      <w:r>
        <w:rPr>
          <w:noProof/>
        </w:rPr>
      </w:r>
      <w:r>
        <w:rPr>
          <w:noProof/>
        </w:rPr>
        <w:fldChar w:fldCharType="separate"/>
      </w:r>
      <w:r w:rsidR="000D381E">
        <w:rPr>
          <w:noProof/>
        </w:rPr>
        <w:t>133</w:t>
      </w:r>
      <w:r>
        <w:rPr>
          <w:noProof/>
        </w:rPr>
        <w:fldChar w:fldCharType="end"/>
      </w:r>
    </w:p>
    <w:p w14:paraId="054DEA3F" w14:textId="77777777" w:rsidR="00191DB8" w:rsidRDefault="00191DB8">
      <w:pPr>
        <w:pStyle w:val="TOC3"/>
        <w:rPr>
          <w:rFonts w:asciiTheme="minorHAnsi" w:eastAsiaTheme="minorEastAsia" w:hAnsiTheme="minorHAnsi" w:cstheme="minorBidi"/>
          <w:noProof/>
          <w:szCs w:val="22"/>
          <w:lang w:eastAsia="en-NZ"/>
        </w:rPr>
      </w:pPr>
      <w:r>
        <w:rPr>
          <w:noProof/>
        </w:rPr>
        <w:t>Figure D7: Gender proportion, by salary band</w:t>
      </w:r>
      <w:r>
        <w:rPr>
          <w:noProof/>
        </w:rPr>
        <w:tab/>
      </w:r>
      <w:r>
        <w:rPr>
          <w:noProof/>
        </w:rPr>
        <w:fldChar w:fldCharType="begin"/>
      </w:r>
      <w:r>
        <w:rPr>
          <w:noProof/>
        </w:rPr>
        <w:instrText xml:space="preserve"> PAGEREF _Toc462926735 \h </w:instrText>
      </w:r>
      <w:r>
        <w:rPr>
          <w:noProof/>
        </w:rPr>
      </w:r>
      <w:r>
        <w:rPr>
          <w:noProof/>
        </w:rPr>
        <w:fldChar w:fldCharType="separate"/>
      </w:r>
      <w:r w:rsidR="000D381E">
        <w:rPr>
          <w:noProof/>
        </w:rPr>
        <w:t>134</w:t>
      </w:r>
      <w:r>
        <w:rPr>
          <w:noProof/>
        </w:rPr>
        <w:fldChar w:fldCharType="end"/>
      </w:r>
    </w:p>
    <w:p w14:paraId="192017E7" w14:textId="77777777" w:rsidR="00191DB8" w:rsidRDefault="00191DB8">
      <w:pPr>
        <w:pStyle w:val="TOC3"/>
        <w:rPr>
          <w:rFonts w:asciiTheme="minorHAnsi" w:eastAsiaTheme="minorEastAsia" w:hAnsiTheme="minorHAnsi" w:cstheme="minorBidi"/>
          <w:noProof/>
          <w:szCs w:val="22"/>
          <w:lang w:eastAsia="en-NZ"/>
        </w:rPr>
      </w:pPr>
      <w:r>
        <w:rPr>
          <w:noProof/>
        </w:rPr>
        <w:t>Figure E1: Staff location</w:t>
      </w:r>
      <w:r>
        <w:rPr>
          <w:noProof/>
        </w:rPr>
        <w:tab/>
      </w:r>
      <w:r>
        <w:rPr>
          <w:noProof/>
        </w:rPr>
        <w:fldChar w:fldCharType="begin"/>
      </w:r>
      <w:r>
        <w:rPr>
          <w:noProof/>
        </w:rPr>
        <w:instrText xml:space="preserve"> PAGEREF _Toc462926736 \h </w:instrText>
      </w:r>
      <w:r>
        <w:rPr>
          <w:noProof/>
        </w:rPr>
      </w:r>
      <w:r>
        <w:rPr>
          <w:noProof/>
        </w:rPr>
        <w:fldChar w:fldCharType="separate"/>
      </w:r>
      <w:r w:rsidR="000D381E">
        <w:rPr>
          <w:noProof/>
        </w:rPr>
        <w:t>135</w:t>
      </w:r>
      <w:r>
        <w:rPr>
          <w:noProof/>
        </w:rPr>
        <w:fldChar w:fldCharType="end"/>
      </w:r>
    </w:p>
    <w:p w14:paraId="72A54E40" w14:textId="77777777" w:rsidR="00C86248" w:rsidRPr="00BC0D1F" w:rsidRDefault="003A5FEA" w:rsidP="0086388B">
      <w:r w:rsidRPr="00BC0D1F">
        <w:fldChar w:fldCharType="end"/>
      </w:r>
    </w:p>
    <w:p w14:paraId="4AB7CFB5" w14:textId="77777777" w:rsidR="00C86248" w:rsidRPr="00BC0D1F" w:rsidRDefault="00C86248">
      <w:pPr>
        <w:sectPr w:rsidR="00C86248" w:rsidRPr="00BC0D1F"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14:paraId="08A8204F" w14:textId="77777777" w:rsidR="008C2973" w:rsidRPr="00BC0D1F" w:rsidRDefault="006E7B5E" w:rsidP="0086388B">
      <w:pPr>
        <w:pStyle w:val="Heading1"/>
      </w:pPr>
      <w:bookmarkStart w:id="4" w:name="_Toc463507908"/>
      <w:r w:rsidRPr="00BC0D1F">
        <w:lastRenderedPageBreak/>
        <w:t>The Ministry</w:t>
      </w:r>
      <w:r w:rsidR="00DF4B9A" w:rsidRPr="00BC0D1F">
        <w:t>’</w:t>
      </w:r>
      <w:r w:rsidRPr="00BC0D1F">
        <w:t>s year in review</w:t>
      </w:r>
      <w:bookmarkEnd w:id="4"/>
    </w:p>
    <w:p w14:paraId="34EC2A1A" w14:textId="77777777" w:rsidR="00AD72CC" w:rsidRPr="00BC0D1F" w:rsidRDefault="00AD72CC" w:rsidP="00493A42">
      <w:bookmarkStart w:id="5" w:name="_Toc423978484"/>
      <w:bookmarkStart w:id="6" w:name="_Toc430768799"/>
      <w:r w:rsidRPr="00BC0D1F">
        <w:t>The 2015/16 year has seen considerable activity by the Ministry of Health and the wider health and disability sector to implement the Government</w:t>
      </w:r>
      <w:r w:rsidR="00DF4B9A" w:rsidRPr="00BC0D1F">
        <w:t>’</w:t>
      </w:r>
      <w:r w:rsidRPr="00BC0D1F">
        <w:t>s priorities and ensure accessible, safe, individual- and family-centred, clinically effective and cost-effective health services.</w:t>
      </w:r>
    </w:p>
    <w:p w14:paraId="6317F226" w14:textId="77777777" w:rsidR="00493A42" w:rsidRPr="00BC0D1F" w:rsidRDefault="00493A42" w:rsidP="00493A42"/>
    <w:p w14:paraId="28B17951" w14:textId="77777777" w:rsidR="00AD72CC" w:rsidRPr="00BC0D1F" w:rsidRDefault="00AD72CC" w:rsidP="00493A42">
      <w:r w:rsidRPr="00BC0D1F">
        <w:t>Over 2015/16 the Ministry continued to fulfil its core function of seeking to improve the health and wellbeing of New Zealanders through:</w:t>
      </w:r>
    </w:p>
    <w:p w14:paraId="3B87E647" w14:textId="77777777" w:rsidR="00AD72CC" w:rsidRPr="00BC0D1F" w:rsidRDefault="00AD72CC" w:rsidP="00493A42">
      <w:pPr>
        <w:pStyle w:val="Bullet"/>
      </w:pPr>
      <w:r w:rsidRPr="00BC0D1F">
        <w:t>leading New Zealand</w:t>
      </w:r>
      <w:r w:rsidR="00DF4B9A" w:rsidRPr="00BC0D1F">
        <w:t>’</w:t>
      </w:r>
      <w:r w:rsidRPr="00BC0D1F">
        <w:t>s health and disability system</w:t>
      </w:r>
    </w:p>
    <w:p w14:paraId="679A0111" w14:textId="77777777" w:rsidR="00AD72CC" w:rsidRPr="00BC0D1F" w:rsidRDefault="00AD72CC" w:rsidP="00493A42">
      <w:pPr>
        <w:pStyle w:val="Bullet"/>
      </w:pPr>
      <w:r w:rsidRPr="00BC0D1F">
        <w:t>advising the Minister of Health, and government, on health and disability issues</w:t>
      </w:r>
    </w:p>
    <w:p w14:paraId="1A27C9C3" w14:textId="77777777" w:rsidR="00AD72CC" w:rsidRPr="00BC0D1F" w:rsidRDefault="00AD72CC" w:rsidP="00493A42">
      <w:pPr>
        <w:pStyle w:val="Bullet"/>
      </w:pPr>
      <w:r w:rsidRPr="00BC0D1F">
        <w:t>purchasing a range of national health and disability support services</w:t>
      </w:r>
    </w:p>
    <w:p w14:paraId="0373F67D" w14:textId="77777777" w:rsidR="00AD72CC" w:rsidRPr="00BC0D1F" w:rsidRDefault="00AD72CC" w:rsidP="00493A42">
      <w:pPr>
        <w:pStyle w:val="Bullet"/>
      </w:pPr>
      <w:proofErr w:type="gramStart"/>
      <w:r w:rsidRPr="00BC0D1F">
        <w:t>providing</w:t>
      </w:r>
      <w:proofErr w:type="gramEnd"/>
      <w:r w:rsidRPr="00BC0D1F">
        <w:t xml:space="preserve"> health sector information and payment services for the benefit of all New Zealanders.</w:t>
      </w:r>
    </w:p>
    <w:p w14:paraId="12C3D92D" w14:textId="77777777" w:rsidR="00493A42" w:rsidRPr="00BC0D1F" w:rsidRDefault="00493A42" w:rsidP="00493A42"/>
    <w:bookmarkEnd w:id="5"/>
    <w:p w14:paraId="7E6F5CEC" w14:textId="77777777" w:rsidR="00AD72CC" w:rsidRPr="00BC0D1F" w:rsidRDefault="00AD72CC" w:rsidP="00493A42">
      <w:pPr>
        <w:pStyle w:val="Heading3"/>
      </w:pPr>
      <w:r w:rsidRPr="00BC0D1F">
        <w:t>Contributing to government priorities</w:t>
      </w:r>
    </w:p>
    <w:p w14:paraId="114CD82D" w14:textId="77777777" w:rsidR="00AD72CC" w:rsidRPr="00BC0D1F" w:rsidRDefault="00AD72CC" w:rsidP="00493A42">
      <w:r w:rsidRPr="00BC0D1F">
        <w:t>The Ministry has contributed to the Government</w:t>
      </w:r>
      <w:r w:rsidR="00DF4B9A" w:rsidRPr="00BC0D1F">
        <w:t>’</w:t>
      </w:r>
      <w:r w:rsidRPr="00BC0D1F">
        <w:t>s priorities by working with other agencies to:</w:t>
      </w:r>
    </w:p>
    <w:p w14:paraId="4C0DF55D" w14:textId="77777777" w:rsidR="00AD72CC" w:rsidRPr="00BC0D1F" w:rsidRDefault="00AD72CC" w:rsidP="00493A42">
      <w:pPr>
        <w:pStyle w:val="Bullet"/>
      </w:pPr>
      <w:r w:rsidRPr="00BC0D1F">
        <w:t>deliver Better Public Services in a challenging fiscal environment</w:t>
      </w:r>
    </w:p>
    <w:p w14:paraId="4E8AC168" w14:textId="77777777" w:rsidR="00AD72CC" w:rsidRPr="00BC0D1F" w:rsidRDefault="00AD72CC" w:rsidP="00493A42">
      <w:pPr>
        <w:pStyle w:val="Bullet"/>
      </w:pPr>
      <w:r w:rsidRPr="00BC0D1F">
        <w:t>responsibly manage the Government</w:t>
      </w:r>
      <w:r w:rsidR="00DF4B9A" w:rsidRPr="00BC0D1F">
        <w:t>’</w:t>
      </w:r>
      <w:r w:rsidRPr="00BC0D1F">
        <w:t>s finances</w:t>
      </w:r>
    </w:p>
    <w:p w14:paraId="3C2A9DB4" w14:textId="3920151E" w:rsidR="00AD72CC" w:rsidRPr="00BC0D1F" w:rsidRDefault="00AD72CC" w:rsidP="00493A42">
      <w:pPr>
        <w:pStyle w:val="Bullet"/>
      </w:pPr>
      <w:r w:rsidRPr="00BC0D1F">
        <w:t>support</w:t>
      </w:r>
      <w:r w:rsidR="00D27D7F">
        <w:t>ing</w:t>
      </w:r>
      <w:r w:rsidRPr="00BC0D1F">
        <w:t xml:space="preserve"> the Christchurch rebuild</w:t>
      </w:r>
    </w:p>
    <w:p w14:paraId="49F0E3F2" w14:textId="277BC50A" w:rsidR="00AD72CC" w:rsidRPr="00BC0D1F" w:rsidRDefault="00AD72CC" w:rsidP="00493A42">
      <w:pPr>
        <w:pStyle w:val="Bullet"/>
      </w:pPr>
      <w:proofErr w:type="gramStart"/>
      <w:r w:rsidRPr="00BC0D1F">
        <w:t>build</w:t>
      </w:r>
      <w:r w:rsidR="00136F36">
        <w:t>ing</w:t>
      </w:r>
      <w:proofErr w:type="gramEnd"/>
      <w:r w:rsidRPr="00BC0D1F">
        <w:t xml:space="preserve"> a more competitive and productive economy.</w:t>
      </w:r>
    </w:p>
    <w:p w14:paraId="1044E5A4" w14:textId="77777777" w:rsidR="00493A42" w:rsidRPr="00BC0D1F" w:rsidRDefault="00493A42" w:rsidP="00493A42"/>
    <w:p w14:paraId="03675066" w14:textId="77777777" w:rsidR="00136F36" w:rsidRPr="00BC0D1F" w:rsidRDefault="00136F36" w:rsidP="00136F36">
      <w:pPr>
        <w:pStyle w:val="Heading3"/>
      </w:pPr>
      <w:r w:rsidRPr="00BC0D1F">
        <w:t>Delivering the Government’s cross-sector priorities</w:t>
      </w:r>
    </w:p>
    <w:p w14:paraId="23CF274F" w14:textId="556F219D" w:rsidR="00666B83" w:rsidRDefault="00136F36" w:rsidP="00471EB2">
      <w:r w:rsidRPr="00BC0D1F">
        <w:t>The Ministry work</w:t>
      </w:r>
      <w:r w:rsidR="00666B83">
        <w:t>ed</w:t>
      </w:r>
      <w:r w:rsidRPr="00BC0D1F">
        <w:t xml:space="preserve"> across government on a number of initiatives in the heal</w:t>
      </w:r>
      <w:r w:rsidR="00450D8C">
        <w:t>th and social sector</w:t>
      </w:r>
      <w:r w:rsidR="00666B83">
        <w:t>.</w:t>
      </w:r>
    </w:p>
    <w:p w14:paraId="42D50706" w14:textId="77777777" w:rsidR="00666B83" w:rsidRDefault="00450D8C" w:rsidP="00666B83">
      <w:pPr>
        <w:pStyle w:val="Bullet"/>
      </w:pPr>
      <w:r>
        <w:t>S</w:t>
      </w:r>
      <w:r w:rsidR="00136F36" w:rsidRPr="00BC0D1F">
        <w:t>upporting vulnerable children, includ</w:t>
      </w:r>
      <w:r w:rsidR="00666B83">
        <w:t>ing</w:t>
      </w:r>
      <w:r w:rsidR="00136F36" w:rsidRPr="00BC0D1F">
        <w:t xml:space="preserve"> reducing rheumatic fever cases </w:t>
      </w:r>
      <w:r w:rsidR="00666B83">
        <w:t xml:space="preserve">among </w:t>
      </w:r>
      <w:r w:rsidR="00136F36" w:rsidRPr="00BC0D1F">
        <w:t>children</w:t>
      </w:r>
      <w:r w:rsidR="00666B83">
        <w:t>, establishing ‘</w:t>
      </w:r>
      <w:r w:rsidR="00666B83" w:rsidRPr="00BC0D1F">
        <w:t>sore throat clinics’</w:t>
      </w:r>
      <w:r w:rsidR="00666B83">
        <w:t xml:space="preserve"> and </w:t>
      </w:r>
      <w:r w:rsidRPr="00BC0D1F">
        <w:t>contributi</w:t>
      </w:r>
      <w:r w:rsidR="00666B83">
        <w:t>ng</w:t>
      </w:r>
      <w:r w:rsidRPr="00BC0D1F">
        <w:t xml:space="preserve"> to the Children’s Action Plan.</w:t>
      </w:r>
    </w:p>
    <w:p w14:paraId="1B3AB4C1" w14:textId="77777777" w:rsidR="00666B83" w:rsidRDefault="00666B83" w:rsidP="00666B83">
      <w:pPr>
        <w:pStyle w:val="Bullet"/>
      </w:pPr>
      <w:r>
        <w:rPr>
          <w:noProof/>
          <w:lang w:eastAsia="en-NZ"/>
        </w:rPr>
        <w:t>A</w:t>
      </w:r>
      <w:r w:rsidR="00450D8C" w:rsidRPr="00BC0D1F">
        <w:rPr>
          <w:noProof/>
          <w:lang w:eastAsia="en-NZ"/>
        </w:rPr>
        <w:t>ctively participat</w:t>
      </w:r>
      <w:r>
        <w:rPr>
          <w:noProof/>
          <w:lang w:eastAsia="en-NZ"/>
        </w:rPr>
        <w:t>ing</w:t>
      </w:r>
      <w:r w:rsidR="00450D8C" w:rsidRPr="00BC0D1F">
        <w:rPr>
          <w:noProof/>
          <w:lang w:eastAsia="en-NZ"/>
        </w:rPr>
        <w:t xml:space="preserve"> in the </w:t>
      </w:r>
      <w:r w:rsidR="00450D8C" w:rsidRPr="00BC0D1F">
        <w:t>social sector trials</w:t>
      </w:r>
      <w:r w:rsidR="00450D8C">
        <w:t>.</w:t>
      </w:r>
    </w:p>
    <w:p w14:paraId="002B4342" w14:textId="15C704DF" w:rsidR="00666B83" w:rsidRDefault="00153945" w:rsidP="00666B83">
      <w:pPr>
        <w:pStyle w:val="Bullet"/>
      </w:pPr>
      <w:r>
        <w:t>U</w:t>
      </w:r>
      <w:r w:rsidR="00471EB2" w:rsidRPr="00BC0D1F">
        <w:t>nder</w:t>
      </w:r>
      <w:r>
        <w:t>taking</w:t>
      </w:r>
      <w:r w:rsidR="00471EB2" w:rsidRPr="00BC0D1F">
        <w:t xml:space="preserve"> </w:t>
      </w:r>
      <w:r w:rsidR="00471EB2">
        <w:t>activities to support the</w:t>
      </w:r>
      <w:r w:rsidR="00450D8C" w:rsidRPr="00BC0D1F">
        <w:rPr>
          <w:noProof/>
          <w:lang w:eastAsia="en-NZ"/>
        </w:rPr>
        <w:t xml:space="preserve"> Prime Minister’s Youth Mental Health Project.</w:t>
      </w:r>
    </w:p>
    <w:p w14:paraId="54C1E086" w14:textId="77777777" w:rsidR="00666B83" w:rsidRDefault="00666B83" w:rsidP="00666B83">
      <w:pPr>
        <w:pStyle w:val="Bullet"/>
      </w:pPr>
      <w:r>
        <w:rPr>
          <w:noProof/>
          <w:lang w:eastAsia="en-NZ"/>
        </w:rPr>
        <w:t>Working</w:t>
      </w:r>
      <w:r w:rsidR="00450D8C" w:rsidRPr="00BC0D1F">
        <w:rPr>
          <w:noProof/>
          <w:lang w:eastAsia="en-NZ"/>
        </w:rPr>
        <w:t xml:space="preserve"> with Te Puni Kōkiri and</w:t>
      </w:r>
      <w:r w:rsidR="00450D8C">
        <w:rPr>
          <w:noProof/>
          <w:lang w:eastAsia="en-NZ"/>
        </w:rPr>
        <w:t xml:space="preserve"> other</w:t>
      </w:r>
      <w:r w:rsidR="00450D8C" w:rsidRPr="00BC0D1F">
        <w:rPr>
          <w:noProof/>
          <w:lang w:eastAsia="en-NZ"/>
        </w:rPr>
        <w:t xml:space="preserve"> Ministries to deliver the Whānau Ora approach among service providers, and to progress the Whānau Ora </w:t>
      </w:r>
      <w:r w:rsidR="00450D8C" w:rsidRPr="00BC0D1F">
        <w:t>Outcomes</w:t>
      </w:r>
      <w:r w:rsidR="00450D8C" w:rsidRPr="00BC0D1F">
        <w:rPr>
          <w:noProof/>
          <w:lang w:eastAsia="en-NZ"/>
        </w:rPr>
        <w:t xml:space="preserve">. </w:t>
      </w:r>
    </w:p>
    <w:p w14:paraId="7FA168AB" w14:textId="350FB886" w:rsidR="00136F36" w:rsidRDefault="00666B83" w:rsidP="00666B83">
      <w:pPr>
        <w:pStyle w:val="Bullet"/>
      </w:pPr>
      <w:r>
        <w:rPr>
          <w:noProof/>
          <w:lang w:eastAsia="en-NZ"/>
        </w:rPr>
        <w:t>P</w:t>
      </w:r>
      <w:r w:rsidR="00450D8C" w:rsidRPr="00BC0D1F">
        <w:rPr>
          <w:noProof/>
          <w:lang w:eastAsia="en-NZ"/>
        </w:rPr>
        <w:t>ut</w:t>
      </w:r>
      <w:r>
        <w:rPr>
          <w:noProof/>
          <w:lang w:eastAsia="en-NZ"/>
        </w:rPr>
        <w:t>ting</w:t>
      </w:r>
      <w:r w:rsidR="00450D8C" w:rsidRPr="00BC0D1F">
        <w:rPr>
          <w:noProof/>
          <w:lang w:eastAsia="en-NZ"/>
        </w:rPr>
        <w:t xml:space="preserve"> a new National Drug Policy in place.</w:t>
      </w:r>
    </w:p>
    <w:p w14:paraId="740199B2" w14:textId="77777777" w:rsidR="00666B83" w:rsidRDefault="00666B83" w:rsidP="00666B83"/>
    <w:p w14:paraId="7AE8A817" w14:textId="77777777" w:rsidR="00D27D7F" w:rsidRPr="00D27D7F" w:rsidRDefault="00D27D7F" w:rsidP="00D27D7F">
      <w:pPr>
        <w:pStyle w:val="Heading3"/>
        <w:rPr>
          <w:rFonts w:eastAsia="Arial"/>
        </w:rPr>
      </w:pPr>
      <w:r w:rsidRPr="00D27D7F">
        <w:t>Health Targets</w:t>
      </w:r>
    </w:p>
    <w:p w14:paraId="3026557C" w14:textId="77777777" w:rsidR="00D27D7F" w:rsidRDefault="00D27D7F" w:rsidP="00D27D7F">
      <w:r w:rsidRPr="00320431">
        <w:t xml:space="preserve">Over the past year, we have continued to make </w:t>
      </w:r>
      <w:r>
        <w:t xml:space="preserve">steady </w:t>
      </w:r>
      <w:r w:rsidRPr="00320431">
        <w:t xml:space="preserve">progress towards meeting the government’s health targets. Both the </w:t>
      </w:r>
      <w:r>
        <w:t>‘I</w:t>
      </w:r>
      <w:r w:rsidRPr="00320431">
        <w:t>mproved access to elective surgery</w:t>
      </w:r>
      <w:r>
        <w:t>’</w:t>
      </w:r>
      <w:r w:rsidRPr="00320431">
        <w:t xml:space="preserve"> and </w:t>
      </w:r>
      <w:r>
        <w:t>‘M</w:t>
      </w:r>
      <w:r w:rsidRPr="00320431">
        <w:t>ore heart and diabetes checks</w:t>
      </w:r>
      <w:r>
        <w:t>’</w:t>
      </w:r>
      <w:r w:rsidRPr="00320431">
        <w:t xml:space="preserve"> health targets were met in each quarter of 2015/16. The </w:t>
      </w:r>
      <w:r>
        <w:t>‘M</w:t>
      </w:r>
      <w:r w:rsidRPr="00320431">
        <w:t>ore heart and diabetes checks</w:t>
      </w:r>
      <w:r>
        <w:t>’</w:t>
      </w:r>
      <w:r w:rsidRPr="00320431">
        <w:t xml:space="preserve"> </w:t>
      </w:r>
      <w:r>
        <w:t xml:space="preserve">health target </w:t>
      </w:r>
      <w:r w:rsidRPr="00320431">
        <w:t>result of 91 percent in the final quarter represents a notable increase from 46 percent</w:t>
      </w:r>
      <w:r>
        <w:t xml:space="preserve"> in 2012,</w:t>
      </w:r>
      <w:r w:rsidRPr="00320431">
        <w:t xml:space="preserve"> when the target </w:t>
      </w:r>
      <w:r>
        <w:t xml:space="preserve">first </w:t>
      </w:r>
      <w:r w:rsidRPr="00320431">
        <w:t xml:space="preserve">began. </w:t>
      </w:r>
    </w:p>
    <w:p w14:paraId="24071D50" w14:textId="77777777" w:rsidR="00D27D7F" w:rsidRDefault="00D27D7F" w:rsidP="00D27D7F"/>
    <w:p w14:paraId="04A8362D" w14:textId="1954ED5E" w:rsidR="00666B83" w:rsidRDefault="00D27D7F" w:rsidP="00D27D7F">
      <w:r w:rsidRPr="00320431">
        <w:t xml:space="preserve">Quarter four results for the </w:t>
      </w:r>
      <w:r>
        <w:t>‘S</w:t>
      </w:r>
      <w:r w:rsidRPr="00320431">
        <w:t>horter stays in emergency departments</w:t>
      </w:r>
      <w:r>
        <w:t>’</w:t>
      </w:r>
      <w:r w:rsidRPr="00320431">
        <w:t xml:space="preserve">, </w:t>
      </w:r>
      <w:r>
        <w:t>‘I</w:t>
      </w:r>
      <w:r w:rsidRPr="00320431">
        <w:t>ncreased immunisation</w:t>
      </w:r>
      <w:r>
        <w:t>’</w:t>
      </w:r>
      <w:r w:rsidRPr="00320431">
        <w:t xml:space="preserve"> and </w:t>
      </w:r>
      <w:r>
        <w:t>‘B</w:t>
      </w:r>
      <w:r w:rsidRPr="00320431">
        <w:t>etter help for smokers to quit</w:t>
      </w:r>
      <w:r>
        <w:t>’</w:t>
      </w:r>
      <w:r w:rsidRPr="00320431">
        <w:t xml:space="preserve"> targets are </w:t>
      </w:r>
      <w:r>
        <w:t xml:space="preserve">all </w:t>
      </w:r>
      <w:r w:rsidRPr="00320431">
        <w:t xml:space="preserve">two percent or less from their respective target goals. Results for the </w:t>
      </w:r>
      <w:r>
        <w:t>‘F</w:t>
      </w:r>
      <w:r w:rsidRPr="00320431">
        <w:t>aster cancer treatment</w:t>
      </w:r>
      <w:r>
        <w:t>’</w:t>
      </w:r>
      <w:r w:rsidRPr="00320431">
        <w:t xml:space="preserve"> target have improved compared </w:t>
      </w:r>
      <w:r w:rsidR="00C02369">
        <w:t>with</w:t>
      </w:r>
      <w:r w:rsidRPr="00320431">
        <w:t xml:space="preserve"> </w:t>
      </w:r>
      <w:r w:rsidRPr="00320431">
        <w:lastRenderedPageBreak/>
        <w:t>2014/15</w:t>
      </w:r>
      <w:r>
        <w:t>,</w:t>
      </w:r>
      <w:r w:rsidRPr="00320431">
        <w:t xml:space="preserve"> however</w:t>
      </w:r>
      <w:r>
        <w:t>,</w:t>
      </w:r>
      <w:r w:rsidRPr="00320431">
        <w:t xml:space="preserve"> </w:t>
      </w:r>
      <w:r>
        <w:t xml:space="preserve">we recognise that </w:t>
      </w:r>
      <w:r w:rsidRPr="00320431">
        <w:t xml:space="preserve">further improvement will be required to meet </w:t>
      </w:r>
      <w:r>
        <w:t xml:space="preserve">our </w:t>
      </w:r>
      <w:r w:rsidRPr="00320431">
        <w:t>target goal in 2016/17.</w:t>
      </w:r>
    </w:p>
    <w:p w14:paraId="7C723174" w14:textId="77777777" w:rsidR="00666B83" w:rsidRPr="00320431" w:rsidRDefault="00666B83" w:rsidP="00D27D7F"/>
    <w:p w14:paraId="40B1D0F3" w14:textId="77777777" w:rsidR="00136F36" w:rsidRPr="00BC0D1F" w:rsidRDefault="00136F36" w:rsidP="00136F36">
      <w:pPr>
        <w:pStyle w:val="Heading3"/>
      </w:pPr>
      <w:r w:rsidRPr="00BC0D1F">
        <w:t>Implementing the Minister’s strategic priorities</w:t>
      </w:r>
    </w:p>
    <w:p w14:paraId="7F5216FC" w14:textId="4C70DE46" w:rsidR="00AD72CC" w:rsidRPr="00BC0D1F" w:rsidRDefault="00AD72CC" w:rsidP="00493A42">
      <w:r w:rsidRPr="00BC0D1F">
        <w:t>The Ministry continued to implement the Minister</w:t>
      </w:r>
      <w:r w:rsidR="00DF4B9A" w:rsidRPr="00BC0D1F">
        <w:t>’</w:t>
      </w:r>
      <w:r w:rsidRPr="00BC0D1F">
        <w:t>s strategic priorities, including:</w:t>
      </w:r>
    </w:p>
    <w:p w14:paraId="5E67C822" w14:textId="77777777" w:rsidR="005D6F4D" w:rsidRPr="00BC0D1F" w:rsidRDefault="005D6F4D" w:rsidP="005D6F4D">
      <w:pPr>
        <w:pStyle w:val="Bullet"/>
      </w:pPr>
      <w:r w:rsidRPr="00BC0D1F">
        <w:t>making the best use of information technologies and ensuring the security of patient records</w:t>
      </w:r>
    </w:p>
    <w:p w14:paraId="0B48C9EB" w14:textId="77777777" w:rsidR="00AD72CC" w:rsidRPr="00BC0D1F" w:rsidRDefault="00AD72CC" w:rsidP="00493A42">
      <w:pPr>
        <w:pStyle w:val="Bullet"/>
      </w:pPr>
      <w:r w:rsidRPr="00BC0D1F">
        <w:t>making services more accessible, including more care closer to home</w:t>
      </w:r>
    </w:p>
    <w:p w14:paraId="02770654" w14:textId="76A3A208" w:rsidR="00AD72CC" w:rsidRDefault="00AD72CC" w:rsidP="00493A42">
      <w:pPr>
        <w:pStyle w:val="Bullet"/>
      </w:pPr>
      <w:r w:rsidRPr="00BC0D1F">
        <w:t xml:space="preserve">maintaining wellness for longer by improving prevention </w:t>
      </w:r>
    </w:p>
    <w:p w14:paraId="7E8C1100" w14:textId="7104F173" w:rsidR="005D6F4D" w:rsidRPr="00BC0D1F" w:rsidRDefault="005D6F4D" w:rsidP="00493A42">
      <w:pPr>
        <w:pStyle w:val="Bullet"/>
      </w:pPr>
      <w:r>
        <w:t>bowel screening</w:t>
      </w:r>
    </w:p>
    <w:p w14:paraId="2B3A82B5" w14:textId="77777777" w:rsidR="00AD72CC" w:rsidRPr="00BC0D1F" w:rsidRDefault="00AD72CC" w:rsidP="00493A42">
      <w:pPr>
        <w:pStyle w:val="Bullet"/>
      </w:pPr>
      <w:r w:rsidRPr="00BC0D1F">
        <w:t>reducing obesity and implementing a diabetes plan</w:t>
      </w:r>
    </w:p>
    <w:p w14:paraId="7EB52A73" w14:textId="77777777" w:rsidR="00AD72CC" w:rsidRPr="00BC0D1F" w:rsidRDefault="00AD72CC" w:rsidP="00493A42">
      <w:pPr>
        <w:pStyle w:val="Bullet"/>
      </w:pPr>
      <w:r w:rsidRPr="00BC0D1F">
        <w:t>improving the quality and safety of health services</w:t>
      </w:r>
    </w:p>
    <w:p w14:paraId="072A86AD" w14:textId="65AFBFD6" w:rsidR="00AD72CC" w:rsidRPr="00BC0D1F" w:rsidRDefault="00AD72CC" w:rsidP="00493A42">
      <w:pPr>
        <w:pStyle w:val="Bullet"/>
      </w:pPr>
      <w:r w:rsidRPr="00BC0D1F">
        <w:t>supporting the health of older people</w:t>
      </w:r>
    </w:p>
    <w:p w14:paraId="057D48EF" w14:textId="330A4A77" w:rsidR="00AD72CC" w:rsidRPr="00BC0D1F" w:rsidRDefault="005D6F4D" w:rsidP="00493A42">
      <w:pPr>
        <w:pStyle w:val="Bullet"/>
      </w:pPr>
      <w:r>
        <w:t xml:space="preserve">implementing </w:t>
      </w:r>
      <w:r w:rsidR="00AD72CC" w:rsidRPr="00BC0D1F">
        <w:t>Rising to the Challenge</w:t>
      </w:r>
    </w:p>
    <w:p w14:paraId="3E5437BC" w14:textId="689CC27D" w:rsidR="005D6F4D" w:rsidRDefault="005D6F4D" w:rsidP="005D6F4D">
      <w:pPr>
        <w:pStyle w:val="Bullet"/>
      </w:pPr>
      <w:proofErr w:type="spellStart"/>
      <w:r w:rsidRPr="00BC0D1F">
        <w:t>Smokefree</w:t>
      </w:r>
      <w:proofErr w:type="spellEnd"/>
      <w:r w:rsidRPr="00BC0D1F">
        <w:t xml:space="preserve"> </w:t>
      </w:r>
      <w:proofErr w:type="spellStart"/>
      <w:r w:rsidRPr="00BC0D1F">
        <w:t>Aotearoa</w:t>
      </w:r>
      <w:proofErr w:type="spellEnd"/>
      <w:r w:rsidRPr="00BC0D1F">
        <w:t xml:space="preserve"> New Zealand 2025</w:t>
      </w:r>
      <w:r w:rsidRPr="005D6F4D">
        <w:t xml:space="preserve"> </w:t>
      </w:r>
      <w:r w:rsidR="00403972">
        <w:rPr>
          <w:lang w:eastAsia="en-NZ"/>
        </w:rPr>
        <w:t>(including</w:t>
      </w:r>
      <w:r w:rsidR="00403972" w:rsidRPr="00BC0D1F">
        <w:rPr>
          <w:lang w:eastAsia="en-NZ"/>
        </w:rPr>
        <w:t xml:space="preserve"> the plain packaging amendment bill</w:t>
      </w:r>
      <w:r w:rsidR="00403972">
        <w:rPr>
          <w:lang w:eastAsia="en-NZ"/>
        </w:rPr>
        <w:t>)</w:t>
      </w:r>
    </w:p>
    <w:p w14:paraId="4615223F" w14:textId="3FEB0E8C" w:rsidR="005D6F4D" w:rsidRPr="00BC0D1F" w:rsidRDefault="005D6F4D" w:rsidP="005D6F4D">
      <w:pPr>
        <w:pStyle w:val="Bullet"/>
      </w:pPr>
      <w:r w:rsidRPr="00BC0D1F">
        <w:t>Therapeutic products regulatory regime</w:t>
      </w:r>
    </w:p>
    <w:p w14:paraId="33298AEA" w14:textId="476B0EAA" w:rsidR="00AD72CC" w:rsidRPr="00BC0D1F" w:rsidRDefault="005D6F4D" w:rsidP="005D6F4D">
      <w:pPr>
        <w:pStyle w:val="Bullet"/>
      </w:pPr>
      <w:r w:rsidRPr="00BC0D1F">
        <w:t>strengthening the health and disability workforce</w:t>
      </w:r>
      <w:r w:rsidRPr="005D6F4D">
        <w:t xml:space="preserve"> </w:t>
      </w:r>
    </w:p>
    <w:p w14:paraId="5BC30C9F" w14:textId="77777777" w:rsidR="00AD72CC" w:rsidRPr="00BC0D1F" w:rsidRDefault="00AD72CC" w:rsidP="00493A42">
      <w:pPr>
        <w:pStyle w:val="Bullet"/>
      </w:pPr>
      <w:proofErr w:type="gramStart"/>
      <w:r w:rsidRPr="00BC0D1F">
        <w:t>supporting</w:t>
      </w:r>
      <w:proofErr w:type="gramEnd"/>
      <w:r w:rsidRPr="00BC0D1F">
        <w:t xml:space="preserve"> regional and national collaboration.</w:t>
      </w:r>
    </w:p>
    <w:p w14:paraId="64C812E4" w14:textId="77777777" w:rsidR="00493A42" w:rsidRPr="00BC0D1F" w:rsidRDefault="00493A42" w:rsidP="00493A42"/>
    <w:p w14:paraId="34C07B89" w14:textId="77777777" w:rsidR="005D6F4D" w:rsidRPr="00BC0D1F" w:rsidRDefault="005D6F4D" w:rsidP="005D6F4D">
      <w:pPr>
        <w:pStyle w:val="Heading3"/>
      </w:pPr>
      <w:r w:rsidRPr="00BC0D1F">
        <w:t>Other Ministry priorities</w:t>
      </w:r>
    </w:p>
    <w:p w14:paraId="32B9073F" w14:textId="64EBA124" w:rsidR="00D27D7F" w:rsidRDefault="00D27D7F" w:rsidP="00D27D7F">
      <w:pPr>
        <w:pStyle w:val="Bullet"/>
        <w:numPr>
          <w:ilvl w:val="0"/>
          <w:numId w:val="0"/>
        </w:numPr>
      </w:pPr>
      <w:r w:rsidRPr="00BC0D1F">
        <w:t>The Ministry work</w:t>
      </w:r>
      <w:r>
        <w:t xml:space="preserve">ed </w:t>
      </w:r>
      <w:r w:rsidRPr="00BC0D1F">
        <w:t xml:space="preserve">on a number of </w:t>
      </w:r>
      <w:r>
        <w:t xml:space="preserve">priorities </w:t>
      </w:r>
      <w:r w:rsidRPr="00BC0D1F">
        <w:t xml:space="preserve">in the health and social sector, </w:t>
      </w:r>
      <w:r>
        <w:t>including:</w:t>
      </w:r>
    </w:p>
    <w:p w14:paraId="259150A8" w14:textId="7F57CB88" w:rsidR="005D6F4D" w:rsidRDefault="005D6F4D" w:rsidP="005D6F4D">
      <w:pPr>
        <w:pStyle w:val="Bullet"/>
      </w:pPr>
      <w:r w:rsidRPr="00BC0D1F">
        <w:t>Māori health research</w:t>
      </w:r>
      <w:r w:rsidRPr="005D6F4D">
        <w:t xml:space="preserve"> </w:t>
      </w:r>
    </w:p>
    <w:p w14:paraId="1B4BFD9D" w14:textId="52D00C14" w:rsidR="005D6F4D" w:rsidRDefault="005D6F4D" w:rsidP="005D6F4D">
      <w:pPr>
        <w:pStyle w:val="Bullet"/>
      </w:pPr>
      <w:r w:rsidRPr="00BC0D1F">
        <w:t>Pacific Innovation Fund</w:t>
      </w:r>
    </w:p>
    <w:p w14:paraId="78FBC8C1" w14:textId="77777777" w:rsidR="005D6F4D" w:rsidRDefault="005D6F4D" w:rsidP="005D6F4D">
      <w:pPr>
        <w:pStyle w:val="Bullet"/>
      </w:pPr>
      <w:r w:rsidRPr="00BC0D1F">
        <w:t>Maternal and child health</w:t>
      </w:r>
    </w:p>
    <w:p w14:paraId="2EEC3DBA" w14:textId="6A22F7AD" w:rsidR="005D6F4D" w:rsidRPr="00BC0D1F" w:rsidRDefault="005D6F4D" w:rsidP="005D6F4D">
      <w:pPr>
        <w:pStyle w:val="Bullet"/>
      </w:pPr>
      <w:r w:rsidRPr="00BC0D1F">
        <w:t>Oral health</w:t>
      </w:r>
      <w:r w:rsidR="00C02369">
        <w:t>.</w:t>
      </w:r>
    </w:p>
    <w:p w14:paraId="49D94300" w14:textId="77777777" w:rsidR="005D6F4D" w:rsidRPr="005D6F4D" w:rsidRDefault="005D6F4D" w:rsidP="005D6F4D"/>
    <w:p w14:paraId="6A899A94" w14:textId="77777777" w:rsidR="00AD72CC" w:rsidRPr="00BC0D1F" w:rsidRDefault="00AD72CC" w:rsidP="00493A42">
      <w:pPr>
        <w:pStyle w:val="Heading3"/>
      </w:pPr>
      <w:r w:rsidRPr="00BC0D1F">
        <w:t>The New Zealand Health Strategy</w:t>
      </w:r>
    </w:p>
    <w:p w14:paraId="3BFC133B" w14:textId="77777777" w:rsidR="00AD72CC" w:rsidRDefault="00AD72CC" w:rsidP="00493A42">
      <w:r w:rsidRPr="00BC0D1F">
        <w:t xml:space="preserve">As part of meeting its priorities, the Ministry released the 2016 New Zealand Health Strategy, which sets the direction for health services to improve the health of people and communities. It provides a road map for the health and disability system over five years to make the Strategy happen. The Strategy aims for all New Zealanders to live well, stay well and get well, in a system that is people-powered, provides services closer to home, </w:t>
      </w:r>
      <w:proofErr w:type="gramStart"/>
      <w:r w:rsidRPr="00BC0D1F">
        <w:t>is</w:t>
      </w:r>
      <w:proofErr w:type="gramEnd"/>
      <w:r w:rsidRPr="00BC0D1F">
        <w:t xml:space="preserve"> designed for value and high performance, and where the sector works as one team in a smart system.</w:t>
      </w:r>
    </w:p>
    <w:p w14:paraId="32370B39" w14:textId="77777777" w:rsidR="00666B83" w:rsidRDefault="00666B83" w:rsidP="00493A42"/>
    <w:p w14:paraId="16EDB316" w14:textId="51B151B1" w:rsidR="00666B83" w:rsidRPr="00666B83" w:rsidRDefault="000831C8" w:rsidP="00666B83">
      <w:pPr>
        <w:pStyle w:val="Heading3"/>
      </w:pPr>
      <w:r>
        <w:t>Improved health outcomes</w:t>
      </w:r>
    </w:p>
    <w:p w14:paraId="21556B40" w14:textId="1EE08F1E" w:rsidR="00D134CF" w:rsidRDefault="00D134CF" w:rsidP="00666B83">
      <w:r>
        <w:t xml:space="preserve">This </w:t>
      </w:r>
      <w:r w:rsidR="00867DD6">
        <w:t>a</w:t>
      </w:r>
      <w:r>
        <w:t xml:space="preserve">nnual </w:t>
      </w:r>
      <w:r w:rsidR="00867DD6">
        <w:t>r</w:t>
      </w:r>
      <w:r>
        <w:t>eport shows that our health system performs well: there has been an increase in the number of years a person can expect to live in good health and, overall, New Zealanders are living longer than ever before. New Zealand also performs well internationally with respect to life expectancy by health spending per capita: it has relatively high life expectancy for compar</w:t>
      </w:r>
      <w:r w:rsidR="000831C8">
        <w:t>atively modest he</w:t>
      </w:r>
      <w:r>
        <w:t>a</w:t>
      </w:r>
      <w:r w:rsidR="000831C8">
        <w:t>l</w:t>
      </w:r>
      <w:r>
        <w:t>th expenditure</w:t>
      </w:r>
      <w:r w:rsidR="000831C8">
        <w:t>.</w:t>
      </w:r>
    </w:p>
    <w:p w14:paraId="5760DBC9" w14:textId="77777777" w:rsidR="00D134CF" w:rsidRDefault="00D134CF" w:rsidP="00666B83"/>
    <w:p w14:paraId="276AF038" w14:textId="65004B97" w:rsidR="005D6F4D" w:rsidRDefault="00666B83" w:rsidP="00666B83">
      <w:r w:rsidRPr="00BC0D1F">
        <w:t>The mortality rate</w:t>
      </w:r>
      <w:r>
        <w:t>,</w:t>
      </w:r>
      <w:r w:rsidRPr="00BC0D1F">
        <w:t xml:space="preserve"> </w:t>
      </w:r>
      <w:r w:rsidRPr="0096278D">
        <w:t xml:space="preserve">from those conditions which </w:t>
      </w:r>
      <w:r>
        <w:t>reflect</w:t>
      </w:r>
      <w:r w:rsidRPr="0096278D">
        <w:t xml:space="preserve"> variation</w:t>
      </w:r>
      <w:r>
        <w:t>s</w:t>
      </w:r>
      <w:r w:rsidRPr="0096278D">
        <w:t xml:space="preserve"> in the cover and quality of health care (preventive or therapeutic services) delivered to individuals</w:t>
      </w:r>
      <w:r>
        <w:t xml:space="preserve">, </w:t>
      </w:r>
      <w:r w:rsidRPr="00BC0D1F">
        <w:t>has decreased by 29 percent over the last 10 years (from 132.0 per 100,000 people aged 0–74 years in 2004 to 93.5 per 100,000 in 2013). The decrease was evident across all ethnic groups</w:t>
      </w:r>
      <w:r w:rsidR="00D31F0B">
        <w:t>.</w:t>
      </w:r>
    </w:p>
    <w:p w14:paraId="0543AB7A" w14:textId="77777777" w:rsidR="00666B83" w:rsidRDefault="00666B83" w:rsidP="00666B83"/>
    <w:p w14:paraId="73F0BBA5" w14:textId="77777777" w:rsidR="00611BC5" w:rsidRPr="00611BC5" w:rsidRDefault="00611BC5" w:rsidP="00611BC5">
      <w:pPr>
        <w:pStyle w:val="Heading3"/>
      </w:pPr>
      <w:r w:rsidRPr="00E21A1D">
        <w:t>Better use of technology and information</w:t>
      </w:r>
    </w:p>
    <w:p w14:paraId="755BAF0F" w14:textId="32952F48" w:rsidR="00611BC5" w:rsidRPr="001972B7" w:rsidRDefault="00D31F0B" w:rsidP="00611BC5">
      <w:pPr>
        <w:rPr>
          <w:rFonts w:cs="Arial"/>
          <w:color w:val="000000"/>
        </w:rPr>
      </w:pPr>
      <w:r>
        <w:t>T</w:t>
      </w:r>
      <w:r w:rsidR="00611BC5">
        <w:t>he Ministry focused on using information in a smarter way to</w:t>
      </w:r>
      <w:r w:rsidR="00611BC5" w:rsidRPr="00A35FFD">
        <w:rPr>
          <w:rFonts w:cs="Arial"/>
          <w:color w:val="000000"/>
        </w:rPr>
        <w:t xml:space="preserve"> </w:t>
      </w:r>
      <w:r w:rsidR="00611BC5">
        <w:rPr>
          <w:rFonts w:cs="Arial"/>
          <w:color w:val="000000"/>
        </w:rPr>
        <w:t>gain</w:t>
      </w:r>
      <w:r w:rsidR="00611BC5" w:rsidRPr="00A35FFD">
        <w:rPr>
          <w:rFonts w:cs="Arial"/>
          <w:color w:val="000000"/>
        </w:rPr>
        <w:t xml:space="preserve"> a better understanding of the wider costs and outcomes associated with health conditions and health service use</w:t>
      </w:r>
      <w:r w:rsidR="00611BC5">
        <w:rPr>
          <w:rFonts w:cs="Arial"/>
          <w:color w:val="000000"/>
        </w:rPr>
        <w:t xml:space="preserve"> and improve </w:t>
      </w:r>
      <w:r w:rsidR="00611BC5" w:rsidRPr="00A35FFD">
        <w:rPr>
          <w:rFonts w:cs="Arial"/>
        </w:rPr>
        <w:t>delivery of services to populations at risk of poor social outcomes</w:t>
      </w:r>
      <w:r w:rsidR="00611BC5">
        <w:rPr>
          <w:rFonts w:cs="Arial"/>
        </w:rPr>
        <w:t xml:space="preserve">. The Ministry </w:t>
      </w:r>
      <w:r w:rsidR="00611BC5" w:rsidRPr="00A35FFD">
        <w:t xml:space="preserve">currently contributes data from 15 National Collections to the </w:t>
      </w:r>
      <w:r w:rsidR="00611BC5">
        <w:t xml:space="preserve">government’s </w:t>
      </w:r>
      <w:r w:rsidR="00611BC5" w:rsidRPr="00A35FFD">
        <w:t>Integrated Data Infrastructure (IDI)</w:t>
      </w:r>
      <w:r w:rsidR="00611BC5">
        <w:t xml:space="preserve"> and embarked on a multiyear </w:t>
      </w:r>
      <w:r w:rsidR="00611BC5" w:rsidRPr="00A35FFD">
        <w:rPr>
          <w:rFonts w:cs="Arial"/>
          <w:color w:val="000000"/>
        </w:rPr>
        <w:t xml:space="preserve">research programme </w:t>
      </w:r>
      <w:r w:rsidR="00611BC5">
        <w:rPr>
          <w:rFonts w:cs="Arial"/>
          <w:color w:val="000000"/>
        </w:rPr>
        <w:t>to</w:t>
      </w:r>
      <w:r w:rsidR="00611BC5" w:rsidRPr="00A35FFD">
        <w:rPr>
          <w:rFonts w:cs="Arial"/>
          <w:color w:val="000000"/>
        </w:rPr>
        <w:t xml:space="preserve"> </w:t>
      </w:r>
      <w:r w:rsidR="00611BC5">
        <w:rPr>
          <w:rFonts w:cs="Arial"/>
          <w:color w:val="000000"/>
        </w:rPr>
        <w:t xml:space="preserve">learn </w:t>
      </w:r>
      <w:r w:rsidR="00611BC5" w:rsidRPr="00A35FFD">
        <w:rPr>
          <w:rFonts w:cs="Arial"/>
          <w:color w:val="000000"/>
        </w:rPr>
        <w:t>more about the relationship between people’s health and social outcomes, and the health profiles of priority populations.</w:t>
      </w:r>
      <w:r w:rsidR="00611BC5">
        <w:rPr>
          <w:rFonts w:cs="Arial"/>
          <w:color w:val="000000"/>
        </w:rPr>
        <w:t xml:space="preserve"> </w:t>
      </w:r>
      <w:r w:rsidR="00611BC5">
        <w:rPr>
          <w:noProof/>
          <w:lang w:eastAsia="en-NZ"/>
        </w:rPr>
        <w:t xml:space="preserve">Work has also been accelerated on the </w:t>
      </w:r>
      <w:r w:rsidR="00611BC5" w:rsidRPr="00BC0D1F">
        <w:rPr>
          <w:noProof/>
          <w:lang w:eastAsia="en-NZ"/>
        </w:rPr>
        <w:t xml:space="preserve">Digital Health Work Programme </w:t>
      </w:r>
      <w:r w:rsidR="00611BC5">
        <w:rPr>
          <w:noProof/>
          <w:lang w:eastAsia="en-NZ"/>
        </w:rPr>
        <w:t>to</w:t>
      </w:r>
      <w:r w:rsidR="00611BC5" w:rsidRPr="00BC0D1F">
        <w:rPr>
          <w:noProof/>
          <w:lang w:eastAsia="en-NZ"/>
        </w:rPr>
        <w:t xml:space="preserve"> improve outcomes for New Zealanders through the smart use of digital health solutions. Initiatives include the establishment of a single electronic health record (EHR)</w:t>
      </w:r>
      <w:r w:rsidR="00611BC5">
        <w:rPr>
          <w:noProof/>
          <w:lang w:eastAsia="en-NZ"/>
        </w:rPr>
        <w:t>.</w:t>
      </w:r>
    </w:p>
    <w:p w14:paraId="507A94C0" w14:textId="77777777" w:rsidR="00493A42" w:rsidRPr="00BC0D1F" w:rsidRDefault="00493A42" w:rsidP="00493A42"/>
    <w:p w14:paraId="09A96D2F" w14:textId="77777777" w:rsidR="00AD72CC" w:rsidRPr="00BC0D1F" w:rsidRDefault="00AD72CC" w:rsidP="00493A42">
      <w:pPr>
        <w:pStyle w:val="Heading3"/>
      </w:pPr>
      <w:r w:rsidRPr="00BC0D1F">
        <w:t>Ministry on the Move</w:t>
      </w:r>
    </w:p>
    <w:p w14:paraId="43CE58F9" w14:textId="48E38BD0" w:rsidR="00AD72CC" w:rsidRPr="00BC0D1F" w:rsidRDefault="00AD72CC" w:rsidP="00493A42">
      <w:r w:rsidRPr="00BC0D1F">
        <w:t>In 2015 the Ministry began a programme of change</w:t>
      </w:r>
      <w:r w:rsidR="000157EF">
        <w:t>.</w:t>
      </w:r>
      <w:r w:rsidRPr="00BC0D1F">
        <w:t xml:space="preserve"> Ministry on the Move will position the Ministry to </w:t>
      </w:r>
      <w:r w:rsidR="000157EF">
        <w:t>implement</w:t>
      </w:r>
      <w:r w:rsidR="000157EF" w:rsidRPr="00BC0D1F">
        <w:t xml:space="preserve"> </w:t>
      </w:r>
      <w:r w:rsidRPr="00BC0D1F">
        <w:t>the New Zealand Health Strategy and is designed to:</w:t>
      </w:r>
    </w:p>
    <w:p w14:paraId="5E382B70" w14:textId="77777777" w:rsidR="00AD72CC" w:rsidRPr="00BC0D1F" w:rsidRDefault="00AD72CC" w:rsidP="00493A42">
      <w:pPr>
        <w:pStyle w:val="Bullet"/>
      </w:pPr>
      <w:r w:rsidRPr="00BC0D1F">
        <w:t>strengthen the Ministry</w:t>
      </w:r>
      <w:r w:rsidR="00DF4B9A" w:rsidRPr="00BC0D1F">
        <w:t>’</w:t>
      </w:r>
      <w:r w:rsidRPr="00BC0D1F">
        <w:t>s leadership and performance</w:t>
      </w:r>
    </w:p>
    <w:p w14:paraId="2BE73F81" w14:textId="77777777" w:rsidR="00AD72CC" w:rsidRPr="00BC0D1F" w:rsidRDefault="00AD72CC" w:rsidP="00493A42">
      <w:pPr>
        <w:pStyle w:val="Bullet"/>
      </w:pPr>
      <w:r w:rsidRPr="00BC0D1F">
        <w:t>create a more agile organisation</w:t>
      </w:r>
    </w:p>
    <w:p w14:paraId="617C0D34" w14:textId="77777777" w:rsidR="00DF4B9A" w:rsidRPr="00BC0D1F" w:rsidRDefault="00AD72CC" w:rsidP="00493A42">
      <w:pPr>
        <w:pStyle w:val="Bullet"/>
      </w:pPr>
      <w:proofErr w:type="gramStart"/>
      <w:r w:rsidRPr="00BC0D1F">
        <w:t>establish</w:t>
      </w:r>
      <w:proofErr w:type="gramEnd"/>
      <w:r w:rsidRPr="00BC0D1F">
        <w:t xml:space="preserve"> a more outcome focused and collaborative approach to the Ministry</w:t>
      </w:r>
      <w:r w:rsidR="00DF4B9A" w:rsidRPr="00BC0D1F">
        <w:t>’</w:t>
      </w:r>
      <w:r w:rsidRPr="00BC0D1F">
        <w:t>s role in the health and disability system.</w:t>
      </w:r>
    </w:p>
    <w:p w14:paraId="6F137FD2" w14:textId="77777777" w:rsidR="00493A42" w:rsidRDefault="00493A42" w:rsidP="00493A42"/>
    <w:p w14:paraId="5A1B85C3" w14:textId="272EE869" w:rsidR="000157EF" w:rsidRPr="00BC0D1F" w:rsidRDefault="000157EF" w:rsidP="00493A42">
      <w:r w:rsidRPr="00BC0D1F">
        <w:t xml:space="preserve">The programme will be delivered over </w:t>
      </w:r>
      <w:r w:rsidR="00D13004">
        <w:t>five</w:t>
      </w:r>
      <w:r w:rsidRPr="00BC0D1F">
        <w:t xml:space="preserve"> years</w:t>
      </w:r>
      <w:r>
        <w:t>.</w:t>
      </w:r>
    </w:p>
    <w:p w14:paraId="6CE76806" w14:textId="36FD8E35" w:rsidR="00AD72CC" w:rsidRPr="00BC0D1F" w:rsidRDefault="00AD72CC" w:rsidP="00493A42">
      <w:pPr>
        <w:pStyle w:val="Heading1"/>
      </w:pPr>
      <w:bookmarkStart w:id="7" w:name="_Toc459730005"/>
      <w:bookmarkStart w:id="8" w:name="_Toc461544279"/>
      <w:bookmarkStart w:id="9" w:name="_Toc463507909"/>
      <w:r w:rsidRPr="00BC0D1F">
        <w:lastRenderedPageBreak/>
        <w:t>Strategic direction</w:t>
      </w:r>
      <w:bookmarkEnd w:id="6"/>
      <w:bookmarkEnd w:id="7"/>
      <w:bookmarkEnd w:id="8"/>
      <w:bookmarkEnd w:id="9"/>
    </w:p>
    <w:p w14:paraId="048E9463" w14:textId="79576B74" w:rsidR="00DF4B9A" w:rsidRPr="00BC0D1F" w:rsidRDefault="00AD72CC" w:rsidP="00493A42">
      <w:pPr>
        <w:rPr>
          <w:noProof/>
          <w:lang w:eastAsia="en-NZ"/>
        </w:rPr>
      </w:pPr>
      <w:r w:rsidRPr="00BC0D1F">
        <w:rPr>
          <w:noProof/>
          <w:lang w:eastAsia="en-NZ"/>
        </w:rPr>
        <w:t xml:space="preserve">The improved wellbeing and health of New Zealanders is being achieved by delivering health services that are accessible, safe, individual- and family-centred, clinically effective and cost-effective. The Ministry has multifaceted </w:t>
      </w:r>
      <w:r w:rsidR="00401C54">
        <w:rPr>
          <w:noProof/>
          <w:lang w:eastAsia="en-NZ"/>
        </w:rPr>
        <w:t>strategies</w:t>
      </w:r>
      <w:r w:rsidRPr="00BC0D1F">
        <w:rPr>
          <w:noProof/>
          <w:lang w:eastAsia="en-NZ"/>
        </w:rPr>
        <w:t>, as is appropriate for a complex organisation with complex sector requirements.</w:t>
      </w:r>
    </w:p>
    <w:p w14:paraId="6CDF4426" w14:textId="77777777" w:rsidR="00AD72CC" w:rsidRPr="00BC0D1F" w:rsidRDefault="00AD72CC" w:rsidP="00493A42">
      <w:pPr>
        <w:rPr>
          <w:noProof/>
          <w:lang w:eastAsia="en-NZ"/>
        </w:rPr>
      </w:pPr>
    </w:p>
    <w:p w14:paraId="4C4649C2" w14:textId="29C22E2A" w:rsidR="00DF4B9A" w:rsidRPr="00BC0D1F" w:rsidRDefault="00AD72CC" w:rsidP="00493A42">
      <w:pPr>
        <w:pStyle w:val="Heading2"/>
      </w:pPr>
      <w:bookmarkStart w:id="10" w:name="_Toc430768800"/>
      <w:bookmarkStart w:id="11" w:name="_Toc459730006"/>
      <w:bookmarkStart w:id="12" w:name="_Toc461544280"/>
      <w:bookmarkStart w:id="13" w:name="_Toc463507910"/>
      <w:r w:rsidRPr="00BC0D1F">
        <w:t>The Government</w:t>
      </w:r>
      <w:r w:rsidR="00DF4B9A" w:rsidRPr="00BC0D1F">
        <w:t>’</w:t>
      </w:r>
      <w:r w:rsidRPr="00BC0D1F">
        <w:t>s priorities</w:t>
      </w:r>
      <w:bookmarkEnd w:id="10"/>
      <w:bookmarkEnd w:id="11"/>
      <w:bookmarkEnd w:id="12"/>
      <w:bookmarkEnd w:id="13"/>
    </w:p>
    <w:p w14:paraId="3F887D4E" w14:textId="77777777" w:rsidR="00AD72CC" w:rsidRPr="00BC0D1F" w:rsidRDefault="00AD72CC" w:rsidP="00493A42">
      <w:pPr>
        <w:pStyle w:val="Heading3"/>
      </w:pPr>
      <w:r w:rsidRPr="00BC0D1F">
        <w:t>Delivering Better Public Services in a challenging fiscal environment</w:t>
      </w:r>
    </w:p>
    <w:p w14:paraId="723BED67" w14:textId="77777777" w:rsidR="00AD72CC" w:rsidRPr="00BC0D1F" w:rsidRDefault="00AD72CC" w:rsidP="00493A42">
      <w:pPr>
        <w:pStyle w:val="Heading4"/>
      </w:pPr>
      <w:r w:rsidRPr="00BC0D1F">
        <w:t>Supporting vulnerable children</w:t>
      </w:r>
    </w:p>
    <w:p w14:paraId="000F80FB" w14:textId="77777777" w:rsidR="00AD72CC" w:rsidRPr="00BC0D1F" w:rsidRDefault="00AD72CC" w:rsidP="00493A42">
      <w:pPr>
        <w:rPr>
          <w:noProof/>
          <w:lang w:eastAsia="en-NZ"/>
        </w:rPr>
      </w:pPr>
      <w:r w:rsidRPr="00BC0D1F">
        <w:rPr>
          <w:noProof/>
          <w:lang w:eastAsia="en-NZ"/>
        </w:rPr>
        <w:t>The cross-government action plan to reduce household crowding and rheumatic fever is part of the Government</w:t>
      </w:r>
      <w:r w:rsidR="00DF4B9A" w:rsidRPr="00BC0D1F">
        <w:rPr>
          <w:noProof/>
          <w:lang w:eastAsia="en-NZ"/>
        </w:rPr>
        <w:t>’</w:t>
      </w:r>
      <w:r w:rsidRPr="00BC0D1F">
        <w:rPr>
          <w:noProof/>
          <w:lang w:eastAsia="en-NZ"/>
        </w:rPr>
        <w:t>s commitment to Better Public Services. It contributes to a target to reduce first-incidence rheumatic fever by two-thirds by June 2017.</w:t>
      </w:r>
    </w:p>
    <w:p w14:paraId="6DD3DAB2" w14:textId="77777777" w:rsidR="00AD72CC" w:rsidRPr="00BC0D1F" w:rsidRDefault="00AD72CC" w:rsidP="00493A42">
      <w:pPr>
        <w:rPr>
          <w:noProof/>
          <w:lang w:eastAsia="en-NZ"/>
        </w:rPr>
      </w:pPr>
    </w:p>
    <w:p w14:paraId="7379E3BC" w14:textId="77777777" w:rsidR="00DF4B9A" w:rsidRPr="00BC0D1F" w:rsidRDefault="00AD72CC" w:rsidP="00493A42">
      <w:pPr>
        <w:rPr>
          <w:noProof/>
          <w:lang w:eastAsia="en-NZ"/>
        </w:rPr>
      </w:pPr>
      <w:r w:rsidRPr="00BC0D1F">
        <w:rPr>
          <w:noProof/>
          <w:lang w:eastAsia="en-NZ"/>
        </w:rPr>
        <w:t>An updated action plan was agreed by Social Sector Board chief executives in August 2015, and quarterly reports on progress are made to the board</w:t>
      </w:r>
      <w:r w:rsidR="00DF4B9A" w:rsidRPr="00BC0D1F">
        <w:rPr>
          <w:noProof/>
          <w:lang w:eastAsia="en-NZ"/>
        </w:rPr>
        <w:t>’</w:t>
      </w:r>
      <w:r w:rsidRPr="00BC0D1F">
        <w:rPr>
          <w:noProof/>
          <w:lang w:eastAsia="en-NZ"/>
        </w:rPr>
        <w:t>s deputy chief executives. An investment case on healthy housing interventions was developed in the second half of 2015 as part of the Social Sector Investment Change Programme</w:t>
      </w:r>
      <w:r w:rsidR="00DF4B9A" w:rsidRPr="00BC0D1F">
        <w:rPr>
          <w:noProof/>
          <w:lang w:eastAsia="en-NZ"/>
        </w:rPr>
        <w:t>’</w:t>
      </w:r>
      <w:r w:rsidRPr="00BC0D1F">
        <w:rPr>
          <w:noProof/>
          <w:lang w:eastAsia="en-NZ"/>
        </w:rPr>
        <w:t xml:space="preserve">s focus on an identified at-risk </w:t>
      </w:r>
      <w:r w:rsidRPr="00BC0D1F">
        <w:t>zero to five</w:t>
      </w:r>
      <w:r w:rsidRPr="00BC0D1F">
        <w:rPr>
          <w:noProof/>
          <w:lang w:eastAsia="en-NZ"/>
        </w:rPr>
        <w:t xml:space="preserve"> years priority population. This investment case proposed to expand the Healthy Homes Initiatives model to populations other than families with children at risk of rheumatic fever.</w:t>
      </w:r>
    </w:p>
    <w:p w14:paraId="2622A1B4" w14:textId="77777777" w:rsidR="00493A42" w:rsidRPr="00BC0D1F" w:rsidRDefault="00493A42" w:rsidP="00493A42">
      <w:pPr>
        <w:rPr>
          <w:noProof/>
          <w:lang w:eastAsia="en-NZ"/>
        </w:rPr>
      </w:pPr>
    </w:p>
    <w:p w14:paraId="19A23A5A" w14:textId="77777777" w:rsidR="00AD72CC" w:rsidRPr="00BC0D1F" w:rsidRDefault="00AD72CC" w:rsidP="00493A42">
      <w:pPr>
        <w:pStyle w:val="Heading4"/>
      </w:pPr>
      <w:r w:rsidRPr="00BC0D1F">
        <w:t>Investment cases</w:t>
      </w:r>
    </w:p>
    <w:p w14:paraId="7FA55EDD" w14:textId="77777777" w:rsidR="00AD72CC" w:rsidRPr="00BC0D1F" w:rsidRDefault="00AD72CC" w:rsidP="00493A42">
      <w:pPr>
        <w:rPr>
          <w:noProof/>
          <w:lang w:eastAsia="en-NZ"/>
        </w:rPr>
      </w:pPr>
      <w:r w:rsidRPr="00BC0D1F">
        <w:rPr>
          <w:noProof/>
          <w:lang w:eastAsia="en-NZ"/>
        </w:rPr>
        <w:t>Investment cases were developed for the cross-agency social sector work programme to meet the Better Public Services 1 target. These looked at early interventions to reduce the impacts of health conditions on employment, and interventions to reduce welfare dependence. These investment cases are being considered as part of the budget process.</w:t>
      </w:r>
    </w:p>
    <w:p w14:paraId="06355221" w14:textId="77777777" w:rsidR="00493A42" w:rsidRPr="00BC0D1F" w:rsidRDefault="00493A42" w:rsidP="00493A42">
      <w:pPr>
        <w:rPr>
          <w:noProof/>
          <w:lang w:eastAsia="en-NZ"/>
        </w:rPr>
      </w:pPr>
    </w:p>
    <w:p w14:paraId="469C699F" w14:textId="77777777" w:rsidR="00AD72CC" w:rsidRPr="00BC0D1F" w:rsidRDefault="00AD72CC" w:rsidP="00493A42">
      <w:pPr>
        <w:pStyle w:val="Heading4"/>
      </w:pPr>
      <w:r w:rsidRPr="00BC0D1F">
        <w:t>Increasing immunisation rates for infants</w:t>
      </w:r>
    </w:p>
    <w:p w14:paraId="798CC3FD" w14:textId="4D96B9CB" w:rsidR="00AD72CC" w:rsidRPr="00BC0D1F" w:rsidRDefault="00AD72CC" w:rsidP="00493A42">
      <w:pPr>
        <w:rPr>
          <w:noProof/>
          <w:lang w:eastAsia="en-NZ"/>
        </w:rPr>
      </w:pPr>
      <w:r w:rsidRPr="00BC0D1F">
        <w:rPr>
          <w:noProof/>
          <w:lang w:eastAsia="en-NZ"/>
        </w:rPr>
        <w:t xml:space="preserve">The Ministry is responsible for a cross-government programme to achieve the Better Public Services result of increased immunisation: the target is for 95 percent of infants receiving their primary course of immunisation on time, maintained through to 30 June 2017. </w:t>
      </w:r>
      <w:r w:rsidR="002D75A1">
        <w:rPr>
          <w:noProof/>
          <w:lang w:eastAsia="en-NZ"/>
        </w:rPr>
        <w:t>In the fourth quarter of</w:t>
      </w:r>
      <w:r w:rsidR="00D13004">
        <w:rPr>
          <w:noProof/>
          <w:lang w:eastAsia="en-NZ"/>
        </w:rPr>
        <w:t xml:space="preserve"> </w:t>
      </w:r>
      <w:r w:rsidRPr="00BC0D1F">
        <w:rPr>
          <w:noProof/>
          <w:lang w:eastAsia="en-NZ"/>
        </w:rPr>
        <w:t xml:space="preserve">2016, </w:t>
      </w:r>
      <w:r w:rsidR="002D75A1">
        <w:rPr>
          <w:noProof/>
          <w:lang w:eastAsia="en-NZ"/>
        </w:rPr>
        <w:t>92.8</w:t>
      </w:r>
      <w:r w:rsidRPr="00BC0D1F">
        <w:rPr>
          <w:noProof/>
          <w:lang w:eastAsia="en-NZ"/>
        </w:rPr>
        <w:t xml:space="preserve"> percent of eight-month-olds were fully immunised. When coverage for the primary series of vaccines is measured at age 12 months rather than eight months, the coverage rate is 94.</w:t>
      </w:r>
      <w:r w:rsidR="002D75A1">
        <w:rPr>
          <w:noProof/>
          <w:lang w:eastAsia="en-NZ"/>
        </w:rPr>
        <w:t>4</w:t>
      </w:r>
      <w:r w:rsidR="002D75A1" w:rsidRPr="00BC0D1F">
        <w:rPr>
          <w:noProof/>
          <w:lang w:eastAsia="en-NZ"/>
        </w:rPr>
        <w:t xml:space="preserve"> </w:t>
      </w:r>
      <w:r w:rsidRPr="00BC0D1F">
        <w:rPr>
          <w:noProof/>
          <w:lang w:eastAsia="en-NZ"/>
        </w:rPr>
        <w:t>percent. This shows that the target can be met if timeliness of immunisation is addressed by immunisation services.</w:t>
      </w:r>
    </w:p>
    <w:p w14:paraId="2847A8D6" w14:textId="77777777" w:rsidR="00493A42" w:rsidRPr="00BC0D1F" w:rsidRDefault="00493A42" w:rsidP="00493A42">
      <w:pPr>
        <w:rPr>
          <w:noProof/>
          <w:lang w:eastAsia="en-NZ"/>
        </w:rPr>
      </w:pPr>
    </w:p>
    <w:p w14:paraId="6024F12F" w14:textId="77777777" w:rsidR="00AD72CC" w:rsidRPr="00BC0D1F" w:rsidRDefault="00AD72CC" w:rsidP="00493A42">
      <w:pPr>
        <w:pStyle w:val="Heading4"/>
      </w:pPr>
      <w:r w:rsidRPr="00BC0D1F">
        <w:t xml:space="preserve">Procurement </w:t>
      </w:r>
      <w:r w:rsidR="00493A42" w:rsidRPr="00BC0D1F">
        <w:t>s</w:t>
      </w:r>
      <w:r w:rsidRPr="00BC0D1F">
        <w:t>trategy</w:t>
      </w:r>
    </w:p>
    <w:p w14:paraId="044570F1" w14:textId="77777777" w:rsidR="00AD72CC" w:rsidRPr="00BC0D1F" w:rsidRDefault="00AD72CC" w:rsidP="00493A42">
      <w:pPr>
        <w:keepLines/>
        <w:rPr>
          <w:noProof/>
          <w:lang w:eastAsia="en-NZ"/>
        </w:rPr>
      </w:pPr>
      <w:r w:rsidRPr="00BC0D1F">
        <w:rPr>
          <w:noProof/>
          <w:lang w:eastAsia="en-NZ"/>
        </w:rPr>
        <w:t>The Ministry continues to support the Government Procurement Reform Programme to ensure the procurement of social-sector contracting is more effective and efficient and aligns with the Government</w:t>
      </w:r>
      <w:r w:rsidR="00DF4B9A" w:rsidRPr="00BC0D1F">
        <w:rPr>
          <w:noProof/>
          <w:lang w:eastAsia="en-NZ"/>
        </w:rPr>
        <w:t>’</w:t>
      </w:r>
      <w:r w:rsidRPr="00BC0D1F">
        <w:rPr>
          <w:noProof/>
          <w:lang w:eastAsia="en-NZ"/>
        </w:rPr>
        <w:t>s Better Public Services priorities. The Ministry is engaged in all-of-government and cross-agency activities, which involves significant partnership with our colleagues in the Ministry of Social Development; Ministry of Business, Innovation and Employment; The Treasury; and other agencies.</w:t>
      </w:r>
    </w:p>
    <w:p w14:paraId="770A915C" w14:textId="77777777" w:rsidR="00AD72CC" w:rsidRPr="00BC0D1F" w:rsidRDefault="00AD72CC" w:rsidP="00493A42"/>
    <w:p w14:paraId="6B775F05" w14:textId="77777777" w:rsidR="00DF4B9A" w:rsidRPr="00BC0D1F" w:rsidRDefault="00AD72CC" w:rsidP="00493A42">
      <w:pPr>
        <w:pStyle w:val="Heading3"/>
      </w:pPr>
      <w:r w:rsidRPr="00BC0D1F">
        <w:t>Responsibly managing the government</w:t>
      </w:r>
      <w:r w:rsidR="00DF4B9A" w:rsidRPr="00BC0D1F">
        <w:t>’</w:t>
      </w:r>
      <w:r w:rsidRPr="00BC0D1F">
        <w:t>s finances</w:t>
      </w:r>
    </w:p>
    <w:p w14:paraId="5D853288" w14:textId="77777777" w:rsidR="00AD72CC" w:rsidRPr="00BC0D1F" w:rsidRDefault="00AD72CC" w:rsidP="00493A42">
      <w:pPr>
        <w:rPr>
          <w:noProof/>
          <w:lang w:eastAsia="en-NZ"/>
        </w:rPr>
      </w:pPr>
      <w:r w:rsidRPr="00BC0D1F">
        <w:rPr>
          <w:noProof/>
          <w:lang w:eastAsia="en-NZ"/>
        </w:rPr>
        <w:t>The Ministry is ensuring that government finances are managed responsibly with other organisations, including ACC and Health Partnerships Limited, as follows.</w:t>
      </w:r>
    </w:p>
    <w:p w14:paraId="59F08503" w14:textId="77777777" w:rsidR="00AD72CC" w:rsidRPr="00BC0D1F" w:rsidRDefault="00AD72CC" w:rsidP="00493A42">
      <w:pPr>
        <w:pStyle w:val="Bullet"/>
      </w:pPr>
      <w:r w:rsidRPr="00BC0D1F">
        <w:t>Accident Compensation Corporation (ACC): the Ministry works with ACC to develop the annual agreement between the Minister of Health and the Minister for ACC for the ACC public health acute services. The 2015/16 agreement was approved and the 2016/17 agreement is awaiting final approval between the two ministries.</w:t>
      </w:r>
    </w:p>
    <w:p w14:paraId="7B2BBCB9" w14:textId="77777777" w:rsidR="00AD72CC" w:rsidRPr="00BC0D1F" w:rsidRDefault="00AD72CC" w:rsidP="00493A42">
      <w:pPr>
        <w:pStyle w:val="Bullet"/>
      </w:pPr>
      <w:r w:rsidRPr="00BC0D1F">
        <w:t>Health Partnerships Limited: New Zealand Health Partnerships Limited (NZHPL) is a multi-parent Crown entity subsidiary that is supported and owned by New Zealand</w:t>
      </w:r>
      <w:r w:rsidR="00DF4B9A" w:rsidRPr="00BC0D1F">
        <w:t>’</w:t>
      </w:r>
      <w:r w:rsidRPr="00BC0D1F">
        <w:t>s 20 district health boards (DHBs). The Ministry has closely supported this organisation through its transition at an organisational governance level, as well as in progressing NZHPL</w:t>
      </w:r>
      <w:r w:rsidR="00DF4B9A" w:rsidRPr="00BC0D1F">
        <w:t>’</w:t>
      </w:r>
      <w:r w:rsidRPr="00BC0D1F">
        <w:t>s shared services work programme (including food services, linen and laundry, the National Infrastructure Plan and the National Oracle Solution).</w:t>
      </w:r>
    </w:p>
    <w:p w14:paraId="57F3EFFB" w14:textId="77777777" w:rsidR="00AD72CC" w:rsidRPr="00BC0D1F" w:rsidRDefault="00AD72CC" w:rsidP="00493A42">
      <w:pPr>
        <w:rPr>
          <w:noProof/>
          <w:lang w:eastAsia="en-NZ"/>
        </w:rPr>
      </w:pPr>
    </w:p>
    <w:p w14:paraId="444A43E1" w14:textId="77777777" w:rsidR="00AD72CC" w:rsidRPr="00BC0D1F" w:rsidRDefault="00AD72CC" w:rsidP="00493A42">
      <w:pPr>
        <w:rPr>
          <w:noProof/>
          <w:lang w:eastAsia="en-NZ"/>
        </w:rPr>
      </w:pPr>
      <w:r w:rsidRPr="00BC0D1F">
        <w:rPr>
          <w:noProof/>
          <w:lang w:eastAsia="en-NZ"/>
        </w:rPr>
        <w:t>The Ministry is ensuring that government finances are managed responsibly within the Ministry through its work in the following two areas.</w:t>
      </w:r>
    </w:p>
    <w:p w14:paraId="701AE474" w14:textId="77777777" w:rsidR="00493A42" w:rsidRPr="00BC0D1F" w:rsidRDefault="00493A42" w:rsidP="00493A42">
      <w:pPr>
        <w:rPr>
          <w:noProof/>
          <w:lang w:eastAsia="en-NZ"/>
        </w:rPr>
      </w:pPr>
    </w:p>
    <w:p w14:paraId="52BB2E8D" w14:textId="77777777" w:rsidR="00AD72CC" w:rsidRPr="00BC0D1F" w:rsidRDefault="00AD72CC" w:rsidP="00493A42">
      <w:pPr>
        <w:pStyle w:val="Heading4"/>
      </w:pPr>
      <w:r w:rsidRPr="00BC0D1F">
        <w:t>Single national residential pricing tool</w:t>
      </w:r>
    </w:p>
    <w:p w14:paraId="71F5AD2A" w14:textId="77777777" w:rsidR="00AD72CC" w:rsidRPr="00BC0D1F" w:rsidRDefault="00AD72CC" w:rsidP="00493A42">
      <w:pPr>
        <w:rPr>
          <w:noProof/>
          <w:lang w:eastAsia="en-NZ"/>
        </w:rPr>
      </w:pPr>
      <w:bookmarkStart w:id="14" w:name="_Toc458160960"/>
      <w:r w:rsidRPr="00BC0D1F">
        <w:rPr>
          <w:noProof/>
          <w:lang w:eastAsia="en-NZ"/>
        </w:rPr>
        <w:t>Disability Support Services continues to work on a business case to move to a single national residential pricing tool. KPMG</w:t>
      </w:r>
      <w:r w:rsidRPr="00BC0D1F">
        <w:t xml:space="preserve"> was contracted by the Ministry to undertake an</w:t>
      </w:r>
      <w:r w:rsidRPr="00BC0D1F">
        <w:rPr>
          <w:noProof/>
          <w:lang w:eastAsia="en-NZ"/>
        </w:rPr>
        <w:t xml:space="preserve"> analysis, which will now be used to form the basis of a funding proposal. This single model will result in national consistency, transparency and equity in residential funding across all providers.</w:t>
      </w:r>
      <w:bookmarkEnd w:id="14"/>
      <w:r w:rsidRPr="00BC0D1F">
        <w:rPr>
          <w:noProof/>
          <w:lang w:eastAsia="en-NZ"/>
        </w:rPr>
        <w:t xml:space="preserve"> This work programme will continue into the 2016/17 financial year.</w:t>
      </w:r>
    </w:p>
    <w:p w14:paraId="79010B35" w14:textId="77777777" w:rsidR="00493A42" w:rsidRPr="00BC0D1F" w:rsidRDefault="00493A42" w:rsidP="00493A42">
      <w:pPr>
        <w:rPr>
          <w:noProof/>
          <w:lang w:eastAsia="en-NZ"/>
        </w:rPr>
      </w:pPr>
    </w:p>
    <w:p w14:paraId="3817E046" w14:textId="77777777" w:rsidR="00AD72CC" w:rsidRPr="00BC0D1F" w:rsidRDefault="00AD72CC" w:rsidP="00493A42">
      <w:pPr>
        <w:pStyle w:val="Heading4"/>
      </w:pPr>
      <w:r w:rsidRPr="00BC0D1F">
        <w:t>Pharmacy Action Plan</w:t>
      </w:r>
    </w:p>
    <w:p w14:paraId="0703A630" w14:textId="77777777" w:rsidR="00AD72CC" w:rsidRPr="00BC0D1F" w:rsidRDefault="00AD72CC" w:rsidP="00493A42">
      <w:pPr>
        <w:rPr>
          <w:noProof/>
          <w:lang w:eastAsia="en-NZ"/>
        </w:rPr>
      </w:pPr>
      <w:r w:rsidRPr="00BC0D1F">
        <w:rPr>
          <w:noProof/>
          <w:lang w:eastAsia="en-NZ"/>
        </w:rPr>
        <w:t>The Pharmacy Action Plan was launched in June 2016. This five-year plan provides the foundation for delivering integrated pharmacy services across a broader range of settings. It signals the intention to make best use of the capacity and capability of the pharmacy workforce, particularly in medicines management. It also outlines how pharmacists, other health practitioners, funders, key organisations and the Ministry will work together to support transformation, innovation and new integrated models of care.</w:t>
      </w:r>
    </w:p>
    <w:p w14:paraId="320B413A" w14:textId="77777777" w:rsidR="00493A42" w:rsidRPr="00BC0D1F" w:rsidRDefault="00493A42" w:rsidP="00493A42">
      <w:pPr>
        <w:rPr>
          <w:noProof/>
          <w:lang w:eastAsia="en-NZ"/>
        </w:rPr>
      </w:pPr>
    </w:p>
    <w:p w14:paraId="74D213FA" w14:textId="77777777" w:rsidR="00DF4B9A" w:rsidRPr="00BC0D1F" w:rsidRDefault="00AD72CC" w:rsidP="00493A42">
      <w:pPr>
        <w:pStyle w:val="Heading3"/>
      </w:pPr>
      <w:r w:rsidRPr="00BC0D1F">
        <w:t>Supporting the Christchurch rebuild</w:t>
      </w:r>
    </w:p>
    <w:p w14:paraId="3A5549B8" w14:textId="33BC17F2" w:rsidR="00AD72CC" w:rsidRPr="00BC0D1F" w:rsidRDefault="00AD72CC" w:rsidP="00493A42">
      <w:pPr>
        <w:pStyle w:val="Heading4"/>
      </w:pPr>
      <w:r w:rsidRPr="00BC0D1F">
        <w:t xml:space="preserve">Hospital </w:t>
      </w:r>
      <w:r w:rsidR="00493A42" w:rsidRPr="00BC0D1F">
        <w:t>r</w:t>
      </w:r>
      <w:r w:rsidRPr="00BC0D1F">
        <w:t xml:space="preserve">edevelopment </w:t>
      </w:r>
      <w:r w:rsidR="00493A42" w:rsidRPr="00BC0D1F">
        <w:t>p</w:t>
      </w:r>
      <w:r w:rsidRPr="00BC0D1F">
        <w:t>rogramme</w:t>
      </w:r>
    </w:p>
    <w:p w14:paraId="74F9E0E5" w14:textId="77777777" w:rsidR="00DF4B9A" w:rsidRPr="00BC0D1F" w:rsidRDefault="00AD72CC" w:rsidP="00493A42">
      <w:pPr>
        <w:keepNext/>
        <w:rPr>
          <w:noProof/>
          <w:lang w:eastAsia="en-NZ"/>
        </w:rPr>
      </w:pPr>
      <w:r w:rsidRPr="00BC0D1F">
        <w:rPr>
          <w:noProof/>
          <w:lang w:eastAsia="en-NZ"/>
        </w:rPr>
        <w:t>In 2015/16 the Ministry continued to support Canterbury DHB on the hospital redevelopment programme through the Hospital Redevelopment Partnership Group.</w:t>
      </w:r>
    </w:p>
    <w:p w14:paraId="013DE539" w14:textId="77777777" w:rsidR="00D13004" w:rsidRDefault="00AD72CC" w:rsidP="00C3250D">
      <w:pPr>
        <w:pStyle w:val="Bullet"/>
        <w:keepNext/>
      </w:pPr>
      <w:r w:rsidRPr="00BC0D1F">
        <w:t xml:space="preserve">The $215 million </w:t>
      </w:r>
      <w:proofErr w:type="spellStart"/>
      <w:r w:rsidRPr="00BC0D1F">
        <w:t>Burwood</w:t>
      </w:r>
      <w:proofErr w:type="spellEnd"/>
      <w:r w:rsidRPr="00BC0D1F">
        <w:t xml:space="preserve"> Hospital redevelopment was completed in 2016.</w:t>
      </w:r>
    </w:p>
    <w:p w14:paraId="52E81232" w14:textId="13B8E468" w:rsidR="00C3250D" w:rsidRDefault="00AD72CC" w:rsidP="00C3250D">
      <w:pPr>
        <w:pStyle w:val="Bullet"/>
        <w:keepNext/>
      </w:pPr>
      <w:r w:rsidRPr="00BC0D1F">
        <w:t>Construction is well under way on the $481 million acute services building at Christchurch Hospital. The new building is expected to open in 2018</w:t>
      </w:r>
      <w:r w:rsidR="004467CB">
        <w:t>.</w:t>
      </w:r>
    </w:p>
    <w:p w14:paraId="1FB78F1A" w14:textId="77777777" w:rsidR="00D13004" w:rsidRDefault="00D13004" w:rsidP="00C3250D">
      <w:pPr>
        <w:rPr>
          <w:noProof/>
          <w:lang w:eastAsia="en-NZ"/>
        </w:rPr>
      </w:pPr>
    </w:p>
    <w:p w14:paraId="685C3E56" w14:textId="740294D1" w:rsidR="00AD72CC" w:rsidRPr="00BC0D1F" w:rsidRDefault="00AD72CC" w:rsidP="00C3250D">
      <w:pPr>
        <w:rPr>
          <w:noProof/>
          <w:lang w:eastAsia="en-NZ"/>
        </w:rPr>
      </w:pPr>
      <w:r w:rsidRPr="00BC0D1F">
        <w:rPr>
          <w:noProof/>
          <w:lang w:eastAsia="en-NZ"/>
        </w:rPr>
        <w:t xml:space="preserve">Design work </w:t>
      </w:r>
      <w:r w:rsidR="00591C9D">
        <w:rPr>
          <w:noProof/>
          <w:lang w:eastAsia="en-NZ"/>
        </w:rPr>
        <w:t>of</w:t>
      </w:r>
      <w:r w:rsidR="00C3250D">
        <w:t xml:space="preserve"> the </w:t>
      </w:r>
      <w:r w:rsidR="00C3250D" w:rsidRPr="00A51C09">
        <w:t>Grey Base Hospital rede</w:t>
      </w:r>
      <w:r w:rsidR="00C3250D">
        <w:t xml:space="preserve">velopment </w:t>
      </w:r>
      <w:r w:rsidRPr="00BC0D1F">
        <w:rPr>
          <w:noProof/>
          <w:lang w:eastAsia="en-NZ"/>
        </w:rPr>
        <w:t>has been completed for the $7</w:t>
      </w:r>
      <w:r w:rsidR="00C3250D">
        <w:rPr>
          <w:noProof/>
          <w:lang w:eastAsia="en-NZ"/>
        </w:rPr>
        <w:t>8</w:t>
      </w:r>
      <w:r w:rsidR="00C3250D" w:rsidRPr="00BC0D1F">
        <w:rPr>
          <w:noProof/>
          <w:lang w:eastAsia="en-NZ"/>
        </w:rPr>
        <w:t xml:space="preserve"> </w:t>
      </w:r>
      <w:r w:rsidRPr="00BC0D1F">
        <w:rPr>
          <w:noProof/>
          <w:lang w:eastAsia="en-NZ"/>
        </w:rPr>
        <w:t>million outpatients</w:t>
      </w:r>
      <w:r w:rsidR="00DF4B9A" w:rsidRPr="00BC0D1F">
        <w:rPr>
          <w:noProof/>
          <w:lang w:eastAsia="en-NZ"/>
        </w:rPr>
        <w:t>’</w:t>
      </w:r>
      <w:r w:rsidRPr="00BC0D1F">
        <w:rPr>
          <w:noProof/>
          <w:lang w:eastAsia="en-NZ"/>
        </w:rPr>
        <w:t xml:space="preserve"> facility. Blessing of the site and ground breaking occurred in July 2016. The new facility is expected to be completed by 2018.</w:t>
      </w:r>
    </w:p>
    <w:p w14:paraId="35D068D9" w14:textId="77777777" w:rsidR="00493A42" w:rsidRPr="00BC0D1F" w:rsidRDefault="00493A42" w:rsidP="00493A42"/>
    <w:p w14:paraId="17530D20" w14:textId="77777777" w:rsidR="00AD72CC" w:rsidRPr="00BC0D1F" w:rsidRDefault="00AD72CC" w:rsidP="00493A42">
      <w:pPr>
        <w:pStyle w:val="Heading4"/>
      </w:pPr>
      <w:r w:rsidRPr="00BC0D1F">
        <w:lastRenderedPageBreak/>
        <w:t>Canterbury mental health package ($20 million)</w:t>
      </w:r>
    </w:p>
    <w:p w14:paraId="682B3241" w14:textId="77777777" w:rsidR="00DF4B9A" w:rsidRPr="00BC0D1F" w:rsidRDefault="00AD72CC" w:rsidP="00493A42">
      <w:pPr>
        <w:rPr>
          <w:noProof/>
          <w:lang w:eastAsia="en-NZ"/>
        </w:rPr>
      </w:pPr>
      <w:r w:rsidRPr="00BC0D1F">
        <w:rPr>
          <w:noProof/>
          <w:lang w:eastAsia="en-NZ"/>
        </w:rPr>
        <w:t>The Government is providing an extra $20 million over the next three years to increase mental health support for people in Canterbury. The package of initiatives will boost current mental health services in Canterbury and includes an extra 26 full-time equivalent (FTE) primary care and community-based mental health workers, as well as further funding for programmes such as telehealth and workforce wellbeing support.</w:t>
      </w:r>
    </w:p>
    <w:p w14:paraId="5C33D934" w14:textId="77777777" w:rsidR="00AD72CC" w:rsidRPr="00BC0D1F" w:rsidRDefault="00AD72CC" w:rsidP="00493A42">
      <w:pPr>
        <w:rPr>
          <w:noProof/>
          <w:lang w:eastAsia="en-NZ"/>
        </w:rPr>
      </w:pPr>
    </w:p>
    <w:p w14:paraId="4C2087D1" w14:textId="77777777" w:rsidR="00AD72CC" w:rsidRPr="00BC0D1F" w:rsidRDefault="00AD72CC" w:rsidP="00493A42">
      <w:pPr>
        <w:rPr>
          <w:noProof/>
          <w:lang w:eastAsia="en-NZ"/>
        </w:rPr>
      </w:pPr>
      <w:r w:rsidRPr="00BC0D1F">
        <w:rPr>
          <w:noProof/>
          <w:lang w:eastAsia="en-NZ"/>
        </w:rPr>
        <w:t>The Government is also in discussions with Christchurch City Council to establish a Crown−Council Partnership Fund to support community-led psychosocial wellbeing and resilience. The Government has agreed to provide up to $1 million a year for the next three years in match funding, which could be allocated via the Christchurch Earthquake Mayoral Relief Fund.</w:t>
      </w:r>
    </w:p>
    <w:p w14:paraId="1707344C" w14:textId="77777777" w:rsidR="00AD72CC" w:rsidRPr="00BC0D1F" w:rsidRDefault="00AD72CC" w:rsidP="00493A42">
      <w:pPr>
        <w:rPr>
          <w:noProof/>
          <w:lang w:eastAsia="en-NZ"/>
        </w:rPr>
      </w:pPr>
    </w:p>
    <w:p w14:paraId="0A6DF325" w14:textId="77777777" w:rsidR="00AD72CC" w:rsidRPr="00BC0D1F" w:rsidRDefault="00AD72CC" w:rsidP="00493A42">
      <w:pPr>
        <w:rPr>
          <w:noProof/>
          <w:lang w:eastAsia="en-NZ"/>
        </w:rPr>
      </w:pPr>
      <w:r w:rsidRPr="00BC0D1F">
        <w:rPr>
          <w:noProof/>
          <w:lang w:eastAsia="en-NZ"/>
        </w:rPr>
        <w:t>In addition to the $20 million package, the Ministry will extend the All Right? campaign for a further three years from 2016/17. The All Right? campaign is designed to help Cantabrians think about their mental health and ways they can improve it. It plays an important role in the wider psychosocial recovery effort.</w:t>
      </w:r>
    </w:p>
    <w:p w14:paraId="37159A60" w14:textId="77777777" w:rsidR="00493A42" w:rsidRPr="00BC0D1F" w:rsidRDefault="00493A42" w:rsidP="00493A42">
      <w:pPr>
        <w:rPr>
          <w:noProof/>
          <w:lang w:eastAsia="en-NZ"/>
        </w:rPr>
      </w:pPr>
    </w:p>
    <w:p w14:paraId="52D016BC" w14:textId="77777777" w:rsidR="00AD72CC" w:rsidRPr="00BC0D1F" w:rsidRDefault="00AD72CC" w:rsidP="00493A42">
      <w:pPr>
        <w:pStyle w:val="Heading4"/>
        <w:rPr>
          <w:lang w:eastAsia="en-NZ"/>
        </w:rPr>
      </w:pPr>
      <w:r w:rsidRPr="00BC0D1F">
        <w:rPr>
          <w:lang w:eastAsia="en-NZ"/>
        </w:rPr>
        <w:t>Canterbury Earthquake Recovery Authority (CERA)</w:t>
      </w:r>
    </w:p>
    <w:p w14:paraId="14051D8A" w14:textId="77777777" w:rsidR="00AD72CC" w:rsidRPr="00BC0D1F" w:rsidRDefault="00AD72CC" w:rsidP="00493A42">
      <w:pPr>
        <w:rPr>
          <w:noProof/>
          <w:lang w:eastAsia="en-NZ"/>
        </w:rPr>
      </w:pPr>
      <w:r w:rsidRPr="00BC0D1F">
        <w:rPr>
          <w:noProof/>
          <w:lang w:eastAsia="en-NZ"/>
        </w:rPr>
        <w:t>In December 2015 the Canterbury Earthquake Recovery Authority (CERA) and the Department of the Prime Minister and Cabinet (DPMC) began transitioning the responsibility for psychosocial recovery in Canterbury to the Ministry and Canterbury DHB. This process was completed in April 2016. The Ministry is now the accountable agency for psychosocial recovery in Canterbury, with Canterbury DHB responsible for local governance and activity. Oversight is provided by a cross-agency governance group, chaired by the DHB. The ongoing recovery process will be reported in the Canterbury Wellbeing Index. The Minister of Health and DPMC will receive quarterly progress reports.</w:t>
      </w:r>
    </w:p>
    <w:p w14:paraId="234AF88C" w14:textId="77777777" w:rsidR="00493A42" w:rsidRPr="00BC0D1F" w:rsidRDefault="00493A42" w:rsidP="00493A42">
      <w:pPr>
        <w:rPr>
          <w:noProof/>
          <w:lang w:eastAsia="en-NZ"/>
        </w:rPr>
      </w:pPr>
    </w:p>
    <w:p w14:paraId="0E2DDC4B" w14:textId="77777777" w:rsidR="00AD72CC" w:rsidRPr="00BC0D1F" w:rsidRDefault="00AD72CC" w:rsidP="00493A42">
      <w:pPr>
        <w:pStyle w:val="Heading4"/>
      </w:pPr>
      <w:r w:rsidRPr="00BC0D1F">
        <w:t>Enabling Good Lives</w:t>
      </w:r>
    </w:p>
    <w:p w14:paraId="1068DD06" w14:textId="77777777" w:rsidR="00AD72CC" w:rsidRPr="00BC0D1F" w:rsidRDefault="00AD72CC" w:rsidP="00493A42">
      <w:pPr>
        <w:rPr>
          <w:noProof/>
          <w:lang w:eastAsia="en-NZ"/>
        </w:rPr>
      </w:pPr>
      <w:r w:rsidRPr="00BC0D1F">
        <w:rPr>
          <w:noProof/>
          <w:lang w:eastAsia="en-NZ"/>
        </w:rPr>
        <w:t>The Ministry has a significant role in the Enabling Good Lives (EGL) programme, which provides disabled people with greater choice and control over their supports and lives. The Ministries of Health, Education and Social Development are working together to better support people with a disability. This will be achieved through pooled funding and joint oversight of the EGL work, which in Christchurch focuses on school leavers. The work is supported by a local leadership group and a national leadership group (which also oversees the work of EGL Waikato). Project evaluations have shown that the demonstration is making a real difference to the lives of Christchurch school leavers.</w:t>
      </w:r>
    </w:p>
    <w:p w14:paraId="21F3F65D" w14:textId="77777777" w:rsidR="00AD72CC" w:rsidRPr="00BC0D1F" w:rsidRDefault="00AD72CC" w:rsidP="00493A42">
      <w:pPr>
        <w:rPr>
          <w:noProof/>
          <w:lang w:eastAsia="en-NZ"/>
        </w:rPr>
      </w:pPr>
    </w:p>
    <w:p w14:paraId="273F16B1" w14:textId="77777777" w:rsidR="00AD72CC" w:rsidRPr="00BC0D1F" w:rsidRDefault="00AD72CC" w:rsidP="00493A42">
      <w:r w:rsidRPr="00BC0D1F">
        <w:rPr>
          <w:noProof/>
          <w:lang w:eastAsia="en-NZ"/>
        </w:rPr>
        <w:t>Flexible disability support has recently been introduced as part of the EGL Christchurch demonstration. People using flexible disability support have self-direction over the extent to which they are supported and can receive as much, or as little, assistance as they require to manage their supports. This demonstration is moving into its next phase, which will be led by the Ministry</w:t>
      </w:r>
      <w:r w:rsidRPr="00BC0D1F">
        <w:t>.</w:t>
      </w:r>
    </w:p>
    <w:p w14:paraId="3A565406" w14:textId="77777777" w:rsidR="00AD72CC" w:rsidRPr="00BC0D1F" w:rsidRDefault="00AD72CC" w:rsidP="00493A42"/>
    <w:p w14:paraId="1CE24E36" w14:textId="77777777" w:rsidR="00DF4B9A" w:rsidRPr="00BC0D1F" w:rsidRDefault="00AD72CC" w:rsidP="00493A42">
      <w:pPr>
        <w:pStyle w:val="Heading3"/>
      </w:pPr>
      <w:r w:rsidRPr="00BC0D1F">
        <w:t>Building a more competitive and productive economy</w:t>
      </w:r>
    </w:p>
    <w:p w14:paraId="30DF33E7" w14:textId="77777777" w:rsidR="00AD72CC" w:rsidRPr="00BC0D1F" w:rsidRDefault="00AD72CC" w:rsidP="00493A42">
      <w:pPr>
        <w:pStyle w:val="Heading4"/>
      </w:pPr>
      <w:r w:rsidRPr="00BC0D1F">
        <w:t>Improved regulatory environment</w:t>
      </w:r>
    </w:p>
    <w:p w14:paraId="7DD6E6ED" w14:textId="77777777" w:rsidR="00DF4B9A" w:rsidRPr="00BC0D1F" w:rsidRDefault="00AD72CC" w:rsidP="00493A42">
      <w:pPr>
        <w:rPr>
          <w:noProof/>
          <w:lang w:eastAsia="en-NZ"/>
        </w:rPr>
      </w:pPr>
      <w:r w:rsidRPr="00BC0D1F">
        <w:rPr>
          <w:noProof/>
          <w:lang w:eastAsia="en-NZ"/>
        </w:rPr>
        <w:t xml:space="preserve">The Ministry has been actively trying to improve the regulatory environment for natural health and therapeutic products. The objective is to ensure the rules applying to these products are risk-based and cost-effective, so that safe products can be marketed with minimal compliance </w:t>
      </w:r>
      <w:r w:rsidRPr="00BC0D1F">
        <w:rPr>
          <w:noProof/>
          <w:lang w:eastAsia="en-NZ"/>
        </w:rPr>
        <w:lastRenderedPageBreak/>
        <w:t>costs. In the case of natural health products, an effective regulatory environment that is credible with international trading partners will enable New Zealand producers to export to a wide range of countries.</w:t>
      </w:r>
    </w:p>
    <w:p w14:paraId="38661346" w14:textId="77777777" w:rsidR="00493A42" w:rsidRPr="00BC0D1F" w:rsidRDefault="00493A42" w:rsidP="00493A42">
      <w:pPr>
        <w:rPr>
          <w:noProof/>
          <w:lang w:eastAsia="en-NZ"/>
        </w:rPr>
      </w:pPr>
    </w:p>
    <w:p w14:paraId="3EFE43F7" w14:textId="77777777" w:rsidR="00DF4B9A" w:rsidRPr="00BC0D1F" w:rsidRDefault="00AD72CC" w:rsidP="00493A42">
      <w:pPr>
        <w:pStyle w:val="Heading4"/>
      </w:pPr>
      <w:r w:rsidRPr="00BC0D1F">
        <w:t>Trans-Pacific Partnership</w:t>
      </w:r>
    </w:p>
    <w:p w14:paraId="3B8224E9" w14:textId="77777777" w:rsidR="00AD72CC" w:rsidRPr="00BC0D1F" w:rsidRDefault="00AD72CC" w:rsidP="00493A42">
      <w:r w:rsidRPr="00BC0D1F">
        <w:t>The Ministry has been heavily involved in the negotiations leading up to the signing of the Trans-Pacific Partnership, a trade deal that is expected to be of considerable importance to the New Zealand economy. The Ministry</w:t>
      </w:r>
      <w:r w:rsidR="00DF4B9A" w:rsidRPr="00BC0D1F">
        <w:t>’</w:t>
      </w:r>
      <w:r w:rsidRPr="00BC0D1F">
        <w:t xml:space="preserve">s focus has been on ensuring that key aspects of the health system (such as the ability of </w:t>
      </w:r>
      <w:proofErr w:type="spellStart"/>
      <w:r w:rsidRPr="00BC0D1F">
        <w:t>Pharmac</w:t>
      </w:r>
      <w:proofErr w:type="spellEnd"/>
      <w:r w:rsidRPr="00BC0D1F">
        <w:t xml:space="preserve"> to parallel import drugs and purchase generic drugs) are protected, because they are integral to delivering high-quality health services cost-effectively.</w:t>
      </w:r>
    </w:p>
    <w:p w14:paraId="0ACED1BE" w14:textId="77777777" w:rsidR="00493A42" w:rsidRPr="00BC0D1F" w:rsidRDefault="00493A42" w:rsidP="00493A42">
      <w:pPr>
        <w:rPr>
          <w:noProof/>
          <w:lang w:eastAsia="en-NZ"/>
        </w:rPr>
      </w:pPr>
    </w:p>
    <w:p w14:paraId="3B512A5C" w14:textId="221418D4" w:rsidR="00DF4B9A" w:rsidRPr="00BC0D1F" w:rsidRDefault="00AD72CC" w:rsidP="00493A42">
      <w:pPr>
        <w:pStyle w:val="Heading2"/>
      </w:pPr>
      <w:bookmarkStart w:id="15" w:name="_Toc459730007"/>
      <w:bookmarkStart w:id="16" w:name="_Toc461544281"/>
      <w:bookmarkStart w:id="17" w:name="_Toc463507911"/>
      <w:r w:rsidRPr="00BC0D1F">
        <w:t>Delivering the Government</w:t>
      </w:r>
      <w:r w:rsidR="00DF4B9A" w:rsidRPr="00BC0D1F">
        <w:t>’</w:t>
      </w:r>
      <w:r w:rsidRPr="00BC0D1F">
        <w:t>s cross-sector priorities</w:t>
      </w:r>
      <w:bookmarkEnd w:id="15"/>
      <w:bookmarkEnd w:id="16"/>
      <w:bookmarkEnd w:id="17"/>
    </w:p>
    <w:p w14:paraId="33D2D813" w14:textId="77777777" w:rsidR="00AD72CC" w:rsidRPr="00BC0D1F" w:rsidRDefault="00AD72CC" w:rsidP="00493A42">
      <w:r w:rsidRPr="00BC0D1F">
        <w:t>The Ministry works across government on a number of initiatives in the health and social sector, including:</w:t>
      </w:r>
    </w:p>
    <w:p w14:paraId="3AB823C6" w14:textId="77777777" w:rsidR="00AD72CC" w:rsidRPr="00BC0D1F" w:rsidRDefault="00AD72CC" w:rsidP="00493A42">
      <w:pPr>
        <w:pStyle w:val="Bullet"/>
      </w:pPr>
      <w:r w:rsidRPr="00BC0D1F">
        <w:t>supporting vulnerable children, which includes reducing rheumatic fever cases and assaults on children</w:t>
      </w:r>
    </w:p>
    <w:p w14:paraId="454138B9" w14:textId="77777777" w:rsidR="00AD72CC" w:rsidRPr="00BC0D1F" w:rsidRDefault="00AD72CC" w:rsidP="00493A42">
      <w:pPr>
        <w:pStyle w:val="Bullet"/>
      </w:pPr>
      <w:r w:rsidRPr="00BC0D1F">
        <w:t>social sector trials</w:t>
      </w:r>
    </w:p>
    <w:p w14:paraId="7229EA38" w14:textId="77777777" w:rsidR="00AD72CC" w:rsidRPr="00BC0D1F" w:rsidRDefault="00AD72CC" w:rsidP="00493A42">
      <w:pPr>
        <w:pStyle w:val="Bullet"/>
      </w:pPr>
      <w:r w:rsidRPr="00BC0D1F">
        <w:t>the Prime Minister</w:t>
      </w:r>
      <w:r w:rsidR="00DF4B9A" w:rsidRPr="00BC0D1F">
        <w:t>’</w:t>
      </w:r>
      <w:r w:rsidRPr="00BC0D1F">
        <w:t>s Youth Mental Health project</w:t>
      </w:r>
    </w:p>
    <w:p w14:paraId="4D0B5E74" w14:textId="77777777" w:rsidR="00AD72CC" w:rsidRPr="00BC0D1F" w:rsidRDefault="00AD72CC" w:rsidP="00493A42">
      <w:pPr>
        <w:pStyle w:val="Bullet"/>
      </w:pPr>
      <w:proofErr w:type="spellStart"/>
      <w:r w:rsidRPr="00BC0D1F">
        <w:t>Whānau</w:t>
      </w:r>
      <w:proofErr w:type="spellEnd"/>
      <w:r w:rsidRPr="00BC0D1F">
        <w:t xml:space="preserve"> </w:t>
      </w:r>
      <w:proofErr w:type="spellStart"/>
      <w:r w:rsidRPr="00BC0D1F">
        <w:t>Ora</w:t>
      </w:r>
      <w:proofErr w:type="spellEnd"/>
    </w:p>
    <w:p w14:paraId="48336893" w14:textId="3AD2EA57" w:rsidR="00AD72CC" w:rsidRPr="00BC0D1F" w:rsidRDefault="00AD72CC" w:rsidP="00493A42">
      <w:pPr>
        <w:pStyle w:val="Bullet"/>
      </w:pPr>
      <w:r w:rsidRPr="00BC0D1F">
        <w:t>National Drug Policy.</w:t>
      </w:r>
    </w:p>
    <w:p w14:paraId="773FA079" w14:textId="77777777" w:rsidR="00AD72CC" w:rsidRPr="00BC0D1F" w:rsidRDefault="00AD72CC" w:rsidP="00493A42">
      <w:pPr>
        <w:rPr>
          <w:lang w:eastAsia="en-NZ"/>
        </w:rPr>
      </w:pPr>
    </w:p>
    <w:p w14:paraId="5EFC3053" w14:textId="77777777" w:rsidR="00AD72CC" w:rsidRPr="00BC0D1F" w:rsidRDefault="00AD72CC" w:rsidP="00493A42">
      <w:pPr>
        <w:pStyle w:val="Heading3"/>
      </w:pPr>
      <w:r w:rsidRPr="00BC0D1F">
        <w:t>Supporting vulnerable children</w:t>
      </w:r>
    </w:p>
    <w:p w14:paraId="0BD6CF6D" w14:textId="77777777" w:rsidR="00DF4B9A" w:rsidRPr="00BC0D1F" w:rsidRDefault="00AD72CC" w:rsidP="00493A42">
      <w:pPr>
        <w:pStyle w:val="Heading4"/>
      </w:pPr>
      <w:r w:rsidRPr="00BC0D1F">
        <w:t>A substantial reduction in rheumatic fever cases among children</w:t>
      </w:r>
    </w:p>
    <w:p w14:paraId="4AE031F5" w14:textId="77777777" w:rsidR="00AD72CC" w:rsidRPr="00BC0D1F" w:rsidRDefault="00AD72CC" w:rsidP="00493A42">
      <w:r w:rsidRPr="00BC0D1F">
        <w:rPr>
          <w:noProof/>
          <w:lang w:eastAsia="en-NZ"/>
        </w:rPr>
        <w:t>Rheumatic fever primarily affects children and is a complication of a particular type of sore throat (caused by the Group A streptococcal bacteria). It is a preventable disease that can have serious consequences (such as the development of rheumatic heart disease) if not treated early. There are around 140 deaths from rheumatic heart disease in New Zealand each year. Rheumatic fever mainly affects Māori and Pacific people</w:t>
      </w:r>
      <w:r w:rsidR="00493A42" w:rsidRPr="00BC0D1F">
        <w:rPr>
          <w:noProof/>
          <w:lang w:eastAsia="en-NZ"/>
        </w:rPr>
        <w:t>.</w:t>
      </w:r>
      <w:r w:rsidRPr="00BC0D1F">
        <w:rPr>
          <w:rStyle w:val="FootnoteReference"/>
        </w:rPr>
        <w:footnoteReference w:id="1"/>
      </w:r>
    </w:p>
    <w:p w14:paraId="15E96809" w14:textId="77777777" w:rsidR="00AD72CC" w:rsidRPr="00BC0D1F" w:rsidRDefault="00AD72CC" w:rsidP="00493A42">
      <w:pPr>
        <w:rPr>
          <w:noProof/>
          <w:lang w:eastAsia="en-NZ"/>
        </w:rPr>
      </w:pPr>
    </w:p>
    <w:p w14:paraId="3648E78E" w14:textId="77777777" w:rsidR="00AD72CC" w:rsidRPr="00BC0D1F" w:rsidRDefault="00AD72CC" w:rsidP="00493A42">
      <w:pPr>
        <w:rPr>
          <w:noProof/>
          <w:lang w:eastAsia="en-NZ"/>
        </w:rPr>
      </w:pPr>
      <w:r w:rsidRPr="00BC0D1F">
        <w:rPr>
          <w:noProof/>
          <w:lang w:eastAsia="en-NZ"/>
        </w:rPr>
        <w:t>The Ministry</w:t>
      </w:r>
      <w:r w:rsidR="00DF4B9A" w:rsidRPr="00BC0D1F">
        <w:rPr>
          <w:noProof/>
          <w:lang w:eastAsia="en-NZ"/>
        </w:rPr>
        <w:t>’</w:t>
      </w:r>
      <w:r w:rsidRPr="00BC0D1F">
        <w:rPr>
          <w:noProof/>
          <w:lang w:eastAsia="en-NZ"/>
        </w:rPr>
        <w:t>s Rheumatic Fever Prevention Programme contributes to the achievement of the Government</w:t>
      </w:r>
      <w:r w:rsidR="00DF4B9A" w:rsidRPr="00BC0D1F">
        <w:rPr>
          <w:noProof/>
          <w:lang w:eastAsia="en-NZ"/>
        </w:rPr>
        <w:t>’</w:t>
      </w:r>
      <w:r w:rsidRPr="00BC0D1F">
        <w:rPr>
          <w:noProof/>
          <w:lang w:eastAsia="en-NZ"/>
        </w:rPr>
        <w:t>s specific rheumatic fever targets.</w:t>
      </w:r>
      <w:r w:rsidRPr="00BC0D1F">
        <w:rPr>
          <w:rStyle w:val="FootnoteReference"/>
        </w:rPr>
        <w:footnoteReference w:id="2"/>
      </w:r>
      <w:r w:rsidRPr="00BC0D1F">
        <w:t xml:space="preserve"> </w:t>
      </w:r>
      <w:r w:rsidRPr="00BC0D1F">
        <w:rPr>
          <w:noProof/>
          <w:lang w:eastAsia="en-NZ"/>
        </w:rPr>
        <w:t>The Programme targets areas of New Zealand with the highest rates of rheumatic fever hospitalisation, and results currently show a 37 percent decrease in first-episode rheumatic fever hospitalisations since the target was introduced in 2012. A transition to business as usual in DHBs will have taken place by the Programme</w:t>
      </w:r>
      <w:r w:rsidR="00DF4B9A" w:rsidRPr="00BC0D1F">
        <w:rPr>
          <w:noProof/>
          <w:lang w:eastAsia="en-NZ"/>
        </w:rPr>
        <w:t>’</w:t>
      </w:r>
      <w:r w:rsidRPr="00BC0D1F">
        <w:rPr>
          <w:noProof/>
          <w:lang w:eastAsia="en-NZ"/>
        </w:rPr>
        <w:t>s end in June 2017.</w:t>
      </w:r>
    </w:p>
    <w:p w14:paraId="25E7F49A" w14:textId="77777777" w:rsidR="00AD72CC" w:rsidRPr="00BC0D1F" w:rsidRDefault="00AD72CC" w:rsidP="00493A42">
      <w:pPr>
        <w:rPr>
          <w:noProof/>
          <w:lang w:eastAsia="en-NZ"/>
        </w:rPr>
      </w:pPr>
    </w:p>
    <w:p w14:paraId="4E9F6C65" w14:textId="77777777" w:rsidR="00AD72CC" w:rsidRPr="00BC0D1F" w:rsidRDefault="00AD72CC" w:rsidP="00493A42">
      <w:pPr>
        <w:rPr>
          <w:noProof/>
          <w:lang w:eastAsia="en-NZ"/>
        </w:rPr>
      </w:pPr>
      <w:r w:rsidRPr="00BC0D1F">
        <w:rPr>
          <w:noProof/>
          <w:lang w:eastAsia="en-NZ"/>
        </w:rPr>
        <w:t>The Rheumatic Fever Prevention Programme will continue to work with the high-incidence DHBs to deliver a range of initiatives for each of the following three key strategies:</w:t>
      </w:r>
    </w:p>
    <w:p w14:paraId="550E3E39" w14:textId="77777777" w:rsidR="00AD72CC" w:rsidRPr="00BC0D1F" w:rsidRDefault="00AD72CC" w:rsidP="00493A42">
      <w:pPr>
        <w:pStyle w:val="Bullet"/>
      </w:pPr>
      <w:r w:rsidRPr="00BC0D1F">
        <w:t>increasing awareness of rheumatic fever, what causes it and how to prevent it</w:t>
      </w:r>
    </w:p>
    <w:p w14:paraId="1E760140" w14:textId="77777777" w:rsidR="00AD72CC" w:rsidRPr="00BC0D1F" w:rsidRDefault="00AD72CC" w:rsidP="00493A42">
      <w:pPr>
        <w:pStyle w:val="Bullet"/>
      </w:pPr>
      <w:r w:rsidRPr="00BC0D1F">
        <w:lastRenderedPageBreak/>
        <w:t>improving access to timely, effective treatment for Group A streptococcal</w:t>
      </w:r>
      <w:r w:rsidR="00DF4B9A" w:rsidRPr="00BC0D1F">
        <w:t xml:space="preserve"> </w:t>
      </w:r>
      <w:r w:rsidRPr="00BC0D1F">
        <w:t>sore throat in primary care and community settings</w:t>
      </w:r>
    </w:p>
    <w:p w14:paraId="301AC759" w14:textId="77777777" w:rsidR="00AD72CC" w:rsidRPr="00BC0D1F" w:rsidRDefault="00AD72CC" w:rsidP="00493A42">
      <w:pPr>
        <w:pStyle w:val="Bullet"/>
      </w:pPr>
      <w:proofErr w:type="gramStart"/>
      <w:r w:rsidRPr="00BC0D1F">
        <w:t>reducing</w:t>
      </w:r>
      <w:proofErr w:type="gramEnd"/>
      <w:r w:rsidRPr="00BC0D1F">
        <w:t xml:space="preserve"> household transmission of Group A streptococcal bacteria.</w:t>
      </w:r>
    </w:p>
    <w:p w14:paraId="0E5E65AC" w14:textId="77777777" w:rsidR="00AD72CC" w:rsidRPr="00BC0D1F" w:rsidRDefault="00AD72CC" w:rsidP="00493A42"/>
    <w:p w14:paraId="566F1DC6" w14:textId="77777777" w:rsidR="00DF4B9A" w:rsidRPr="00BC0D1F" w:rsidRDefault="00AD72CC" w:rsidP="00493A42">
      <w:pPr>
        <w:rPr>
          <w:noProof/>
          <w:lang w:eastAsia="en-NZ"/>
        </w:rPr>
      </w:pPr>
      <w:r w:rsidRPr="00BC0D1F">
        <w:rPr>
          <w:noProof/>
          <w:lang w:eastAsia="en-NZ"/>
        </w:rPr>
        <w:t>The Programme is working with each high-incidence DHB to ensure investment in rheumatic fever prevention continues at the end of the formal programme and to transition them to a sustainable and effective programme after June 2017.</w:t>
      </w:r>
    </w:p>
    <w:p w14:paraId="7FD607CC" w14:textId="77777777" w:rsidR="00493A42" w:rsidRPr="00BC0D1F" w:rsidRDefault="00493A42" w:rsidP="00493A42">
      <w:pPr>
        <w:rPr>
          <w:noProof/>
          <w:lang w:eastAsia="en-NZ"/>
        </w:rPr>
      </w:pPr>
    </w:p>
    <w:p w14:paraId="50F61944" w14:textId="77777777" w:rsidR="00AD72CC" w:rsidRPr="00BC0D1F" w:rsidRDefault="00AD72CC" w:rsidP="0013160A">
      <w:pPr>
        <w:pStyle w:val="Heading5"/>
      </w:pPr>
      <w:r w:rsidRPr="00BC0D1F">
        <w:t>Rapid response clinics</w:t>
      </w:r>
    </w:p>
    <w:p w14:paraId="0C341ECC" w14:textId="77777777" w:rsidR="00DF4B9A" w:rsidRPr="00BC0D1F" w:rsidRDefault="00AD72CC" w:rsidP="00493A42">
      <w:pPr>
        <w:rPr>
          <w:noProof/>
          <w:lang w:eastAsia="en-NZ"/>
        </w:rPr>
      </w:pPr>
      <w:r w:rsidRPr="00BC0D1F">
        <w:rPr>
          <w:noProof/>
          <w:lang w:eastAsia="en-NZ"/>
        </w:rPr>
        <w:t xml:space="preserve">Rapid response clinics, also known as </w:t>
      </w:r>
      <w:r w:rsidR="00DF4B9A" w:rsidRPr="00BC0D1F">
        <w:rPr>
          <w:noProof/>
          <w:lang w:eastAsia="en-NZ"/>
        </w:rPr>
        <w:t>‘</w:t>
      </w:r>
      <w:r w:rsidRPr="00BC0D1F">
        <w:rPr>
          <w:noProof/>
          <w:lang w:eastAsia="en-NZ"/>
        </w:rPr>
        <w:t>sore throat clinics</w:t>
      </w:r>
      <w:r w:rsidR="00DF4B9A" w:rsidRPr="00BC0D1F">
        <w:rPr>
          <w:noProof/>
          <w:lang w:eastAsia="en-NZ"/>
        </w:rPr>
        <w:t>’</w:t>
      </w:r>
      <w:r w:rsidRPr="00BC0D1F">
        <w:rPr>
          <w:noProof/>
          <w:lang w:eastAsia="en-NZ"/>
        </w:rPr>
        <w:t>, have been established in all 11 DHBs with a high incidence of rheumatic fever. In July 2015 the Ministry contracted an independent formative evaluation of the sore throat clinic services. The evaluation took place during August and September 2015 and identified areas for improvement, which DHBs are working on.</w:t>
      </w:r>
    </w:p>
    <w:p w14:paraId="468E2A76" w14:textId="77777777" w:rsidR="00493A42" w:rsidRPr="00BC0D1F" w:rsidRDefault="00493A42" w:rsidP="00493A42">
      <w:pPr>
        <w:rPr>
          <w:noProof/>
          <w:lang w:eastAsia="en-NZ"/>
        </w:rPr>
      </w:pPr>
    </w:p>
    <w:p w14:paraId="56FFCD1A" w14:textId="77777777" w:rsidR="00AD72CC" w:rsidRPr="00BC0D1F" w:rsidRDefault="00AD72CC" w:rsidP="00493A42">
      <w:pPr>
        <w:pStyle w:val="Heading4"/>
      </w:pPr>
      <w:r w:rsidRPr="00BC0D1F">
        <w:t>Reducing the number of assaults on children</w:t>
      </w:r>
    </w:p>
    <w:p w14:paraId="2E6C4F4A" w14:textId="77777777" w:rsidR="00AD72CC" w:rsidRPr="00BC0D1F" w:rsidRDefault="00AD72CC" w:rsidP="00493A42">
      <w:pPr>
        <w:rPr>
          <w:noProof/>
          <w:lang w:eastAsia="en-NZ"/>
        </w:rPr>
      </w:pPr>
      <w:r w:rsidRPr="00BC0D1F">
        <w:rPr>
          <w:noProof/>
          <w:lang w:eastAsia="en-NZ"/>
        </w:rPr>
        <w:t>The Ministry continues to support the health sector</w:t>
      </w:r>
      <w:r w:rsidR="00DF4B9A" w:rsidRPr="00BC0D1F">
        <w:rPr>
          <w:noProof/>
          <w:lang w:eastAsia="en-NZ"/>
        </w:rPr>
        <w:t>’</w:t>
      </w:r>
      <w:r w:rsidRPr="00BC0D1F">
        <w:rPr>
          <w:noProof/>
          <w:lang w:eastAsia="en-NZ"/>
        </w:rPr>
        <w:t>s contribution to the Children</w:t>
      </w:r>
      <w:r w:rsidR="00DF4B9A" w:rsidRPr="00BC0D1F">
        <w:rPr>
          <w:noProof/>
          <w:lang w:eastAsia="en-NZ"/>
        </w:rPr>
        <w:t>’</w:t>
      </w:r>
      <w:r w:rsidRPr="00BC0D1F">
        <w:rPr>
          <w:noProof/>
          <w:lang w:eastAsia="en-NZ"/>
        </w:rPr>
        <w:t>s Action Plan. The Plan provides a framework for how health, education, Police, justice, social services and communities can improve outcomes for vulnerable children and their families. It includes a summary of actions and a five-year timeline (to the end of 2017) of implementation.</w:t>
      </w:r>
    </w:p>
    <w:p w14:paraId="0C2A927E" w14:textId="77777777" w:rsidR="00AD72CC" w:rsidRPr="00BC0D1F" w:rsidRDefault="00AD72CC" w:rsidP="00493A42">
      <w:pPr>
        <w:rPr>
          <w:noProof/>
          <w:lang w:eastAsia="en-NZ"/>
        </w:rPr>
      </w:pPr>
    </w:p>
    <w:p w14:paraId="58429F9F" w14:textId="0053FDBD" w:rsidR="00DF4B9A" w:rsidRPr="00BC0D1F" w:rsidRDefault="00AD72CC" w:rsidP="00493A42">
      <w:pPr>
        <w:rPr>
          <w:noProof/>
          <w:lang w:eastAsia="en-NZ"/>
        </w:rPr>
      </w:pPr>
      <w:r w:rsidRPr="00BC0D1F">
        <w:rPr>
          <w:noProof/>
          <w:lang w:eastAsia="en-NZ"/>
        </w:rPr>
        <w:t>There are now 10 children</w:t>
      </w:r>
      <w:r w:rsidR="00DF4B9A" w:rsidRPr="00BC0D1F">
        <w:rPr>
          <w:noProof/>
          <w:lang w:eastAsia="en-NZ"/>
        </w:rPr>
        <w:t>’</w:t>
      </w:r>
      <w:r w:rsidRPr="00BC0D1F">
        <w:rPr>
          <w:noProof/>
          <w:lang w:eastAsia="en-NZ"/>
        </w:rPr>
        <w:t>s teams operating around the country: in Rotorua, Whangarei, Horowhenua, Marlborough, Hamilton, Tair</w:t>
      </w:r>
      <w:r w:rsidR="00AF1712">
        <w:rPr>
          <w:noProof/>
          <w:lang w:eastAsia="en-NZ"/>
        </w:rPr>
        <w:t>ā</w:t>
      </w:r>
      <w:r w:rsidRPr="00BC0D1F">
        <w:rPr>
          <w:noProof/>
          <w:lang w:eastAsia="en-NZ"/>
        </w:rPr>
        <w:t>whiti, Eastern Bay of Plenty, Whanganui, Canterbury and Counties Manukau. Children</w:t>
      </w:r>
      <w:r w:rsidR="00DF4B9A" w:rsidRPr="00BC0D1F">
        <w:rPr>
          <w:noProof/>
          <w:lang w:eastAsia="en-NZ"/>
        </w:rPr>
        <w:t>’</w:t>
      </w:r>
      <w:r w:rsidRPr="00BC0D1F">
        <w:rPr>
          <w:noProof/>
          <w:lang w:eastAsia="en-NZ"/>
        </w:rPr>
        <w:t>s teams operate at the local level to improve outcomes for children at risk of maltreatment.</w:t>
      </w:r>
    </w:p>
    <w:p w14:paraId="0EF28B47" w14:textId="77777777" w:rsidR="00AD72CC" w:rsidRPr="00BC0D1F" w:rsidRDefault="00AD72CC" w:rsidP="00493A42">
      <w:pPr>
        <w:rPr>
          <w:noProof/>
          <w:lang w:eastAsia="en-NZ"/>
        </w:rPr>
      </w:pPr>
    </w:p>
    <w:p w14:paraId="09D5E795" w14:textId="77777777" w:rsidR="00AD72CC" w:rsidRPr="00BC0D1F" w:rsidRDefault="00AD72CC" w:rsidP="00493A42">
      <w:pPr>
        <w:rPr>
          <w:noProof/>
          <w:lang w:eastAsia="en-NZ"/>
        </w:rPr>
      </w:pPr>
      <w:r w:rsidRPr="00BC0D1F">
        <w:rPr>
          <w:noProof/>
          <w:lang w:eastAsia="en-NZ"/>
        </w:rPr>
        <w:t>Children</w:t>
      </w:r>
      <w:r w:rsidR="00DF4B9A" w:rsidRPr="00BC0D1F">
        <w:rPr>
          <w:noProof/>
          <w:lang w:eastAsia="en-NZ"/>
        </w:rPr>
        <w:t>’</w:t>
      </w:r>
      <w:r w:rsidRPr="00BC0D1F">
        <w:rPr>
          <w:noProof/>
          <w:lang w:eastAsia="en-NZ"/>
        </w:rPr>
        <w:t>s teams are made up of experienced and senior professionals from various agencies and non-government</w:t>
      </w:r>
      <w:r w:rsidR="00401C54">
        <w:rPr>
          <w:noProof/>
          <w:lang w:eastAsia="en-NZ"/>
        </w:rPr>
        <w:t>al</w:t>
      </w:r>
      <w:r w:rsidRPr="00BC0D1F">
        <w:rPr>
          <w:noProof/>
          <w:lang w:eastAsia="en-NZ"/>
        </w:rPr>
        <w:t xml:space="preserve"> organisations (NGOs), who bring their services together into one personalised plan for each child and their family/whānau.</w:t>
      </w:r>
    </w:p>
    <w:p w14:paraId="6E21E8DD" w14:textId="77777777" w:rsidR="00493A42" w:rsidRPr="00BC0D1F" w:rsidRDefault="00493A42" w:rsidP="00493A42">
      <w:pPr>
        <w:rPr>
          <w:noProof/>
          <w:lang w:eastAsia="en-NZ"/>
        </w:rPr>
      </w:pPr>
    </w:p>
    <w:p w14:paraId="25EF46CB" w14:textId="77777777" w:rsidR="00AD72CC" w:rsidRPr="00BC0D1F" w:rsidRDefault="00AD72CC" w:rsidP="00493A42">
      <w:pPr>
        <w:pStyle w:val="Heading3"/>
      </w:pPr>
      <w:r w:rsidRPr="00BC0D1F">
        <w:t>Social sector trials</w:t>
      </w:r>
    </w:p>
    <w:p w14:paraId="677BB1C9" w14:textId="77777777" w:rsidR="00AD72CC" w:rsidRPr="00BC0D1F" w:rsidRDefault="00AD72CC" w:rsidP="00493A42">
      <w:pPr>
        <w:rPr>
          <w:noProof/>
          <w:lang w:eastAsia="en-NZ"/>
        </w:rPr>
      </w:pPr>
      <w:r w:rsidRPr="00BC0D1F">
        <w:rPr>
          <w:noProof/>
          <w:lang w:eastAsia="en-NZ"/>
        </w:rPr>
        <w:t>Social sector trials aim to drive innovation in the health system. They test the potential for improved outcomes by transferring the control of resources (including funding, decision-making authority and accountability for results) from government agencies to a trial lead in the local community.</w:t>
      </w:r>
    </w:p>
    <w:p w14:paraId="0F605645" w14:textId="77777777" w:rsidR="00AD72CC" w:rsidRPr="00BC0D1F" w:rsidRDefault="00AD72CC" w:rsidP="00493A42"/>
    <w:p w14:paraId="7DDA5E45" w14:textId="77777777" w:rsidR="00AD72CC" w:rsidRPr="00BC0D1F" w:rsidRDefault="00AD72CC" w:rsidP="00493A42">
      <w:pPr>
        <w:keepLines/>
        <w:rPr>
          <w:noProof/>
          <w:lang w:eastAsia="en-NZ"/>
        </w:rPr>
      </w:pPr>
      <w:r w:rsidRPr="00BC0D1F">
        <w:t xml:space="preserve">The </w:t>
      </w:r>
      <w:r w:rsidRPr="00BC0D1F">
        <w:rPr>
          <w:noProof/>
          <w:lang w:eastAsia="en-NZ"/>
        </w:rPr>
        <w:t>Ministry has continued to actively participate in the trials. In June 2016 Cabinet made the decision to transition the successful trials to a community-led model by 31 December 2016. The successful trials that will transition to a locally led model are: South Waikato, Waitomo, Taumarunui, Kawerau, Horowhenua, Porirua, South Dunedin, Gore, Gisborne, Kaikohe and Ranui. The other five trials (Whakatane, Rotorua, Waikato, South Taranaki and Wairarapa) will begin finishing from 1 July 2016.</w:t>
      </w:r>
    </w:p>
    <w:p w14:paraId="3D5F68AA" w14:textId="77777777" w:rsidR="00AD72CC" w:rsidRPr="00BC0D1F" w:rsidRDefault="00AD72CC" w:rsidP="00493A42">
      <w:pPr>
        <w:rPr>
          <w:noProof/>
          <w:lang w:eastAsia="en-NZ"/>
        </w:rPr>
      </w:pPr>
    </w:p>
    <w:p w14:paraId="103F154E" w14:textId="15F40AC3" w:rsidR="00AD72CC" w:rsidRPr="00BC0D1F" w:rsidRDefault="00AD72CC" w:rsidP="00493A42">
      <w:pPr>
        <w:rPr>
          <w:noProof/>
          <w:lang w:eastAsia="en-NZ"/>
        </w:rPr>
      </w:pPr>
      <w:r w:rsidRPr="00BC0D1F">
        <w:rPr>
          <w:noProof/>
          <w:lang w:eastAsia="en-NZ"/>
        </w:rPr>
        <w:t xml:space="preserve">The Government is considering a new initiative, the </w:t>
      </w:r>
      <w:r w:rsidR="00DF4B9A" w:rsidRPr="00BC0D1F">
        <w:rPr>
          <w:noProof/>
          <w:lang w:eastAsia="en-NZ"/>
        </w:rPr>
        <w:t>‘</w:t>
      </w:r>
      <w:r w:rsidRPr="00BC0D1F">
        <w:rPr>
          <w:noProof/>
          <w:lang w:eastAsia="en-NZ"/>
        </w:rPr>
        <w:t>place-based approach</w:t>
      </w:r>
      <w:r w:rsidR="00DF4B9A" w:rsidRPr="00BC0D1F">
        <w:rPr>
          <w:noProof/>
          <w:lang w:eastAsia="en-NZ"/>
        </w:rPr>
        <w:t>’</w:t>
      </w:r>
      <w:r w:rsidRPr="00BC0D1F">
        <w:rPr>
          <w:noProof/>
          <w:lang w:eastAsia="en-NZ"/>
        </w:rPr>
        <w:t>, in Northland, Tair</w:t>
      </w:r>
      <w:r w:rsidR="00AF1712">
        <w:rPr>
          <w:noProof/>
          <w:lang w:eastAsia="en-NZ"/>
        </w:rPr>
        <w:t>ā</w:t>
      </w:r>
      <w:r w:rsidRPr="00BC0D1F">
        <w:rPr>
          <w:noProof/>
          <w:lang w:eastAsia="en-NZ"/>
        </w:rPr>
        <w:t>whiti and South Auckland; the Gisborne and Kaihoke trials are likely to be included in this new</w:t>
      </w:r>
      <w:r w:rsidR="00493A42" w:rsidRPr="00BC0D1F">
        <w:rPr>
          <w:noProof/>
          <w:lang w:eastAsia="en-NZ"/>
        </w:rPr>
        <w:t xml:space="preserve"> </w:t>
      </w:r>
      <w:r w:rsidRPr="00BC0D1F">
        <w:rPr>
          <w:noProof/>
          <w:lang w:eastAsia="en-NZ"/>
        </w:rPr>
        <w:t>community-based approach, which Cabinet is expected to make a decision on in July 2016.</w:t>
      </w:r>
    </w:p>
    <w:p w14:paraId="56870A2B" w14:textId="77777777" w:rsidR="0013160A" w:rsidRDefault="0013160A">
      <w:pPr>
        <w:spacing w:line="240" w:lineRule="auto"/>
        <w:rPr>
          <w:b/>
          <w:sz w:val="28"/>
        </w:rPr>
      </w:pPr>
      <w:r>
        <w:br w:type="page"/>
      </w:r>
    </w:p>
    <w:p w14:paraId="13CD6E31" w14:textId="58552C08" w:rsidR="00AD72CC" w:rsidRPr="00BC0D1F" w:rsidRDefault="00AD72CC" w:rsidP="00493A42">
      <w:pPr>
        <w:pStyle w:val="Heading3"/>
      </w:pPr>
      <w:r w:rsidRPr="00BC0D1F">
        <w:lastRenderedPageBreak/>
        <w:t>The Prime Minister</w:t>
      </w:r>
      <w:r w:rsidR="00DF4B9A" w:rsidRPr="00BC0D1F">
        <w:t>’</w:t>
      </w:r>
      <w:r w:rsidRPr="00BC0D1F">
        <w:t>s Youth Mental Health Project</w:t>
      </w:r>
    </w:p>
    <w:p w14:paraId="4B08FC8E" w14:textId="77777777" w:rsidR="00DF4B9A" w:rsidRPr="00BC0D1F" w:rsidRDefault="00AD72CC" w:rsidP="00493A42">
      <w:pPr>
        <w:rPr>
          <w:noProof/>
          <w:lang w:eastAsia="en-NZ"/>
        </w:rPr>
      </w:pPr>
      <w:bookmarkStart w:id="18" w:name="_Toc429041458"/>
      <w:r w:rsidRPr="00BC0D1F">
        <w:rPr>
          <w:noProof/>
          <w:lang w:eastAsia="en-NZ"/>
        </w:rPr>
        <w:t>The Prime Minister</w:t>
      </w:r>
      <w:r w:rsidR="00DF4B9A" w:rsidRPr="00BC0D1F">
        <w:rPr>
          <w:noProof/>
          <w:lang w:eastAsia="en-NZ"/>
        </w:rPr>
        <w:t>’</w:t>
      </w:r>
      <w:r w:rsidRPr="00BC0D1F">
        <w:rPr>
          <w:noProof/>
          <w:lang w:eastAsia="en-NZ"/>
        </w:rPr>
        <w:t>s Youth Mental Health Project (YMHP) is a four-year cross-agency project involving the Ministries of Health (as lead agency), Education and Social Development, Te Puni Kōkiri and the Education Review Office. The project aims to improve mental health and wellbeing for young people with, or at risk of developing, mild to moderate mental health issues. The YMHP is a practical example of the social sector working together to deliver improved outcomes for vulnerable populations and to develop a more robust evidence base for which interventions, or groups of interventions, are most effective.</w:t>
      </w:r>
    </w:p>
    <w:p w14:paraId="32CDBA9D" w14:textId="77777777" w:rsidR="00AD72CC" w:rsidRPr="00BC0D1F" w:rsidRDefault="00AD72CC" w:rsidP="00493A42"/>
    <w:p w14:paraId="197CE983" w14:textId="77777777" w:rsidR="00AD72CC" w:rsidRPr="00BC0D1F" w:rsidRDefault="00AD72CC" w:rsidP="00493A42">
      <w:pPr>
        <w:rPr>
          <w:noProof/>
          <w:lang w:eastAsia="en-NZ"/>
        </w:rPr>
      </w:pPr>
      <w:r w:rsidRPr="00BC0D1F">
        <w:rPr>
          <w:noProof/>
          <w:lang w:eastAsia="en-NZ"/>
        </w:rPr>
        <w:t>The YMHP has sought to deliver concrete action through a programme expanded over time to 26</w:t>
      </w:r>
      <w:r w:rsidR="00493A42" w:rsidRPr="00BC0D1F">
        <w:rPr>
          <w:noProof/>
          <w:lang w:eastAsia="en-NZ"/>
        </w:rPr>
        <w:t> </w:t>
      </w:r>
      <w:r w:rsidRPr="00BC0D1F">
        <w:rPr>
          <w:noProof/>
          <w:lang w:eastAsia="en-NZ"/>
        </w:rPr>
        <w:t>initiatives. The YMHP was set up with an explicit aim to build the evidence base for youth mental health. To achieve this, the project has benefited from a comprehensive evaluation programme. June 2016 marks the four-year milestone for the project, with a final evaluation report due in August 2016.</w:t>
      </w:r>
    </w:p>
    <w:p w14:paraId="6816FD36" w14:textId="77777777" w:rsidR="00AD72CC" w:rsidRPr="00BC0D1F" w:rsidRDefault="00AD72CC" w:rsidP="00493A42"/>
    <w:p w14:paraId="54FCEA6A" w14:textId="77777777" w:rsidR="00AD72CC" w:rsidRPr="00BC0D1F" w:rsidRDefault="00AD72CC" w:rsidP="00493A42">
      <w:r w:rsidRPr="00BC0D1F">
        <w:t>In 2015/16 the Ministry undertook the following YMHP activities.</w:t>
      </w:r>
    </w:p>
    <w:p w14:paraId="05B9D0A2" w14:textId="77777777" w:rsidR="00DF4B9A" w:rsidRPr="00BC0D1F" w:rsidRDefault="00AD72CC" w:rsidP="00493A42">
      <w:pPr>
        <w:pStyle w:val="Bullet"/>
      </w:pPr>
      <w:r w:rsidRPr="00BC0D1F">
        <w:t xml:space="preserve">Following the Ministry of Education 2014/15 review of school </w:t>
      </w:r>
      <w:proofErr w:type="spellStart"/>
      <w:r w:rsidRPr="00BC0D1F">
        <w:t>decile</w:t>
      </w:r>
      <w:proofErr w:type="spellEnd"/>
      <w:r w:rsidRPr="00BC0D1F">
        <w:t xml:space="preserve"> ratings, the Ministry expanded school-based health services to include new </w:t>
      </w:r>
      <w:proofErr w:type="spellStart"/>
      <w:r w:rsidRPr="00BC0D1F">
        <w:t>decile</w:t>
      </w:r>
      <w:proofErr w:type="spellEnd"/>
      <w:r w:rsidRPr="00BC0D1F">
        <w:t xml:space="preserve"> 3 schools while continuing to fund services for those schools that had moved out of </w:t>
      </w:r>
      <w:proofErr w:type="spellStart"/>
      <w:r w:rsidRPr="00BC0D1F">
        <w:t>decile</w:t>
      </w:r>
      <w:proofErr w:type="spellEnd"/>
      <w:r w:rsidRPr="00BC0D1F">
        <w:t xml:space="preserve"> 3. This means that those services are available to around 55,000 students.</w:t>
      </w:r>
    </w:p>
    <w:p w14:paraId="44858E73" w14:textId="61D137BB" w:rsidR="00AD72CC" w:rsidRPr="00BC0D1F" w:rsidRDefault="00AD72CC" w:rsidP="00493A42">
      <w:pPr>
        <w:pStyle w:val="Bullet"/>
      </w:pPr>
      <w:r w:rsidRPr="00BC0D1F">
        <w:t xml:space="preserve">The Ministry has published case studies about quality improvement initiatives in </w:t>
      </w:r>
      <w:r w:rsidR="002D75A1">
        <w:t>school-b</w:t>
      </w:r>
      <w:r w:rsidR="002D75A1" w:rsidRPr="00BC0D1F">
        <w:t xml:space="preserve">ased </w:t>
      </w:r>
      <w:r w:rsidR="002D75A1">
        <w:t>h</w:t>
      </w:r>
      <w:r w:rsidR="002D75A1" w:rsidRPr="00BC0D1F">
        <w:t xml:space="preserve">ealth </w:t>
      </w:r>
      <w:r w:rsidR="002D75A1">
        <w:t>s</w:t>
      </w:r>
      <w:r w:rsidR="002D75A1" w:rsidRPr="00BC0D1F">
        <w:t>ervices</w:t>
      </w:r>
      <w:r w:rsidRPr="00BC0D1F">
        <w:t>. The case studies provide ideas for nurses, schools, DHBs and others to improve students</w:t>
      </w:r>
      <w:r w:rsidR="00DF4B9A" w:rsidRPr="00BC0D1F">
        <w:t>’</w:t>
      </w:r>
      <w:r w:rsidRPr="00BC0D1F">
        <w:t xml:space="preserve"> health.</w:t>
      </w:r>
    </w:p>
    <w:p w14:paraId="52B6A313" w14:textId="77777777" w:rsidR="00493A42" w:rsidRPr="00BC0D1F" w:rsidRDefault="00493A42" w:rsidP="00493A42"/>
    <w:p w14:paraId="439AECD0" w14:textId="77777777" w:rsidR="00AD72CC" w:rsidRPr="00BC0D1F" w:rsidRDefault="00AD72CC" w:rsidP="00493A42">
      <w:r w:rsidRPr="00BC0D1F">
        <w:t>The Ministry has also:</w:t>
      </w:r>
    </w:p>
    <w:p w14:paraId="297BCA65" w14:textId="77777777" w:rsidR="00AD72CC" w:rsidRPr="00BC0D1F" w:rsidRDefault="00AD72CC" w:rsidP="00493A42">
      <w:pPr>
        <w:pStyle w:val="Bullet"/>
      </w:pPr>
      <w:r w:rsidRPr="00BC0D1F">
        <w:t>provided health professionals with continued access to training in HEEADSSS</w:t>
      </w:r>
      <w:r w:rsidRPr="00BC0D1F">
        <w:rPr>
          <w:rStyle w:val="FootnoteReference"/>
        </w:rPr>
        <w:footnoteReference w:id="3"/>
      </w:r>
      <w:r w:rsidRPr="00BC0D1F">
        <w:t xml:space="preserve"> wellness checks via the online learning module</w:t>
      </w:r>
    </w:p>
    <w:p w14:paraId="0D104E93" w14:textId="77777777" w:rsidR="00AD72CC" w:rsidRPr="00BC0D1F" w:rsidRDefault="00AD72CC" w:rsidP="00493A42">
      <w:pPr>
        <w:pStyle w:val="Bullet"/>
      </w:pPr>
      <w:r w:rsidRPr="00BC0D1F">
        <w:t>continued delivery of the e-therapy tool SPARX, with 7803 users registered with the website since the e-therapy tool was launched in April 2014 and good coverage of health and education providers participating</w:t>
      </w:r>
    </w:p>
    <w:p w14:paraId="45A314A0" w14:textId="77777777" w:rsidR="00AD72CC" w:rsidRPr="00BC0D1F" w:rsidRDefault="00AD72CC" w:rsidP="00493A42">
      <w:pPr>
        <w:pStyle w:val="Bullet"/>
      </w:pPr>
      <w:r w:rsidRPr="00BC0D1F">
        <w:t>improved the number of 12–19-year-olds being seen by primary mental health services across New Zealand − this increased from 7500 in 2013/14 to approximately 14,900 in 2015/16</w:t>
      </w:r>
    </w:p>
    <w:p w14:paraId="1C5B12F2" w14:textId="77777777" w:rsidR="00AD72CC" w:rsidRPr="00BC0D1F" w:rsidRDefault="00AD72CC" w:rsidP="00493A42">
      <w:pPr>
        <w:pStyle w:val="Bullet"/>
      </w:pPr>
      <w:r w:rsidRPr="00BC0D1F">
        <w:t>supported DHBs to set up youth service-level alliance teams and improve the responsiveness of primary health care services to young people</w:t>
      </w:r>
    </w:p>
    <w:p w14:paraId="6CF29911" w14:textId="77777777" w:rsidR="00AD72CC" w:rsidRPr="00BC0D1F" w:rsidRDefault="00AD72CC" w:rsidP="00493A42">
      <w:pPr>
        <w:pStyle w:val="Bullet"/>
      </w:pPr>
      <w:r w:rsidRPr="00BC0D1F">
        <w:t>exceeded its national wait-time target (80 percent), with nationally 87.3 percent of</w:t>
      </w:r>
      <w:r w:rsidR="00493A42" w:rsidRPr="00BC0D1F">
        <w:br/>
      </w:r>
      <w:r w:rsidRPr="00BC0D1F">
        <w:t>12–19-year-olds who contact a youth alcohol and drug service being seen within three weeks (data from 1 April 2015 to 31 March 2016)</w:t>
      </w:r>
    </w:p>
    <w:p w14:paraId="31E70222" w14:textId="77777777" w:rsidR="00AD72CC" w:rsidRPr="00BC0D1F" w:rsidRDefault="00AD72CC" w:rsidP="00493A42">
      <w:pPr>
        <w:pStyle w:val="Bullet"/>
      </w:pPr>
      <w:r w:rsidRPr="00BC0D1F">
        <w:t>continued to support DHBs to have transition plans in place for children and youth exiting specialist services and to implement exemplar youth alcohol and other drugs (AOD) and co</w:t>
      </w:r>
      <w:r w:rsidR="00493A42" w:rsidRPr="00BC0D1F">
        <w:noBreakHyphen/>
      </w:r>
      <w:r w:rsidRPr="00BC0D1F">
        <w:t>existing mental health services in pilot areas</w:t>
      </w:r>
    </w:p>
    <w:p w14:paraId="0649ADFE" w14:textId="77777777" w:rsidR="00AD72CC" w:rsidRPr="00BC0D1F" w:rsidRDefault="00AD72CC" w:rsidP="00493A42">
      <w:pPr>
        <w:pStyle w:val="Bullet"/>
      </w:pPr>
      <w:proofErr w:type="gramStart"/>
      <w:r w:rsidRPr="00BC0D1F">
        <w:t>assisted</w:t>
      </w:r>
      <w:proofErr w:type="gramEnd"/>
      <w:r w:rsidRPr="00BC0D1F">
        <w:t xml:space="preserve"> Canterbury DHB to implement the Christchurch Youth Mental Health Action Plan, with over 100 Canterbury schools engaged with the school-based mental health team to address emerging mental health issues in Canterbury.</w:t>
      </w:r>
    </w:p>
    <w:p w14:paraId="53A4A25E" w14:textId="77777777" w:rsidR="00493A42" w:rsidRPr="00BC0D1F" w:rsidRDefault="00493A42" w:rsidP="00493A42"/>
    <w:bookmarkEnd w:id="18"/>
    <w:p w14:paraId="0DE8A020" w14:textId="2FFBD0BE" w:rsidR="00DF4B9A" w:rsidRPr="00BC0D1F" w:rsidRDefault="00AD72CC" w:rsidP="00493A42">
      <w:pPr>
        <w:pStyle w:val="Heading3"/>
      </w:pPr>
      <w:proofErr w:type="spellStart"/>
      <w:r w:rsidRPr="00BC0D1F">
        <w:lastRenderedPageBreak/>
        <w:t>Whānau</w:t>
      </w:r>
      <w:proofErr w:type="spellEnd"/>
      <w:r w:rsidRPr="00BC0D1F">
        <w:t xml:space="preserve"> </w:t>
      </w:r>
      <w:proofErr w:type="spellStart"/>
      <w:r w:rsidRPr="00BC0D1F">
        <w:t>Ora</w:t>
      </w:r>
      <w:proofErr w:type="spellEnd"/>
    </w:p>
    <w:p w14:paraId="3053ACBD" w14:textId="77777777" w:rsidR="00AD72CC" w:rsidRPr="00BC0D1F" w:rsidRDefault="00AD72CC" w:rsidP="00493A42">
      <w:pPr>
        <w:rPr>
          <w:noProof/>
          <w:lang w:eastAsia="en-NZ"/>
        </w:rPr>
      </w:pPr>
      <w:r w:rsidRPr="00BC0D1F">
        <w:rPr>
          <w:noProof/>
          <w:lang w:eastAsia="en-NZ"/>
        </w:rPr>
        <w:t xml:space="preserve">The Ministry works with Te Puni Kōkiri (the lead government agency) and the Ministries of Finance, Education, Social Development, and Economic Development to deliver the Whānau Ora approach among service providers, and to progress achievement of Whānau Ora short-term outcomes as part of the Whānau Ora </w:t>
      </w:r>
      <w:r w:rsidRPr="00BC0D1F">
        <w:t>Outcomes Framework</w:t>
      </w:r>
      <w:r w:rsidRPr="00BC0D1F">
        <w:rPr>
          <w:noProof/>
          <w:lang w:eastAsia="en-NZ"/>
        </w:rPr>
        <w:t>. The health sector approach requires strong engagement from DHBs, which are the most substantial funders of Whānau Ora.</w:t>
      </w:r>
    </w:p>
    <w:p w14:paraId="1516A295" w14:textId="77777777" w:rsidR="00AD72CC" w:rsidRPr="00BC0D1F" w:rsidRDefault="00AD72CC" w:rsidP="00493A42">
      <w:pPr>
        <w:rPr>
          <w:noProof/>
          <w:lang w:eastAsia="en-NZ"/>
        </w:rPr>
      </w:pPr>
    </w:p>
    <w:p w14:paraId="2067F264" w14:textId="77777777" w:rsidR="00AD72CC" w:rsidRPr="00BC0D1F" w:rsidRDefault="00AD72CC" w:rsidP="00AD72CC">
      <w:pPr>
        <w:rPr>
          <w:noProof/>
          <w:lang w:eastAsia="en-NZ"/>
        </w:rPr>
      </w:pPr>
      <w:r w:rsidRPr="00BC0D1F">
        <w:rPr>
          <w:noProof/>
          <w:lang w:eastAsia="en-NZ"/>
        </w:rPr>
        <w:t>The Ministry supports the Minister of Health</w:t>
      </w:r>
      <w:r w:rsidR="00DF4B9A" w:rsidRPr="00BC0D1F">
        <w:rPr>
          <w:noProof/>
          <w:lang w:eastAsia="en-NZ"/>
        </w:rPr>
        <w:t>’</w:t>
      </w:r>
      <w:r w:rsidRPr="00BC0D1F">
        <w:rPr>
          <w:noProof/>
          <w:lang w:eastAsia="en-NZ"/>
        </w:rPr>
        <w:t xml:space="preserve">s attendance at the Whānau Ora Partnership Group </w:t>
      </w:r>
      <w:r w:rsidRPr="00BC0D1F">
        <w:t>m</w:t>
      </w:r>
      <w:r w:rsidRPr="00BC0D1F">
        <w:rPr>
          <w:noProof/>
          <w:lang w:eastAsia="en-NZ"/>
        </w:rPr>
        <w:t>eetings, where iwi chairs and Ministers come together regularly to set the direction for Whānau Ora and oversee the progress and success of Whānau Ora.</w:t>
      </w:r>
    </w:p>
    <w:p w14:paraId="4ECAAC03" w14:textId="77777777" w:rsidR="00AD72CC" w:rsidRPr="00BC0D1F" w:rsidRDefault="00AD72CC" w:rsidP="00493A42"/>
    <w:p w14:paraId="5035C615" w14:textId="77777777" w:rsidR="00AD72CC" w:rsidRPr="00BC0D1F" w:rsidRDefault="00AD72CC" w:rsidP="00493A42">
      <w:pPr>
        <w:rPr>
          <w:noProof/>
          <w:lang w:eastAsia="en-NZ"/>
        </w:rPr>
      </w:pPr>
      <w:r w:rsidRPr="00BC0D1F">
        <w:rPr>
          <w:noProof/>
          <w:lang w:eastAsia="en-NZ"/>
        </w:rPr>
        <w:t>In 2015/16 the Ministry:</w:t>
      </w:r>
    </w:p>
    <w:p w14:paraId="39FCE90C" w14:textId="77777777" w:rsidR="00AD72CC" w:rsidRPr="00BC0D1F" w:rsidRDefault="00AD72CC" w:rsidP="00493A42">
      <w:pPr>
        <w:pStyle w:val="Bullet"/>
      </w:pPr>
      <w:r w:rsidRPr="00BC0D1F">
        <w:t xml:space="preserve">continued to publish regular analysis of the performance of general practices involved in </w:t>
      </w:r>
      <w:proofErr w:type="spellStart"/>
      <w:r w:rsidRPr="00BC0D1F">
        <w:t>Whānau</w:t>
      </w:r>
      <w:proofErr w:type="spellEnd"/>
      <w:r w:rsidRPr="00BC0D1F">
        <w:t xml:space="preserve"> </w:t>
      </w:r>
      <w:proofErr w:type="spellStart"/>
      <w:r w:rsidRPr="00BC0D1F">
        <w:t>Ora</w:t>
      </w:r>
      <w:proofErr w:type="spellEnd"/>
      <w:r w:rsidRPr="00BC0D1F">
        <w:t xml:space="preserve"> collectives</w:t>
      </w:r>
    </w:p>
    <w:p w14:paraId="36854DE6" w14:textId="77777777" w:rsidR="00AD72CC" w:rsidRPr="00BC0D1F" w:rsidRDefault="00AD72CC" w:rsidP="00493A42">
      <w:pPr>
        <w:pStyle w:val="Bullet"/>
      </w:pPr>
      <w:r w:rsidRPr="00BC0D1F">
        <w:t xml:space="preserve">worked with DHBs to support their planning responses to contribute to improved health equity for Māori and Pacific people, including preparing DHBs to deliver a heightened focus on five key areas that contribute to </w:t>
      </w:r>
      <w:proofErr w:type="spellStart"/>
      <w:r w:rsidRPr="00BC0D1F">
        <w:t>Whānau</w:t>
      </w:r>
      <w:proofErr w:type="spellEnd"/>
      <w:r w:rsidRPr="00BC0D1F">
        <w:t xml:space="preserve"> </w:t>
      </w:r>
      <w:proofErr w:type="spellStart"/>
      <w:r w:rsidRPr="00BC0D1F">
        <w:t>Ora</w:t>
      </w:r>
      <w:proofErr w:type="spellEnd"/>
      <w:r w:rsidRPr="00BC0D1F">
        <w:t>: mental health, asthma, oral health, obesity and tobacco</w:t>
      </w:r>
    </w:p>
    <w:p w14:paraId="330A308B" w14:textId="77777777" w:rsidR="00AD72CC" w:rsidRPr="00BC0D1F" w:rsidRDefault="00AD72CC" w:rsidP="00493A42">
      <w:pPr>
        <w:pStyle w:val="Bullet"/>
      </w:pPr>
      <w:proofErr w:type="gramStart"/>
      <w:r w:rsidRPr="00BC0D1F">
        <w:t>implemented</w:t>
      </w:r>
      <w:proofErr w:type="gramEnd"/>
      <w:r w:rsidRPr="00BC0D1F">
        <w:t xml:space="preserve"> a </w:t>
      </w:r>
      <w:proofErr w:type="spellStart"/>
      <w:r w:rsidRPr="00BC0D1F">
        <w:t>Whānau</w:t>
      </w:r>
      <w:proofErr w:type="spellEnd"/>
      <w:r w:rsidRPr="00BC0D1F">
        <w:t xml:space="preserve"> </w:t>
      </w:r>
      <w:proofErr w:type="spellStart"/>
      <w:r w:rsidRPr="00BC0D1F">
        <w:t>Ora</w:t>
      </w:r>
      <w:proofErr w:type="spellEnd"/>
      <w:r w:rsidRPr="00BC0D1F">
        <w:t xml:space="preserve"> information system, </w:t>
      </w:r>
      <w:proofErr w:type="spellStart"/>
      <w:r w:rsidRPr="00BC0D1F">
        <w:t>Mahere</w:t>
      </w:r>
      <w:proofErr w:type="spellEnd"/>
      <w:r w:rsidRPr="00BC0D1F">
        <w:t xml:space="preserve">, to support planning and track progress against </w:t>
      </w:r>
      <w:proofErr w:type="spellStart"/>
      <w:r w:rsidRPr="00BC0D1F">
        <w:t>whānau</w:t>
      </w:r>
      <w:proofErr w:type="spellEnd"/>
      <w:r w:rsidRPr="00BC0D1F">
        <w:t xml:space="preserve"> goals; a number of </w:t>
      </w:r>
      <w:proofErr w:type="spellStart"/>
      <w:r w:rsidRPr="00BC0D1F">
        <w:t>Whānau</w:t>
      </w:r>
      <w:proofErr w:type="spellEnd"/>
      <w:r w:rsidRPr="00BC0D1F">
        <w:t xml:space="preserve"> </w:t>
      </w:r>
      <w:proofErr w:type="spellStart"/>
      <w:r w:rsidRPr="00BC0D1F">
        <w:t>Ora</w:t>
      </w:r>
      <w:proofErr w:type="spellEnd"/>
      <w:r w:rsidRPr="00BC0D1F">
        <w:t xml:space="preserve"> provider collectives have been trained and are using the system.</w:t>
      </w:r>
    </w:p>
    <w:p w14:paraId="28F522FB" w14:textId="77777777" w:rsidR="00493A42" w:rsidRPr="00BC0D1F" w:rsidRDefault="00493A42" w:rsidP="00493A42"/>
    <w:p w14:paraId="5F4BD2E5" w14:textId="77777777" w:rsidR="00AD72CC" w:rsidRPr="00BC0D1F" w:rsidRDefault="00AD72CC" w:rsidP="00493A42">
      <w:r w:rsidRPr="00BC0D1F">
        <w:t xml:space="preserve">The performance of general practices in </w:t>
      </w:r>
      <w:proofErr w:type="spellStart"/>
      <w:r w:rsidRPr="00BC0D1F">
        <w:t>Whānau</w:t>
      </w:r>
      <w:proofErr w:type="spellEnd"/>
      <w:r w:rsidRPr="00BC0D1F">
        <w:t xml:space="preserve"> </w:t>
      </w:r>
      <w:proofErr w:type="spellStart"/>
      <w:r w:rsidRPr="00BC0D1F">
        <w:t>Ora</w:t>
      </w:r>
      <w:proofErr w:type="spellEnd"/>
      <w:r w:rsidRPr="00BC0D1F">
        <w:t xml:space="preserve"> collectives is demonstrated in a regular monitoring report, released quarterly, which reports on 11 indicators that are strongly linked to major causes of morbidity and mortality for Māori (Ministry of Health 2016b).</w:t>
      </w:r>
    </w:p>
    <w:p w14:paraId="7AE6819D" w14:textId="77777777" w:rsidR="00493A42" w:rsidRPr="00BC0D1F" w:rsidRDefault="00493A42" w:rsidP="00493A42"/>
    <w:p w14:paraId="78076FD9" w14:textId="77777777" w:rsidR="00AD72CC" w:rsidRPr="00BC0D1F" w:rsidRDefault="00AD72CC" w:rsidP="00493A42">
      <w:pPr>
        <w:pStyle w:val="Heading3"/>
      </w:pPr>
      <w:r w:rsidRPr="00BC0D1F">
        <w:t>National Drug Policy</w:t>
      </w:r>
    </w:p>
    <w:p w14:paraId="505AD5F0" w14:textId="77777777" w:rsidR="00AD72CC" w:rsidRPr="00BC0D1F" w:rsidRDefault="00AD72CC" w:rsidP="00493A42">
      <w:pPr>
        <w:keepNext/>
        <w:rPr>
          <w:noProof/>
          <w:lang w:eastAsia="en-NZ"/>
        </w:rPr>
      </w:pPr>
      <w:r w:rsidRPr="00BC0D1F">
        <w:rPr>
          <w:noProof/>
          <w:lang w:eastAsia="en-NZ"/>
        </w:rPr>
        <w:t>Alcohol and drug issues are significant not only for the health system but also across the wider range of issues the Government is seeking to address. For instance, these issues are closely linked with social factors such as income, employment, housing and education, and they are a major issue for the justice system. Effective intervention requires a cross-agency response.</w:t>
      </w:r>
    </w:p>
    <w:p w14:paraId="47CE26A3" w14:textId="77777777" w:rsidR="00AD72CC" w:rsidRPr="00BC0D1F" w:rsidRDefault="00AD72CC" w:rsidP="00493A42">
      <w:pPr>
        <w:keepNext/>
        <w:rPr>
          <w:noProof/>
          <w:lang w:eastAsia="en-NZ"/>
        </w:rPr>
      </w:pPr>
    </w:p>
    <w:p w14:paraId="4AAD1BDF" w14:textId="234867FE" w:rsidR="00AD72CC" w:rsidRPr="00BC0D1F" w:rsidRDefault="00AD72CC" w:rsidP="00493A42">
      <w:pPr>
        <w:rPr>
          <w:noProof/>
          <w:lang w:eastAsia="en-NZ"/>
        </w:rPr>
      </w:pPr>
      <w:r w:rsidRPr="00BC0D1F">
        <w:rPr>
          <w:noProof/>
          <w:lang w:eastAsia="en-NZ"/>
        </w:rPr>
        <w:t>The expiry of the previous National Drug Policy (which covered the period 2007 to 2012) provided an opportunity to re-think how we deal with these issues. The Ministry undertook public consultation and led cross-agency work to put a new policy in place. The new policy, released in August 2016, provides the overarching framework for the approach to alcohol and drug issues across government and represents a substantial change from the previous policy. In particular, it:</w:t>
      </w:r>
    </w:p>
    <w:p w14:paraId="6E131FFD" w14:textId="77777777" w:rsidR="00DF4B9A" w:rsidRPr="00BC0D1F" w:rsidRDefault="00AD72CC" w:rsidP="00493A42">
      <w:pPr>
        <w:pStyle w:val="Bullet"/>
        <w:rPr>
          <w:noProof/>
          <w:lang w:eastAsia="en-NZ"/>
        </w:rPr>
      </w:pPr>
      <w:r w:rsidRPr="00BC0D1F">
        <w:rPr>
          <w:noProof/>
          <w:lang w:eastAsia="en-NZ"/>
        </w:rPr>
        <w:t>widened the scope of the previous policy to include alcohol in addition to drugs</w:t>
      </w:r>
    </w:p>
    <w:p w14:paraId="6EBF0EEA" w14:textId="32F528C7" w:rsidR="00AD72CC" w:rsidRPr="00BC0D1F" w:rsidRDefault="00AD72CC" w:rsidP="00493A42">
      <w:pPr>
        <w:pStyle w:val="Bullet"/>
        <w:rPr>
          <w:noProof/>
          <w:lang w:eastAsia="en-NZ"/>
        </w:rPr>
      </w:pPr>
      <w:r w:rsidRPr="00BC0D1F">
        <w:rPr>
          <w:noProof/>
          <w:lang w:eastAsia="en-NZ"/>
        </w:rPr>
        <w:t>made it clear that the key principle of the new pol</w:t>
      </w:r>
      <w:r w:rsidR="00772E03">
        <w:rPr>
          <w:noProof/>
          <w:lang w:eastAsia="en-NZ"/>
        </w:rPr>
        <w:t>icy is minimising harm;</w:t>
      </w:r>
      <w:r w:rsidRPr="00BC0D1F">
        <w:rPr>
          <w:noProof/>
          <w:lang w:eastAsia="en-NZ"/>
        </w:rPr>
        <w:t xml:space="preserve"> broadening the emphasis from primarily a law enforcement approach to include encouraging people to seek help, improving the availability of treatment options, and an emphasis on reducing alcohol-related harm</w:t>
      </w:r>
    </w:p>
    <w:p w14:paraId="32AC1754" w14:textId="77777777" w:rsidR="00DF4B9A" w:rsidRPr="00BC0D1F" w:rsidRDefault="00AD72CC" w:rsidP="00493A42">
      <w:pPr>
        <w:pStyle w:val="Bullet"/>
        <w:rPr>
          <w:noProof/>
          <w:lang w:eastAsia="en-NZ"/>
        </w:rPr>
      </w:pPr>
      <w:r w:rsidRPr="00BC0D1F">
        <w:rPr>
          <w:noProof/>
          <w:lang w:eastAsia="en-NZ"/>
        </w:rPr>
        <w:t>included a wide range of specific actions to minimise harm, such as releasing a discussion document on the regulation of drug utensils, developing options for the offence and penalty regime for personal possession within the Misuse of Drugs Act, and reviewing the regulation of controlled drugs such as medicines for legitimate purposes.</w:t>
      </w:r>
    </w:p>
    <w:p w14:paraId="0F07AFC9" w14:textId="77777777" w:rsidR="00AD72CC" w:rsidRPr="00BC0D1F" w:rsidRDefault="00AD72CC" w:rsidP="00493A42">
      <w:pPr>
        <w:rPr>
          <w:noProof/>
          <w:lang w:eastAsia="en-NZ"/>
        </w:rPr>
      </w:pPr>
    </w:p>
    <w:p w14:paraId="34EF6353" w14:textId="77777777" w:rsidR="00AD72CC" w:rsidRPr="00BC0D1F" w:rsidRDefault="00AD72CC" w:rsidP="00493A42">
      <w:pPr>
        <w:rPr>
          <w:noProof/>
          <w:lang w:eastAsia="en-NZ"/>
        </w:rPr>
      </w:pPr>
      <w:r w:rsidRPr="00BC0D1F">
        <w:rPr>
          <w:noProof/>
          <w:lang w:eastAsia="en-NZ"/>
        </w:rPr>
        <w:lastRenderedPageBreak/>
        <w:t>The Ministry leads the Inter-Agency Committee on Drugs, which has oversight of the National Drug Policy 2015−2020. The committee</w:t>
      </w:r>
      <w:r w:rsidR="00DF4B9A" w:rsidRPr="00BC0D1F">
        <w:rPr>
          <w:noProof/>
          <w:lang w:eastAsia="en-NZ"/>
        </w:rPr>
        <w:t>’</w:t>
      </w:r>
      <w:r w:rsidRPr="00BC0D1F">
        <w:rPr>
          <w:noProof/>
          <w:lang w:eastAsia="en-NZ"/>
        </w:rPr>
        <w:t>s annual report in June 2016 noted that good progress was made in the policy</w:t>
      </w:r>
      <w:r w:rsidR="00DF4B9A" w:rsidRPr="00BC0D1F">
        <w:rPr>
          <w:noProof/>
          <w:lang w:eastAsia="en-NZ"/>
        </w:rPr>
        <w:t>’</w:t>
      </w:r>
      <w:r w:rsidRPr="00BC0D1F">
        <w:rPr>
          <w:noProof/>
          <w:lang w:eastAsia="en-NZ"/>
        </w:rPr>
        <w:t>s first year of implementation. In this regard, the Ministry has:</w:t>
      </w:r>
    </w:p>
    <w:p w14:paraId="5EC22E8F" w14:textId="77777777" w:rsidR="00AD72CC" w:rsidRPr="00BC0D1F" w:rsidRDefault="00AD72CC" w:rsidP="00493A42">
      <w:pPr>
        <w:pStyle w:val="Bullet"/>
      </w:pPr>
      <w:r w:rsidRPr="00BC0D1F">
        <w:t>developed a New Zealand position for the United Nations General Assembly Special Session on Drugs in 2016</w:t>
      </w:r>
    </w:p>
    <w:p w14:paraId="5A8101C2" w14:textId="2BCA489A" w:rsidR="00AD72CC" w:rsidRPr="00BC0D1F" w:rsidRDefault="00AD72CC" w:rsidP="00493A42">
      <w:pPr>
        <w:pStyle w:val="Bullet"/>
      </w:pPr>
      <w:r w:rsidRPr="00BC0D1F">
        <w:t>supported Ass</w:t>
      </w:r>
      <w:r w:rsidR="00BC0D1F" w:rsidRPr="00BC0D1F">
        <w:t>ociate</w:t>
      </w:r>
      <w:r w:rsidR="00DF4B9A" w:rsidRPr="00BC0D1F">
        <w:t xml:space="preserve"> </w:t>
      </w:r>
      <w:r w:rsidRPr="00BC0D1F">
        <w:t>Minister Dunne</w:t>
      </w:r>
      <w:r w:rsidR="00DF4B9A" w:rsidRPr="00BC0D1F">
        <w:t>’</w:t>
      </w:r>
      <w:r w:rsidRPr="00BC0D1F">
        <w:t>s introduction of the Substance Addiction (Compulsory Assessment and Treatment) Bill to Parliament</w:t>
      </w:r>
    </w:p>
    <w:p w14:paraId="222D5934" w14:textId="77777777" w:rsidR="00AD72CC" w:rsidRPr="00BC0D1F" w:rsidRDefault="00AD72CC" w:rsidP="00493A42">
      <w:pPr>
        <w:pStyle w:val="Bullet"/>
      </w:pPr>
      <w:r w:rsidRPr="00BC0D1F">
        <w:t xml:space="preserve">supported the Minister to obtain Cabinet agreement to publish a </w:t>
      </w:r>
      <w:proofErr w:type="spellStart"/>
      <w:r w:rsidRPr="00BC0D1F">
        <w:t>fetal</w:t>
      </w:r>
      <w:proofErr w:type="spellEnd"/>
      <w:r w:rsidRPr="00BC0D1F">
        <w:t xml:space="preserve"> alcohol spectrum disorder action plan</w:t>
      </w:r>
    </w:p>
    <w:p w14:paraId="40C3DEAE" w14:textId="77777777" w:rsidR="00AD72CC" w:rsidRPr="00BC0D1F" w:rsidRDefault="00AD72CC" w:rsidP="00493A42">
      <w:pPr>
        <w:pStyle w:val="Bullet"/>
      </w:pPr>
      <w:r w:rsidRPr="00BC0D1F">
        <w:t>provided support to the Minister to obtain Cabinet agreement to release a discussion document seeking feedback on appropriate regulation of drug utensils</w:t>
      </w:r>
    </w:p>
    <w:p w14:paraId="35429B4B" w14:textId="77777777" w:rsidR="00DF4B9A" w:rsidRPr="00BC0D1F" w:rsidRDefault="00AD72CC" w:rsidP="00493A42">
      <w:pPr>
        <w:pStyle w:val="Bullet"/>
      </w:pPr>
      <w:proofErr w:type="gramStart"/>
      <w:r w:rsidRPr="00BC0D1F">
        <w:t>developed</w:t>
      </w:r>
      <w:proofErr w:type="gramEnd"/>
      <w:r w:rsidRPr="00BC0D1F">
        <w:t xml:space="preserve"> tier 1 statistics for alcohol harm (but not for other drug harm, because an appropriate national indicator of harm has yet to be identified).</w:t>
      </w:r>
    </w:p>
    <w:p w14:paraId="574C5D2B" w14:textId="77777777" w:rsidR="00AD72CC" w:rsidRPr="00BC0D1F" w:rsidRDefault="00AD72CC" w:rsidP="00493A42"/>
    <w:p w14:paraId="279F1B0E" w14:textId="77777777" w:rsidR="00AD72CC" w:rsidRPr="00BC0D1F" w:rsidRDefault="00AD72CC" w:rsidP="00493A42">
      <w:pPr>
        <w:rPr>
          <w:noProof/>
          <w:lang w:eastAsia="en-NZ"/>
        </w:rPr>
      </w:pPr>
      <w:r w:rsidRPr="00BC0D1F">
        <w:rPr>
          <w:noProof/>
          <w:lang w:eastAsia="en-NZ"/>
        </w:rPr>
        <w:t>Planned publication in 2015/16 of a literature review of population-level impacts of alcohol and other drugs and unmet needs has been deferred to 2016/17.</w:t>
      </w:r>
    </w:p>
    <w:p w14:paraId="1DDDB929" w14:textId="77777777" w:rsidR="00AD72CC" w:rsidRPr="00BC0D1F" w:rsidRDefault="00AD72CC" w:rsidP="00493A42">
      <w:pPr>
        <w:rPr>
          <w:noProof/>
          <w:lang w:eastAsia="en-NZ"/>
        </w:rPr>
      </w:pPr>
    </w:p>
    <w:p w14:paraId="5E1521E6" w14:textId="0A5000CF" w:rsidR="00AD72CC" w:rsidRPr="00BC0D1F" w:rsidRDefault="00AD72CC" w:rsidP="00493A42">
      <w:pPr>
        <w:rPr>
          <w:noProof/>
          <w:lang w:eastAsia="en-NZ"/>
        </w:rPr>
      </w:pPr>
      <w:r w:rsidRPr="00BC0D1F">
        <w:rPr>
          <w:noProof/>
          <w:lang w:eastAsia="en-NZ"/>
        </w:rPr>
        <w:t>The Inter-Agency Committee on Drugs made recommendations to the Prime Minister on the annual allocation of money forfeited to the Crown under the Criminal Proceeds (Recovery) Act 2009. Information on which proposals are funded through this process is made public through the Government</w:t>
      </w:r>
      <w:r w:rsidR="00DF4B9A" w:rsidRPr="00BC0D1F">
        <w:rPr>
          <w:noProof/>
          <w:lang w:eastAsia="en-NZ"/>
        </w:rPr>
        <w:t>’</w:t>
      </w:r>
      <w:r w:rsidRPr="00BC0D1F">
        <w:rPr>
          <w:noProof/>
          <w:lang w:eastAsia="en-NZ"/>
        </w:rPr>
        <w:t xml:space="preserve">s </w:t>
      </w:r>
      <w:r w:rsidRPr="00BC0D1F">
        <w:rPr>
          <w:i/>
          <w:noProof/>
          <w:lang w:eastAsia="en-NZ"/>
        </w:rPr>
        <w:t xml:space="preserve">Tackling Methamphetamine: An action plan </w:t>
      </w:r>
      <w:r w:rsidRPr="00BC0D1F">
        <w:rPr>
          <w:noProof/>
          <w:lang w:eastAsia="en-NZ"/>
        </w:rPr>
        <w:t>(Department of the Prime Minister and Cabinet 2010)</w:t>
      </w:r>
      <w:r w:rsidR="00493A42" w:rsidRPr="00BC0D1F">
        <w:rPr>
          <w:noProof/>
          <w:lang w:eastAsia="en-NZ"/>
        </w:rPr>
        <w:t>.</w:t>
      </w:r>
    </w:p>
    <w:p w14:paraId="6BC263BF" w14:textId="77777777" w:rsidR="00493A42" w:rsidRPr="00BC0D1F" w:rsidRDefault="00493A42" w:rsidP="00493A42">
      <w:pPr>
        <w:rPr>
          <w:noProof/>
          <w:lang w:eastAsia="en-NZ"/>
        </w:rPr>
      </w:pPr>
    </w:p>
    <w:p w14:paraId="1B798582" w14:textId="77777777" w:rsidR="00AD72CC" w:rsidRPr="00BC0D1F" w:rsidRDefault="00AD72CC" w:rsidP="00493A42">
      <w:pPr>
        <w:pStyle w:val="Heading4"/>
        <w:rPr>
          <w:lang w:eastAsia="en-NZ"/>
        </w:rPr>
      </w:pPr>
      <w:r w:rsidRPr="00BC0D1F">
        <w:rPr>
          <w:lang w:eastAsia="en-NZ"/>
        </w:rPr>
        <w:t>Review and re-contracting of methamphetamine treatment services</w:t>
      </w:r>
    </w:p>
    <w:p w14:paraId="20038E17" w14:textId="77777777" w:rsidR="00DF4B9A" w:rsidRPr="00BC0D1F" w:rsidRDefault="00AD72CC" w:rsidP="00493A42">
      <w:pPr>
        <w:keepLines/>
        <w:rPr>
          <w:noProof/>
          <w:lang w:eastAsia="en-NZ"/>
        </w:rPr>
      </w:pPr>
      <w:r w:rsidRPr="00BC0D1F">
        <w:rPr>
          <w:noProof/>
          <w:lang w:eastAsia="en-NZ"/>
        </w:rPr>
        <w:t>A review of the methamphetamine treatment services contracted by the Ministry concluded that there remains high demand for these services. Adult residential methamphetamine-related treatment services were re-contracted. Residential treatment services for young people were consolidated with one provider instead of three. Funding will be devolved to DHBs once the model of care for such services has been revised.</w:t>
      </w:r>
    </w:p>
    <w:p w14:paraId="436ED53B" w14:textId="77777777" w:rsidR="00AD72CC" w:rsidRPr="00BC0D1F" w:rsidRDefault="00AD72CC" w:rsidP="00493A42"/>
    <w:p w14:paraId="2BFB3E7C" w14:textId="77777777" w:rsidR="00852C97" w:rsidRDefault="00852C97">
      <w:pPr>
        <w:spacing w:line="240" w:lineRule="auto"/>
        <w:rPr>
          <w:b/>
          <w:sz w:val="40"/>
        </w:rPr>
      </w:pPr>
      <w:bookmarkStart w:id="19" w:name="_Toc429749527"/>
      <w:bookmarkStart w:id="20" w:name="_Toc430768802"/>
      <w:bookmarkStart w:id="21" w:name="_Toc459730008"/>
      <w:bookmarkStart w:id="22" w:name="_Toc461544282"/>
      <w:bookmarkStart w:id="23" w:name="_Toc429041459"/>
      <w:r>
        <w:br w:type="page"/>
      </w:r>
    </w:p>
    <w:p w14:paraId="0DF72036" w14:textId="6B4AB47E" w:rsidR="00AD72CC" w:rsidRPr="00BC0D1F" w:rsidRDefault="00AD72CC" w:rsidP="00493A42">
      <w:pPr>
        <w:pStyle w:val="Heading2"/>
      </w:pPr>
      <w:bookmarkStart w:id="24" w:name="_Toc463507912"/>
      <w:r w:rsidRPr="00BC0D1F">
        <w:lastRenderedPageBreak/>
        <w:t xml:space="preserve">The health </w:t>
      </w:r>
      <w:bookmarkEnd w:id="19"/>
      <w:r w:rsidRPr="00BC0D1F">
        <w:t>targets</w:t>
      </w:r>
      <w:bookmarkEnd w:id="20"/>
      <w:bookmarkEnd w:id="21"/>
      <w:bookmarkEnd w:id="22"/>
      <w:bookmarkEnd w:id="24"/>
    </w:p>
    <w:p w14:paraId="5C9B810C" w14:textId="77777777" w:rsidR="00AD72CC" w:rsidRPr="00BC0D1F" w:rsidRDefault="00AD72CC" w:rsidP="00493A42">
      <w:pPr>
        <w:rPr>
          <w:noProof/>
          <w:lang w:eastAsia="en-NZ"/>
        </w:rPr>
      </w:pPr>
      <w:r w:rsidRPr="00BC0D1F">
        <w:rPr>
          <w:noProof/>
          <w:lang w:eastAsia="en-NZ"/>
        </w:rPr>
        <w:t>The health targets are a set of national performance measures specifically designed to improve the performance of the health system. The Ministry and DHBs are collectively responsible for achieving the health targets. Meeting these targets makes a practical difference to individuals and families by improving access to services, reducing waiting times or preventing harmful conditions.</w:t>
      </w:r>
    </w:p>
    <w:p w14:paraId="54B2837F" w14:textId="77777777" w:rsidR="00AD72CC" w:rsidRPr="00BC0D1F" w:rsidRDefault="00AD72CC" w:rsidP="00493A42"/>
    <w:p w14:paraId="5F6B8CAE" w14:textId="77777777" w:rsidR="00AD72CC" w:rsidRPr="00BC0D1F" w:rsidRDefault="00AD72CC" w:rsidP="00493A42">
      <w:pPr>
        <w:pStyle w:val="Table"/>
      </w:pPr>
      <w:bookmarkStart w:id="25" w:name="_Toc462926706"/>
      <w:r w:rsidRPr="00BC0D1F">
        <w:t>Table 1: Six health targets for 2015/16</w:t>
      </w:r>
      <w:bookmarkEnd w:id="25"/>
    </w:p>
    <w:tbl>
      <w:tblPr>
        <w:tblW w:w="0" w:type="auto"/>
        <w:tblInd w:w="57" w:type="dxa"/>
        <w:tblBorders>
          <w:top w:val="single" w:sz="4" w:space="0" w:color="auto"/>
          <w:bottom w:val="single" w:sz="4" w:space="0" w:color="auto"/>
        </w:tblBorders>
        <w:tblCellMar>
          <w:left w:w="57" w:type="dxa"/>
          <w:right w:w="57" w:type="dxa"/>
        </w:tblCellMar>
        <w:tblLook w:val="01E0" w:firstRow="1" w:lastRow="1" w:firstColumn="1" w:lastColumn="1" w:noHBand="0" w:noVBand="0"/>
      </w:tblPr>
      <w:tblGrid>
        <w:gridCol w:w="2552"/>
        <w:gridCol w:w="6804"/>
      </w:tblGrid>
      <w:tr w:rsidR="00AD72CC" w:rsidRPr="00BC0D1F" w14:paraId="7B3E4DCF" w14:textId="77777777" w:rsidTr="00493A42">
        <w:trPr>
          <w:cantSplit/>
        </w:trPr>
        <w:tc>
          <w:tcPr>
            <w:tcW w:w="2552" w:type="dxa"/>
            <w:tcBorders>
              <w:top w:val="single" w:sz="4" w:space="0" w:color="auto"/>
              <w:bottom w:val="single" w:sz="4" w:space="0" w:color="auto"/>
            </w:tcBorders>
            <w:shd w:val="clear" w:color="auto" w:fill="auto"/>
          </w:tcPr>
          <w:p w14:paraId="3C00DE7B" w14:textId="77777777" w:rsidR="00AD72CC" w:rsidRPr="00BC0D1F" w:rsidRDefault="00AD72CC" w:rsidP="00493A42">
            <w:pPr>
              <w:pStyle w:val="TableText"/>
              <w:ind w:right="142"/>
              <w:rPr>
                <w:rFonts w:eastAsia="Arial"/>
                <w:b/>
              </w:rPr>
            </w:pPr>
            <w:r w:rsidRPr="00BC0D1F">
              <w:rPr>
                <w:rFonts w:eastAsia="Arial"/>
                <w:b/>
              </w:rPr>
              <w:t>Health target</w:t>
            </w:r>
          </w:p>
        </w:tc>
        <w:tc>
          <w:tcPr>
            <w:tcW w:w="6804" w:type="dxa"/>
            <w:tcBorders>
              <w:top w:val="single" w:sz="4" w:space="0" w:color="auto"/>
              <w:bottom w:val="single" w:sz="4" w:space="0" w:color="auto"/>
            </w:tcBorders>
            <w:shd w:val="clear" w:color="auto" w:fill="auto"/>
          </w:tcPr>
          <w:p w14:paraId="0863E469" w14:textId="77777777" w:rsidR="00AD72CC" w:rsidRPr="00BC0D1F" w:rsidRDefault="00AD72CC" w:rsidP="00493A42">
            <w:pPr>
              <w:pStyle w:val="TableText"/>
              <w:rPr>
                <w:rFonts w:eastAsia="Arial"/>
                <w:b/>
              </w:rPr>
            </w:pPr>
            <w:r w:rsidRPr="00BC0D1F">
              <w:rPr>
                <w:rFonts w:eastAsia="Arial"/>
                <w:b/>
              </w:rPr>
              <w:t>Measures</w:t>
            </w:r>
          </w:p>
        </w:tc>
      </w:tr>
      <w:tr w:rsidR="00AD72CC" w:rsidRPr="00BC0D1F" w14:paraId="53D62106" w14:textId="77777777" w:rsidTr="00F06348">
        <w:trPr>
          <w:cantSplit/>
        </w:trPr>
        <w:tc>
          <w:tcPr>
            <w:tcW w:w="2552" w:type="dxa"/>
            <w:tcBorders>
              <w:top w:val="single" w:sz="4" w:space="0" w:color="auto"/>
              <w:bottom w:val="single" w:sz="4" w:space="0" w:color="A6A6A6"/>
            </w:tcBorders>
            <w:shd w:val="clear" w:color="auto" w:fill="auto"/>
          </w:tcPr>
          <w:p w14:paraId="203BEAD9" w14:textId="77777777" w:rsidR="00AD72CC" w:rsidRPr="00BC0D1F" w:rsidRDefault="00AD72CC" w:rsidP="00493A42">
            <w:pPr>
              <w:pStyle w:val="TableText"/>
              <w:ind w:right="142"/>
              <w:rPr>
                <w:rFonts w:eastAsia="Arial"/>
              </w:rPr>
            </w:pPr>
            <w:r w:rsidRPr="00BC0D1F">
              <w:rPr>
                <w:rFonts w:eastAsia="Arial"/>
              </w:rPr>
              <w:t>Shorter stays in emergency departments</w:t>
            </w:r>
          </w:p>
        </w:tc>
        <w:tc>
          <w:tcPr>
            <w:tcW w:w="6804" w:type="dxa"/>
            <w:tcBorders>
              <w:top w:val="single" w:sz="4" w:space="0" w:color="auto"/>
              <w:bottom w:val="single" w:sz="4" w:space="0" w:color="A6A6A6"/>
            </w:tcBorders>
            <w:shd w:val="clear" w:color="auto" w:fill="auto"/>
          </w:tcPr>
          <w:p w14:paraId="35AD48FF" w14:textId="77777777" w:rsidR="00AD72CC" w:rsidRPr="00BC0D1F" w:rsidRDefault="00AD72CC" w:rsidP="00493A42">
            <w:pPr>
              <w:pStyle w:val="TableText"/>
              <w:rPr>
                <w:rFonts w:eastAsia="Arial"/>
              </w:rPr>
            </w:pPr>
            <w:r w:rsidRPr="00BC0D1F">
              <w:rPr>
                <w:rFonts w:eastAsia="Arial"/>
              </w:rPr>
              <w:t>95% of patients will be admitted, discharged or transferred from an emergency department within 6 hours.</w:t>
            </w:r>
          </w:p>
        </w:tc>
      </w:tr>
      <w:tr w:rsidR="00AD72CC" w:rsidRPr="00BC0D1F" w14:paraId="11BB9685" w14:textId="77777777" w:rsidTr="00F06348">
        <w:trPr>
          <w:cantSplit/>
        </w:trPr>
        <w:tc>
          <w:tcPr>
            <w:tcW w:w="2552" w:type="dxa"/>
            <w:tcBorders>
              <w:top w:val="single" w:sz="4" w:space="0" w:color="A6A6A6"/>
              <w:bottom w:val="single" w:sz="4" w:space="0" w:color="A6A6A6"/>
            </w:tcBorders>
            <w:shd w:val="clear" w:color="auto" w:fill="auto"/>
          </w:tcPr>
          <w:p w14:paraId="58BDBA78" w14:textId="77777777" w:rsidR="00AD72CC" w:rsidRPr="00BC0D1F" w:rsidRDefault="00AD72CC" w:rsidP="00493A42">
            <w:pPr>
              <w:pStyle w:val="TableText"/>
              <w:ind w:right="142"/>
              <w:rPr>
                <w:rFonts w:eastAsia="Arial"/>
              </w:rPr>
            </w:pPr>
            <w:r w:rsidRPr="00BC0D1F">
              <w:rPr>
                <w:rFonts w:eastAsia="Arial"/>
              </w:rPr>
              <w:t>Improved access to elective surgery</w:t>
            </w:r>
          </w:p>
        </w:tc>
        <w:tc>
          <w:tcPr>
            <w:tcW w:w="6804" w:type="dxa"/>
            <w:tcBorders>
              <w:top w:val="single" w:sz="4" w:space="0" w:color="A6A6A6"/>
              <w:bottom w:val="single" w:sz="4" w:space="0" w:color="A6A6A6"/>
            </w:tcBorders>
            <w:shd w:val="clear" w:color="auto" w:fill="auto"/>
          </w:tcPr>
          <w:p w14:paraId="01A77EE4" w14:textId="77777777" w:rsidR="00AD72CC" w:rsidRPr="00BC0D1F" w:rsidRDefault="00AD72CC" w:rsidP="00493A42">
            <w:pPr>
              <w:pStyle w:val="TableText"/>
              <w:rPr>
                <w:rFonts w:eastAsia="Arial"/>
              </w:rPr>
            </w:pPr>
            <w:r w:rsidRPr="00BC0D1F">
              <w:rPr>
                <w:rFonts w:eastAsia="Arial"/>
              </w:rPr>
              <w:t>The volume of elective surgery will be increased by an average of 4000 discharges per year.</w:t>
            </w:r>
          </w:p>
        </w:tc>
      </w:tr>
      <w:tr w:rsidR="00AD72CC" w:rsidRPr="00BC0D1F" w14:paraId="7E5DF7FF" w14:textId="77777777" w:rsidTr="00F06348">
        <w:trPr>
          <w:cantSplit/>
        </w:trPr>
        <w:tc>
          <w:tcPr>
            <w:tcW w:w="2552" w:type="dxa"/>
            <w:tcBorders>
              <w:top w:val="single" w:sz="4" w:space="0" w:color="A6A6A6"/>
              <w:bottom w:val="single" w:sz="4" w:space="0" w:color="A6A6A6"/>
            </w:tcBorders>
            <w:shd w:val="clear" w:color="auto" w:fill="auto"/>
          </w:tcPr>
          <w:p w14:paraId="648A2DCE" w14:textId="77777777" w:rsidR="00AD72CC" w:rsidRPr="00BC0D1F" w:rsidRDefault="00AD72CC" w:rsidP="00493A42">
            <w:pPr>
              <w:pStyle w:val="TableText"/>
              <w:ind w:right="142"/>
              <w:rPr>
                <w:rFonts w:eastAsia="Arial"/>
              </w:rPr>
            </w:pPr>
            <w:r w:rsidRPr="00BC0D1F">
              <w:rPr>
                <w:rFonts w:eastAsia="Arial"/>
              </w:rPr>
              <w:t>Faster cancer treatment</w:t>
            </w:r>
          </w:p>
        </w:tc>
        <w:tc>
          <w:tcPr>
            <w:tcW w:w="6804" w:type="dxa"/>
            <w:tcBorders>
              <w:top w:val="single" w:sz="4" w:space="0" w:color="A6A6A6"/>
              <w:bottom w:val="single" w:sz="4" w:space="0" w:color="A6A6A6"/>
            </w:tcBorders>
            <w:shd w:val="clear" w:color="auto" w:fill="auto"/>
          </w:tcPr>
          <w:p w14:paraId="240C13BD" w14:textId="77777777" w:rsidR="00AD72CC" w:rsidRPr="00BC0D1F" w:rsidRDefault="00AD72CC" w:rsidP="00493A42">
            <w:pPr>
              <w:pStyle w:val="TableText"/>
              <w:rPr>
                <w:rFonts w:eastAsia="Arial"/>
              </w:rPr>
            </w:pPr>
            <w:r w:rsidRPr="00BC0D1F">
              <w:t xml:space="preserve">85% of patients will receive their first cancer treatment (or other management) within </w:t>
            </w:r>
            <w:r w:rsidRPr="00BC0D1F">
              <w:rPr>
                <w:rFonts w:eastAsia="Arial"/>
              </w:rPr>
              <w:t>62 days of being referred with a high suspicion of cancer and a need to be seen within 2 weeks, by July 2016, increasing to 90% by June 2017.</w:t>
            </w:r>
          </w:p>
        </w:tc>
      </w:tr>
      <w:tr w:rsidR="00AD72CC" w:rsidRPr="00BC0D1F" w14:paraId="255B82A2" w14:textId="77777777" w:rsidTr="00F06348">
        <w:trPr>
          <w:cantSplit/>
        </w:trPr>
        <w:tc>
          <w:tcPr>
            <w:tcW w:w="2552" w:type="dxa"/>
            <w:tcBorders>
              <w:top w:val="single" w:sz="4" w:space="0" w:color="A6A6A6"/>
              <w:bottom w:val="single" w:sz="4" w:space="0" w:color="A6A6A6"/>
            </w:tcBorders>
            <w:shd w:val="clear" w:color="auto" w:fill="auto"/>
          </w:tcPr>
          <w:p w14:paraId="75FFF6A2" w14:textId="77777777" w:rsidR="00AD72CC" w:rsidRPr="00BC0D1F" w:rsidRDefault="00AD72CC" w:rsidP="00493A42">
            <w:pPr>
              <w:pStyle w:val="TableText"/>
              <w:ind w:right="142"/>
            </w:pPr>
            <w:r w:rsidRPr="00BC0D1F">
              <w:rPr>
                <w:rFonts w:eastAsia="Arial"/>
              </w:rPr>
              <w:t xml:space="preserve">Increased immunisation </w:t>
            </w:r>
            <w:r w:rsidRPr="00BC0D1F">
              <w:t>(also a Better Public Services action)</w:t>
            </w:r>
          </w:p>
        </w:tc>
        <w:tc>
          <w:tcPr>
            <w:tcW w:w="6804" w:type="dxa"/>
            <w:tcBorders>
              <w:top w:val="single" w:sz="4" w:space="0" w:color="A6A6A6"/>
              <w:bottom w:val="single" w:sz="4" w:space="0" w:color="A6A6A6"/>
            </w:tcBorders>
            <w:shd w:val="clear" w:color="auto" w:fill="auto"/>
          </w:tcPr>
          <w:p w14:paraId="77A58E93" w14:textId="77777777" w:rsidR="00AD72CC" w:rsidRPr="00BC0D1F" w:rsidRDefault="00AD72CC" w:rsidP="00493A42">
            <w:pPr>
              <w:pStyle w:val="TableText"/>
            </w:pPr>
            <w:r w:rsidRPr="00BC0D1F">
              <w:t>95% of 8-month-olds will have their primary course of immunisation (6 weeks, 3</w:t>
            </w:r>
            <w:r w:rsidR="00493A42" w:rsidRPr="00BC0D1F">
              <w:t> </w:t>
            </w:r>
            <w:r w:rsidRPr="00BC0D1F">
              <w:t>months and 5 months immunisation events) on time, through to 30 June 2017.</w:t>
            </w:r>
          </w:p>
        </w:tc>
      </w:tr>
      <w:tr w:rsidR="00AD72CC" w:rsidRPr="00BC0D1F" w14:paraId="6C17728C" w14:textId="77777777" w:rsidTr="00F06348">
        <w:trPr>
          <w:cantSplit/>
        </w:trPr>
        <w:tc>
          <w:tcPr>
            <w:tcW w:w="2552" w:type="dxa"/>
            <w:tcBorders>
              <w:top w:val="single" w:sz="4" w:space="0" w:color="A6A6A6"/>
              <w:bottom w:val="single" w:sz="4" w:space="0" w:color="A6A6A6"/>
            </w:tcBorders>
            <w:shd w:val="clear" w:color="auto" w:fill="auto"/>
          </w:tcPr>
          <w:p w14:paraId="42AF439D" w14:textId="77777777" w:rsidR="00AD72CC" w:rsidRPr="00BC0D1F" w:rsidRDefault="00AD72CC" w:rsidP="00493A42">
            <w:pPr>
              <w:pStyle w:val="TableText"/>
              <w:ind w:right="142"/>
              <w:rPr>
                <w:rFonts w:eastAsia="Arial"/>
              </w:rPr>
            </w:pPr>
            <w:r w:rsidRPr="00BC0D1F">
              <w:t xml:space="preserve">Better help for smokers </w:t>
            </w:r>
            <w:r w:rsidRPr="00BC0D1F">
              <w:rPr>
                <w:rFonts w:eastAsia="Arial"/>
              </w:rPr>
              <w:t>to quit</w:t>
            </w:r>
          </w:p>
        </w:tc>
        <w:tc>
          <w:tcPr>
            <w:tcW w:w="6804" w:type="dxa"/>
            <w:tcBorders>
              <w:top w:val="single" w:sz="4" w:space="0" w:color="A6A6A6"/>
              <w:bottom w:val="single" w:sz="4" w:space="0" w:color="A6A6A6"/>
            </w:tcBorders>
            <w:shd w:val="clear" w:color="auto" w:fill="auto"/>
          </w:tcPr>
          <w:p w14:paraId="58C1B1CE" w14:textId="77777777" w:rsidR="00AD72CC" w:rsidRPr="00BC0D1F" w:rsidRDefault="00AD72CC" w:rsidP="00493A42">
            <w:pPr>
              <w:pStyle w:val="TableText"/>
            </w:pPr>
            <w:r w:rsidRPr="00BC0D1F">
              <w:rPr>
                <w:rFonts w:eastAsia="Arial"/>
              </w:rPr>
              <w:t xml:space="preserve">95% of hospital patients who smoke and are seen by a health practitioner in a public </w:t>
            </w:r>
            <w:r w:rsidRPr="00BC0D1F">
              <w:t>hospital are offered brief advice and support to quit smoking.</w:t>
            </w:r>
          </w:p>
          <w:p w14:paraId="19CF0886" w14:textId="77777777" w:rsidR="00AD72CC" w:rsidRPr="00BC0D1F" w:rsidRDefault="00AD72CC" w:rsidP="00493A42">
            <w:pPr>
              <w:pStyle w:val="TableText"/>
              <w:rPr>
                <w:rFonts w:eastAsia="Arial"/>
              </w:rPr>
            </w:pPr>
            <w:r w:rsidRPr="00BC0D1F">
              <w:t xml:space="preserve">90% of PHO*-enrolled patients who smoke have been offered help to quit smoking </w:t>
            </w:r>
            <w:r w:rsidRPr="00BC0D1F">
              <w:rPr>
                <w:rFonts w:eastAsia="Arial"/>
              </w:rPr>
              <w:t>by a health care practitioner in the last 15 months.</w:t>
            </w:r>
          </w:p>
          <w:p w14:paraId="3686CA9B" w14:textId="77777777" w:rsidR="00AD72CC" w:rsidRPr="00BC0D1F" w:rsidRDefault="00AD72CC" w:rsidP="00493A42">
            <w:pPr>
              <w:pStyle w:val="TableText"/>
              <w:rPr>
                <w:rFonts w:eastAsia="Arial"/>
              </w:rPr>
            </w:pPr>
            <w:r w:rsidRPr="00BC0D1F">
              <w:t xml:space="preserve">90% of pregnant women who identify as smokers upon registration with a DHB-employed midwife or lead maternity carer are offered brief advice and support to </w:t>
            </w:r>
            <w:r w:rsidRPr="00BC0D1F">
              <w:rPr>
                <w:rFonts w:eastAsia="Arial"/>
              </w:rPr>
              <w:t>quit smoking.</w:t>
            </w:r>
          </w:p>
        </w:tc>
      </w:tr>
      <w:tr w:rsidR="00AD72CC" w:rsidRPr="00BC0D1F" w14:paraId="51F8F05A" w14:textId="77777777" w:rsidTr="00F06348">
        <w:trPr>
          <w:cantSplit/>
        </w:trPr>
        <w:tc>
          <w:tcPr>
            <w:tcW w:w="2552" w:type="dxa"/>
            <w:tcBorders>
              <w:top w:val="single" w:sz="4" w:space="0" w:color="A6A6A6"/>
            </w:tcBorders>
            <w:shd w:val="clear" w:color="auto" w:fill="auto"/>
          </w:tcPr>
          <w:p w14:paraId="5A9267AF" w14:textId="77777777" w:rsidR="00AD72CC" w:rsidRPr="00BC0D1F" w:rsidRDefault="00AD72CC" w:rsidP="00493A42">
            <w:pPr>
              <w:pStyle w:val="TableText"/>
              <w:ind w:right="142"/>
              <w:rPr>
                <w:rFonts w:eastAsia="Arial"/>
              </w:rPr>
            </w:pPr>
            <w:r w:rsidRPr="00BC0D1F">
              <w:rPr>
                <w:rFonts w:eastAsia="Arial"/>
              </w:rPr>
              <w:t>More heart and diabetes checks</w:t>
            </w:r>
          </w:p>
        </w:tc>
        <w:tc>
          <w:tcPr>
            <w:tcW w:w="6804" w:type="dxa"/>
            <w:tcBorders>
              <w:top w:val="single" w:sz="4" w:space="0" w:color="A6A6A6"/>
            </w:tcBorders>
            <w:shd w:val="clear" w:color="auto" w:fill="auto"/>
          </w:tcPr>
          <w:p w14:paraId="3DA0841C" w14:textId="77777777" w:rsidR="00AD72CC" w:rsidRPr="00BC0D1F" w:rsidRDefault="00AD72CC" w:rsidP="00493A42">
            <w:pPr>
              <w:pStyle w:val="TableText"/>
              <w:rPr>
                <w:rFonts w:eastAsia="Arial"/>
              </w:rPr>
            </w:pPr>
            <w:r w:rsidRPr="00BC0D1F">
              <w:rPr>
                <w:rFonts w:eastAsia="Arial"/>
              </w:rPr>
              <w:t>90% of the eligible population will have had their cardiovascular risk assessed in the last 5 years.</w:t>
            </w:r>
          </w:p>
        </w:tc>
      </w:tr>
    </w:tbl>
    <w:p w14:paraId="56297FCA" w14:textId="77777777" w:rsidR="00AD72CC" w:rsidRPr="00BC0D1F" w:rsidRDefault="00AD72CC" w:rsidP="00EB053E">
      <w:pPr>
        <w:pStyle w:val="Note"/>
      </w:pPr>
      <w:r w:rsidRPr="00BC0D1F">
        <w:t>*</w:t>
      </w:r>
      <w:r w:rsidR="00EB053E" w:rsidRPr="00BC0D1F">
        <w:tab/>
      </w:r>
      <w:r w:rsidRPr="00BC0D1F">
        <w:t>PHO = primary health organisation.</w:t>
      </w:r>
    </w:p>
    <w:p w14:paraId="11185315" w14:textId="77777777" w:rsidR="00AD72CC" w:rsidRPr="00BC0D1F" w:rsidRDefault="00AD72CC" w:rsidP="00EB053E">
      <w:pPr>
        <w:rPr>
          <w:noProof/>
          <w:lang w:eastAsia="en-NZ"/>
        </w:rPr>
      </w:pPr>
    </w:p>
    <w:p w14:paraId="6D381947" w14:textId="1EA6BAC4" w:rsidR="00DF4B9A" w:rsidRPr="00BC0D1F" w:rsidRDefault="00AD72CC" w:rsidP="00EB053E">
      <w:r w:rsidRPr="00BC0D1F">
        <w:t>Over the past year progress has continued towards meeting the government</w:t>
      </w:r>
      <w:r w:rsidR="00DF4B9A" w:rsidRPr="00BC0D1F">
        <w:t>’</w:t>
      </w:r>
      <w:r w:rsidRPr="00BC0D1F">
        <w:t xml:space="preserve">s health targets. Both the </w:t>
      </w:r>
      <w:r w:rsidR="00D13004">
        <w:t>‘I</w:t>
      </w:r>
      <w:r w:rsidRPr="00BC0D1F">
        <w:t>mproved access to elective surgery</w:t>
      </w:r>
      <w:r w:rsidR="00D13004">
        <w:t>’</w:t>
      </w:r>
      <w:r w:rsidRPr="00BC0D1F">
        <w:t xml:space="preserve"> and </w:t>
      </w:r>
      <w:r w:rsidR="00D13004">
        <w:t>‘M</w:t>
      </w:r>
      <w:r w:rsidRPr="00BC0D1F">
        <w:t>ore heart and diabetes checks</w:t>
      </w:r>
      <w:r w:rsidR="00D13004">
        <w:t>’</w:t>
      </w:r>
      <w:r w:rsidRPr="00BC0D1F">
        <w:t xml:space="preserve"> health targets were met in each quarter of 2015/16. Quarter four results for the </w:t>
      </w:r>
      <w:r w:rsidR="00D13004">
        <w:t>“S</w:t>
      </w:r>
      <w:r w:rsidRPr="00BC0D1F">
        <w:t>horter stays in emergency departments</w:t>
      </w:r>
      <w:r w:rsidR="00D13004">
        <w:t>’</w:t>
      </w:r>
      <w:r w:rsidRPr="00BC0D1F">
        <w:t xml:space="preserve">, </w:t>
      </w:r>
      <w:r w:rsidR="00D13004">
        <w:t>‘I</w:t>
      </w:r>
      <w:r w:rsidRPr="00BC0D1F">
        <w:t>ncreased immunisation</w:t>
      </w:r>
      <w:r w:rsidR="00D13004">
        <w:t>’ and ‘B</w:t>
      </w:r>
      <w:r w:rsidRPr="00BC0D1F">
        <w:t>etter help for smokers to quit</w:t>
      </w:r>
      <w:r w:rsidR="00D13004">
        <w:t>’</w:t>
      </w:r>
      <w:r w:rsidRPr="00BC0D1F">
        <w:t xml:space="preserve"> targets are two percent or less from their respective target goals. Results for the faster cancer treatment target have improved compared to 2014/15 however, further improvement will be required to meet target goal in 2016/17. The health target results for each quarter of 2015/16 are s</w:t>
      </w:r>
      <w:r w:rsidR="00DB7FAB">
        <w:t>hown</w:t>
      </w:r>
      <w:r w:rsidRPr="00BC0D1F">
        <w:t xml:space="preserve"> </w:t>
      </w:r>
      <w:r w:rsidR="00DB7FAB">
        <w:t>in Table 2</w:t>
      </w:r>
      <w:r w:rsidRPr="00BC0D1F">
        <w:t>.</w:t>
      </w:r>
    </w:p>
    <w:p w14:paraId="1C2EB208" w14:textId="77777777" w:rsidR="00AD72CC" w:rsidRPr="00BC0D1F" w:rsidRDefault="00AD72CC" w:rsidP="00EB053E"/>
    <w:p w14:paraId="46708C7C" w14:textId="3A3BB5E7" w:rsidR="00DF4B9A" w:rsidRPr="00BC0D1F" w:rsidRDefault="00C94034" w:rsidP="004467CB">
      <w:pPr>
        <w:pStyle w:val="Table"/>
      </w:pPr>
      <w:bookmarkStart w:id="26" w:name="_Toc462926707"/>
      <w:r w:rsidRPr="00BC0D1F">
        <w:lastRenderedPageBreak/>
        <w:t>Table 2</w:t>
      </w:r>
      <w:r w:rsidR="00AD72CC" w:rsidRPr="00BC0D1F">
        <w:t>: Health target results for DHBs, by quarters for 2015/16</w:t>
      </w:r>
      <w:bookmarkEnd w:id="26"/>
    </w:p>
    <w:tbl>
      <w:tblPr>
        <w:tblW w:w="9356"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4054"/>
        <w:gridCol w:w="1060"/>
        <w:gridCol w:w="1060"/>
        <w:gridCol w:w="1061"/>
        <w:gridCol w:w="1060"/>
        <w:gridCol w:w="1061"/>
      </w:tblGrid>
      <w:tr w:rsidR="00AD72CC" w:rsidRPr="00BC0D1F" w14:paraId="018B2EF3" w14:textId="77777777" w:rsidTr="00FE3146">
        <w:trPr>
          <w:cantSplit/>
        </w:trPr>
        <w:tc>
          <w:tcPr>
            <w:tcW w:w="4054" w:type="dxa"/>
            <w:tcBorders>
              <w:bottom w:val="single" w:sz="4" w:space="0" w:color="auto"/>
            </w:tcBorders>
          </w:tcPr>
          <w:p w14:paraId="66CA57FF" w14:textId="77777777" w:rsidR="00AD72CC" w:rsidRPr="00BC0D1F" w:rsidRDefault="00AD72CC" w:rsidP="004467CB">
            <w:pPr>
              <w:pStyle w:val="TableText"/>
              <w:keepNext/>
              <w:ind w:right="142"/>
              <w:rPr>
                <w:b/>
                <w:lang w:eastAsia="en-NZ"/>
              </w:rPr>
            </w:pPr>
            <w:r w:rsidRPr="00BC0D1F">
              <w:rPr>
                <w:b/>
                <w:lang w:eastAsia="en-NZ"/>
              </w:rPr>
              <w:t>Target area</w:t>
            </w:r>
          </w:p>
        </w:tc>
        <w:tc>
          <w:tcPr>
            <w:tcW w:w="1060" w:type="dxa"/>
            <w:tcBorders>
              <w:bottom w:val="single" w:sz="4" w:space="0" w:color="auto"/>
            </w:tcBorders>
          </w:tcPr>
          <w:p w14:paraId="7B9EC180" w14:textId="320776FE" w:rsidR="00AD72CC" w:rsidRPr="00BC0D1F" w:rsidRDefault="00772E03" w:rsidP="004467CB">
            <w:pPr>
              <w:pStyle w:val="TableText"/>
              <w:keepNext/>
              <w:jc w:val="center"/>
              <w:rPr>
                <w:b/>
                <w:szCs w:val="18"/>
                <w:lang w:eastAsia="en-NZ"/>
              </w:rPr>
            </w:pPr>
            <w:r w:rsidRPr="00BC0D1F">
              <w:rPr>
                <w:b/>
                <w:szCs w:val="18"/>
                <w:lang w:eastAsia="en-NZ"/>
              </w:rPr>
              <w:t xml:space="preserve">Target </w:t>
            </w:r>
            <w:r w:rsidR="00AD72CC" w:rsidRPr="00BC0D1F">
              <w:rPr>
                <w:b/>
                <w:szCs w:val="18"/>
                <w:lang w:eastAsia="en-NZ"/>
              </w:rPr>
              <w:t>2015/16</w:t>
            </w:r>
          </w:p>
        </w:tc>
        <w:tc>
          <w:tcPr>
            <w:tcW w:w="1060" w:type="dxa"/>
            <w:tcBorders>
              <w:bottom w:val="single" w:sz="4" w:space="0" w:color="auto"/>
            </w:tcBorders>
          </w:tcPr>
          <w:p w14:paraId="147252F9" w14:textId="77777777" w:rsidR="00AD72CC" w:rsidRPr="00BC0D1F" w:rsidRDefault="00AD72CC" w:rsidP="004467CB">
            <w:pPr>
              <w:pStyle w:val="TableText"/>
              <w:keepNext/>
              <w:jc w:val="center"/>
              <w:rPr>
                <w:b/>
                <w:szCs w:val="18"/>
                <w:lang w:eastAsia="en-NZ"/>
              </w:rPr>
            </w:pPr>
            <w:r w:rsidRPr="00BC0D1F">
              <w:rPr>
                <w:b/>
                <w:szCs w:val="18"/>
                <w:lang w:eastAsia="en-NZ"/>
              </w:rPr>
              <w:t>Quarter 1</w:t>
            </w:r>
            <w:r w:rsidR="00EB053E" w:rsidRPr="00BC0D1F">
              <w:rPr>
                <w:b/>
                <w:szCs w:val="18"/>
                <w:lang w:eastAsia="en-NZ"/>
              </w:rPr>
              <w:br/>
            </w:r>
            <w:r w:rsidRPr="00BC0D1F">
              <w:rPr>
                <w:b/>
                <w:szCs w:val="18"/>
                <w:lang w:eastAsia="en-NZ"/>
              </w:rPr>
              <w:t>2015/16</w:t>
            </w:r>
          </w:p>
        </w:tc>
        <w:tc>
          <w:tcPr>
            <w:tcW w:w="1061" w:type="dxa"/>
            <w:tcBorders>
              <w:bottom w:val="single" w:sz="4" w:space="0" w:color="auto"/>
            </w:tcBorders>
          </w:tcPr>
          <w:p w14:paraId="00E5DD86" w14:textId="77777777" w:rsidR="00AD72CC" w:rsidRPr="00BC0D1F" w:rsidRDefault="00AD72CC" w:rsidP="004467CB">
            <w:pPr>
              <w:pStyle w:val="TableText"/>
              <w:keepNext/>
              <w:jc w:val="center"/>
              <w:rPr>
                <w:b/>
                <w:szCs w:val="18"/>
                <w:lang w:eastAsia="en-NZ"/>
              </w:rPr>
            </w:pPr>
            <w:r w:rsidRPr="00BC0D1F">
              <w:rPr>
                <w:b/>
                <w:szCs w:val="18"/>
                <w:lang w:eastAsia="en-NZ"/>
              </w:rPr>
              <w:t>Quarter 2</w:t>
            </w:r>
            <w:r w:rsidR="00EB053E" w:rsidRPr="00BC0D1F">
              <w:rPr>
                <w:b/>
                <w:szCs w:val="18"/>
                <w:lang w:eastAsia="en-NZ"/>
              </w:rPr>
              <w:br/>
            </w:r>
            <w:r w:rsidRPr="00BC0D1F">
              <w:rPr>
                <w:b/>
                <w:szCs w:val="18"/>
                <w:lang w:eastAsia="en-NZ"/>
              </w:rPr>
              <w:t>2015/16</w:t>
            </w:r>
          </w:p>
        </w:tc>
        <w:tc>
          <w:tcPr>
            <w:tcW w:w="1060" w:type="dxa"/>
            <w:tcBorders>
              <w:bottom w:val="single" w:sz="4" w:space="0" w:color="auto"/>
            </w:tcBorders>
          </w:tcPr>
          <w:p w14:paraId="0D70009A" w14:textId="77777777" w:rsidR="00AD72CC" w:rsidRPr="00BC0D1F" w:rsidRDefault="00AD72CC" w:rsidP="004467CB">
            <w:pPr>
              <w:pStyle w:val="TableText"/>
              <w:keepNext/>
              <w:jc w:val="center"/>
              <w:rPr>
                <w:b/>
                <w:szCs w:val="18"/>
                <w:lang w:eastAsia="en-NZ"/>
              </w:rPr>
            </w:pPr>
            <w:r w:rsidRPr="00BC0D1F">
              <w:rPr>
                <w:b/>
                <w:szCs w:val="18"/>
                <w:lang w:eastAsia="en-NZ"/>
              </w:rPr>
              <w:t>Quarter 3</w:t>
            </w:r>
            <w:r w:rsidR="00EB053E" w:rsidRPr="00BC0D1F">
              <w:rPr>
                <w:b/>
                <w:szCs w:val="18"/>
                <w:lang w:eastAsia="en-NZ"/>
              </w:rPr>
              <w:br/>
            </w:r>
            <w:r w:rsidRPr="00BC0D1F">
              <w:rPr>
                <w:b/>
                <w:szCs w:val="18"/>
                <w:lang w:eastAsia="en-NZ"/>
              </w:rPr>
              <w:t>2015/16</w:t>
            </w:r>
          </w:p>
        </w:tc>
        <w:tc>
          <w:tcPr>
            <w:tcW w:w="1061" w:type="dxa"/>
            <w:tcBorders>
              <w:bottom w:val="single" w:sz="4" w:space="0" w:color="auto"/>
            </w:tcBorders>
          </w:tcPr>
          <w:p w14:paraId="1CD3B9CA" w14:textId="77777777" w:rsidR="00AD72CC" w:rsidRPr="00BC0D1F" w:rsidRDefault="00AD72CC" w:rsidP="004467CB">
            <w:pPr>
              <w:pStyle w:val="TableText"/>
              <w:keepNext/>
              <w:jc w:val="center"/>
              <w:rPr>
                <w:b/>
                <w:szCs w:val="18"/>
                <w:lang w:eastAsia="en-NZ"/>
              </w:rPr>
            </w:pPr>
            <w:r w:rsidRPr="00BC0D1F">
              <w:rPr>
                <w:b/>
                <w:szCs w:val="18"/>
                <w:lang w:eastAsia="en-NZ"/>
              </w:rPr>
              <w:t>Quarter 4</w:t>
            </w:r>
            <w:r w:rsidR="00EB053E" w:rsidRPr="00BC0D1F">
              <w:rPr>
                <w:b/>
                <w:szCs w:val="18"/>
                <w:lang w:eastAsia="en-NZ"/>
              </w:rPr>
              <w:br/>
            </w:r>
            <w:r w:rsidRPr="00BC0D1F">
              <w:rPr>
                <w:b/>
                <w:szCs w:val="18"/>
                <w:lang w:eastAsia="en-NZ"/>
              </w:rPr>
              <w:t>2015/16</w:t>
            </w:r>
          </w:p>
        </w:tc>
      </w:tr>
      <w:tr w:rsidR="00AD72CC" w:rsidRPr="00BC0D1F" w14:paraId="35545DFE" w14:textId="77777777" w:rsidTr="00FE3146">
        <w:trPr>
          <w:cantSplit/>
        </w:trPr>
        <w:tc>
          <w:tcPr>
            <w:tcW w:w="4054" w:type="dxa"/>
            <w:tcBorders>
              <w:top w:val="single" w:sz="4" w:space="0" w:color="auto"/>
              <w:bottom w:val="single" w:sz="4" w:space="0" w:color="A6A6A6"/>
            </w:tcBorders>
          </w:tcPr>
          <w:p w14:paraId="5394D0B8" w14:textId="77777777" w:rsidR="00DF4B9A" w:rsidRPr="00BC0D1F" w:rsidRDefault="00AD72CC" w:rsidP="004467CB">
            <w:pPr>
              <w:pStyle w:val="TableText"/>
              <w:keepNext/>
              <w:ind w:right="142"/>
              <w:rPr>
                <w:b/>
                <w:lang w:eastAsia="en-NZ"/>
              </w:rPr>
            </w:pPr>
            <w:r w:rsidRPr="00BC0D1F">
              <w:rPr>
                <w:b/>
                <w:lang w:eastAsia="en-NZ"/>
              </w:rPr>
              <w:t>Shorter stays in emergency departments</w:t>
            </w:r>
          </w:p>
          <w:p w14:paraId="0F17FA07" w14:textId="77777777" w:rsidR="00AD72CC" w:rsidRPr="00BC0D1F" w:rsidRDefault="00AD72CC" w:rsidP="004467CB">
            <w:pPr>
              <w:pStyle w:val="TableText"/>
              <w:keepNext/>
              <w:ind w:right="142"/>
              <w:rPr>
                <w:szCs w:val="18"/>
                <w:lang w:eastAsia="en-NZ"/>
              </w:rPr>
            </w:pPr>
            <w:r w:rsidRPr="00BC0D1F">
              <w:rPr>
                <w:szCs w:val="18"/>
                <w:lang w:eastAsia="en-NZ"/>
              </w:rPr>
              <w:t>Percentage of patients admitted, discharged or transferred from an emergency department within six hours</w:t>
            </w:r>
          </w:p>
        </w:tc>
        <w:tc>
          <w:tcPr>
            <w:tcW w:w="1060" w:type="dxa"/>
            <w:tcBorders>
              <w:top w:val="single" w:sz="4" w:space="0" w:color="auto"/>
              <w:bottom w:val="single" w:sz="4" w:space="0" w:color="A6A6A6"/>
            </w:tcBorders>
          </w:tcPr>
          <w:p w14:paraId="25DF9757" w14:textId="77777777" w:rsidR="00AD72CC" w:rsidRPr="00BC0D1F" w:rsidRDefault="00AD72CC" w:rsidP="004467CB">
            <w:pPr>
              <w:pStyle w:val="TableText"/>
              <w:keepNext/>
              <w:jc w:val="center"/>
              <w:rPr>
                <w:lang w:eastAsia="en-NZ"/>
              </w:rPr>
            </w:pPr>
            <w:r w:rsidRPr="00BC0D1F">
              <w:rPr>
                <w:lang w:eastAsia="en-NZ"/>
              </w:rPr>
              <w:t>95%</w:t>
            </w:r>
          </w:p>
        </w:tc>
        <w:tc>
          <w:tcPr>
            <w:tcW w:w="1060" w:type="dxa"/>
            <w:tcBorders>
              <w:top w:val="single" w:sz="4" w:space="0" w:color="auto"/>
              <w:bottom w:val="single" w:sz="4" w:space="0" w:color="A6A6A6"/>
            </w:tcBorders>
          </w:tcPr>
          <w:p w14:paraId="0DBDB24F" w14:textId="77777777" w:rsidR="00AD72CC" w:rsidRPr="00BC0D1F" w:rsidRDefault="00AD72CC" w:rsidP="004467CB">
            <w:pPr>
              <w:pStyle w:val="TableText"/>
              <w:keepNext/>
              <w:jc w:val="center"/>
              <w:rPr>
                <w:lang w:eastAsia="en-NZ"/>
              </w:rPr>
            </w:pPr>
            <w:r w:rsidRPr="00BC0D1F">
              <w:rPr>
                <w:lang w:eastAsia="en-NZ"/>
              </w:rPr>
              <w:t>92.4%</w:t>
            </w:r>
          </w:p>
        </w:tc>
        <w:tc>
          <w:tcPr>
            <w:tcW w:w="1061" w:type="dxa"/>
            <w:tcBorders>
              <w:top w:val="single" w:sz="4" w:space="0" w:color="auto"/>
              <w:bottom w:val="single" w:sz="4" w:space="0" w:color="A6A6A6"/>
            </w:tcBorders>
          </w:tcPr>
          <w:p w14:paraId="416E4209" w14:textId="77777777" w:rsidR="00AD72CC" w:rsidRPr="00BC0D1F" w:rsidRDefault="00AD72CC" w:rsidP="004467CB">
            <w:pPr>
              <w:pStyle w:val="TableText"/>
              <w:keepNext/>
              <w:jc w:val="center"/>
              <w:rPr>
                <w:lang w:eastAsia="en-NZ"/>
              </w:rPr>
            </w:pPr>
            <w:r w:rsidRPr="00BC0D1F">
              <w:rPr>
                <w:lang w:eastAsia="en-NZ"/>
              </w:rPr>
              <w:t>94.0%</w:t>
            </w:r>
          </w:p>
        </w:tc>
        <w:tc>
          <w:tcPr>
            <w:tcW w:w="1060" w:type="dxa"/>
            <w:tcBorders>
              <w:top w:val="single" w:sz="4" w:space="0" w:color="auto"/>
              <w:bottom w:val="single" w:sz="4" w:space="0" w:color="A6A6A6"/>
            </w:tcBorders>
          </w:tcPr>
          <w:p w14:paraId="3DE83C18" w14:textId="77777777" w:rsidR="00AD72CC" w:rsidRPr="00BC0D1F" w:rsidRDefault="00AD72CC" w:rsidP="004467CB">
            <w:pPr>
              <w:pStyle w:val="TableText"/>
              <w:keepNext/>
              <w:jc w:val="center"/>
              <w:rPr>
                <w:lang w:eastAsia="en-NZ"/>
              </w:rPr>
            </w:pPr>
            <w:r w:rsidRPr="00BC0D1F">
              <w:rPr>
                <w:lang w:eastAsia="en-NZ"/>
              </w:rPr>
              <w:t>94.0%</w:t>
            </w:r>
          </w:p>
        </w:tc>
        <w:tc>
          <w:tcPr>
            <w:tcW w:w="1061" w:type="dxa"/>
            <w:tcBorders>
              <w:top w:val="single" w:sz="4" w:space="0" w:color="auto"/>
              <w:bottom w:val="single" w:sz="4" w:space="0" w:color="A6A6A6"/>
            </w:tcBorders>
          </w:tcPr>
          <w:p w14:paraId="115642FB" w14:textId="77777777" w:rsidR="00AD72CC" w:rsidRPr="00BC0D1F" w:rsidRDefault="00AD72CC" w:rsidP="004467CB">
            <w:pPr>
              <w:pStyle w:val="TableText"/>
              <w:keepNext/>
              <w:jc w:val="center"/>
              <w:rPr>
                <w:lang w:eastAsia="en-NZ"/>
              </w:rPr>
            </w:pPr>
            <w:r w:rsidRPr="00BC0D1F">
              <w:rPr>
                <w:lang w:eastAsia="en-NZ"/>
              </w:rPr>
              <w:t>93.9%</w:t>
            </w:r>
          </w:p>
        </w:tc>
      </w:tr>
      <w:tr w:rsidR="00AD72CC" w:rsidRPr="00BC0D1F" w14:paraId="52BAD6D2" w14:textId="77777777" w:rsidTr="00FE3146">
        <w:trPr>
          <w:cantSplit/>
        </w:trPr>
        <w:tc>
          <w:tcPr>
            <w:tcW w:w="4054" w:type="dxa"/>
            <w:tcBorders>
              <w:top w:val="single" w:sz="4" w:space="0" w:color="A6A6A6"/>
              <w:bottom w:val="single" w:sz="4" w:space="0" w:color="A6A6A6"/>
            </w:tcBorders>
          </w:tcPr>
          <w:p w14:paraId="00A6A5B4" w14:textId="77777777" w:rsidR="00DF4B9A" w:rsidRPr="00BC0D1F" w:rsidRDefault="00AD72CC" w:rsidP="004467CB">
            <w:pPr>
              <w:pStyle w:val="TableText"/>
              <w:keepNext/>
              <w:ind w:right="142"/>
              <w:rPr>
                <w:b/>
                <w:lang w:eastAsia="en-NZ"/>
              </w:rPr>
            </w:pPr>
            <w:r w:rsidRPr="00BC0D1F">
              <w:rPr>
                <w:b/>
                <w:lang w:eastAsia="en-NZ"/>
              </w:rPr>
              <w:t>Improved access to elective surgery</w:t>
            </w:r>
          </w:p>
          <w:p w14:paraId="142FA85C" w14:textId="77777777" w:rsidR="00AD72CC" w:rsidRPr="00BC0D1F" w:rsidRDefault="00AD72CC" w:rsidP="004467CB">
            <w:pPr>
              <w:pStyle w:val="TableText"/>
              <w:keepNext/>
              <w:ind w:right="142"/>
              <w:rPr>
                <w:szCs w:val="18"/>
                <w:lang w:eastAsia="en-NZ"/>
              </w:rPr>
            </w:pPr>
            <w:r w:rsidRPr="00BC0D1F">
              <w:rPr>
                <w:szCs w:val="18"/>
                <w:lang w:eastAsia="en-NZ"/>
              </w:rPr>
              <w:t>Percentage progress against plan (discharges)</w:t>
            </w:r>
          </w:p>
        </w:tc>
        <w:tc>
          <w:tcPr>
            <w:tcW w:w="1060" w:type="dxa"/>
            <w:tcBorders>
              <w:top w:val="single" w:sz="4" w:space="0" w:color="A6A6A6"/>
              <w:bottom w:val="single" w:sz="4" w:space="0" w:color="A6A6A6"/>
            </w:tcBorders>
          </w:tcPr>
          <w:p w14:paraId="035A8D38" w14:textId="77777777" w:rsidR="00AD72CC" w:rsidRPr="00BC0D1F" w:rsidRDefault="00AD72CC" w:rsidP="004467CB">
            <w:pPr>
              <w:pStyle w:val="TableText"/>
              <w:keepNext/>
              <w:jc w:val="center"/>
              <w:rPr>
                <w:lang w:eastAsia="en-NZ"/>
              </w:rPr>
            </w:pPr>
            <w:r w:rsidRPr="00BC0D1F">
              <w:rPr>
                <w:lang w:eastAsia="en-NZ"/>
              </w:rPr>
              <w:t>100%</w:t>
            </w:r>
          </w:p>
        </w:tc>
        <w:tc>
          <w:tcPr>
            <w:tcW w:w="1060" w:type="dxa"/>
            <w:tcBorders>
              <w:top w:val="single" w:sz="4" w:space="0" w:color="A6A6A6"/>
              <w:bottom w:val="single" w:sz="4" w:space="0" w:color="A6A6A6"/>
            </w:tcBorders>
          </w:tcPr>
          <w:p w14:paraId="43E85A5F" w14:textId="77777777" w:rsidR="00AD72CC" w:rsidRPr="00BC0D1F" w:rsidRDefault="00AD72CC" w:rsidP="004467CB">
            <w:pPr>
              <w:pStyle w:val="TableText"/>
              <w:keepNext/>
              <w:jc w:val="center"/>
              <w:rPr>
                <w:lang w:eastAsia="en-NZ"/>
              </w:rPr>
            </w:pPr>
            <w:r w:rsidRPr="00BC0D1F">
              <w:rPr>
                <w:lang w:eastAsia="en-NZ"/>
              </w:rPr>
              <w:t>103.9%</w:t>
            </w:r>
          </w:p>
        </w:tc>
        <w:tc>
          <w:tcPr>
            <w:tcW w:w="1061" w:type="dxa"/>
            <w:tcBorders>
              <w:top w:val="single" w:sz="4" w:space="0" w:color="A6A6A6"/>
              <w:bottom w:val="single" w:sz="4" w:space="0" w:color="A6A6A6"/>
            </w:tcBorders>
          </w:tcPr>
          <w:p w14:paraId="43DFD979" w14:textId="77777777" w:rsidR="00AD72CC" w:rsidRPr="00BC0D1F" w:rsidRDefault="00AD72CC" w:rsidP="004467CB">
            <w:pPr>
              <w:pStyle w:val="TableText"/>
              <w:keepNext/>
              <w:jc w:val="center"/>
              <w:rPr>
                <w:lang w:eastAsia="en-NZ"/>
              </w:rPr>
            </w:pPr>
            <w:r w:rsidRPr="00BC0D1F">
              <w:rPr>
                <w:lang w:eastAsia="en-NZ"/>
              </w:rPr>
              <w:t>105.2%</w:t>
            </w:r>
          </w:p>
        </w:tc>
        <w:tc>
          <w:tcPr>
            <w:tcW w:w="1060" w:type="dxa"/>
            <w:tcBorders>
              <w:top w:val="single" w:sz="4" w:space="0" w:color="A6A6A6"/>
              <w:bottom w:val="single" w:sz="4" w:space="0" w:color="A6A6A6"/>
            </w:tcBorders>
          </w:tcPr>
          <w:p w14:paraId="7DA6C8C6" w14:textId="77777777" w:rsidR="00AD72CC" w:rsidRPr="00BC0D1F" w:rsidRDefault="00AD72CC" w:rsidP="004467CB">
            <w:pPr>
              <w:pStyle w:val="TableText"/>
              <w:keepNext/>
              <w:jc w:val="center"/>
              <w:rPr>
                <w:lang w:eastAsia="en-NZ"/>
              </w:rPr>
            </w:pPr>
            <w:r w:rsidRPr="00BC0D1F">
              <w:rPr>
                <w:lang w:eastAsia="en-NZ"/>
              </w:rPr>
              <w:t>105.8%</w:t>
            </w:r>
          </w:p>
        </w:tc>
        <w:tc>
          <w:tcPr>
            <w:tcW w:w="1061" w:type="dxa"/>
            <w:tcBorders>
              <w:top w:val="single" w:sz="4" w:space="0" w:color="A6A6A6"/>
              <w:bottom w:val="single" w:sz="4" w:space="0" w:color="A6A6A6"/>
            </w:tcBorders>
          </w:tcPr>
          <w:p w14:paraId="027161A0" w14:textId="77777777" w:rsidR="00AD72CC" w:rsidRPr="00BC0D1F" w:rsidRDefault="00AD72CC" w:rsidP="004467CB">
            <w:pPr>
              <w:pStyle w:val="TableText"/>
              <w:keepNext/>
              <w:jc w:val="center"/>
              <w:rPr>
                <w:lang w:eastAsia="en-NZ"/>
              </w:rPr>
            </w:pPr>
            <w:r w:rsidRPr="00BC0D1F">
              <w:rPr>
                <w:lang w:eastAsia="en-NZ"/>
              </w:rPr>
              <w:t>107.6%</w:t>
            </w:r>
          </w:p>
        </w:tc>
      </w:tr>
      <w:tr w:rsidR="00AD72CC" w:rsidRPr="00BC0D1F" w14:paraId="5B29B411" w14:textId="77777777" w:rsidTr="00FE3146">
        <w:trPr>
          <w:cantSplit/>
        </w:trPr>
        <w:tc>
          <w:tcPr>
            <w:tcW w:w="4054" w:type="dxa"/>
            <w:tcBorders>
              <w:top w:val="single" w:sz="4" w:space="0" w:color="A6A6A6"/>
              <w:bottom w:val="single" w:sz="4" w:space="0" w:color="A6A6A6"/>
            </w:tcBorders>
          </w:tcPr>
          <w:p w14:paraId="64D009C2" w14:textId="77777777" w:rsidR="00DF4B9A" w:rsidRPr="00BC0D1F" w:rsidRDefault="00AD72CC" w:rsidP="004467CB">
            <w:pPr>
              <w:pStyle w:val="TableText"/>
              <w:keepNext/>
              <w:ind w:right="142"/>
              <w:rPr>
                <w:b/>
                <w:lang w:eastAsia="en-NZ"/>
              </w:rPr>
            </w:pPr>
            <w:r w:rsidRPr="00BC0D1F">
              <w:rPr>
                <w:b/>
                <w:lang w:eastAsia="en-NZ"/>
              </w:rPr>
              <w:t>Faster cancer treatment</w:t>
            </w:r>
          </w:p>
          <w:p w14:paraId="1C1355A9" w14:textId="77777777" w:rsidR="00AD72CC" w:rsidRPr="00BC0D1F" w:rsidRDefault="00AD72CC" w:rsidP="004467CB">
            <w:pPr>
              <w:pStyle w:val="TableText"/>
              <w:keepNext/>
              <w:ind w:right="142"/>
              <w:rPr>
                <w:szCs w:val="18"/>
                <w:lang w:eastAsia="en-NZ"/>
              </w:rPr>
            </w:pPr>
            <w:r w:rsidRPr="00BC0D1F">
              <w:rPr>
                <w:szCs w:val="18"/>
                <w:lang w:eastAsia="en-NZ"/>
              </w:rPr>
              <w:t>Percentage of patients who receive their first cancer treatment (or other management) within 62 days of being referred with a high suspicion of cancer and need to be seen within 2 weeks</w:t>
            </w:r>
          </w:p>
        </w:tc>
        <w:tc>
          <w:tcPr>
            <w:tcW w:w="1060" w:type="dxa"/>
            <w:tcBorders>
              <w:top w:val="single" w:sz="4" w:space="0" w:color="A6A6A6"/>
              <w:bottom w:val="single" w:sz="4" w:space="0" w:color="A6A6A6"/>
            </w:tcBorders>
          </w:tcPr>
          <w:p w14:paraId="2CC9E360" w14:textId="77777777" w:rsidR="00AD72CC" w:rsidRPr="00BC0D1F" w:rsidRDefault="00AD72CC" w:rsidP="004467CB">
            <w:pPr>
              <w:pStyle w:val="TableText"/>
              <w:keepNext/>
              <w:jc w:val="center"/>
              <w:rPr>
                <w:lang w:eastAsia="en-NZ"/>
              </w:rPr>
            </w:pPr>
            <w:r w:rsidRPr="00BC0D1F">
              <w:rPr>
                <w:lang w:eastAsia="en-NZ"/>
              </w:rPr>
              <w:t>85%</w:t>
            </w:r>
          </w:p>
        </w:tc>
        <w:tc>
          <w:tcPr>
            <w:tcW w:w="1060" w:type="dxa"/>
            <w:tcBorders>
              <w:top w:val="single" w:sz="4" w:space="0" w:color="A6A6A6"/>
              <w:bottom w:val="single" w:sz="4" w:space="0" w:color="A6A6A6"/>
            </w:tcBorders>
          </w:tcPr>
          <w:p w14:paraId="5824AF71" w14:textId="77777777" w:rsidR="00AD72CC" w:rsidRPr="00BC0D1F" w:rsidRDefault="00AD72CC" w:rsidP="004467CB">
            <w:pPr>
              <w:pStyle w:val="TableText"/>
              <w:keepNext/>
              <w:jc w:val="center"/>
              <w:rPr>
                <w:lang w:eastAsia="en-NZ"/>
              </w:rPr>
            </w:pPr>
            <w:r w:rsidRPr="00BC0D1F">
              <w:rPr>
                <w:lang w:eastAsia="en-NZ"/>
              </w:rPr>
              <w:t>69.2%</w:t>
            </w:r>
          </w:p>
        </w:tc>
        <w:tc>
          <w:tcPr>
            <w:tcW w:w="1061" w:type="dxa"/>
            <w:tcBorders>
              <w:top w:val="single" w:sz="4" w:space="0" w:color="A6A6A6"/>
              <w:bottom w:val="single" w:sz="4" w:space="0" w:color="A6A6A6"/>
            </w:tcBorders>
          </w:tcPr>
          <w:p w14:paraId="126B6C87" w14:textId="77777777" w:rsidR="00AD72CC" w:rsidRPr="00BC0D1F" w:rsidRDefault="00AD72CC" w:rsidP="004467CB">
            <w:pPr>
              <w:pStyle w:val="TableText"/>
              <w:keepNext/>
              <w:jc w:val="center"/>
              <w:rPr>
                <w:lang w:eastAsia="en-NZ"/>
              </w:rPr>
            </w:pPr>
            <w:r w:rsidRPr="00BC0D1F">
              <w:rPr>
                <w:lang w:eastAsia="en-NZ"/>
              </w:rPr>
              <w:t>74.6%</w:t>
            </w:r>
          </w:p>
        </w:tc>
        <w:tc>
          <w:tcPr>
            <w:tcW w:w="1060" w:type="dxa"/>
            <w:tcBorders>
              <w:top w:val="single" w:sz="4" w:space="0" w:color="A6A6A6"/>
              <w:bottom w:val="single" w:sz="4" w:space="0" w:color="A6A6A6"/>
            </w:tcBorders>
          </w:tcPr>
          <w:p w14:paraId="3E2F2ECA" w14:textId="77777777" w:rsidR="00AD72CC" w:rsidRPr="00BC0D1F" w:rsidRDefault="00AD72CC" w:rsidP="004467CB">
            <w:pPr>
              <w:pStyle w:val="TableText"/>
              <w:keepNext/>
              <w:jc w:val="center"/>
              <w:rPr>
                <w:lang w:eastAsia="en-NZ"/>
              </w:rPr>
            </w:pPr>
            <w:r w:rsidRPr="00BC0D1F">
              <w:rPr>
                <w:lang w:eastAsia="en-NZ"/>
              </w:rPr>
              <w:t>75.0%</w:t>
            </w:r>
          </w:p>
        </w:tc>
        <w:tc>
          <w:tcPr>
            <w:tcW w:w="1061" w:type="dxa"/>
            <w:tcBorders>
              <w:top w:val="single" w:sz="4" w:space="0" w:color="A6A6A6"/>
              <w:bottom w:val="single" w:sz="4" w:space="0" w:color="A6A6A6"/>
            </w:tcBorders>
          </w:tcPr>
          <w:p w14:paraId="3322DA9E" w14:textId="77777777" w:rsidR="00AD72CC" w:rsidRPr="00BC0D1F" w:rsidRDefault="00AD72CC" w:rsidP="004467CB">
            <w:pPr>
              <w:pStyle w:val="TableText"/>
              <w:keepNext/>
              <w:jc w:val="center"/>
              <w:rPr>
                <w:lang w:eastAsia="en-NZ"/>
              </w:rPr>
            </w:pPr>
            <w:r w:rsidRPr="00BC0D1F">
              <w:rPr>
                <w:lang w:eastAsia="en-NZ"/>
              </w:rPr>
              <w:t>73.9%</w:t>
            </w:r>
          </w:p>
        </w:tc>
      </w:tr>
      <w:tr w:rsidR="00AD72CC" w:rsidRPr="00BC0D1F" w14:paraId="2FBECBBD" w14:textId="77777777" w:rsidTr="00FE3146">
        <w:trPr>
          <w:cantSplit/>
        </w:trPr>
        <w:tc>
          <w:tcPr>
            <w:tcW w:w="4054" w:type="dxa"/>
            <w:tcBorders>
              <w:top w:val="single" w:sz="4" w:space="0" w:color="A6A6A6"/>
              <w:bottom w:val="dotted" w:sz="4" w:space="0" w:color="auto"/>
            </w:tcBorders>
          </w:tcPr>
          <w:p w14:paraId="69EDD3C1" w14:textId="77777777" w:rsidR="00DF4B9A" w:rsidRPr="00BC0D1F" w:rsidRDefault="00AD72CC" w:rsidP="00EB053E">
            <w:pPr>
              <w:pStyle w:val="TableText"/>
              <w:ind w:right="142"/>
              <w:rPr>
                <w:b/>
                <w:lang w:eastAsia="en-NZ"/>
              </w:rPr>
            </w:pPr>
            <w:r w:rsidRPr="00BC0D1F">
              <w:rPr>
                <w:b/>
                <w:lang w:eastAsia="en-NZ"/>
              </w:rPr>
              <w:t>Increased immunisation</w:t>
            </w:r>
          </w:p>
          <w:p w14:paraId="63E17C50" w14:textId="1FBE3B4F" w:rsidR="00AD72CC" w:rsidRPr="00BC0D1F" w:rsidRDefault="00AD72CC" w:rsidP="00EB053E">
            <w:pPr>
              <w:pStyle w:val="TableText"/>
              <w:ind w:right="142"/>
              <w:rPr>
                <w:iCs/>
                <w:szCs w:val="18"/>
                <w:lang w:eastAsia="en-NZ"/>
              </w:rPr>
            </w:pPr>
            <w:r w:rsidRPr="00BC0D1F">
              <w:rPr>
                <w:iCs/>
                <w:szCs w:val="18"/>
                <w:lang w:eastAsia="en-NZ"/>
              </w:rPr>
              <w:t>Percentage of 8-month-olds who have their primary course of immunisation at 6 weeks, 3</w:t>
            </w:r>
            <w:r w:rsidR="00EB053E" w:rsidRPr="00BC0D1F">
              <w:rPr>
                <w:iCs/>
                <w:szCs w:val="18"/>
                <w:lang w:eastAsia="en-NZ"/>
              </w:rPr>
              <w:t> </w:t>
            </w:r>
            <w:r w:rsidRPr="00BC0D1F">
              <w:rPr>
                <w:iCs/>
                <w:szCs w:val="18"/>
                <w:lang w:eastAsia="en-NZ"/>
              </w:rPr>
              <w:t>months and 5 months on time</w:t>
            </w:r>
          </w:p>
        </w:tc>
        <w:tc>
          <w:tcPr>
            <w:tcW w:w="1060" w:type="dxa"/>
            <w:tcBorders>
              <w:top w:val="single" w:sz="4" w:space="0" w:color="A6A6A6"/>
              <w:bottom w:val="dotted" w:sz="4" w:space="0" w:color="auto"/>
            </w:tcBorders>
          </w:tcPr>
          <w:p w14:paraId="5C6AE3CD" w14:textId="77777777" w:rsidR="00AD72CC" w:rsidRPr="00BC0D1F" w:rsidRDefault="00AD72CC" w:rsidP="00EB053E">
            <w:pPr>
              <w:pStyle w:val="TableText"/>
              <w:jc w:val="center"/>
              <w:rPr>
                <w:lang w:eastAsia="en-NZ"/>
              </w:rPr>
            </w:pPr>
            <w:r w:rsidRPr="00BC0D1F">
              <w:rPr>
                <w:lang w:eastAsia="en-NZ"/>
              </w:rPr>
              <w:t>95%</w:t>
            </w:r>
          </w:p>
        </w:tc>
        <w:tc>
          <w:tcPr>
            <w:tcW w:w="1060" w:type="dxa"/>
            <w:tcBorders>
              <w:top w:val="single" w:sz="4" w:space="0" w:color="A6A6A6"/>
              <w:bottom w:val="dotted" w:sz="4" w:space="0" w:color="auto"/>
            </w:tcBorders>
          </w:tcPr>
          <w:p w14:paraId="0BB2080B" w14:textId="77777777" w:rsidR="00AD72CC" w:rsidRPr="00BC0D1F" w:rsidRDefault="00AD72CC" w:rsidP="00EB053E">
            <w:pPr>
              <w:pStyle w:val="TableText"/>
              <w:jc w:val="center"/>
              <w:rPr>
                <w:lang w:eastAsia="en-NZ"/>
              </w:rPr>
            </w:pPr>
            <w:r w:rsidRPr="00BC0D1F">
              <w:rPr>
                <w:lang w:eastAsia="en-NZ"/>
              </w:rPr>
              <w:t>93.4%</w:t>
            </w:r>
          </w:p>
        </w:tc>
        <w:tc>
          <w:tcPr>
            <w:tcW w:w="1061" w:type="dxa"/>
            <w:tcBorders>
              <w:top w:val="single" w:sz="4" w:space="0" w:color="A6A6A6"/>
              <w:bottom w:val="dotted" w:sz="4" w:space="0" w:color="auto"/>
            </w:tcBorders>
          </w:tcPr>
          <w:p w14:paraId="47EB35EF" w14:textId="77777777" w:rsidR="00AD72CC" w:rsidRPr="00BC0D1F" w:rsidRDefault="00AD72CC" w:rsidP="00EB053E">
            <w:pPr>
              <w:pStyle w:val="TableText"/>
              <w:jc w:val="center"/>
              <w:rPr>
                <w:lang w:eastAsia="en-NZ"/>
              </w:rPr>
            </w:pPr>
            <w:r w:rsidRPr="00BC0D1F">
              <w:rPr>
                <w:lang w:eastAsia="en-NZ"/>
              </w:rPr>
              <w:t>93.7%</w:t>
            </w:r>
          </w:p>
        </w:tc>
        <w:tc>
          <w:tcPr>
            <w:tcW w:w="1060" w:type="dxa"/>
            <w:tcBorders>
              <w:top w:val="single" w:sz="4" w:space="0" w:color="A6A6A6"/>
              <w:bottom w:val="dotted" w:sz="4" w:space="0" w:color="auto"/>
            </w:tcBorders>
          </w:tcPr>
          <w:p w14:paraId="2580E48C" w14:textId="77777777" w:rsidR="00AD72CC" w:rsidRPr="00BC0D1F" w:rsidRDefault="00AD72CC" w:rsidP="00EB053E">
            <w:pPr>
              <w:pStyle w:val="TableText"/>
              <w:jc w:val="center"/>
              <w:rPr>
                <w:lang w:eastAsia="en-NZ"/>
              </w:rPr>
            </w:pPr>
            <w:r w:rsidRPr="00BC0D1F">
              <w:rPr>
                <w:lang w:eastAsia="en-NZ"/>
              </w:rPr>
              <w:t>93.5%</w:t>
            </w:r>
          </w:p>
        </w:tc>
        <w:tc>
          <w:tcPr>
            <w:tcW w:w="1061" w:type="dxa"/>
            <w:tcBorders>
              <w:top w:val="single" w:sz="4" w:space="0" w:color="A6A6A6"/>
              <w:bottom w:val="dotted" w:sz="4" w:space="0" w:color="auto"/>
            </w:tcBorders>
          </w:tcPr>
          <w:p w14:paraId="5CCC96B7" w14:textId="77777777" w:rsidR="00AD72CC" w:rsidRPr="00BC0D1F" w:rsidRDefault="00AD72CC" w:rsidP="00EB053E">
            <w:pPr>
              <w:pStyle w:val="TableText"/>
              <w:jc w:val="center"/>
              <w:rPr>
                <w:lang w:eastAsia="en-NZ"/>
              </w:rPr>
            </w:pPr>
            <w:r w:rsidRPr="00BC0D1F">
              <w:rPr>
                <w:lang w:eastAsia="en-NZ"/>
              </w:rPr>
              <w:t>92.8%</w:t>
            </w:r>
          </w:p>
        </w:tc>
      </w:tr>
      <w:tr w:rsidR="006B4BEA" w:rsidRPr="00BC0D1F" w14:paraId="643C27FF" w14:textId="77777777" w:rsidTr="00FE3146">
        <w:trPr>
          <w:cantSplit/>
        </w:trPr>
        <w:tc>
          <w:tcPr>
            <w:tcW w:w="4054" w:type="dxa"/>
            <w:tcBorders>
              <w:top w:val="dotted" w:sz="4" w:space="0" w:color="auto"/>
              <w:bottom w:val="nil"/>
            </w:tcBorders>
          </w:tcPr>
          <w:p w14:paraId="414E7EC3" w14:textId="77777777" w:rsidR="00014B00" w:rsidRDefault="006B4BEA" w:rsidP="00014B00">
            <w:pPr>
              <w:pStyle w:val="TableText"/>
              <w:ind w:right="142"/>
              <w:rPr>
                <w:b/>
                <w:lang w:eastAsia="en-NZ"/>
              </w:rPr>
            </w:pPr>
            <w:r w:rsidRPr="00BC0D1F">
              <w:rPr>
                <w:b/>
                <w:lang w:eastAsia="en-NZ"/>
              </w:rPr>
              <w:t xml:space="preserve">Better help for smokers to quit </w:t>
            </w:r>
          </w:p>
          <w:p w14:paraId="16E2115D" w14:textId="69C6FEB0" w:rsidR="006B4BEA" w:rsidRPr="00014B00" w:rsidRDefault="00014B00" w:rsidP="00014B00">
            <w:pPr>
              <w:pStyle w:val="TableText"/>
              <w:ind w:right="142"/>
              <w:rPr>
                <w:iCs/>
                <w:lang w:eastAsia="en-NZ"/>
              </w:rPr>
            </w:pPr>
            <w:r w:rsidRPr="00014B00">
              <w:rPr>
                <w:lang w:eastAsia="en-NZ"/>
              </w:rPr>
              <w:t xml:space="preserve">The </w:t>
            </w:r>
            <w:r>
              <w:rPr>
                <w:rFonts w:eastAsia="Arial"/>
              </w:rPr>
              <w:t>p</w:t>
            </w:r>
            <w:r w:rsidR="006B4BEA" w:rsidRPr="00014B00">
              <w:rPr>
                <w:rFonts w:eastAsia="Arial"/>
              </w:rPr>
              <w:t>ercentage of</w:t>
            </w:r>
            <w:r>
              <w:rPr>
                <w:rFonts w:eastAsia="Arial"/>
              </w:rPr>
              <w:t>:</w:t>
            </w:r>
          </w:p>
        </w:tc>
        <w:tc>
          <w:tcPr>
            <w:tcW w:w="1060" w:type="dxa"/>
            <w:tcBorders>
              <w:top w:val="dotted" w:sz="4" w:space="0" w:color="auto"/>
              <w:bottom w:val="nil"/>
            </w:tcBorders>
          </w:tcPr>
          <w:p w14:paraId="79C0DB92" w14:textId="77777777" w:rsidR="006B4BEA" w:rsidRPr="00BC0D1F" w:rsidRDefault="006B4BEA" w:rsidP="00EB053E">
            <w:pPr>
              <w:pStyle w:val="TableText"/>
              <w:jc w:val="center"/>
              <w:rPr>
                <w:lang w:eastAsia="en-NZ"/>
              </w:rPr>
            </w:pPr>
          </w:p>
        </w:tc>
        <w:tc>
          <w:tcPr>
            <w:tcW w:w="1060" w:type="dxa"/>
            <w:tcBorders>
              <w:top w:val="dotted" w:sz="4" w:space="0" w:color="auto"/>
              <w:bottom w:val="nil"/>
            </w:tcBorders>
          </w:tcPr>
          <w:p w14:paraId="76B4787B" w14:textId="77777777" w:rsidR="006B4BEA" w:rsidRPr="00BC0D1F" w:rsidRDefault="006B4BEA" w:rsidP="00EB053E">
            <w:pPr>
              <w:pStyle w:val="TableText"/>
              <w:jc w:val="center"/>
              <w:rPr>
                <w:lang w:eastAsia="en-NZ"/>
              </w:rPr>
            </w:pPr>
          </w:p>
        </w:tc>
        <w:tc>
          <w:tcPr>
            <w:tcW w:w="1061" w:type="dxa"/>
            <w:tcBorders>
              <w:top w:val="dotted" w:sz="4" w:space="0" w:color="auto"/>
              <w:bottom w:val="nil"/>
            </w:tcBorders>
          </w:tcPr>
          <w:p w14:paraId="047EFE0C" w14:textId="77777777" w:rsidR="006B4BEA" w:rsidRPr="00BC0D1F" w:rsidRDefault="006B4BEA" w:rsidP="00EB053E">
            <w:pPr>
              <w:pStyle w:val="TableText"/>
              <w:jc w:val="center"/>
              <w:rPr>
                <w:lang w:eastAsia="en-NZ"/>
              </w:rPr>
            </w:pPr>
          </w:p>
        </w:tc>
        <w:tc>
          <w:tcPr>
            <w:tcW w:w="1060" w:type="dxa"/>
            <w:tcBorders>
              <w:top w:val="dotted" w:sz="4" w:space="0" w:color="auto"/>
              <w:bottom w:val="nil"/>
            </w:tcBorders>
          </w:tcPr>
          <w:p w14:paraId="16E4D37A" w14:textId="77777777" w:rsidR="006B4BEA" w:rsidRPr="00BC0D1F" w:rsidRDefault="006B4BEA" w:rsidP="00EB053E">
            <w:pPr>
              <w:pStyle w:val="TableText"/>
              <w:jc w:val="center"/>
              <w:rPr>
                <w:lang w:eastAsia="en-NZ"/>
              </w:rPr>
            </w:pPr>
          </w:p>
        </w:tc>
        <w:tc>
          <w:tcPr>
            <w:tcW w:w="1061" w:type="dxa"/>
            <w:tcBorders>
              <w:top w:val="dotted" w:sz="4" w:space="0" w:color="auto"/>
              <w:bottom w:val="nil"/>
            </w:tcBorders>
          </w:tcPr>
          <w:p w14:paraId="63919CE0" w14:textId="77777777" w:rsidR="006B4BEA" w:rsidRPr="00BC0D1F" w:rsidRDefault="006B4BEA" w:rsidP="00EB053E">
            <w:pPr>
              <w:pStyle w:val="TableText"/>
              <w:jc w:val="center"/>
              <w:rPr>
                <w:lang w:eastAsia="en-NZ"/>
              </w:rPr>
            </w:pPr>
          </w:p>
        </w:tc>
      </w:tr>
      <w:tr w:rsidR="00B01C77" w:rsidRPr="00BC0D1F" w14:paraId="390EF2AC" w14:textId="77777777" w:rsidTr="00FE3146">
        <w:trPr>
          <w:cantSplit/>
        </w:trPr>
        <w:tc>
          <w:tcPr>
            <w:tcW w:w="4054" w:type="dxa"/>
            <w:tcBorders>
              <w:top w:val="nil"/>
              <w:bottom w:val="nil"/>
            </w:tcBorders>
          </w:tcPr>
          <w:p w14:paraId="438D418B" w14:textId="35D1DEA7" w:rsidR="00B01C77" w:rsidRPr="00B01C77" w:rsidRDefault="00B01C77" w:rsidP="00B01C77">
            <w:pPr>
              <w:pStyle w:val="TableText"/>
              <w:ind w:right="142"/>
              <w:rPr>
                <w:lang w:eastAsia="en-NZ"/>
              </w:rPr>
            </w:pPr>
            <w:r w:rsidRPr="00BC0D1F">
              <w:rPr>
                <w:rFonts w:eastAsia="Arial"/>
              </w:rPr>
              <w:t xml:space="preserve">hospital patients who smoke and are seen by a health practitioner in a public </w:t>
            </w:r>
            <w:r w:rsidRPr="00BC0D1F">
              <w:t>hospital are offered brief advice and support</w:t>
            </w:r>
            <w:r>
              <w:t xml:space="preserve"> to quit smoking</w:t>
            </w:r>
          </w:p>
        </w:tc>
        <w:tc>
          <w:tcPr>
            <w:tcW w:w="1060" w:type="dxa"/>
            <w:tcBorders>
              <w:top w:val="nil"/>
              <w:bottom w:val="nil"/>
            </w:tcBorders>
          </w:tcPr>
          <w:p w14:paraId="1D184A4A" w14:textId="4EADEC3A" w:rsidR="00B01C77" w:rsidRPr="00BC0D1F" w:rsidRDefault="00B01C77" w:rsidP="00B01C77">
            <w:pPr>
              <w:pStyle w:val="TableText"/>
              <w:jc w:val="center"/>
              <w:rPr>
                <w:lang w:eastAsia="en-NZ"/>
              </w:rPr>
            </w:pPr>
            <w:r w:rsidRPr="00BF317C">
              <w:t>95%</w:t>
            </w:r>
          </w:p>
        </w:tc>
        <w:tc>
          <w:tcPr>
            <w:tcW w:w="1060" w:type="dxa"/>
            <w:tcBorders>
              <w:top w:val="nil"/>
              <w:bottom w:val="nil"/>
            </w:tcBorders>
          </w:tcPr>
          <w:p w14:paraId="47E6B5B9" w14:textId="014C3BC0" w:rsidR="00B01C77" w:rsidRPr="00BC0D1F" w:rsidRDefault="00B01C77" w:rsidP="00B01C77">
            <w:pPr>
              <w:pStyle w:val="TableText"/>
              <w:jc w:val="center"/>
              <w:rPr>
                <w:lang w:eastAsia="en-NZ"/>
              </w:rPr>
            </w:pPr>
            <w:r w:rsidRPr="00BF317C">
              <w:t>95.5%</w:t>
            </w:r>
          </w:p>
        </w:tc>
        <w:tc>
          <w:tcPr>
            <w:tcW w:w="1061" w:type="dxa"/>
            <w:tcBorders>
              <w:top w:val="nil"/>
              <w:bottom w:val="nil"/>
            </w:tcBorders>
          </w:tcPr>
          <w:p w14:paraId="78D666ED" w14:textId="649CDD96" w:rsidR="00B01C77" w:rsidRPr="00BC0D1F" w:rsidRDefault="00B01C77" w:rsidP="00B01C77">
            <w:pPr>
              <w:pStyle w:val="TableText"/>
              <w:jc w:val="center"/>
              <w:rPr>
                <w:lang w:eastAsia="en-NZ"/>
              </w:rPr>
            </w:pPr>
            <w:r w:rsidRPr="00BF317C">
              <w:t>95.5%</w:t>
            </w:r>
          </w:p>
        </w:tc>
        <w:tc>
          <w:tcPr>
            <w:tcW w:w="1060" w:type="dxa"/>
            <w:tcBorders>
              <w:top w:val="nil"/>
              <w:bottom w:val="nil"/>
            </w:tcBorders>
          </w:tcPr>
          <w:p w14:paraId="54378171" w14:textId="70ED9D1B" w:rsidR="00B01C77" w:rsidRPr="00BC0D1F" w:rsidRDefault="00B01C77" w:rsidP="00B01C77">
            <w:pPr>
              <w:pStyle w:val="TableText"/>
              <w:jc w:val="center"/>
              <w:rPr>
                <w:lang w:eastAsia="en-NZ"/>
              </w:rPr>
            </w:pPr>
            <w:r w:rsidRPr="00BF317C">
              <w:t>95.8%</w:t>
            </w:r>
          </w:p>
        </w:tc>
        <w:tc>
          <w:tcPr>
            <w:tcW w:w="1061" w:type="dxa"/>
            <w:tcBorders>
              <w:top w:val="nil"/>
              <w:bottom w:val="nil"/>
            </w:tcBorders>
          </w:tcPr>
          <w:p w14:paraId="706DA2E4" w14:textId="66B10367" w:rsidR="00B01C77" w:rsidRPr="00BC0D1F" w:rsidRDefault="00B01C77" w:rsidP="00B01C77">
            <w:pPr>
              <w:pStyle w:val="TableText"/>
              <w:jc w:val="center"/>
              <w:rPr>
                <w:lang w:eastAsia="en-NZ"/>
              </w:rPr>
            </w:pPr>
            <w:r w:rsidRPr="00BF317C">
              <w:t>96.1%</w:t>
            </w:r>
          </w:p>
        </w:tc>
      </w:tr>
      <w:tr w:rsidR="00AD72CC" w:rsidRPr="00BC0D1F" w14:paraId="051849FC" w14:textId="77777777" w:rsidTr="00FE3146">
        <w:trPr>
          <w:cantSplit/>
        </w:trPr>
        <w:tc>
          <w:tcPr>
            <w:tcW w:w="4054" w:type="dxa"/>
            <w:tcBorders>
              <w:top w:val="nil"/>
              <w:bottom w:val="nil"/>
            </w:tcBorders>
          </w:tcPr>
          <w:p w14:paraId="61F62E6E" w14:textId="1E134DC7" w:rsidR="00AD72CC" w:rsidRPr="00BC0D1F" w:rsidRDefault="00AD72CC" w:rsidP="00EB053E">
            <w:pPr>
              <w:pStyle w:val="TableText"/>
              <w:ind w:right="142"/>
              <w:rPr>
                <w:iCs/>
                <w:lang w:eastAsia="en-NZ"/>
              </w:rPr>
            </w:pPr>
            <w:r w:rsidRPr="00BC0D1F">
              <w:rPr>
                <w:iCs/>
                <w:szCs w:val="18"/>
                <w:lang w:eastAsia="en-NZ"/>
              </w:rPr>
              <w:t>PHO enrolled patients who smoke and have been offered help to quit smoking by a health care practitioner in the last 15 months</w:t>
            </w:r>
          </w:p>
        </w:tc>
        <w:tc>
          <w:tcPr>
            <w:tcW w:w="1060" w:type="dxa"/>
            <w:tcBorders>
              <w:top w:val="nil"/>
              <w:bottom w:val="nil"/>
            </w:tcBorders>
          </w:tcPr>
          <w:p w14:paraId="3C602547" w14:textId="77777777" w:rsidR="00AD72CC" w:rsidRPr="00BC0D1F" w:rsidRDefault="00AD72CC" w:rsidP="00EB053E">
            <w:pPr>
              <w:pStyle w:val="TableText"/>
              <w:jc w:val="center"/>
              <w:rPr>
                <w:lang w:eastAsia="en-NZ"/>
              </w:rPr>
            </w:pPr>
            <w:r w:rsidRPr="00BC0D1F">
              <w:rPr>
                <w:lang w:eastAsia="en-NZ"/>
              </w:rPr>
              <w:t>90%</w:t>
            </w:r>
          </w:p>
        </w:tc>
        <w:tc>
          <w:tcPr>
            <w:tcW w:w="1060" w:type="dxa"/>
            <w:tcBorders>
              <w:top w:val="nil"/>
              <w:bottom w:val="nil"/>
            </w:tcBorders>
          </w:tcPr>
          <w:p w14:paraId="4F82DD2C" w14:textId="77777777" w:rsidR="00AD72CC" w:rsidRPr="00BC0D1F" w:rsidRDefault="00AD72CC" w:rsidP="00EB053E">
            <w:pPr>
              <w:pStyle w:val="TableText"/>
              <w:jc w:val="center"/>
              <w:rPr>
                <w:lang w:eastAsia="en-NZ"/>
              </w:rPr>
            </w:pPr>
            <w:r w:rsidRPr="00BC0D1F">
              <w:rPr>
                <w:lang w:eastAsia="en-NZ"/>
              </w:rPr>
              <w:t>83.2%</w:t>
            </w:r>
          </w:p>
        </w:tc>
        <w:tc>
          <w:tcPr>
            <w:tcW w:w="1061" w:type="dxa"/>
            <w:tcBorders>
              <w:top w:val="nil"/>
              <w:bottom w:val="nil"/>
            </w:tcBorders>
          </w:tcPr>
          <w:p w14:paraId="6A6BCCA7" w14:textId="77777777" w:rsidR="00AD72CC" w:rsidRPr="00BC0D1F" w:rsidRDefault="00AD72CC" w:rsidP="00EB053E">
            <w:pPr>
              <w:pStyle w:val="TableText"/>
              <w:jc w:val="center"/>
              <w:rPr>
                <w:lang w:eastAsia="en-NZ"/>
              </w:rPr>
            </w:pPr>
            <w:r w:rsidRPr="00BC0D1F">
              <w:rPr>
                <w:lang w:eastAsia="en-NZ"/>
              </w:rPr>
              <w:t>85.0%</w:t>
            </w:r>
          </w:p>
        </w:tc>
        <w:tc>
          <w:tcPr>
            <w:tcW w:w="1060" w:type="dxa"/>
            <w:tcBorders>
              <w:top w:val="nil"/>
              <w:bottom w:val="nil"/>
            </w:tcBorders>
          </w:tcPr>
          <w:p w14:paraId="4497238B" w14:textId="77777777" w:rsidR="00AD72CC" w:rsidRPr="00BC0D1F" w:rsidRDefault="00AD72CC" w:rsidP="00EB053E">
            <w:pPr>
              <w:pStyle w:val="TableText"/>
              <w:jc w:val="center"/>
              <w:rPr>
                <w:lang w:eastAsia="en-NZ"/>
              </w:rPr>
            </w:pPr>
            <w:r w:rsidRPr="00BC0D1F">
              <w:rPr>
                <w:lang w:eastAsia="en-NZ"/>
              </w:rPr>
              <w:t>86.0%</w:t>
            </w:r>
          </w:p>
        </w:tc>
        <w:tc>
          <w:tcPr>
            <w:tcW w:w="1061" w:type="dxa"/>
            <w:tcBorders>
              <w:top w:val="nil"/>
              <w:bottom w:val="nil"/>
            </w:tcBorders>
          </w:tcPr>
          <w:p w14:paraId="753B7584" w14:textId="77777777" w:rsidR="00AD72CC" w:rsidRPr="00BC0D1F" w:rsidRDefault="00AD72CC" w:rsidP="00EB053E">
            <w:pPr>
              <w:pStyle w:val="TableText"/>
              <w:jc w:val="center"/>
              <w:rPr>
                <w:lang w:eastAsia="en-NZ"/>
              </w:rPr>
            </w:pPr>
            <w:r w:rsidRPr="00BC0D1F">
              <w:rPr>
                <w:lang w:eastAsia="en-NZ"/>
              </w:rPr>
              <w:t>88.1%</w:t>
            </w:r>
          </w:p>
        </w:tc>
      </w:tr>
      <w:tr w:rsidR="00B01C77" w:rsidRPr="00BC0D1F" w14:paraId="06FF5E03" w14:textId="77777777" w:rsidTr="00FE3146">
        <w:trPr>
          <w:cantSplit/>
        </w:trPr>
        <w:tc>
          <w:tcPr>
            <w:tcW w:w="4054" w:type="dxa"/>
            <w:tcBorders>
              <w:top w:val="nil"/>
              <w:bottom w:val="single" w:sz="4" w:space="0" w:color="A6A6A6"/>
            </w:tcBorders>
          </w:tcPr>
          <w:p w14:paraId="21D9B85D" w14:textId="2E6C2192" w:rsidR="00B01C77" w:rsidRPr="00B01C77" w:rsidRDefault="00B01C77" w:rsidP="00B01C77">
            <w:pPr>
              <w:pStyle w:val="TableText"/>
              <w:ind w:right="142"/>
              <w:rPr>
                <w:lang w:eastAsia="en-NZ"/>
              </w:rPr>
            </w:pPr>
            <w:r w:rsidRPr="00BC0D1F">
              <w:t xml:space="preserve">pregnant women who identify as smokers upon registration with a DHB-employed midwife or lead maternity carer are offered brief advice and support to </w:t>
            </w:r>
            <w:r>
              <w:rPr>
                <w:rFonts w:eastAsia="Arial"/>
              </w:rPr>
              <w:t>quit smoking</w:t>
            </w:r>
          </w:p>
        </w:tc>
        <w:tc>
          <w:tcPr>
            <w:tcW w:w="1060" w:type="dxa"/>
            <w:tcBorders>
              <w:top w:val="nil"/>
              <w:bottom w:val="single" w:sz="4" w:space="0" w:color="A6A6A6"/>
            </w:tcBorders>
          </w:tcPr>
          <w:p w14:paraId="38828454" w14:textId="7B19315D" w:rsidR="00B01C77" w:rsidRPr="00BC0D1F" w:rsidRDefault="00B01C77" w:rsidP="00B01C77">
            <w:pPr>
              <w:pStyle w:val="TableText"/>
              <w:jc w:val="center"/>
              <w:rPr>
                <w:lang w:eastAsia="en-NZ"/>
              </w:rPr>
            </w:pPr>
            <w:r w:rsidRPr="00BA7E6F">
              <w:t>90%</w:t>
            </w:r>
          </w:p>
        </w:tc>
        <w:tc>
          <w:tcPr>
            <w:tcW w:w="1060" w:type="dxa"/>
            <w:tcBorders>
              <w:top w:val="nil"/>
              <w:bottom w:val="single" w:sz="4" w:space="0" w:color="A6A6A6"/>
            </w:tcBorders>
          </w:tcPr>
          <w:p w14:paraId="021B5B5E" w14:textId="1087A5B0" w:rsidR="00B01C77" w:rsidRPr="00BC0D1F" w:rsidRDefault="00B01C77" w:rsidP="00B01C77">
            <w:pPr>
              <w:pStyle w:val="TableText"/>
              <w:jc w:val="center"/>
              <w:rPr>
                <w:lang w:eastAsia="en-NZ"/>
              </w:rPr>
            </w:pPr>
            <w:r w:rsidRPr="00BA7E6F">
              <w:t>93.6%</w:t>
            </w:r>
          </w:p>
        </w:tc>
        <w:tc>
          <w:tcPr>
            <w:tcW w:w="1061" w:type="dxa"/>
            <w:tcBorders>
              <w:top w:val="nil"/>
              <w:bottom w:val="single" w:sz="4" w:space="0" w:color="A6A6A6"/>
            </w:tcBorders>
          </w:tcPr>
          <w:p w14:paraId="6E8CD83F" w14:textId="3EEC0FCD" w:rsidR="00B01C77" w:rsidRPr="00BC0D1F" w:rsidRDefault="00B01C77" w:rsidP="00B01C77">
            <w:pPr>
              <w:pStyle w:val="TableText"/>
              <w:jc w:val="center"/>
              <w:rPr>
                <w:lang w:eastAsia="en-NZ"/>
              </w:rPr>
            </w:pPr>
            <w:r w:rsidRPr="00BA7E6F">
              <w:t>92.7%</w:t>
            </w:r>
          </w:p>
        </w:tc>
        <w:tc>
          <w:tcPr>
            <w:tcW w:w="1060" w:type="dxa"/>
            <w:tcBorders>
              <w:top w:val="nil"/>
              <w:bottom w:val="single" w:sz="4" w:space="0" w:color="A6A6A6"/>
            </w:tcBorders>
          </w:tcPr>
          <w:p w14:paraId="2C50E473" w14:textId="01271487" w:rsidR="00B01C77" w:rsidRPr="00BC0D1F" w:rsidRDefault="00B01C77" w:rsidP="00B01C77">
            <w:pPr>
              <w:pStyle w:val="TableText"/>
              <w:jc w:val="center"/>
              <w:rPr>
                <w:lang w:eastAsia="en-NZ"/>
              </w:rPr>
            </w:pPr>
            <w:r w:rsidRPr="00BA7E6F">
              <w:t>94.4%</w:t>
            </w:r>
          </w:p>
        </w:tc>
        <w:tc>
          <w:tcPr>
            <w:tcW w:w="1061" w:type="dxa"/>
            <w:tcBorders>
              <w:top w:val="nil"/>
              <w:bottom w:val="single" w:sz="4" w:space="0" w:color="A6A6A6"/>
            </w:tcBorders>
          </w:tcPr>
          <w:p w14:paraId="3658C80D" w14:textId="534B257B" w:rsidR="00B01C77" w:rsidRPr="00BC0D1F" w:rsidRDefault="00B01C77" w:rsidP="00B01C77">
            <w:pPr>
              <w:pStyle w:val="TableText"/>
              <w:jc w:val="center"/>
              <w:rPr>
                <w:lang w:eastAsia="en-NZ"/>
              </w:rPr>
            </w:pPr>
            <w:r w:rsidRPr="00BA7E6F">
              <w:t>94.4%</w:t>
            </w:r>
          </w:p>
        </w:tc>
      </w:tr>
      <w:tr w:rsidR="00AD72CC" w:rsidRPr="00BC0D1F" w14:paraId="09157FF3" w14:textId="77777777" w:rsidTr="00FE3146">
        <w:trPr>
          <w:cantSplit/>
        </w:trPr>
        <w:tc>
          <w:tcPr>
            <w:tcW w:w="4054" w:type="dxa"/>
            <w:tcBorders>
              <w:top w:val="single" w:sz="4" w:space="0" w:color="A6A6A6"/>
            </w:tcBorders>
          </w:tcPr>
          <w:p w14:paraId="0FDAF3EF" w14:textId="77777777" w:rsidR="00DF4B9A" w:rsidRPr="00BC0D1F" w:rsidRDefault="00AD72CC" w:rsidP="00EB053E">
            <w:pPr>
              <w:pStyle w:val="TableText"/>
              <w:ind w:right="142"/>
              <w:rPr>
                <w:b/>
                <w:lang w:eastAsia="en-NZ"/>
              </w:rPr>
            </w:pPr>
            <w:r w:rsidRPr="00BC0D1F">
              <w:rPr>
                <w:b/>
                <w:lang w:eastAsia="en-NZ"/>
              </w:rPr>
              <w:t>More heart and diabetes checks</w:t>
            </w:r>
          </w:p>
          <w:p w14:paraId="5DCCD1D1" w14:textId="659B9B2A" w:rsidR="00AD72CC" w:rsidRPr="00BC0D1F" w:rsidRDefault="00AD72CC" w:rsidP="00EB053E">
            <w:pPr>
              <w:pStyle w:val="TableText"/>
              <w:ind w:right="142"/>
              <w:rPr>
                <w:lang w:eastAsia="en-NZ"/>
              </w:rPr>
            </w:pPr>
            <w:r w:rsidRPr="00BC0D1F">
              <w:rPr>
                <w:szCs w:val="18"/>
                <w:lang w:eastAsia="en-NZ"/>
              </w:rPr>
              <w:t>Percentage of the eligible population who have had their cardiovascular risk assessed in the last 5 years</w:t>
            </w:r>
          </w:p>
        </w:tc>
        <w:tc>
          <w:tcPr>
            <w:tcW w:w="1060" w:type="dxa"/>
            <w:tcBorders>
              <w:top w:val="single" w:sz="4" w:space="0" w:color="A6A6A6"/>
            </w:tcBorders>
          </w:tcPr>
          <w:p w14:paraId="159A2F65" w14:textId="77777777" w:rsidR="00AD72CC" w:rsidRPr="00BC0D1F" w:rsidRDefault="00AD72CC" w:rsidP="00EB053E">
            <w:pPr>
              <w:pStyle w:val="TableText"/>
              <w:jc w:val="center"/>
              <w:rPr>
                <w:lang w:eastAsia="en-NZ"/>
              </w:rPr>
            </w:pPr>
            <w:r w:rsidRPr="00BC0D1F">
              <w:rPr>
                <w:lang w:eastAsia="en-NZ"/>
              </w:rPr>
              <w:t>90%</w:t>
            </w:r>
          </w:p>
        </w:tc>
        <w:tc>
          <w:tcPr>
            <w:tcW w:w="1060" w:type="dxa"/>
            <w:tcBorders>
              <w:top w:val="single" w:sz="4" w:space="0" w:color="A6A6A6"/>
            </w:tcBorders>
          </w:tcPr>
          <w:p w14:paraId="571901D1" w14:textId="584B269D" w:rsidR="00AD72CC" w:rsidRPr="00BC0D1F" w:rsidRDefault="00AD72CC" w:rsidP="00EB053E">
            <w:pPr>
              <w:pStyle w:val="TableText"/>
              <w:jc w:val="center"/>
              <w:rPr>
                <w:lang w:eastAsia="en-NZ"/>
              </w:rPr>
            </w:pPr>
            <w:r w:rsidRPr="00BC0D1F">
              <w:rPr>
                <w:lang w:eastAsia="en-NZ"/>
              </w:rPr>
              <w:t>89.8%</w:t>
            </w:r>
            <w:r w:rsidR="00792E4C">
              <w:rPr>
                <w:rStyle w:val="FootnoteReference"/>
                <w:lang w:eastAsia="en-NZ"/>
              </w:rPr>
              <w:footnoteReference w:id="4"/>
            </w:r>
          </w:p>
        </w:tc>
        <w:tc>
          <w:tcPr>
            <w:tcW w:w="1061" w:type="dxa"/>
            <w:tcBorders>
              <w:top w:val="single" w:sz="4" w:space="0" w:color="A6A6A6"/>
            </w:tcBorders>
          </w:tcPr>
          <w:p w14:paraId="75679DBE" w14:textId="77777777" w:rsidR="00AD72CC" w:rsidRPr="00BC0D1F" w:rsidRDefault="00AD72CC" w:rsidP="00EB053E">
            <w:pPr>
              <w:pStyle w:val="TableText"/>
              <w:jc w:val="center"/>
              <w:rPr>
                <w:lang w:eastAsia="en-NZ"/>
              </w:rPr>
            </w:pPr>
            <w:r w:rsidRPr="00BC0D1F">
              <w:rPr>
                <w:lang w:eastAsia="en-NZ"/>
              </w:rPr>
              <w:t>90.0%</w:t>
            </w:r>
          </w:p>
        </w:tc>
        <w:tc>
          <w:tcPr>
            <w:tcW w:w="1060" w:type="dxa"/>
            <w:tcBorders>
              <w:top w:val="single" w:sz="4" w:space="0" w:color="A6A6A6"/>
            </w:tcBorders>
          </w:tcPr>
          <w:p w14:paraId="231B74AA" w14:textId="77777777" w:rsidR="00AD72CC" w:rsidRPr="00BC0D1F" w:rsidRDefault="00AD72CC" w:rsidP="00EB053E">
            <w:pPr>
              <w:pStyle w:val="TableText"/>
              <w:jc w:val="center"/>
              <w:rPr>
                <w:lang w:eastAsia="en-NZ"/>
              </w:rPr>
            </w:pPr>
            <w:r w:rsidRPr="00BC0D1F">
              <w:rPr>
                <w:lang w:eastAsia="en-NZ"/>
              </w:rPr>
              <w:t>90.3%</w:t>
            </w:r>
          </w:p>
        </w:tc>
        <w:tc>
          <w:tcPr>
            <w:tcW w:w="1061" w:type="dxa"/>
            <w:tcBorders>
              <w:top w:val="single" w:sz="4" w:space="0" w:color="A6A6A6"/>
            </w:tcBorders>
          </w:tcPr>
          <w:p w14:paraId="6F57744C" w14:textId="77777777" w:rsidR="00AD72CC" w:rsidRPr="00BC0D1F" w:rsidRDefault="00AD72CC" w:rsidP="00EB053E">
            <w:pPr>
              <w:pStyle w:val="TableText"/>
              <w:jc w:val="center"/>
              <w:rPr>
                <w:lang w:eastAsia="en-NZ"/>
              </w:rPr>
            </w:pPr>
            <w:r w:rsidRPr="00BC0D1F">
              <w:rPr>
                <w:lang w:eastAsia="en-NZ"/>
              </w:rPr>
              <w:t>90.5%</w:t>
            </w:r>
          </w:p>
        </w:tc>
      </w:tr>
    </w:tbl>
    <w:p w14:paraId="18DA35F7" w14:textId="77777777" w:rsidR="00AD72CC" w:rsidRPr="00BC0D1F" w:rsidRDefault="00AD72CC" w:rsidP="00EB053E"/>
    <w:p w14:paraId="06551069" w14:textId="77777777" w:rsidR="00AD72CC" w:rsidRPr="00BC0D1F" w:rsidRDefault="00AD72CC" w:rsidP="00EB053E">
      <w:r w:rsidRPr="00BC0D1F">
        <w:t>The Ministry continues to measure and report on the health targets, and works closely with DHBs to achieve them.</w:t>
      </w:r>
      <w:r w:rsidRPr="00BC0D1F">
        <w:rPr>
          <w:rStyle w:val="FootnoteReference"/>
        </w:rPr>
        <w:footnoteReference w:id="5"/>
      </w:r>
      <w:r w:rsidRPr="00BC0D1F">
        <w:t xml:space="preserve"> It has appointed a Ministry champion for each target, to work with the sector to ensure good practice and share innovations. The champion provides support, and is the key link between the Ministry and people working to achieve target results in the sector.</w:t>
      </w:r>
    </w:p>
    <w:p w14:paraId="08635128" w14:textId="77777777" w:rsidR="00AD72CC" w:rsidRPr="00BC0D1F" w:rsidRDefault="00AD72CC" w:rsidP="00EB053E"/>
    <w:p w14:paraId="652D2A2B" w14:textId="6735C9D7" w:rsidR="00AD72CC" w:rsidRPr="00BC0D1F" w:rsidRDefault="00AD72CC" w:rsidP="00EB053E">
      <w:r w:rsidRPr="00BC0D1F">
        <w:t xml:space="preserve">Quarter four of 2015/16 was the final quarter of the </w:t>
      </w:r>
      <w:r w:rsidR="006B4BEA">
        <w:t>‘M</w:t>
      </w:r>
      <w:r w:rsidR="006B4BEA" w:rsidRPr="00BC0D1F">
        <w:t xml:space="preserve">ore </w:t>
      </w:r>
      <w:r w:rsidRPr="00BC0D1F">
        <w:t>heart and diabetes check</w:t>
      </w:r>
      <w:r w:rsidR="006B4BEA">
        <w:t>s’</w:t>
      </w:r>
      <w:r w:rsidRPr="00BC0D1F">
        <w:t xml:space="preserve"> health target. The result of 90.5 percent represents a notable increase from 46 percent when the target began in 2012. From quarter one 2016/17 a new health target focusing on childhood obesity will be introduced called </w:t>
      </w:r>
      <w:r w:rsidR="00DB7FAB">
        <w:t>‘</w:t>
      </w:r>
      <w:r w:rsidRPr="00BC0D1F">
        <w:t>Raising healthy kids</w:t>
      </w:r>
      <w:r w:rsidR="00DB7FAB">
        <w:t>’</w:t>
      </w:r>
      <w:r w:rsidRPr="00BC0D1F">
        <w:t xml:space="preserve">. The target is </w:t>
      </w:r>
      <w:r w:rsidR="00DF4B9A" w:rsidRPr="00BC0D1F">
        <w:t>‘</w:t>
      </w:r>
      <w:r w:rsidRPr="00BC0D1F">
        <w:t>By December 2017, 95 percent of obese children identified in the Before School Check programme will be offered a referral to a health professional for clinical assessment and family based nutrition, activity and lifestyle interventions</w:t>
      </w:r>
      <w:r w:rsidR="00DF4B9A" w:rsidRPr="00BC0D1F">
        <w:t>’</w:t>
      </w:r>
      <w:r w:rsidRPr="00BC0D1F">
        <w:t>.</w:t>
      </w:r>
    </w:p>
    <w:p w14:paraId="10B7AE22" w14:textId="77777777" w:rsidR="00AD72CC" w:rsidRPr="00BC0D1F" w:rsidRDefault="00AD72CC" w:rsidP="00EB053E"/>
    <w:p w14:paraId="71A00126" w14:textId="77777777" w:rsidR="00AD72CC" w:rsidRPr="00BC0D1F" w:rsidRDefault="00AD72CC" w:rsidP="00EB053E">
      <w:pPr>
        <w:pStyle w:val="Heading3"/>
      </w:pPr>
      <w:r w:rsidRPr="00BC0D1F">
        <w:lastRenderedPageBreak/>
        <w:t>Shorter stays in emergency departments</w:t>
      </w:r>
    </w:p>
    <w:p w14:paraId="225914DB" w14:textId="77777777" w:rsidR="00AD72CC" w:rsidRPr="00BC0D1F" w:rsidRDefault="00AD72CC" w:rsidP="00EB053E">
      <w:pPr>
        <w:keepNext/>
      </w:pPr>
      <w:r w:rsidRPr="00BC0D1F">
        <w:rPr>
          <w:rFonts w:cs="Arial"/>
          <w:b/>
        </w:rPr>
        <w:t>The health target:</w:t>
      </w:r>
      <w:r w:rsidRPr="00BC0D1F">
        <w:t xml:space="preserve"> 95 percent of patients will be admitted, discharged or transferred from the emergency department within six hours.</w:t>
      </w:r>
    </w:p>
    <w:p w14:paraId="4E81C763" w14:textId="77777777" w:rsidR="00AD72CC" w:rsidRPr="00BC0D1F" w:rsidRDefault="00AD72CC" w:rsidP="00EB053E">
      <w:pPr>
        <w:keepNext/>
        <w:rPr>
          <w:highlight w:val="yellow"/>
        </w:rPr>
      </w:pPr>
    </w:p>
    <w:p w14:paraId="63CAF2C9" w14:textId="77777777" w:rsidR="00AD72CC" w:rsidRPr="00BC0D1F" w:rsidRDefault="00AD72CC" w:rsidP="00EB053E">
      <w:pPr>
        <w:pStyle w:val="Figure"/>
      </w:pPr>
      <w:bookmarkStart w:id="27" w:name="_Toc462926723"/>
      <w:r w:rsidRPr="00BC0D1F">
        <w:t>Figure 1: Percentage of patients admitted, discharged or transferred from an emergency department within six hours, 2009/10–2015/16</w:t>
      </w:r>
      <w:bookmarkEnd w:id="27"/>
    </w:p>
    <w:p w14:paraId="7BD0F058" w14:textId="77777777" w:rsidR="00AD72CC" w:rsidRPr="00BC0D1F" w:rsidRDefault="00CD7E9C" w:rsidP="00EB053E">
      <w:pPr>
        <w:rPr>
          <w:lang w:eastAsia="en-NZ"/>
        </w:rPr>
      </w:pPr>
      <w:r w:rsidRPr="00BC0D1F">
        <w:rPr>
          <w:noProof/>
          <w:lang w:eastAsia="en-NZ"/>
        </w:rPr>
        <w:drawing>
          <wp:inline distT="0" distB="0" distL="0" distR="0" wp14:anchorId="7AE2E840" wp14:editId="6DF4CA3F">
            <wp:extent cx="4679950" cy="2851150"/>
            <wp:effectExtent l="0" t="0" r="6350" b="6350"/>
            <wp:docPr id="22" name="Picture 1" title="Figure 1: Percentage of patients admitted, discharged or transferred from an emergency department within six hours, 2009/10–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19A14C51" w14:textId="77777777" w:rsidR="00AD72CC" w:rsidRPr="00BC0D1F" w:rsidRDefault="00AD72CC" w:rsidP="00BE6ED1">
      <w:pPr>
        <w:rPr>
          <w:lang w:eastAsia="en-NZ"/>
        </w:rPr>
      </w:pPr>
    </w:p>
    <w:p w14:paraId="5BF98C13" w14:textId="77777777" w:rsidR="00AD72CC" w:rsidRPr="00BC0D1F" w:rsidRDefault="00AD72CC" w:rsidP="00BE6ED1">
      <w:pPr>
        <w:rPr>
          <w:lang w:eastAsia="en-NZ"/>
        </w:rPr>
      </w:pPr>
      <w:r w:rsidRPr="00BC0D1F">
        <w:rPr>
          <w:lang w:eastAsia="en-NZ"/>
        </w:rPr>
        <w:t xml:space="preserve">The length of time that a person spends in an emergency department is an important measure of the quality of acute (urgent) care in our public hospitals. The </w:t>
      </w:r>
      <w:r w:rsidR="00DF4B9A" w:rsidRPr="00BC0D1F">
        <w:rPr>
          <w:lang w:eastAsia="en-NZ"/>
        </w:rPr>
        <w:t>‘</w:t>
      </w:r>
      <w:r w:rsidRPr="00BC0D1F">
        <w:rPr>
          <w:lang w:eastAsia="en-NZ"/>
        </w:rPr>
        <w:t>Shorter stays in emergency departments</w:t>
      </w:r>
      <w:r w:rsidR="00DF4B9A" w:rsidRPr="00BC0D1F">
        <w:rPr>
          <w:lang w:eastAsia="en-NZ"/>
        </w:rPr>
        <w:t>’</w:t>
      </w:r>
      <w:r w:rsidRPr="00BC0D1F">
        <w:rPr>
          <w:lang w:eastAsia="en-NZ"/>
        </w:rPr>
        <w:t xml:space="preserve"> health target measures how efficiently acute patients flow through our public hospitals. Longer stays in emergency departments are linked to negative clinical outcomes for patients, including increased risk of mortality and longer inpatient lengths of stay.</w:t>
      </w:r>
    </w:p>
    <w:p w14:paraId="0F7FAE24" w14:textId="77777777" w:rsidR="00AD72CC" w:rsidRPr="00BC0D1F" w:rsidRDefault="00AD72CC" w:rsidP="00BE6ED1">
      <w:pPr>
        <w:rPr>
          <w:lang w:eastAsia="en-NZ"/>
        </w:rPr>
      </w:pPr>
    </w:p>
    <w:p w14:paraId="30484A82" w14:textId="19BC4B1D" w:rsidR="00AD72CC" w:rsidRPr="00BC0D1F" w:rsidRDefault="00AD72CC" w:rsidP="00BE6ED1">
      <w:pPr>
        <w:rPr>
          <w:lang w:eastAsia="en-NZ"/>
        </w:rPr>
      </w:pPr>
      <w:r w:rsidRPr="00BC0D1F">
        <w:rPr>
          <w:lang w:eastAsia="en-NZ"/>
        </w:rPr>
        <w:t>By the end of the fourth quarter of 2015/16, 93.9 percent of patients were being admitted, discharged or transferred from their emergency department within six hours</w:t>
      </w:r>
      <w:r w:rsidR="000D4A85">
        <w:rPr>
          <w:lang w:eastAsia="en-NZ"/>
        </w:rPr>
        <w:t>.</w:t>
      </w:r>
    </w:p>
    <w:p w14:paraId="605F363D" w14:textId="77777777" w:rsidR="00AD72CC" w:rsidRPr="00BC0D1F" w:rsidRDefault="00AD72CC" w:rsidP="00BE6ED1">
      <w:pPr>
        <w:rPr>
          <w:lang w:eastAsia="en-NZ"/>
        </w:rPr>
      </w:pPr>
    </w:p>
    <w:p w14:paraId="3FB0BA45" w14:textId="77777777" w:rsidR="00AD72CC" w:rsidRPr="00BC0D1F" w:rsidRDefault="00AD72CC" w:rsidP="00BE6ED1">
      <w:pPr>
        <w:rPr>
          <w:lang w:eastAsia="en-NZ"/>
        </w:rPr>
      </w:pPr>
      <w:r w:rsidRPr="00BC0D1F">
        <w:rPr>
          <w:lang w:eastAsia="en-NZ"/>
        </w:rPr>
        <w:t>To support achievement of this health target, the Ministry has:</w:t>
      </w:r>
    </w:p>
    <w:p w14:paraId="79E6C96C" w14:textId="77777777" w:rsidR="00AD72CC" w:rsidRPr="00BC0D1F" w:rsidRDefault="00AD72CC" w:rsidP="00BE6ED1">
      <w:pPr>
        <w:pStyle w:val="Bullet"/>
      </w:pPr>
      <w:r w:rsidRPr="00BC0D1F">
        <w:t xml:space="preserve">hosted four winter planning workshops to support the health sector to improve their acute demand management over winter; the workshops were well attended by representatives from primary care, secondary care, ambulance services, </w:t>
      </w:r>
      <w:proofErr w:type="spellStart"/>
      <w:r w:rsidRPr="00BC0D1F">
        <w:t>Healthline</w:t>
      </w:r>
      <w:proofErr w:type="spellEnd"/>
      <w:r w:rsidRPr="00BC0D1F">
        <w:t xml:space="preserve"> and community pharmacy</w:t>
      </w:r>
    </w:p>
    <w:p w14:paraId="25CA24B4" w14:textId="77777777" w:rsidR="00AD72CC" w:rsidRPr="00BC0D1F" w:rsidRDefault="00AD72CC" w:rsidP="00BE6ED1">
      <w:pPr>
        <w:pStyle w:val="Bullet"/>
      </w:pPr>
      <w:proofErr w:type="gramStart"/>
      <w:r w:rsidRPr="00BC0D1F">
        <w:t>provided</w:t>
      </w:r>
      <w:proofErr w:type="gramEnd"/>
      <w:r w:rsidRPr="00BC0D1F">
        <w:t xml:space="preserve"> tailored one-on-one support to DHBs, including regular visits and teleconferences with DHBs that are not meeting the target.</w:t>
      </w:r>
    </w:p>
    <w:p w14:paraId="56EED997" w14:textId="77777777" w:rsidR="00AD72CC" w:rsidRPr="00BC0D1F" w:rsidRDefault="00AD72CC" w:rsidP="00BE6ED1"/>
    <w:p w14:paraId="241E6BA5" w14:textId="77777777" w:rsidR="00AD72CC" w:rsidRPr="00BC0D1F" w:rsidRDefault="00AD72CC" w:rsidP="00BE6ED1">
      <w:pPr>
        <w:pStyle w:val="Heading3"/>
      </w:pPr>
      <w:r w:rsidRPr="00BC0D1F">
        <w:lastRenderedPageBreak/>
        <w:t>Improved access to elective surgery</w:t>
      </w:r>
    </w:p>
    <w:p w14:paraId="3E146119" w14:textId="77777777" w:rsidR="00AD72CC" w:rsidRPr="00BC0D1F" w:rsidRDefault="00AD72CC" w:rsidP="00060B23">
      <w:pPr>
        <w:keepNext/>
      </w:pPr>
      <w:r w:rsidRPr="00BC0D1F">
        <w:rPr>
          <w:rFonts w:cs="Arial"/>
          <w:b/>
        </w:rPr>
        <w:t>The health target:</w:t>
      </w:r>
      <w:r w:rsidRPr="00BC0D1F">
        <w:t xml:space="preserve"> The volume of elective surgery</w:t>
      </w:r>
      <w:r w:rsidRPr="00BC0D1F">
        <w:rPr>
          <w:rStyle w:val="FootnoteReference"/>
        </w:rPr>
        <w:footnoteReference w:id="6"/>
      </w:r>
      <w:r w:rsidRPr="00BC0D1F">
        <w:t xml:space="preserve"> will be increased by an average of 4000 discharges per year.</w:t>
      </w:r>
    </w:p>
    <w:p w14:paraId="2EDDD2DA" w14:textId="77777777" w:rsidR="00AD72CC" w:rsidRPr="00BC0D1F" w:rsidRDefault="00AD72CC" w:rsidP="00060B23">
      <w:pPr>
        <w:keepNext/>
      </w:pPr>
    </w:p>
    <w:p w14:paraId="0EEEB5B6" w14:textId="77777777" w:rsidR="00AD72CC" w:rsidRPr="00BC0D1F" w:rsidRDefault="00AD72CC" w:rsidP="00BE6ED1">
      <w:pPr>
        <w:pStyle w:val="Figure"/>
      </w:pPr>
      <w:bookmarkStart w:id="28" w:name="_Toc462926724"/>
      <w:r w:rsidRPr="00BC0D1F">
        <w:t>Figure 2: Volume of elective surgery, 2007/08–2015/16</w:t>
      </w:r>
      <w:bookmarkEnd w:id="28"/>
    </w:p>
    <w:p w14:paraId="76BDC9A7" w14:textId="77777777" w:rsidR="00AD72CC" w:rsidRPr="00BC0D1F" w:rsidRDefault="00CD7E9C" w:rsidP="00BE6ED1">
      <w:r w:rsidRPr="00BC0D1F">
        <w:rPr>
          <w:noProof/>
          <w:lang w:eastAsia="en-NZ"/>
        </w:rPr>
        <w:drawing>
          <wp:inline distT="0" distB="0" distL="0" distR="0" wp14:anchorId="62FFBB69" wp14:editId="07C593F9">
            <wp:extent cx="4830232" cy="2942706"/>
            <wp:effectExtent l="0" t="0" r="8890" b="0"/>
            <wp:docPr id="21" name="Picture 1" title="Figure 2: Volume of elective surgery, 2007/08–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0112" cy="2942633"/>
                    </a:xfrm>
                    <a:prstGeom prst="rect">
                      <a:avLst/>
                    </a:prstGeom>
                    <a:noFill/>
                    <a:ln>
                      <a:noFill/>
                    </a:ln>
                  </pic:spPr>
                </pic:pic>
              </a:graphicData>
            </a:graphic>
          </wp:inline>
        </w:drawing>
      </w:r>
    </w:p>
    <w:p w14:paraId="69EDF0E5" w14:textId="77777777" w:rsidR="00AD72CC" w:rsidRPr="00BC0D1F" w:rsidRDefault="00AD72CC" w:rsidP="00060B23"/>
    <w:p w14:paraId="683F6A50" w14:textId="679A5A4B" w:rsidR="00AD72CC" w:rsidRPr="00BC0D1F" w:rsidRDefault="00AD72CC" w:rsidP="00060B23">
      <w:r w:rsidRPr="00BC0D1F">
        <w:t>The elective surgery target now includes elective and arranged in-patient surgical discharges, regardless of whether they are discharged from a surgical or non-surgical specialty (excluding maternity). In Figure 2, the target of 4000 per annum increase has been retrospectively applied to past years to acknowledge the revised target definition.</w:t>
      </w:r>
    </w:p>
    <w:p w14:paraId="63DE7932" w14:textId="77777777" w:rsidR="00AD72CC" w:rsidRPr="00BC0D1F" w:rsidRDefault="00AD72CC" w:rsidP="00060B23"/>
    <w:p w14:paraId="68DC4FD9" w14:textId="77777777" w:rsidR="00AD72CC" w:rsidRPr="00BC0D1F" w:rsidRDefault="00AD72CC" w:rsidP="00060B23">
      <w:r w:rsidRPr="00BC0D1F">
        <w:rPr>
          <w:rFonts w:cs="Arial Mäori"/>
          <w:bCs/>
        </w:rPr>
        <w:t>This target has consistently been exceeded, including in 2015/16</w:t>
      </w:r>
      <w:r w:rsidRPr="00BC0D1F">
        <w:t xml:space="preserve">. DHBs planned to deliver 186,223 elective surgical discharges and delivered 14,100 (7.6 percent) more than this. </w:t>
      </w:r>
      <w:r w:rsidRPr="00BC0D1F">
        <w:rPr>
          <w:iCs/>
        </w:rPr>
        <w:t>This represents an increase of more than 38 percent since 2007/08, or an average increase of more than 6900 elective discharges a year.</w:t>
      </w:r>
    </w:p>
    <w:p w14:paraId="66F02C1E" w14:textId="77777777" w:rsidR="00AD72CC" w:rsidRPr="00BC0D1F" w:rsidRDefault="00AD72CC" w:rsidP="00060B23"/>
    <w:p w14:paraId="26D97782" w14:textId="77777777" w:rsidR="00AD72CC" w:rsidRPr="00BC0D1F" w:rsidRDefault="00AD72CC" w:rsidP="00060B23">
      <w:r w:rsidRPr="00BC0D1F">
        <w:t>To support achievement of this health target the electives team engages with a wide range of clinical and management teams within DHBs and across professional bodies. The team clearly communicates its expectations, and works closely alongside sector teams to support progress and actively identify and resolve issues as they arise.</w:t>
      </w:r>
    </w:p>
    <w:p w14:paraId="7FCA6C52" w14:textId="77777777" w:rsidR="00AD72CC" w:rsidRPr="00BC0D1F" w:rsidRDefault="00AD72CC" w:rsidP="00060B23"/>
    <w:p w14:paraId="13AA8B8A" w14:textId="77777777" w:rsidR="00AD72CC" w:rsidRPr="00BC0D1F" w:rsidRDefault="00AD72CC" w:rsidP="00060B23">
      <w:r w:rsidRPr="00BC0D1F">
        <w:t>Joint elective services and faster cancer treatment health target meetings have been held with the DHBs</w:t>
      </w:r>
      <w:r w:rsidR="00DF4B9A" w:rsidRPr="00BC0D1F">
        <w:t>’</w:t>
      </w:r>
      <w:r w:rsidRPr="00BC0D1F">
        <w:t xml:space="preserve"> clinical heads of surgery and anaesthesia in DHB regions.</w:t>
      </w:r>
    </w:p>
    <w:p w14:paraId="10B7E974" w14:textId="77777777" w:rsidR="00AD72CC" w:rsidRPr="00BC0D1F" w:rsidRDefault="00AD72CC" w:rsidP="00060B23"/>
    <w:p w14:paraId="7A83C314" w14:textId="77777777" w:rsidR="00AD72CC" w:rsidRPr="00BC0D1F" w:rsidRDefault="00AD72CC" w:rsidP="00060B23">
      <w:pPr>
        <w:pStyle w:val="Heading3"/>
      </w:pPr>
      <w:r w:rsidRPr="00BC0D1F">
        <w:lastRenderedPageBreak/>
        <w:t>Faster cancer treatment</w:t>
      </w:r>
    </w:p>
    <w:p w14:paraId="2BDFE275" w14:textId="77777777" w:rsidR="00AD72CC" w:rsidRPr="00BC0D1F" w:rsidRDefault="00AD72CC" w:rsidP="003D0C07">
      <w:pPr>
        <w:keepNext/>
      </w:pPr>
      <w:r w:rsidRPr="00BC0D1F">
        <w:rPr>
          <w:rFonts w:cs="Arial"/>
          <w:b/>
        </w:rPr>
        <w:t>The health target:</w:t>
      </w:r>
      <w:r w:rsidRPr="00BC0D1F">
        <w:t xml:space="preserve"> 85 percent of patients receive their first cancer treatment (or other management) within 62 days of being referred with a high suspicion of cancer and need to be seen within two weeks by July 2016, increasing to 90 percent by June 2017.</w:t>
      </w:r>
    </w:p>
    <w:p w14:paraId="46FF76A6" w14:textId="77777777" w:rsidR="00AD72CC" w:rsidRPr="00BC0D1F" w:rsidRDefault="00AD72CC" w:rsidP="003D0C07">
      <w:pPr>
        <w:keepNext/>
        <w:rPr>
          <w:highlight w:val="yellow"/>
        </w:rPr>
      </w:pPr>
    </w:p>
    <w:p w14:paraId="51779778" w14:textId="5FD9BFD2" w:rsidR="00AD72CC" w:rsidRPr="00BC0D1F" w:rsidRDefault="00AD72CC" w:rsidP="00C94034">
      <w:pPr>
        <w:pStyle w:val="Figure"/>
      </w:pPr>
      <w:bookmarkStart w:id="29" w:name="_Toc462926725"/>
      <w:r w:rsidRPr="00BC0D1F">
        <w:t>Figure 3: Percentage of patients receiving their first cancer treatment within the target timeframe, quarter two 2014/15 to 2015/16</w:t>
      </w:r>
      <w:bookmarkEnd w:id="29"/>
    </w:p>
    <w:p w14:paraId="73FAB646" w14:textId="77777777" w:rsidR="00AD72CC" w:rsidRPr="00BC0D1F" w:rsidRDefault="00CD7E9C" w:rsidP="003D0C07">
      <w:r w:rsidRPr="00BC0D1F">
        <w:rPr>
          <w:noProof/>
          <w:lang w:eastAsia="en-NZ"/>
        </w:rPr>
        <w:drawing>
          <wp:inline distT="0" distB="0" distL="0" distR="0" wp14:anchorId="41CA6F5B" wp14:editId="0E1EBCDF">
            <wp:extent cx="4754880" cy="2896799"/>
            <wp:effectExtent l="0" t="0" r="7620" b="0"/>
            <wp:docPr id="20" name="Picture 1" title="Figure 3: Percentage of patients receiving their first cancer treatment within the target timeframe, quarter two 2014/15 to quarter four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4763" cy="2896728"/>
                    </a:xfrm>
                    <a:prstGeom prst="rect">
                      <a:avLst/>
                    </a:prstGeom>
                    <a:noFill/>
                    <a:ln>
                      <a:noFill/>
                    </a:ln>
                  </pic:spPr>
                </pic:pic>
              </a:graphicData>
            </a:graphic>
          </wp:inline>
        </w:drawing>
      </w:r>
    </w:p>
    <w:p w14:paraId="742F99E8" w14:textId="77777777" w:rsidR="00AD72CC" w:rsidRPr="00BC0D1F" w:rsidRDefault="00AD72CC" w:rsidP="003D0C07"/>
    <w:p w14:paraId="61304A7F" w14:textId="77777777" w:rsidR="00AD72CC" w:rsidRPr="00BC0D1F" w:rsidRDefault="00AD72CC" w:rsidP="003D0C07">
      <w:r w:rsidRPr="00BC0D1F">
        <w:t>The target aims to support improvements in access and patient experience through the cancer pathway, including the period of investigations before treatment begins. Prompt investigation, diagnosis and treatment is more likely to ensure better outcomes for cancer patients, and an assurance about the length of waiting time can reduce the stress on patients and families at a difficult time.</w:t>
      </w:r>
    </w:p>
    <w:p w14:paraId="14A6D5A9" w14:textId="77777777" w:rsidR="00AD72CC" w:rsidRPr="00BC0D1F" w:rsidRDefault="00AD72CC" w:rsidP="003D0C07"/>
    <w:p w14:paraId="5F5F80F8" w14:textId="77777777" w:rsidR="00DF4B9A" w:rsidRPr="00BC0D1F" w:rsidRDefault="00AD72CC" w:rsidP="003D0C07">
      <w:r w:rsidRPr="00BC0D1F">
        <w:t xml:space="preserve">Since introduction, achievement of the </w:t>
      </w:r>
      <w:r w:rsidR="00DF4B9A" w:rsidRPr="00BC0D1F">
        <w:t>‘</w:t>
      </w:r>
      <w:r w:rsidRPr="00BC0D1F">
        <w:t>Faster cancer treatment</w:t>
      </w:r>
      <w:r w:rsidR="00DF4B9A" w:rsidRPr="00BC0D1F">
        <w:t>’</w:t>
      </w:r>
      <w:r w:rsidRPr="00BC0D1F">
        <w:t xml:space="preserve"> health target has increased, with the 2015/16 quarter four result of 73.9 percent of patients received their first cancer treatment (or other management) within 62 days of being referred with a high suspicion of cancer and a need to be seen within 2 weeks. Results are based on six-months rolling data with quarter four results including patients who received their first cancer treatment between 1</w:t>
      </w:r>
      <w:r w:rsidR="003D0C07" w:rsidRPr="00BC0D1F">
        <w:t> </w:t>
      </w:r>
      <w:r w:rsidRPr="00BC0D1F">
        <w:t>January 2016 and 30 June 2016.</w:t>
      </w:r>
    </w:p>
    <w:p w14:paraId="6DE39C5B" w14:textId="77777777" w:rsidR="00AD72CC" w:rsidRPr="00BC0D1F" w:rsidRDefault="00AD72CC" w:rsidP="003D0C07">
      <w:pPr>
        <w:rPr>
          <w:lang w:eastAsia="en-NZ"/>
        </w:rPr>
      </w:pPr>
    </w:p>
    <w:p w14:paraId="4FF24F56" w14:textId="77777777" w:rsidR="00AD72CC" w:rsidRPr="00BC0D1F" w:rsidRDefault="00AD72CC" w:rsidP="003D0C07">
      <w:pPr>
        <w:rPr>
          <w:lang w:eastAsia="en-NZ"/>
        </w:rPr>
      </w:pPr>
      <w:r w:rsidRPr="00BC0D1F">
        <w:rPr>
          <w:lang w:eastAsia="en-NZ"/>
        </w:rPr>
        <w:t>To support achievement of this health target, key initiatives include:</w:t>
      </w:r>
    </w:p>
    <w:p w14:paraId="1DDA6EE3" w14:textId="77777777" w:rsidR="00AD72CC" w:rsidRPr="00BC0D1F" w:rsidRDefault="00AD72CC" w:rsidP="003D0C07">
      <w:pPr>
        <w:pStyle w:val="Bullet"/>
      </w:pPr>
      <w:r w:rsidRPr="00BC0D1F">
        <w:t>regular national DHB teleconferences, individual DHB visits and regional cancer network meetings</w:t>
      </w:r>
    </w:p>
    <w:p w14:paraId="5FDCA95E" w14:textId="77777777" w:rsidR="00AD72CC" w:rsidRPr="00BC0D1F" w:rsidRDefault="00AD72CC" w:rsidP="003D0C07">
      <w:pPr>
        <w:pStyle w:val="Bullet"/>
      </w:pPr>
      <w:r w:rsidRPr="00BC0D1F">
        <w:t>an $11.2 million cancer service improvement fund to provide funding to DHBs and regional cancer networks to deliver time-limited initiatives that will improve cancer patient services</w:t>
      </w:r>
    </w:p>
    <w:p w14:paraId="2F5A701D" w14:textId="77777777" w:rsidR="00DF4B9A" w:rsidRPr="00BC0D1F" w:rsidRDefault="00AD72CC" w:rsidP="003D0C07">
      <w:pPr>
        <w:pStyle w:val="Bullet"/>
      </w:pPr>
      <w:proofErr w:type="gramStart"/>
      <w:r w:rsidRPr="00BC0D1F">
        <w:t>an</w:t>
      </w:r>
      <w:proofErr w:type="gramEnd"/>
      <w:r w:rsidRPr="00BC0D1F">
        <w:t xml:space="preserve"> annual national Faster Cancer Treatment Forum to support DHBs and regional cancer networks to share their activities and learnings, review progress and identify key actions.</w:t>
      </w:r>
    </w:p>
    <w:p w14:paraId="3B8BD0C4" w14:textId="77777777" w:rsidR="00AD72CC" w:rsidRPr="00BC0D1F" w:rsidRDefault="00AD72CC" w:rsidP="003D0C07"/>
    <w:p w14:paraId="7DD4CCEF" w14:textId="77777777" w:rsidR="00AD72CC" w:rsidRPr="00BC0D1F" w:rsidRDefault="00AD72CC" w:rsidP="003D0C07">
      <w:pPr>
        <w:pStyle w:val="Heading3"/>
      </w:pPr>
      <w:r w:rsidRPr="00BC0D1F">
        <w:lastRenderedPageBreak/>
        <w:t>Increased immunisation</w:t>
      </w:r>
    </w:p>
    <w:p w14:paraId="67C6F5F1" w14:textId="77777777" w:rsidR="00AD72CC" w:rsidRPr="00BC0D1F" w:rsidRDefault="00AD72CC" w:rsidP="003D0C07">
      <w:pPr>
        <w:keepNext/>
      </w:pPr>
      <w:r w:rsidRPr="00BC0D1F">
        <w:rPr>
          <w:rFonts w:cs="Arial"/>
          <w:b/>
        </w:rPr>
        <w:t>The health target:</w:t>
      </w:r>
      <w:r w:rsidRPr="00BC0D1F">
        <w:rPr>
          <w:rFonts w:cs="Arial"/>
        </w:rPr>
        <w:t xml:space="preserve"> </w:t>
      </w:r>
      <w:r w:rsidRPr="00BC0D1F">
        <w:t>95 percent of eight-month-olds have their primary course of immunisation at six weeks, three months and five months on time. This coverage is to be maintained until 2017 as part of the Prime Minister</w:t>
      </w:r>
      <w:r w:rsidR="00DF4B9A" w:rsidRPr="00BC0D1F">
        <w:t>’</w:t>
      </w:r>
      <w:r w:rsidRPr="00BC0D1F">
        <w:t>s Better Public Services results commitment.</w:t>
      </w:r>
    </w:p>
    <w:p w14:paraId="56D607F9" w14:textId="77777777" w:rsidR="00AD72CC" w:rsidRPr="00BC0D1F" w:rsidRDefault="00AD72CC" w:rsidP="003D0C07">
      <w:pPr>
        <w:keepNext/>
      </w:pPr>
    </w:p>
    <w:p w14:paraId="6BFCCB19" w14:textId="77777777" w:rsidR="00AD72CC" w:rsidRPr="00BC0D1F" w:rsidRDefault="00AD72CC" w:rsidP="003D0C07">
      <w:pPr>
        <w:pStyle w:val="Figure"/>
      </w:pPr>
      <w:bookmarkStart w:id="30" w:name="_Toc462926726"/>
      <w:r w:rsidRPr="00BC0D1F">
        <w:t>Figure 4: Percentage of eight-month-olds fully immunised, 2012/13–2015/16</w:t>
      </w:r>
      <w:bookmarkEnd w:id="30"/>
    </w:p>
    <w:p w14:paraId="5C0870A5" w14:textId="77777777" w:rsidR="00AD72CC" w:rsidRPr="00BC0D1F" w:rsidRDefault="00CD7E9C" w:rsidP="003D0C07">
      <w:r w:rsidRPr="00BC0D1F">
        <w:rPr>
          <w:noProof/>
          <w:lang w:eastAsia="en-NZ"/>
        </w:rPr>
        <w:drawing>
          <wp:inline distT="0" distB="0" distL="0" distR="0" wp14:anchorId="4C405D13" wp14:editId="5C3F863B">
            <wp:extent cx="4811153" cy="2934393"/>
            <wp:effectExtent l="0" t="0" r="8890" b="0"/>
            <wp:docPr id="18" name="Picture 1" title="Figure 4: Percentage of eight-month-olds fully immunised, 2012/13–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0975" cy="2934285"/>
                    </a:xfrm>
                    <a:prstGeom prst="rect">
                      <a:avLst/>
                    </a:prstGeom>
                    <a:noFill/>
                    <a:ln>
                      <a:noFill/>
                    </a:ln>
                  </pic:spPr>
                </pic:pic>
              </a:graphicData>
            </a:graphic>
          </wp:inline>
        </w:drawing>
      </w:r>
    </w:p>
    <w:p w14:paraId="4AD65FCE" w14:textId="77777777" w:rsidR="00991280" w:rsidRPr="00BC0D1F" w:rsidRDefault="00991280" w:rsidP="00991280"/>
    <w:p w14:paraId="1D2630F6" w14:textId="77777777" w:rsidR="00AD72CC" w:rsidRPr="00BC0D1F" w:rsidRDefault="00AD72CC" w:rsidP="00991280">
      <w:pPr>
        <w:rPr>
          <w:rFonts w:cs="Georgia"/>
        </w:rPr>
      </w:pPr>
      <w:r w:rsidRPr="00BC0D1F">
        <w:t xml:space="preserve">Immunisation not only provides individual protection for a number of vaccine-preventable diseases, but also provides population-wide protection by reducing the incidence of circulating infectious diseases and preventing their spread to vulnerable people. Some of these population-wide benefits only arise with high immunisation rates. </w:t>
      </w:r>
      <w:r w:rsidRPr="00BC0D1F">
        <w:rPr>
          <w:rFonts w:cs="Georgia"/>
        </w:rPr>
        <w:t>Increasing coverage for eight-month-olds has required system level improvements in the whole immunisation system. Widespread immunisation reduces the impact of vaccine-preventable diseases on our health system.</w:t>
      </w:r>
    </w:p>
    <w:p w14:paraId="5D312003" w14:textId="77777777" w:rsidR="00AD72CC" w:rsidRPr="00BC0D1F" w:rsidRDefault="00AD72CC" w:rsidP="00991280"/>
    <w:p w14:paraId="40A5FA57" w14:textId="7DB40AEC" w:rsidR="00DF4B9A" w:rsidRPr="00BC0D1F" w:rsidRDefault="00AD72CC" w:rsidP="00991280">
      <w:r w:rsidRPr="00BC0D1F">
        <w:t xml:space="preserve">Prior to introducing of the health target for immunisation at age eight months, coverage levels were at 86 percent overall and 78 percent for Māori. The difference in immunisation coverage between the total population and the Māori population is now only 2.6 percent. In 2015/16, coverage levels in each quarter ranged between </w:t>
      </w:r>
      <w:r w:rsidR="006B4BEA" w:rsidRPr="00BC0D1F">
        <w:t>9</w:t>
      </w:r>
      <w:r w:rsidR="006B4BEA">
        <w:t>2.8</w:t>
      </w:r>
      <w:r w:rsidR="006B4BEA" w:rsidRPr="00BC0D1F">
        <w:t xml:space="preserve"> </w:t>
      </w:r>
      <w:r w:rsidRPr="00BC0D1F">
        <w:t xml:space="preserve">and </w:t>
      </w:r>
      <w:r w:rsidR="006B4BEA" w:rsidRPr="00BC0D1F">
        <w:t>9</w:t>
      </w:r>
      <w:r w:rsidR="006B4BEA">
        <w:t>3.7</w:t>
      </w:r>
      <w:r w:rsidR="006B4BEA" w:rsidRPr="00BC0D1F">
        <w:t xml:space="preserve"> </w:t>
      </w:r>
      <w:r w:rsidRPr="00BC0D1F">
        <w:t>percent overall and between 91 and 92</w:t>
      </w:r>
      <w:r w:rsidR="00991280" w:rsidRPr="00BC0D1F">
        <w:t> </w:t>
      </w:r>
      <w:r w:rsidRPr="00BC0D1F">
        <w:t>percent for Māori.</w:t>
      </w:r>
    </w:p>
    <w:p w14:paraId="3A81C0FC" w14:textId="77777777" w:rsidR="00AD72CC" w:rsidRPr="00BC0D1F" w:rsidRDefault="00AD72CC" w:rsidP="00991280"/>
    <w:p w14:paraId="1ED5542C" w14:textId="77777777" w:rsidR="00AD72CC" w:rsidRPr="00BC0D1F" w:rsidRDefault="00AD72CC" w:rsidP="00991280">
      <w:r w:rsidRPr="00BC0D1F">
        <w:t xml:space="preserve">Immunisation coverage for eight-month-olds was 92.8 percent in the fourth quarter of 2015/16, compared with the result of 92.9 percent for the same time period last year. Results for the eight-month milestone by ethnicity for the previous year were as follows: New Zealand European 93.3 </w:t>
      </w:r>
      <w:r w:rsidRPr="00BC0D1F">
        <w:rPr>
          <w:rFonts w:cs="Helv"/>
        </w:rPr>
        <w:t>percent, Māori</w:t>
      </w:r>
      <w:r w:rsidRPr="00BC0D1F">
        <w:rPr>
          <w:rFonts w:ascii="Helv" w:hAnsi="Helv" w:cs="Helv"/>
        </w:rPr>
        <w:t xml:space="preserve"> </w:t>
      </w:r>
      <w:r w:rsidRPr="00BC0D1F">
        <w:t>90.2 percent, Pacific 96.2 percent and Asian 97.7 percent.</w:t>
      </w:r>
    </w:p>
    <w:p w14:paraId="790AE08A" w14:textId="77777777" w:rsidR="00AD72CC" w:rsidRPr="00BC0D1F" w:rsidRDefault="00AD72CC" w:rsidP="00991280"/>
    <w:p w14:paraId="3155160E" w14:textId="77777777" w:rsidR="00AD72CC" w:rsidRPr="00BC0D1F" w:rsidRDefault="00AD72CC" w:rsidP="00991280">
      <w:r w:rsidRPr="00BC0D1F">
        <w:t>Of the 14,965 eligible children aged eight</w:t>
      </w:r>
      <w:r w:rsidR="00991280" w:rsidRPr="00BC0D1F">
        <w:t xml:space="preserve"> </w:t>
      </w:r>
      <w:r w:rsidRPr="00BC0D1F">
        <w:t>months in quarter four, 13,890 were fully immunised. Timely immunisation of another 327 children was needed to meet the target. Some of these children will receive their vaccines by the time they are 12 months old. The delay may be due to sickness, travel, change of address or seasonal work. When coverage for the primary series of vaccines is measured at age 12 months rather than eight months, the coverage rate is 94.4</w:t>
      </w:r>
      <w:r w:rsidR="00991280" w:rsidRPr="00BC0D1F">
        <w:t> </w:t>
      </w:r>
      <w:r w:rsidRPr="00BC0D1F">
        <w:t>percent.</w:t>
      </w:r>
    </w:p>
    <w:p w14:paraId="283BDDBF" w14:textId="77777777" w:rsidR="00AD72CC" w:rsidRPr="00BC0D1F" w:rsidRDefault="00AD72CC" w:rsidP="00991280"/>
    <w:p w14:paraId="1BB6A6E1" w14:textId="77777777" w:rsidR="00AD72CC" w:rsidRPr="00BC0D1F" w:rsidRDefault="00AD72CC" w:rsidP="00991280">
      <w:pPr>
        <w:keepNext/>
      </w:pPr>
      <w:r w:rsidRPr="00BC0D1F">
        <w:lastRenderedPageBreak/>
        <w:t>To support achievement of this health target, key initiatives have included:</w:t>
      </w:r>
    </w:p>
    <w:p w14:paraId="492CCBF2" w14:textId="77777777" w:rsidR="00AD72CC" w:rsidRPr="00BC0D1F" w:rsidRDefault="00AD72CC" w:rsidP="00991280">
      <w:pPr>
        <w:pStyle w:val="Bullet"/>
        <w:keepLines/>
      </w:pPr>
      <w:r w:rsidRPr="00BC0D1F">
        <w:t>the Ministry</w:t>
      </w:r>
      <w:r w:rsidR="00DF4B9A" w:rsidRPr="00BC0D1F">
        <w:t>’</w:t>
      </w:r>
      <w:r w:rsidRPr="00BC0D1F">
        <w:t>s health target champion and immunisation team working closely with DHBs and PHOs to increase immunisation coverage using a variety of mechanisms, including providing leadership, promoting immunisation, sharing best practice, reporting on coverage and sharing data to support identifying children overdue for immunisation</w:t>
      </w:r>
    </w:p>
    <w:p w14:paraId="5698E452" w14:textId="77777777" w:rsidR="00AD72CC" w:rsidRPr="00BC0D1F" w:rsidRDefault="00AD72CC" w:rsidP="00991280">
      <w:pPr>
        <w:pStyle w:val="Bullet"/>
      </w:pPr>
      <w:r w:rsidRPr="00BC0D1F">
        <w:t>a National Immunisation Workshop held in 2016 that identified strategies to strengthen immunisation as part of a wider wrap-around service to support vulnerable children and their families, to provide seamless service delivery and engagement from pregnancy through to late childhood, and to optimise synergies with other antenatal and child services</w:t>
      </w:r>
    </w:p>
    <w:p w14:paraId="427BFCB9" w14:textId="77777777" w:rsidR="00DF4B9A" w:rsidRPr="00BC0D1F" w:rsidRDefault="00AD72CC" w:rsidP="00991280">
      <w:pPr>
        <w:pStyle w:val="Bullet"/>
      </w:pPr>
      <w:r w:rsidRPr="00BC0D1F">
        <w:t xml:space="preserve">development of new resources, including </w:t>
      </w:r>
      <w:r w:rsidRPr="00BC0D1F">
        <w:rPr>
          <w:i/>
        </w:rPr>
        <w:t>Let</w:t>
      </w:r>
      <w:r w:rsidR="00DF4B9A" w:rsidRPr="00BC0D1F">
        <w:rPr>
          <w:i/>
        </w:rPr>
        <w:t>’</w:t>
      </w:r>
      <w:r w:rsidRPr="00BC0D1F">
        <w:rPr>
          <w:i/>
        </w:rPr>
        <w:t>s talk about immunisation</w:t>
      </w:r>
      <w:r w:rsidRPr="00BC0D1F">
        <w:t>, a discussion guide to help midwives, practice nurses and GPs talk to expectant parents about immunisation before babies are born, a key decision-making time for new parents.</w:t>
      </w:r>
    </w:p>
    <w:p w14:paraId="299B245E" w14:textId="77777777" w:rsidR="00AD72CC" w:rsidRPr="00BC0D1F" w:rsidRDefault="00AD72CC" w:rsidP="00991280"/>
    <w:p w14:paraId="3FCEF7D9" w14:textId="77777777" w:rsidR="00AD72CC" w:rsidRPr="00BC0D1F" w:rsidRDefault="00AD72CC" w:rsidP="00991280">
      <w:pPr>
        <w:pStyle w:val="Heading3"/>
      </w:pPr>
      <w:r w:rsidRPr="00BC0D1F">
        <w:t>Better help for smokers to quit</w:t>
      </w:r>
    </w:p>
    <w:p w14:paraId="02072789" w14:textId="5772880A" w:rsidR="00AD72CC" w:rsidRPr="00BC0D1F" w:rsidRDefault="00AD72CC" w:rsidP="00991280">
      <w:pPr>
        <w:rPr>
          <w:noProof/>
          <w:lang w:eastAsia="en-NZ"/>
        </w:rPr>
      </w:pPr>
      <w:r w:rsidRPr="00BC0D1F">
        <w:rPr>
          <w:b/>
        </w:rPr>
        <w:t>The health target:</w:t>
      </w:r>
      <w:r w:rsidRPr="00BC0D1F">
        <w:t xml:space="preserve"> </w:t>
      </w:r>
      <w:r w:rsidRPr="00BC0D1F">
        <w:rPr>
          <w:noProof/>
          <w:lang w:eastAsia="en-NZ"/>
        </w:rPr>
        <w:t xml:space="preserve">95 percent of hospital patients who smoke and are seen by a health practitioner in a public hospital are offered brief advice and support to quit smoking. </w:t>
      </w:r>
      <w:r w:rsidR="00384854">
        <w:rPr>
          <w:noProof/>
          <w:lang w:eastAsia="en-NZ"/>
        </w:rPr>
        <w:t xml:space="preserve">90 percent </w:t>
      </w:r>
      <w:r w:rsidRPr="00BC0D1F">
        <w:rPr>
          <w:noProof/>
          <w:lang w:eastAsia="en-NZ"/>
        </w:rPr>
        <w:t>of PHO enrolled patients who smoke have been offered help to quit smoking by a health care pract</w:t>
      </w:r>
      <w:r w:rsidR="00384854">
        <w:rPr>
          <w:noProof/>
          <w:lang w:eastAsia="en-NZ"/>
        </w:rPr>
        <w:t>itioner in the last 15 months. 90</w:t>
      </w:r>
      <w:r w:rsidRPr="00BC0D1F">
        <w:rPr>
          <w:noProof/>
          <w:lang w:eastAsia="en-NZ"/>
        </w:rPr>
        <w:t xml:space="preserve"> percent of pregnant women who identify as smokers upon registration with a DHB-employed midwife or lead maternity carer are offered brief advice and support to quit smoking.</w:t>
      </w:r>
    </w:p>
    <w:p w14:paraId="6784753B" w14:textId="77777777" w:rsidR="00AD72CC" w:rsidRPr="00BC0D1F" w:rsidRDefault="00AD72CC" w:rsidP="00991280">
      <w:pPr>
        <w:rPr>
          <w:noProof/>
          <w:lang w:eastAsia="en-NZ"/>
        </w:rPr>
      </w:pPr>
    </w:p>
    <w:p w14:paraId="5F9236B2" w14:textId="77777777" w:rsidR="00AD72CC" w:rsidRPr="00BC0D1F" w:rsidRDefault="00AD72CC" w:rsidP="00991280">
      <w:pPr>
        <w:rPr>
          <w:noProof/>
          <w:lang w:eastAsia="en-NZ"/>
        </w:rPr>
      </w:pPr>
      <w:r w:rsidRPr="00BC0D1F">
        <w:rPr>
          <w:noProof/>
          <w:lang w:eastAsia="en-NZ"/>
        </w:rPr>
        <w:t xml:space="preserve">From quarter one 2015/16, the </w:t>
      </w:r>
      <w:r w:rsidR="00DF4B9A" w:rsidRPr="00BC0D1F">
        <w:rPr>
          <w:noProof/>
          <w:lang w:eastAsia="en-NZ"/>
        </w:rPr>
        <w:t>‘</w:t>
      </w:r>
      <w:r w:rsidRPr="00BC0D1F">
        <w:rPr>
          <w:noProof/>
          <w:lang w:eastAsia="en-NZ"/>
        </w:rPr>
        <w:t>Better help for smokers to quit</w:t>
      </w:r>
      <w:r w:rsidR="00DF4B9A" w:rsidRPr="00BC0D1F">
        <w:rPr>
          <w:noProof/>
          <w:lang w:eastAsia="en-NZ"/>
        </w:rPr>
        <w:t>’</w:t>
      </w:r>
      <w:r w:rsidRPr="00BC0D1F">
        <w:rPr>
          <w:noProof/>
          <w:lang w:eastAsia="en-NZ"/>
        </w:rPr>
        <w:t xml:space="preserve"> primary care target has shifted to focus on the entire enrolled population of smokers, not just those seen in primary care, and now covers a 15-month period.</w:t>
      </w:r>
    </w:p>
    <w:p w14:paraId="0749287A" w14:textId="77777777" w:rsidR="00AD72CC" w:rsidRPr="00BC0D1F" w:rsidRDefault="00AD72CC" w:rsidP="00991280">
      <w:pPr>
        <w:rPr>
          <w:noProof/>
          <w:lang w:eastAsia="en-NZ"/>
        </w:rPr>
      </w:pPr>
    </w:p>
    <w:p w14:paraId="1CA293AF" w14:textId="77777777" w:rsidR="00AD72CC" w:rsidRPr="00BC0D1F" w:rsidRDefault="00AD72CC" w:rsidP="00991280">
      <w:pPr>
        <w:rPr>
          <w:noProof/>
          <w:lang w:eastAsia="en-NZ"/>
        </w:rPr>
      </w:pPr>
      <w:r w:rsidRPr="00BC0D1F">
        <w:rPr>
          <w:noProof/>
          <w:lang w:eastAsia="en-NZ"/>
        </w:rPr>
        <w:t>The hospital component of the target is no longer included in the newspaper publication from quarter one. The target results will continue to be published on the Ministry</w:t>
      </w:r>
      <w:r w:rsidR="00DF4B9A" w:rsidRPr="00BC0D1F">
        <w:rPr>
          <w:noProof/>
          <w:lang w:eastAsia="en-NZ"/>
        </w:rPr>
        <w:t>’</w:t>
      </w:r>
      <w:r w:rsidRPr="00BC0D1F">
        <w:rPr>
          <w:noProof/>
          <w:lang w:eastAsia="en-NZ"/>
        </w:rPr>
        <w:t xml:space="preserve">s website along with the maternity tobacco target results (see </w:t>
      </w:r>
      <w:hyperlink r:id="rId23" w:history="1">
        <w:r w:rsidRPr="00BC0D1F">
          <w:rPr>
            <w:noProof/>
            <w:lang w:eastAsia="en-NZ"/>
          </w:rPr>
          <w:t>www.health.govt.nz/healthtargets</w:t>
        </w:r>
      </w:hyperlink>
      <w:r w:rsidRPr="00BC0D1F">
        <w:rPr>
          <w:noProof/>
          <w:lang w:eastAsia="en-NZ"/>
        </w:rPr>
        <w:t>).</w:t>
      </w:r>
    </w:p>
    <w:p w14:paraId="24085F5E" w14:textId="77777777" w:rsidR="00AD72CC" w:rsidRPr="00BC0D1F" w:rsidRDefault="00AD72CC" w:rsidP="00991280"/>
    <w:p w14:paraId="703F54DD" w14:textId="77777777" w:rsidR="00AD72CC" w:rsidRPr="00BC0D1F" w:rsidRDefault="00AD72CC" w:rsidP="00991280">
      <w:pPr>
        <w:pStyle w:val="Figure"/>
      </w:pPr>
      <w:bookmarkStart w:id="31" w:name="_Toc462926727"/>
      <w:r w:rsidRPr="00BC0D1F">
        <w:t>Figure 5: Percentage of smokers offered help to quit, 2009/10–2015/16</w:t>
      </w:r>
      <w:bookmarkEnd w:id="31"/>
    </w:p>
    <w:p w14:paraId="48A79992" w14:textId="77777777" w:rsidR="00AD72CC" w:rsidRPr="00BC0D1F" w:rsidRDefault="00CD7E9C" w:rsidP="00991280">
      <w:r w:rsidRPr="00BC0D1F">
        <w:rPr>
          <w:noProof/>
          <w:lang w:eastAsia="en-NZ"/>
        </w:rPr>
        <w:drawing>
          <wp:inline distT="0" distB="0" distL="0" distR="0" wp14:anchorId="0C0D6798" wp14:editId="794BE3BE">
            <wp:extent cx="4679950" cy="2851150"/>
            <wp:effectExtent l="0" t="0" r="6350" b="6350"/>
            <wp:docPr id="17" name="Picture 1" title="Figure 5: Percentage of smokers offered help to quit, 2009/10–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60BB5678" w14:textId="77777777" w:rsidR="00AD72CC" w:rsidRPr="00BC0D1F" w:rsidRDefault="00AD72CC" w:rsidP="00991280"/>
    <w:p w14:paraId="0DF13108" w14:textId="77777777" w:rsidR="00AD72CC" w:rsidRPr="00BC0D1F" w:rsidRDefault="00AD72CC" w:rsidP="00991280">
      <w:pPr>
        <w:keepNext/>
        <w:rPr>
          <w:noProof/>
          <w:lang w:eastAsia="en-NZ"/>
        </w:rPr>
      </w:pPr>
      <w:r w:rsidRPr="00BC0D1F">
        <w:rPr>
          <w:noProof/>
          <w:lang w:eastAsia="en-NZ"/>
        </w:rPr>
        <w:lastRenderedPageBreak/>
        <w:t>There is strong evidence that brief advice from clinicians is effective for prompting quit attempts and long-term quit success. The quit rate is further improved by the provision of effective cessation therapies, including pharmaceuticals and face-to-face support.</w:t>
      </w:r>
    </w:p>
    <w:p w14:paraId="78F2C7E9" w14:textId="77777777" w:rsidR="00AD72CC" w:rsidRPr="00BC0D1F" w:rsidRDefault="00AD72CC" w:rsidP="00BC0C29">
      <w:pPr>
        <w:rPr>
          <w:noProof/>
          <w:lang w:eastAsia="en-NZ"/>
        </w:rPr>
      </w:pPr>
    </w:p>
    <w:p w14:paraId="14EC24D7" w14:textId="77777777" w:rsidR="00DF4B9A" w:rsidRPr="00BC0D1F" w:rsidRDefault="00AD72CC" w:rsidP="00BC0C29">
      <w:pPr>
        <w:rPr>
          <w:noProof/>
          <w:lang w:eastAsia="en-NZ"/>
        </w:rPr>
      </w:pPr>
      <w:r w:rsidRPr="00BC0D1F">
        <w:t>The quarter four 2015/16 result against the PHO target was 88.1 percent. This means that</w:t>
      </w:r>
      <w:r w:rsidRPr="00BC0D1F">
        <w:rPr>
          <w:noProof/>
          <w:lang w:eastAsia="en-NZ"/>
        </w:rPr>
        <w:t xml:space="preserve"> within the last 15 months 487,947 PHO-enrolled smokers were offered brief advice and/or support to quit smoking.</w:t>
      </w:r>
    </w:p>
    <w:p w14:paraId="424E14DC" w14:textId="77777777" w:rsidR="00AD72CC" w:rsidRPr="00BC0D1F" w:rsidRDefault="00AD72CC" w:rsidP="00BC0C29">
      <w:pPr>
        <w:rPr>
          <w:noProof/>
          <w:lang w:eastAsia="en-NZ"/>
        </w:rPr>
      </w:pPr>
    </w:p>
    <w:p w14:paraId="48832412" w14:textId="77777777" w:rsidR="00AD72CC" w:rsidRPr="00BC0D1F" w:rsidRDefault="00AD72CC" w:rsidP="00BC0C29">
      <w:pPr>
        <w:rPr>
          <w:noProof/>
          <w:lang w:eastAsia="en-NZ"/>
        </w:rPr>
      </w:pPr>
      <w:r w:rsidRPr="00BC0D1F">
        <w:rPr>
          <w:noProof/>
          <w:lang w:eastAsia="en-NZ"/>
        </w:rPr>
        <w:t>Performance on the hospital health target has increased steadily since results were first published in quarter one of 2012/13, when 40 percent of people were offered brief advice and support to quit smoking. The quarter four 2015/16 hospital target result is 96.1 percent, meaning that over 96 percent of hospital patients who smoke are now being offered help to quit.</w:t>
      </w:r>
    </w:p>
    <w:p w14:paraId="6A0BB2CF" w14:textId="77777777" w:rsidR="00AD72CC" w:rsidRPr="00BC0D1F" w:rsidRDefault="00AD72CC" w:rsidP="00BC0C29">
      <w:pPr>
        <w:rPr>
          <w:noProof/>
          <w:lang w:eastAsia="en-NZ"/>
        </w:rPr>
      </w:pPr>
    </w:p>
    <w:p w14:paraId="5DD79B18" w14:textId="77777777" w:rsidR="00AD72CC" w:rsidRPr="00BC0D1F" w:rsidRDefault="00AD72CC" w:rsidP="00BC0C29">
      <w:pPr>
        <w:rPr>
          <w:noProof/>
          <w:lang w:eastAsia="en-NZ"/>
        </w:rPr>
      </w:pPr>
      <w:r w:rsidRPr="00BC0D1F">
        <w:rPr>
          <w:noProof/>
          <w:lang w:eastAsia="en-NZ"/>
        </w:rPr>
        <w:t>The quarter four 2015/16 maternity target result is 94.4 percent of pregnant women, who identify as smokers upon registration with a DHB-employed midwife or lead maternity carer, were offered brief advice and support to quit smoking. Data comes from three sources: the Midwifery and Maternity Providers Organisation, lead maternity carer (LMC) services and DHB-employed midwives (if available). The maternity component of the health target continues to be treated as a developmental measure, and in the longer term existing data sources are expected to be replaced by the Maternity Clinical Information System, which is under development.</w:t>
      </w:r>
    </w:p>
    <w:p w14:paraId="3365D723" w14:textId="77777777" w:rsidR="00AD72CC" w:rsidRPr="00BC0D1F" w:rsidRDefault="00AD72CC" w:rsidP="00BC0C29">
      <w:pPr>
        <w:rPr>
          <w:noProof/>
          <w:lang w:eastAsia="en-NZ"/>
        </w:rPr>
      </w:pPr>
    </w:p>
    <w:p w14:paraId="64FB3760" w14:textId="77777777" w:rsidR="00DF4B9A" w:rsidRPr="00BC0D1F" w:rsidRDefault="00AD72CC" w:rsidP="00BC0C29">
      <w:r w:rsidRPr="00BC0D1F">
        <w:rPr>
          <w:noProof/>
          <w:lang w:eastAsia="en-NZ"/>
        </w:rPr>
        <w:t>The Ministry has worked closely with the sector to support the achievement</w:t>
      </w:r>
      <w:r w:rsidRPr="00BC0D1F">
        <w:t xml:space="preserve"> of the </w:t>
      </w:r>
      <w:r w:rsidR="00DF4B9A" w:rsidRPr="00BC0D1F">
        <w:t>‘</w:t>
      </w:r>
      <w:r w:rsidRPr="00BC0D1F">
        <w:rPr>
          <w:iCs/>
        </w:rPr>
        <w:t>Better help for smokers to quit</w:t>
      </w:r>
      <w:r w:rsidR="00DF4B9A" w:rsidRPr="00BC0D1F">
        <w:rPr>
          <w:iCs/>
        </w:rPr>
        <w:t>’</w:t>
      </w:r>
      <w:r w:rsidRPr="00BC0D1F">
        <w:t xml:space="preserve"> health target. Examples of this work include:</w:t>
      </w:r>
    </w:p>
    <w:p w14:paraId="148839AA" w14:textId="77777777" w:rsidR="00AD72CC" w:rsidRPr="00BC0D1F" w:rsidRDefault="00AD72CC" w:rsidP="00BC0C29">
      <w:pPr>
        <w:pStyle w:val="Bullet"/>
      </w:pPr>
      <w:r w:rsidRPr="00BC0D1F">
        <w:t>supporting the poorer-performing DHBs and PHOs by regular teleconferences and sharing best practice strategies with the clinical teams</w:t>
      </w:r>
    </w:p>
    <w:p w14:paraId="4918F5CA" w14:textId="77777777" w:rsidR="00AD72CC" w:rsidRPr="00BC0D1F" w:rsidRDefault="00AD72CC" w:rsidP="00BC0C29">
      <w:pPr>
        <w:pStyle w:val="Bullet"/>
      </w:pPr>
      <w:r w:rsidRPr="00BC0D1F">
        <w:t>PHOs increasing outreach activities to provide smoking cessation brief advice and support to smokers who do not visit their GPs.</w:t>
      </w:r>
    </w:p>
    <w:p w14:paraId="5D9A27B7" w14:textId="77777777" w:rsidR="00AD72CC" w:rsidRPr="00BC0D1F" w:rsidRDefault="00AD72CC" w:rsidP="0071399A"/>
    <w:p w14:paraId="7DF26F71" w14:textId="77777777" w:rsidR="00AD72CC" w:rsidRPr="00BC0D1F" w:rsidRDefault="00AD72CC" w:rsidP="0071399A">
      <w:r w:rsidRPr="00BC0D1F">
        <w:t>Although the health target is supporting clinical practice change and driving positive results in the reduction of smoking rates, other initiatives in the wider tobacco control programme are also contributing to these outcomes.</w:t>
      </w:r>
    </w:p>
    <w:p w14:paraId="58AA4BB1" w14:textId="77777777" w:rsidR="00AD72CC" w:rsidRPr="00BC0D1F" w:rsidRDefault="00AD72CC" w:rsidP="0071399A"/>
    <w:p w14:paraId="1826B911" w14:textId="77777777" w:rsidR="00AD72CC" w:rsidRPr="00BC0D1F" w:rsidRDefault="00AD72CC" w:rsidP="00AD72CC">
      <w:pPr>
        <w:pStyle w:val="Heading3"/>
      </w:pPr>
      <w:r w:rsidRPr="00BC0D1F">
        <w:lastRenderedPageBreak/>
        <w:t>More heart and diabetes checks</w:t>
      </w:r>
    </w:p>
    <w:p w14:paraId="20968D01" w14:textId="77777777" w:rsidR="00AD72CC" w:rsidRPr="00BC0D1F" w:rsidRDefault="00AD72CC" w:rsidP="000D7CBA">
      <w:pPr>
        <w:keepNext/>
      </w:pPr>
      <w:r w:rsidRPr="00BC0D1F">
        <w:rPr>
          <w:b/>
        </w:rPr>
        <w:t>The health target:</w:t>
      </w:r>
      <w:r w:rsidRPr="00BC0D1F">
        <w:t xml:space="preserve"> 90 percent of the eligible population will have had their cardiovascular risk assessed in the last five years.</w:t>
      </w:r>
    </w:p>
    <w:p w14:paraId="4AAC324F" w14:textId="77777777" w:rsidR="00AD72CC" w:rsidRPr="00BC0D1F" w:rsidRDefault="00AD72CC" w:rsidP="000D7CBA">
      <w:pPr>
        <w:keepNext/>
      </w:pPr>
    </w:p>
    <w:p w14:paraId="4B12DD76" w14:textId="3754C23C" w:rsidR="00AD72CC" w:rsidRPr="00BC0D1F" w:rsidRDefault="00AD72CC" w:rsidP="0071399A">
      <w:pPr>
        <w:pStyle w:val="Figure"/>
      </w:pPr>
      <w:bookmarkStart w:id="32" w:name="_Toc462926728"/>
      <w:r w:rsidRPr="00BC0D1F">
        <w:t xml:space="preserve">Figure 6: Percentage of cardiovascular risk assessments completed, </w:t>
      </w:r>
      <w:r w:rsidR="004467CB">
        <w:t>q</w:t>
      </w:r>
      <w:r w:rsidRPr="00BC0D1F">
        <w:t>uarter three 2011/12–2015/16</w:t>
      </w:r>
      <w:bookmarkEnd w:id="32"/>
    </w:p>
    <w:p w14:paraId="2DC6CCC3" w14:textId="77777777" w:rsidR="0071399A" w:rsidRPr="00BC0D1F" w:rsidRDefault="00CD7E9C" w:rsidP="0071399A">
      <w:r w:rsidRPr="00BC0D1F">
        <w:rPr>
          <w:noProof/>
          <w:lang w:eastAsia="en-NZ"/>
        </w:rPr>
        <w:drawing>
          <wp:inline distT="0" distB="0" distL="0" distR="0" wp14:anchorId="6F6CF2B2" wp14:editId="41A78E7A">
            <wp:extent cx="4679950" cy="2851150"/>
            <wp:effectExtent l="0" t="0" r="6350" b="6350"/>
            <wp:docPr id="140" name="Picture 1" title="Figure 6: Percentage of cardiovascular risk assessments completed, Quarter three 2011/12–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3EAA26F6" w14:textId="77777777" w:rsidR="00AD72CC" w:rsidRPr="00BC0D1F" w:rsidRDefault="00AD72CC" w:rsidP="0071399A"/>
    <w:p w14:paraId="20A58835" w14:textId="77777777" w:rsidR="00DF4B9A" w:rsidRPr="00BC0D1F" w:rsidRDefault="00AD72CC" w:rsidP="0071399A">
      <w:pPr>
        <w:rPr>
          <w:noProof/>
          <w:lang w:eastAsia="en-NZ"/>
        </w:rPr>
      </w:pPr>
      <w:r w:rsidRPr="00BC0D1F">
        <w:rPr>
          <w:noProof/>
          <w:lang w:eastAsia="en-NZ"/>
        </w:rPr>
        <w:t>Cardiovascular conditions are the leading cause of morbidity (disease) in New Zealand, and disproportionately affect Māori, Pacific and South Asian people.</w:t>
      </w:r>
    </w:p>
    <w:p w14:paraId="09670EC2" w14:textId="77777777" w:rsidR="00AD72CC" w:rsidRPr="00BC0D1F" w:rsidRDefault="00AD72CC" w:rsidP="0071399A">
      <w:pPr>
        <w:rPr>
          <w:noProof/>
          <w:lang w:eastAsia="en-NZ"/>
        </w:rPr>
      </w:pPr>
    </w:p>
    <w:p w14:paraId="51ADD01D" w14:textId="77777777" w:rsidR="00AD72CC" w:rsidRPr="00BC0D1F" w:rsidRDefault="00AD72CC" w:rsidP="00AD72CC">
      <w:pPr>
        <w:rPr>
          <w:noProof/>
          <w:lang w:eastAsia="en-NZ"/>
        </w:rPr>
      </w:pPr>
      <w:r w:rsidRPr="00BC0D1F">
        <w:rPr>
          <w:noProof/>
          <w:lang w:eastAsia="en-NZ"/>
        </w:rPr>
        <w:t>This hea</w:t>
      </w:r>
      <w:proofErr w:type="spellStart"/>
      <w:r w:rsidRPr="00BC0D1F">
        <w:t>l</w:t>
      </w:r>
      <w:r w:rsidRPr="00BC0D1F">
        <w:rPr>
          <w:noProof/>
          <w:lang w:eastAsia="en-NZ"/>
        </w:rPr>
        <w:t>th</w:t>
      </w:r>
      <w:proofErr w:type="spellEnd"/>
      <w:r w:rsidRPr="00BC0D1F">
        <w:rPr>
          <w:noProof/>
          <w:lang w:eastAsia="en-NZ"/>
        </w:rPr>
        <w:t xml:space="preserve"> target aims to increase the proportion of the eligible population who have had a cardiovascular disease risk assessment, including the tests to screen for diabetes, in the preceding five-year period. For those assessed at moderate or higher risk, the addition of lifestyle advice and treatment can substantially prevent the occurrence of heart attacks and strokes.</w:t>
      </w:r>
    </w:p>
    <w:p w14:paraId="1415C5C0" w14:textId="77777777" w:rsidR="00AD72CC" w:rsidRPr="00BC0D1F" w:rsidRDefault="00AD72CC" w:rsidP="0071399A">
      <w:pPr>
        <w:rPr>
          <w:noProof/>
          <w:lang w:eastAsia="en-NZ"/>
        </w:rPr>
      </w:pPr>
    </w:p>
    <w:p w14:paraId="225008BB" w14:textId="77777777" w:rsidR="00AD72CC" w:rsidRPr="00BC0D1F" w:rsidRDefault="00AD72CC" w:rsidP="0071399A">
      <w:pPr>
        <w:rPr>
          <w:noProof/>
          <w:lang w:eastAsia="en-NZ"/>
        </w:rPr>
      </w:pPr>
      <w:r w:rsidRPr="00BC0D1F">
        <w:rPr>
          <w:noProof/>
          <w:lang w:eastAsia="en-NZ"/>
        </w:rPr>
        <w:t xml:space="preserve">The </w:t>
      </w:r>
      <w:r w:rsidR="00DF4B9A" w:rsidRPr="00BC0D1F">
        <w:rPr>
          <w:noProof/>
          <w:lang w:eastAsia="en-NZ"/>
        </w:rPr>
        <w:t>‘</w:t>
      </w:r>
      <w:r w:rsidRPr="00BC0D1F">
        <w:rPr>
          <w:noProof/>
          <w:lang w:eastAsia="en-NZ"/>
        </w:rPr>
        <w:t>More heart and diabetes checks</w:t>
      </w:r>
      <w:r w:rsidR="00DF4B9A" w:rsidRPr="00BC0D1F">
        <w:rPr>
          <w:noProof/>
          <w:lang w:eastAsia="en-NZ"/>
        </w:rPr>
        <w:t>’</w:t>
      </w:r>
      <w:r w:rsidRPr="00BC0D1F">
        <w:rPr>
          <w:noProof/>
          <w:lang w:eastAsia="en-NZ"/>
        </w:rPr>
        <w:t xml:space="preserve"> health target result for quarter four 2015/16 was 90.5</w:t>
      </w:r>
      <w:r w:rsidR="0071399A" w:rsidRPr="00BC0D1F">
        <w:rPr>
          <w:noProof/>
          <w:lang w:eastAsia="en-NZ"/>
        </w:rPr>
        <w:t> </w:t>
      </w:r>
      <w:r w:rsidRPr="00BC0D1F">
        <w:rPr>
          <w:noProof/>
          <w:lang w:eastAsia="en-NZ"/>
        </w:rPr>
        <w:t>percent: an increase of 1.5 percent compared with the quarter four 2014/15 results of 89.0</w:t>
      </w:r>
      <w:r w:rsidR="0071399A" w:rsidRPr="00BC0D1F">
        <w:rPr>
          <w:noProof/>
          <w:lang w:eastAsia="en-NZ"/>
        </w:rPr>
        <w:t> </w:t>
      </w:r>
      <w:r w:rsidRPr="00BC0D1F">
        <w:rPr>
          <w:noProof/>
          <w:lang w:eastAsia="en-NZ"/>
        </w:rPr>
        <w:t>percent. Performance on the health target has increased steadily since results were first published in quarter three 2011/12, when 46.0 percent of the eligible population had their cardiovascular risk assessed in the last five years.</w:t>
      </w:r>
    </w:p>
    <w:p w14:paraId="736BA753" w14:textId="7F13F405" w:rsidR="00AD72CC" w:rsidRPr="00BC0D1F" w:rsidRDefault="00AD72CC" w:rsidP="0071399A">
      <w:pPr>
        <w:rPr>
          <w:noProof/>
          <w:lang w:eastAsia="en-NZ"/>
        </w:rPr>
      </w:pPr>
    </w:p>
    <w:p w14:paraId="03FF209B" w14:textId="77777777" w:rsidR="00AD72CC" w:rsidRPr="00BC0D1F" w:rsidRDefault="00AD72CC" w:rsidP="0071399A">
      <w:pPr>
        <w:rPr>
          <w:noProof/>
          <w:lang w:eastAsia="en-NZ"/>
        </w:rPr>
      </w:pPr>
      <w:r w:rsidRPr="00BC0D1F">
        <w:rPr>
          <w:noProof/>
          <w:lang w:eastAsia="en-NZ"/>
        </w:rPr>
        <w:t>To support achievement of this health target key initiatives have involved:</w:t>
      </w:r>
    </w:p>
    <w:p w14:paraId="6D927AC0" w14:textId="77777777" w:rsidR="00AD72CC" w:rsidRPr="00BC0D1F" w:rsidRDefault="00AD72CC" w:rsidP="0071399A">
      <w:pPr>
        <w:pStyle w:val="Bullet"/>
      </w:pPr>
      <w:r w:rsidRPr="00BC0D1F">
        <w:t>planning for a Heart Foundation symposium in August to focus on maintaining risk assessment coverage and risk factor management</w:t>
      </w:r>
    </w:p>
    <w:p w14:paraId="277C0A8B" w14:textId="77777777" w:rsidR="00AD72CC" w:rsidRPr="00BC0D1F" w:rsidRDefault="00AD72CC" w:rsidP="0071399A">
      <w:pPr>
        <w:pStyle w:val="Bullet"/>
      </w:pPr>
      <w:proofErr w:type="gramStart"/>
      <w:r w:rsidRPr="00BC0D1F">
        <w:t>a</w:t>
      </w:r>
      <w:proofErr w:type="gramEnd"/>
      <w:r w:rsidRPr="00BC0D1F">
        <w:t xml:space="preserve"> June roadshow to Auckland, </w:t>
      </w:r>
      <w:proofErr w:type="spellStart"/>
      <w:r w:rsidRPr="00BC0D1F">
        <w:t>Palmerston</w:t>
      </w:r>
      <w:proofErr w:type="spellEnd"/>
      <w:r w:rsidRPr="00BC0D1F">
        <w:t xml:space="preserve"> North and Christchurch focusing on the importance of early identification and potential changes to treatment thresholds.</w:t>
      </w:r>
    </w:p>
    <w:p w14:paraId="5CAD3476" w14:textId="77777777" w:rsidR="00AD72CC" w:rsidRPr="00BC0D1F" w:rsidRDefault="00AD72CC" w:rsidP="0071399A"/>
    <w:p w14:paraId="7BC27505" w14:textId="77777777" w:rsidR="00AD72CC" w:rsidRPr="00BC0D1F" w:rsidRDefault="00AD72CC" w:rsidP="0071399A">
      <w:pPr>
        <w:rPr>
          <w:noProof/>
          <w:lang w:eastAsia="en-NZ"/>
        </w:rPr>
      </w:pPr>
      <w:r w:rsidRPr="00BC0D1F">
        <w:rPr>
          <w:noProof/>
          <w:lang w:eastAsia="en-NZ"/>
        </w:rPr>
        <w:t xml:space="preserve">Quarter four 2015/16 is the final quarter in which results for the </w:t>
      </w:r>
      <w:r w:rsidR="00DF4B9A" w:rsidRPr="00BC0D1F">
        <w:rPr>
          <w:noProof/>
          <w:lang w:eastAsia="en-NZ"/>
        </w:rPr>
        <w:t>‘</w:t>
      </w:r>
      <w:r w:rsidRPr="00BC0D1F">
        <w:rPr>
          <w:noProof/>
          <w:lang w:eastAsia="en-NZ"/>
        </w:rPr>
        <w:t>More heart and diabetes checks results</w:t>
      </w:r>
      <w:r w:rsidR="00DF4B9A" w:rsidRPr="00BC0D1F">
        <w:rPr>
          <w:noProof/>
          <w:lang w:eastAsia="en-NZ"/>
        </w:rPr>
        <w:t>’</w:t>
      </w:r>
      <w:r w:rsidRPr="00BC0D1F">
        <w:rPr>
          <w:noProof/>
          <w:lang w:eastAsia="en-NZ"/>
        </w:rPr>
        <w:t xml:space="preserve"> will be reported as a health target. From quarter one 2016/17 this will become a DHB accountability measure. Quarterly monitoring and reporting will continue to help ensure the significant gains and performance improvements are embedded into DHB and PHO systems.</w:t>
      </w:r>
    </w:p>
    <w:p w14:paraId="6E103F11" w14:textId="77777777" w:rsidR="00AD72CC" w:rsidRPr="00BC0D1F" w:rsidRDefault="00AD72CC" w:rsidP="0071399A"/>
    <w:p w14:paraId="005071EE" w14:textId="77777777" w:rsidR="00AD72CC" w:rsidRPr="00BC0D1F" w:rsidRDefault="00AD72CC" w:rsidP="0071399A">
      <w:pPr>
        <w:pStyle w:val="Heading2"/>
      </w:pPr>
      <w:bookmarkStart w:id="33" w:name="_Toc430768803"/>
      <w:bookmarkStart w:id="34" w:name="_Toc459730009"/>
      <w:bookmarkStart w:id="35" w:name="_Toc461544283"/>
      <w:bookmarkStart w:id="36" w:name="_Toc463507913"/>
      <w:r w:rsidRPr="00BC0D1F">
        <w:lastRenderedPageBreak/>
        <w:t>Implementing the Minister</w:t>
      </w:r>
      <w:r w:rsidR="00DF4B9A" w:rsidRPr="00BC0D1F">
        <w:t>’</w:t>
      </w:r>
      <w:r w:rsidRPr="00BC0D1F">
        <w:t xml:space="preserve">s </w:t>
      </w:r>
      <w:bookmarkEnd w:id="23"/>
      <w:bookmarkEnd w:id="33"/>
      <w:r w:rsidRPr="00BC0D1F">
        <w:t>strategic priorities</w:t>
      </w:r>
      <w:bookmarkEnd w:id="34"/>
      <w:bookmarkEnd w:id="35"/>
      <w:bookmarkEnd w:id="36"/>
    </w:p>
    <w:p w14:paraId="4F667ED6" w14:textId="77777777" w:rsidR="00136F36" w:rsidRPr="00BC0D1F" w:rsidRDefault="00136F36" w:rsidP="00136F36">
      <w:pPr>
        <w:pStyle w:val="Heading3"/>
      </w:pPr>
      <w:r w:rsidRPr="00BC0D1F">
        <w:t>Making the best use of information technologies and ensuring the security of patient records</w:t>
      </w:r>
    </w:p>
    <w:p w14:paraId="2A1CAC6A" w14:textId="77777777" w:rsidR="00136F36" w:rsidRPr="00BC0D1F" w:rsidRDefault="00136F36" w:rsidP="00136F36">
      <w:pPr>
        <w:rPr>
          <w:noProof/>
          <w:lang w:eastAsia="en-NZ"/>
        </w:rPr>
      </w:pPr>
      <w:r w:rsidRPr="00BC0D1F">
        <w:rPr>
          <w:noProof/>
          <w:lang w:eastAsia="en-NZ"/>
        </w:rPr>
        <w:t>The Digital Health Work Programme will improve outcomes for New Zealanders through the smart use of digital health solutions. Initiatives include the establishment of a single electronic health record (EHR), which will collect and present health information into a single view accessible to a range of parties, including consumers and clinicians, and will provide decision support to clinicians.</w:t>
      </w:r>
    </w:p>
    <w:p w14:paraId="290F1BBA" w14:textId="77777777" w:rsidR="00136F36" w:rsidRPr="00BC0D1F" w:rsidRDefault="00136F36" w:rsidP="00136F36">
      <w:pPr>
        <w:rPr>
          <w:noProof/>
          <w:lang w:eastAsia="en-NZ"/>
        </w:rPr>
      </w:pPr>
    </w:p>
    <w:p w14:paraId="43A77168" w14:textId="2865D522" w:rsidR="00136F36" w:rsidRPr="00BC0D1F" w:rsidRDefault="00136F36" w:rsidP="00136F36">
      <w:pPr>
        <w:rPr>
          <w:noProof/>
          <w:lang w:eastAsia="en-NZ"/>
        </w:rPr>
      </w:pPr>
      <w:r w:rsidRPr="00BC0D1F">
        <w:rPr>
          <w:noProof/>
          <w:lang w:eastAsia="en-NZ"/>
        </w:rPr>
        <w:t xml:space="preserve">The </w:t>
      </w:r>
      <w:r w:rsidR="00463E91" w:rsidRPr="00BC0D1F">
        <w:rPr>
          <w:noProof/>
          <w:lang w:eastAsia="en-NZ"/>
        </w:rPr>
        <w:t>single electronic health record</w:t>
      </w:r>
      <w:r w:rsidRPr="00BC0D1F">
        <w:rPr>
          <w:noProof/>
          <w:lang w:eastAsia="en-NZ"/>
        </w:rPr>
        <w:t xml:space="preserve"> </w:t>
      </w:r>
      <w:r w:rsidR="00463E91">
        <w:rPr>
          <w:noProof/>
          <w:lang w:eastAsia="en-NZ"/>
        </w:rPr>
        <w:t>(HER)</w:t>
      </w:r>
      <w:r w:rsidRPr="00BC0D1F">
        <w:rPr>
          <w:noProof/>
          <w:lang w:eastAsia="en-NZ"/>
        </w:rPr>
        <w:t xml:space="preserve"> was announced by the Minister of Health in November 2015. It has the potential for data to be shared with social sector professionals to support health investments and the Government’s social investment approach. Health information is increasingly being securely shared between government and non-government organisations to address complex social issues. The Ministry is the second largest contributor of data to the Integrated Data Infrastructure operated by Statistics New Zealand.</w:t>
      </w:r>
    </w:p>
    <w:p w14:paraId="09B67D86" w14:textId="77777777" w:rsidR="00136F36" w:rsidRPr="00BC0D1F" w:rsidRDefault="00136F36" w:rsidP="00136F36"/>
    <w:p w14:paraId="38FA2FE2" w14:textId="77777777" w:rsidR="00136F36" w:rsidRPr="00BC0D1F" w:rsidRDefault="00136F36" w:rsidP="00136F36">
      <w:pPr>
        <w:rPr>
          <w:noProof/>
          <w:lang w:eastAsia="en-NZ"/>
        </w:rPr>
      </w:pPr>
      <w:r w:rsidRPr="00BC0D1F">
        <w:rPr>
          <w:noProof/>
          <w:lang w:eastAsia="en-NZ"/>
        </w:rPr>
        <w:t>DHBs continue to implement regional IT systems, which are important sources of information for the single EHR. DHB systems have been benchmarked against an international methodology to assess and ultimately increase acute hospitals’ digital maturity. This includes compliance with common standards needed to share information.</w:t>
      </w:r>
    </w:p>
    <w:p w14:paraId="710BBF66" w14:textId="77777777" w:rsidR="00136F36" w:rsidRPr="00BC0D1F" w:rsidRDefault="00136F36" w:rsidP="00136F36">
      <w:pPr>
        <w:rPr>
          <w:noProof/>
          <w:lang w:eastAsia="en-NZ"/>
        </w:rPr>
      </w:pPr>
    </w:p>
    <w:p w14:paraId="6ABAA523" w14:textId="77777777" w:rsidR="00136F36" w:rsidRPr="00BC0D1F" w:rsidRDefault="00136F36" w:rsidP="00136F36">
      <w:pPr>
        <w:rPr>
          <w:noProof/>
          <w:lang w:eastAsia="en-NZ"/>
        </w:rPr>
      </w:pPr>
      <w:r w:rsidRPr="00BC0D1F">
        <w:rPr>
          <w:noProof/>
          <w:lang w:eastAsia="en-NZ"/>
        </w:rPr>
        <w:t>The Health Information Standards Organisation promotes the development and use of standards to ensure interoperability between systems. Systematised Nomenclature of Medicine clinical terms (SNOMED CT) has been endorsed as a national standard for clinical terminology in New Zealand.</w:t>
      </w:r>
    </w:p>
    <w:p w14:paraId="155E1DF0" w14:textId="77777777" w:rsidR="00136F36" w:rsidRPr="00BC0D1F" w:rsidRDefault="00136F36" w:rsidP="00136F36">
      <w:pPr>
        <w:rPr>
          <w:noProof/>
          <w:lang w:eastAsia="en-NZ"/>
        </w:rPr>
      </w:pPr>
    </w:p>
    <w:p w14:paraId="56AF3B15" w14:textId="77777777" w:rsidR="00136F36" w:rsidRPr="00BC0D1F" w:rsidRDefault="00136F36" w:rsidP="00136F36">
      <w:pPr>
        <w:keepLines/>
        <w:rPr>
          <w:noProof/>
          <w:lang w:eastAsia="en-NZ"/>
        </w:rPr>
      </w:pPr>
      <w:r w:rsidRPr="00BC0D1F">
        <w:rPr>
          <w:noProof/>
          <w:lang w:eastAsia="en-NZ"/>
        </w:rPr>
        <w:t>The increasing levels of interoperability between health information systems supports services such as the electronic transfer of structured information. Primary care can transfer patient records securely between practices, send electronic referrals and receive electronic hospital discharge summaries. Pharmacists can electronically access prescriptions generated by general practices and other prescribers.</w:t>
      </w:r>
    </w:p>
    <w:p w14:paraId="1B7A65A1" w14:textId="77777777" w:rsidR="00136F36" w:rsidRPr="00BC0D1F" w:rsidRDefault="00136F36" w:rsidP="00136F36">
      <w:pPr>
        <w:rPr>
          <w:noProof/>
          <w:lang w:eastAsia="en-NZ"/>
        </w:rPr>
      </w:pPr>
    </w:p>
    <w:p w14:paraId="41999287" w14:textId="77777777" w:rsidR="00136F36" w:rsidRPr="00BC0D1F" w:rsidRDefault="00136F36" w:rsidP="00136F36">
      <w:pPr>
        <w:rPr>
          <w:rFonts w:cs="Arial"/>
          <w:szCs w:val="24"/>
        </w:rPr>
      </w:pPr>
      <w:r w:rsidRPr="00BC0D1F">
        <w:rPr>
          <w:rFonts w:cs="Arial"/>
          <w:szCs w:val="24"/>
        </w:rPr>
        <w:t>Following are s</w:t>
      </w:r>
      <w:r w:rsidRPr="00BC0D1F">
        <w:rPr>
          <w:noProof/>
          <w:lang w:eastAsia="en-NZ"/>
        </w:rPr>
        <w:t>ome examples of work delivered over the past year.</w:t>
      </w:r>
    </w:p>
    <w:p w14:paraId="3B9711FF" w14:textId="77777777" w:rsidR="00136F36" w:rsidRPr="00BC0D1F" w:rsidRDefault="00136F36" w:rsidP="00136F36">
      <w:pPr>
        <w:pStyle w:val="Bullet"/>
      </w:pPr>
      <w:r w:rsidRPr="00BC0D1F">
        <w:t xml:space="preserve">Electronic prescribing is in use in five hospitals to support the safe, effective and appropriate use of medicines through the </w:t>
      </w:r>
      <w:proofErr w:type="spellStart"/>
      <w:r w:rsidRPr="00BC0D1F">
        <w:t>eMedicines</w:t>
      </w:r>
      <w:proofErr w:type="spellEnd"/>
      <w:r w:rsidRPr="00BC0D1F">
        <w:t xml:space="preserve"> Programme, with plans for further roll-out in 2016/17.</w:t>
      </w:r>
    </w:p>
    <w:p w14:paraId="2D9A2C05" w14:textId="77777777" w:rsidR="00136F36" w:rsidRPr="00BC0D1F" w:rsidRDefault="00136F36" w:rsidP="00136F36">
      <w:pPr>
        <w:pStyle w:val="Bullet"/>
      </w:pPr>
      <w:r w:rsidRPr="00BC0D1F">
        <w:t>National Patient Flow has published phase 1 referral data on patients referred for specialist elective and cancer services, and phase 2 data collection is under way. National Patient Flow tracks the outcome of referrals and the time it takes for patients to access care.</w:t>
      </w:r>
    </w:p>
    <w:p w14:paraId="0E978121" w14:textId="77777777" w:rsidR="00136F36" w:rsidRPr="00BC0D1F" w:rsidRDefault="00136F36" w:rsidP="00136F36">
      <w:pPr>
        <w:pStyle w:val="Bullet"/>
      </w:pPr>
      <w:r w:rsidRPr="00BC0D1F">
        <w:t xml:space="preserve">Health </w:t>
      </w:r>
      <w:proofErr w:type="gramStart"/>
      <w:r w:rsidRPr="00BC0D1F">
        <w:t>One</w:t>
      </w:r>
      <w:proofErr w:type="gramEnd"/>
      <w:r w:rsidRPr="00BC0D1F">
        <w:t>, a system initiated at Canterbury DHB that brings together hospital, general practice, community pharmacy dispensing and care coordination patient data, is now in use in three of the five South Island DHBs.</w:t>
      </w:r>
    </w:p>
    <w:p w14:paraId="65418323" w14:textId="77777777" w:rsidR="00136F36" w:rsidRPr="00BC0D1F" w:rsidRDefault="00136F36" w:rsidP="00136F36">
      <w:pPr>
        <w:pStyle w:val="Bullet"/>
      </w:pPr>
      <w:r w:rsidRPr="00BC0D1F">
        <w:t xml:space="preserve">NGOs and primary care organisations have invested in a range of digital health solutions such as the Plunket eBook, St John’s mobile </w:t>
      </w:r>
      <w:proofErr w:type="spellStart"/>
      <w:r w:rsidRPr="00BC0D1F">
        <w:t>ePatient</w:t>
      </w:r>
      <w:proofErr w:type="spellEnd"/>
      <w:r w:rsidRPr="00BC0D1F">
        <w:t xml:space="preserve"> record and patient portals.</w:t>
      </w:r>
    </w:p>
    <w:p w14:paraId="1D50BFBE" w14:textId="77777777" w:rsidR="00136F36" w:rsidRPr="00BC0D1F" w:rsidRDefault="00136F36" w:rsidP="00136F36">
      <w:pPr>
        <w:pStyle w:val="Bullet"/>
      </w:pPr>
      <w:r w:rsidRPr="00BC0D1F">
        <w:t>More than 330 practices have implemented patient portals and over 137,000 New Zealanders have registered to access their health information securely in real time.</w:t>
      </w:r>
    </w:p>
    <w:p w14:paraId="3DD89053" w14:textId="77777777" w:rsidR="00136F36" w:rsidRPr="00BC0D1F" w:rsidRDefault="00136F36" w:rsidP="00136F36">
      <w:pPr>
        <w:pStyle w:val="Bullet"/>
      </w:pPr>
      <w:r w:rsidRPr="00BC0D1F">
        <w:t>The South Island Patient Information Care System, a new regional hospital patient management system for South Island DHBs, went live at Canterbury DHB in June 2016.</w:t>
      </w:r>
    </w:p>
    <w:p w14:paraId="382591C0" w14:textId="77777777" w:rsidR="00136F36" w:rsidRPr="00BC0D1F" w:rsidRDefault="00136F36" w:rsidP="00136F36">
      <w:pPr>
        <w:pStyle w:val="Bullet"/>
      </w:pPr>
      <w:r w:rsidRPr="00BC0D1F">
        <w:lastRenderedPageBreak/>
        <w:t>The real-time National Enrolment Service is being rolled out to primary care practices, providing a single source of all national enrolment and identity information, which will improve the experience for patients when interacting with their GPs. The GPs will have up</w:t>
      </w:r>
      <w:r w:rsidRPr="00BC0D1F">
        <w:noBreakHyphen/>
        <w:t>to-date patient information and will be able to validate the National Health Index, demographic information and eligibility for funding and services.</w:t>
      </w:r>
    </w:p>
    <w:p w14:paraId="1455452D" w14:textId="77777777" w:rsidR="00136F36" w:rsidRPr="00BC0D1F" w:rsidRDefault="00136F36" w:rsidP="00136F36">
      <w:pPr>
        <w:pStyle w:val="Bullet"/>
      </w:pPr>
      <w:r w:rsidRPr="00BC0D1F">
        <w:t xml:space="preserve">The New Zealand </w:t>
      </w:r>
      <w:proofErr w:type="spellStart"/>
      <w:r w:rsidRPr="00BC0D1F">
        <w:t>Telehealth</w:t>
      </w:r>
      <w:proofErr w:type="spellEnd"/>
      <w:r w:rsidRPr="00BC0D1F">
        <w:t xml:space="preserve"> Forum is working with the Ministry to develop a national Video Conferencing Directory to support clinical uptake of </w:t>
      </w:r>
      <w:proofErr w:type="spellStart"/>
      <w:r w:rsidRPr="00BC0D1F">
        <w:t>telehealth</w:t>
      </w:r>
      <w:proofErr w:type="spellEnd"/>
      <w:r w:rsidRPr="00BC0D1F">
        <w:t xml:space="preserve">. </w:t>
      </w:r>
      <w:proofErr w:type="spellStart"/>
      <w:r w:rsidRPr="00BC0D1F">
        <w:t>Telehealth</w:t>
      </w:r>
      <w:proofErr w:type="spellEnd"/>
      <w:r w:rsidRPr="00BC0D1F">
        <w:t xml:space="preserve"> will maximise the benefits of the Government’s ultrafast broadband programme.</w:t>
      </w:r>
    </w:p>
    <w:p w14:paraId="264B7B55" w14:textId="77777777" w:rsidR="00136F36" w:rsidRPr="00BC0D1F" w:rsidRDefault="00136F36" w:rsidP="00136F36">
      <w:pPr>
        <w:pStyle w:val="Bullet"/>
      </w:pPr>
      <w:r w:rsidRPr="00BC0D1F">
        <w:t>Health information is being securely shared using the Connected Health environment, a standards-based commercial model for the delivery of universal connectivity across the New Zealand health sector, which is supported by ultrafast broadband.</w:t>
      </w:r>
    </w:p>
    <w:p w14:paraId="38C73742" w14:textId="77777777" w:rsidR="00136F36" w:rsidRDefault="00136F36" w:rsidP="00136F36">
      <w:pPr>
        <w:pStyle w:val="Bullet"/>
      </w:pPr>
      <w:r w:rsidRPr="00BC0D1F">
        <w:t>St John introduced an electronic patient report form to provide an integrated approach to delivering patient care. Having the technology at the point of care enables paramedics to gain information about the patient, capture their episode of care and send the completed form to the appropriate clinician.</w:t>
      </w:r>
    </w:p>
    <w:p w14:paraId="3DA2AB19" w14:textId="77777777" w:rsidR="00611BC5" w:rsidRPr="00611BC5" w:rsidRDefault="00611BC5" w:rsidP="00611BC5">
      <w:pPr>
        <w:pStyle w:val="Heading4"/>
      </w:pPr>
      <w:r w:rsidRPr="00611BC5">
        <w:t>Smarter use of information</w:t>
      </w:r>
    </w:p>
    <w:p w14:paraId="248AAE1C" w14:textId="77777777" w:rsidR="00611BC5" w:rsidRDefault="00611BC5" w:rsidP="00611BC5">
      <w:pPr>
        <w:rPr>
          <w:noProof/>
          <w:lang w:eastAsia="en-NZ"/>
        </w:rPr>
      </w:pPr>
      <w:r w:rsidRPr="00611BC5">
        <w:rPr>
          <w:noProof/>
          <w:lang w:eastAsia="en-NZ"/>
        </w:rPr>
        <w:t xml:space="preserve">There are many benefits to be gained from sharing and linking data held by multiple agencies, including the Ministry of Health. This data can be used for frontline and policy purposes and can enable better understanding and delivery of services to populations at risk of poor social outcomes. </w:t>
      </w:r>
    </w:p>
    <w:p w14:paraId="0E522973" w14:textId="77777777" w:rsidR="00611BC5" w:rsidRPr="00611BC5" w:rsidRDefault="00611BC5" w:rsidP="00611BC5">
      <w:pPr>
        <w:rPr>
          <w:noProof/>
          <w:lang w:eastAsia="en-NZ"/>
        </w:rPr>
      </w:pPr>
    </w:p>
    <w:p w14:paraId="77461B58" w14:textId="4738AFF5" w:rsidR="00611BC5" w:rsidRDefault="00611BC5" w:rsidP="00611BC5">
      <w:pPr>
        <w:rPr>
          <w:noProof/>
          <w:lang w:eastAsia="en-NZ"/>
        </w:rPr>
      </w:pPr>
      <w:r w:rsidRPr="00611BC5">
        <w:rPr>
          <w:noProof/>
          <w:lang w:eastAsia="en-NZ"/>
        </w:rPr>
        <w:t xml:space="preserve">In 2015/16, the government expanded the Integrated Data Infrastructure (IDI) to include more data from the social sector, which made this innovative mechanism available for the health sector to share information across agencies. The IDI enables government agencies and researchers to access de-identified, linked government-held data about individuals. The Ministry currently contributes data from 15 National Collections to the IDI. Valuable findings are emerging from IDI analysis, for example, client risk profiling and service mapping for the </w:t>
      </w:r>
      <w:r>
        <w:rPr>
          <w:noProof/>
          <w:lang w:eastAsia="en-NZ"/>
        </w:rPr>
        <w:t xml:space="preserve">    </w:t>
      </w:r>
      <w:r w:rsidRPr="00611BC5">
        <w:rPr>
          <w:noProof/>
          <w:lang w:eastAsia="en-NZ"/>
        </w:rPr>
        <w:t>0</w:t>
      </w:r>
      <w:r w:rsidR="00556A3E">
        <w:rPr>
          <w:noProof/>
          <w:lang w:eastAsia="en-NZ"/>
        </w:rPr>
        <w:t>–</w:t>
      </w:r>
      <w:r w:rsidRPr="00611BC5">
        <w:rPr>
          <w:noProof/>
          <w:lang w:eastAsia="en-NZ"/>
        </w:rPr>
        <w:t xml:space="preserve">5s and youth funding reviews. </w:t>
      </w:r>
    </w:p>
    <w:p w14:paraId="010CE80A" w14:textId="77777777" w:rsidR="00611BC5" w:rsidRPr="00611BC5" w:rsidRDefault="00611BC5" w:rsidP="00611BC5">
      <w:pPr>
        <w:rPr>
          <w:noProof/>
          <w:lang w:eastAsia="en-NZ"/>
        </w:rPr>
      </w:pPr>
    </w:p>
    <w:p w14:paraId="5794017E" w14:textId="77777777" w:rsidR="00611BC5" w:rsidRPr="00611BC5" w:rsidRDefault="00611BC5" w:rsidP="00611BC5">
      <w:pPr>
        <w:rPr>
          <w:noProof/>
          <w:lang w:eastAsia="en-NZ"/>
        </w:rPr>
      </w:pPr>
      <w:r w:rsidRPr="00611BC5">
        <w:rPr>
          <w:noProof/>
          <w:lang w:eastAsia="en-NZ"/>
        </w:rPr>
        <w:t xml:space="preserve">The Ministry embarked on a multiyear research programme using the IDI in 2016. The research programme uses analysis of cross-agency linked data in the IDI to develop a better understanding of the wider costs and outcomes associated with health conditions and health service use (or non-use) that cannot be described using health data alone. The research programme will provide more information to other agencies and sectors about the relationship between people’s health and social outcomes, and also provide more information about the health profiles of priority populations. </w:t>
      </w:r>
    </w:p>
    <w:p w14:paraId="63E5BE1F" w14:textId="77777777" w:rsidR="00136F36" w:rsidRPr="00136F36" w:rsidRDefault="00136F36" w:rsidP="00136F36"/>
    <w:p w14:paraId="292F6997" w14:textId="77777777" w:rsidR="00AD72CC" w:rsidRPr="00BC0D1F" w:rsidRDefault="00AD72CC" w:rsidP="006407C8">
      <w:pPr>
        <w:pStyle w:val="Heading3"/>
      </w:pPr>
      <w:r w:rsidRPr="00BC0D1F">
        <w:t>Making services more accessible, including more care closer to home</w:t>
      </w:r>
    </w:p>
    <w:p w14:paraId="1AF28D31" w14:textId="77777777" w:rsidR="00DF4B9A" w:rsidRPr="00BC0D1F" w:rsidRDefault="00AD72CC" w:rsidP="006407C8">
      <w:pPr>
        <w:rPr>
          <w:noProof/>
          <w:lang w:eastAsia="en-NZ"/>
        </w:rPr>
      </w:pPr>
      <w:r w:rsidRPr="00BC0D1F">
        <w:rPr>
          <w:noProof/>
          <w:lang w:eastAsia="en-NZ"/>
        </w:rPr>
        <w:t>Closer to home is a key theme of the New Zealand Health Strategy. Central to this is:</w:t>
      </w:r>
    </w:p>
    <w:p w14:paraId="661F4FAA" w14:textId="77777777" w:rsidR="00AD72CC" w:rsidRPr="00BC0D1F" w:rsidRDefault="00AD72CC" w:rsidP="006407C8">
      <w:pPr>
        <w:pStyle w:val="Bullet"/>
        <w:rPr>
          <w:noProof/>
          <w:lang w:eastAsia="en-NZ"/>
        </w:rPr>
      </w:pPr>
      <w:r w:rsidRPr="00BC0D1F">
        <w:rPr>
          <w:noProof/>
          <w:lang w:eastAsia="en-NZ"/>
        </w:rPr>
        <w:t>providing care closer to where people live, learn, work and play</w:t>
      </w:r>
    </w:p>
    <w:p w14:paraId="5A4015CE" w14:textId="77777777" w:rsidR="00AD72CC" w:rsidRPr="00BC0D1F" w:rsidRDefault="00AD72CC" w:rsidP="006407C8">
      <w:pPr>
        <w:pStyle w:val="Bullet"/>
        <w:rPr>
          <w:noProof/>
          <w:lang w:eastAsia="en-NZ"/>
        </w:rPr>
      </w:pPr>
      <w:r w:rsidRPr="00BC0D1F">
        <w:rPr>
          <w:noProof/>
          <w:lang w:eastAsia="en-NZ"/>
        </w:rPr>
        <w:t>having integrated health services that make better connections with wider public services</w:t>
      </w:r>
    </w:p>
    <w:p w14:paraId="67917300" w14:textId="77777777" w:rsidR="00AD72CC" w:rsidRPr="00BC0D1F" w:rsidRDefault="00AD72CC" w:rsidP="006407C8">
      <w:pPr>
        <w:pStyle w:val="Bullet"/>
        <w:rPr>
          <w:noProof/>
          <w:lang w:eastAsia="en-NZ"/>
        </w:rPr>
      </w:pPr>
      <w:r w:rsidRPr="00BC0D1F">
        <w:rPr>
          <w:noProof/>
          <w:lang w:eastAsia="en-NZ"/>
        </w:rPr>
        <w:t>promoting wellness and preventing long-term conditions</w:t>
      </w:r>
    </w:p>
    <w:p w14:paraId="51F5A7CE" w14:textId="77777777" w:rsidR="00AD72CC" w:rsidRPr="00BC0D1F" w:rsidRDefault="00AD72CC" w:rsidP="006407C8">
      <w:pPr>
        <w:pStyle w:val="Bullet"/>
        <w:rPr>
          <w:noProof/>
          <w:lang w:eastAsia="en-NZ"/>
        </w:rPr>
      </w:pPr>
      <w:r w:rsidRPr="00BC0D1F">
        <w:rPr>
          <w:noProof/>
          <w:lang w:eastAsia="en-NZ"/>
        </w:rPr>
        <w:t>investing in health and wellbeing early in life.</w:t>
      </w:r>
    </w:p>
    <w:p w14:paraId="58337DC0" w14:textId="77777777" w:rsidR="00AD72CC" w:rsidRPr="00BC0D1F" w:rsidRDefault="00AD72CC" w:rsidP="006407C8">
      <w:pPr>
        <w:rPr>
          <w:noProof/>
          <w:lang w:eastAsia="en-NZ"/>
        </w:rPr>
      </w:pPr>
    </w:p>
    <w:p w14:paraId="4A6C0884" w14:textId="77777777" w:rsidR="00AD72CC" w:rsidRPr="00BC0D1F" w:rsidRDefault="00AD72CC" w:rsidP="006407C8">
      <w:pPr>
        <w:rPr>
          <w:noProof/>
          <w:lang w:eastAsia="en-NZ"/>
        </w:rPr>
      </w:pPr>
      <w:r w:rsidRPr="00BC0D1F">
        <w:rPr>
          <w:noProof/>
          <w:lang w:eastAsia="en-NZ"/>
        </w:rPr>
        <w:t>Primary health care is the first point of contact for access to the health system. It is also the gateway to secondary health care and is integral to the success of the health system in terms of enabling care to be provided closer to home and managing health service costs.</w:t>
      </w:r>
    </w:p>
    <w:p w14:paraId="2D8F7AA8" w14:textId="77777777" w:rsidR="00AD72CC" w:rsidRPr="00BC0D1F" w:rsidRDefault="00AD72CC" w:rsidP="006407C8">
      <w:pPr>
        <w:rPr>
          <w:noProof/>
          <w:lang w:eastAsia="en-NZ"/>
        </w:rPr>
      </w:pPr>
    </w:p>
    <w:p w14:paraId="74615C8A" w14:textId="77777777" w:rsidR="00AD72CC" w:rsidRPr="00BC0D1F" w:rsidRDefault="00AD72CC" w:rsidP="006407C8">
      <w:pPr>
        <w:rPr>
          <w:noProof/>
          <w:lang w:eastAsia="en-NZ"/>
        </w:rPr>
      </w:pPr>
      <w:r w:rsidRPr="00BC0D1F">
        <w:rPr>
          <w:noProof/>
          <w:lang w:eastAsia="en-NZ"/>
        </w:rPr>
        <w:lastRenderedPageBreak/>
        <w:t>In 2015/16 the Ministry undertook the following actions.</w:t>
      </w:r>
    </w:p>
    <w:p w14:paraId="56280E58" w14:textId="77777777" w:rsidR="00DF4B9A" w:rsidRPr="00BC0D1F" w:rsidRDefault="00AD72CC" w:rsidP="006407C8">
      <w:pPr>
        <w:pStyle w:val="Bullet"/>
        <w:spacing w:before="180"/>
      </w:pPr>
      <w:r w:rsidRPr="00BC0D1F">
        <w:t>The Ministry supported the implementation of changes that improved the pharmacy systems. The systems enable pharmacists to search a person</w:t>
      </w:r>
      <w:r w:rsidR="00DF4B9A" w:rsidRPr="00BC0D1F">
        <w:t>’</w:t>
      </w:r>
      <w:r w:rsidRPr="00BC0D1F">
        <w:t>s National Health Index (NHI) number, which allows pharmacists to confirm eligibility for a prescription subsidy card. This was implemented on 28 July 2015. It means that people no longer need to retain and produce prescription receipts to prove their eligibility.</w:t>
      </w:r>
    </w:p>
    <w:p w14:paraId="59BB3BAE" w14:textId="4DB3E056" w:rsidR="00AD72CC" w:rsidRPr="00BC0D1F" w:rsidRDefault="00AD72CC" w:rsidP="006407C8">
      <w:pPr>
        <w:pStyle w:val="Bullet"/>
        <w:spacing w:before="180"/>
      </w:pPr>
      <w:r w:rsidRPr="00BC0D1F">
        <w:t xml:space="preserve">The Ministry implemented the integrated national </w:t>
      </w:r>
      <w:proofErr w:type="spellStart"/>
      <w:r w:rsidRPr="00BC0D1F">
        <w:t>telehealth</w:t>
      </w:r>
      <w:proofErr w:type="spellEnd"/>
      <w:r w:rsidRPr="00BC0D1F">
        <w:t xml:space="preserve"> service. Commencing in November 2015 the service brought together Ministry-funded health helplines: </w:t>
      </w:r>
      <w:proofErr w:type="spellStart"/>
      <w:r w:rsidRPr="00BC0D1F">
        <w:t>Healthline</w:t>
      </w:r>
      <w:proofErr w:type="spellEnd"/>
      <w:r w:rsidRPr="00BC0D1F">
        <w:t xml:space="preserve">, </w:t>
      </w:r>
      <w:proofErr w:type="spellStart"/>
      <w:r w:rsidRPr="00BC0D1F">
        <w:t>Quitline</w:t>
      </w:r>
      <w:proofErr w:type="spellEnd"/>
      <w:r w:rsidRPr="00BC0D1F">
        <w:t xml:space="preserve">, the Gambling Helpline, </w:t>
      </w:r>
      <w:proofErr w:type="gramStart"/>
      <w:r w:rsidRPr="00BC0D1F">
        <w:t>the</w:t>
      </w:r>
      <w:proofErr w:type="gramEnd"/>
      <w:r w:rsidRPr="00BC0D1F">
        <w:t xml:space="preserve"> Alcohol Drug Helpline, the Depression Helpline, and poisons and immunisation advice for the public. The consolidated service provides a robust technological and clinical foundation for better integration between helpline phone advice, triage, support and counselling, and referral to other health advice and face-to-face services, including emergency care.</w:t>
      </w:r>
    </w:p>
    <w:p w14:paraId="7EED69C2" w14:textId="77777777" w:rsidR="00AD72CC" w:rsidRPr="00BC0D1F" w:rsidRDefault="00AD72CC" w:rsidP="00792E4C">
      <w:pPr>
        <w:pStyle w:val="Bullet"/>
        <w:spacing w:before="180"/>
      </w:pPr>
      <w:r w:rsidRPr="00BC0D1F">
        <w:t>A system-level measurement framework was developed to provide the opportunity for an Integrated Performance and Incentive Framework to evolve into the system-level performance measurement envisioned in the New Zealand Health Strategy. The measurement framework is a combination of system-level measures that show progress, and contributory measures that stimulate and support quality improvement at a local level. Four system-level measures were being implemented from 1 July 2015, and two further measures will be developed over 2016/17 for implementation in 2017/18. These new measures require all parts of the health sector to work together to improve system-level performance.</w:t>
      </w:r>
    </w:p>
    <w:p w14:paraId="74FF38BA" w14:textId="663DBDA4" w:rsidR="00AD72CC" w:rsidRPr="00BC0D1F" w:rsidRDefault="00AD72CC" w:rsidP="006407C8">
      <w:pPr>
        <w:pStyle w:val="Bullet"/>
        <w:spacing w:before="180"/>
      </w:pPr>
      <w:r w:rsidRPr="00BC0D1F">
        <w:t xml:space="preserve">The Ministry completed the pilot stage of the primary care patient experience survey, which went live in February 2016. General practices will take </w:t>
      </w:r>
      <w:r w:rsidR="00792E4C">
        <w:t xml:space="preserve">up </w:t>
      </w:r>
      <w:r w:rsidRPr="00BC0D1F">
        <w:t>the survey during 2016/17 as they adopt the National Enrolment Service.</w:t>
      </w:r>
    </w:p>
    <w:p w14:paraId="7E301E25" w14:textId="77777777" w:rsidR="00AD72CC" w:rsidRPr="00BC0D1F" w:rsidRDefault="00AD72CC" w:rsidP="006407C8">
      <w:pPr>
        <w:pStyle w:val="Bullet"/>
        <w:spacing w:before="180"/>
      </w:pPr>
      <w:r w:rsidRPr="00BC0D1F">
        <w:t>The Ministry continued to support general practices to provide services to enrolled people, including under the very low cost access (VLCA) scheme. We also worked with the health sector to develop advice for the Minister on possible changes to the VLCA scheme and improvements to general practice effectiveness.</w:t>
      </w:r>
    </w:p>
    <w:p w14:paraId="170164E9" w14:textId="77777777" w:rsidR="006407C8" w:rsidRPr="00BC0D1F" w:rsidRDefault="006407C8" w:rsidP="006407C8"/>
    <w:p w14:paraId="2B88EEAD" w14:textId="77777777" w:rsidR="00DF4B9A" w:rsidRPr="00BC0D1F" w:rsidRDefault="00AD72CC" w:rsidP="006407C8">
      <w:pPr>
        <w:keepNext/>
      </w:pPr>
      <w:r w:rsidRPr="00BC0D1F">
        <w:t>The Ministry also:</w:t>
      </w:r>
    </w:p>
    <w:p w14:paraId="3F3926E2" w14:textId="77777777" w:rsidR="00AD72CC" w:rsidRPr="00BC0D1F" w:rsidRDefault="00AD72CC" w:rsidP="006407C8">
      <w:pPr>
        <w:pStyle w:val="Bullet"/>
        <w:keepLines/>
      </w:pPr>
      <w:r w:rsidRPr="00BC0D1F">
        <w:t>supported projects with a particular focus on urgent and unplanned care, primary care management of patients with cardiovascular disease, diabetes, long-term conditions, wrap</w:t>
      </w:r>
      <w:r w:rsidR="006407C8" w:rsidRPr="00BC0D1F">
        <w:noBreakHyphen/>
      </w:r>
      <w:r w:rsidRPr="00BC0D1F">
        <w:t>around home care packages for older people, and seamless maternal and child health services</w:t>
      </w:r>
    </w:p>
    <w:p w14:paraId="0E95833F" w14:textId="77777777" w:rsidR="00AD72CC" w:rsidRPr="00BC0D1F" w:rsidRDefault="00AD72CC" w:rsidP="006407C8">
      <w:pPr>
        <w:pStyle w:val="Bullet"/>
      </w:pPr>
      <w:r w:rsidRPr="00BC0D1F">
        <w:t xml:space="preserve">monitored DHB performance against planned integration activities, including shifting services closer to home, integrated acute demand planning, and the development of clinical pathways − Counties </w:t>
      </w:r>
      <w:proofErr w:type="spellStart"/>
      <w:r w:rsidRPr="00BC0D1F">
        <w:t>Manukau</w:t>
      </w:r>
      <w:proofErr w:type="spellEnd"/>
      <w:r w:rsidRPr="00BC0D1F">
        <w:t xml:space="preserve">, Canterbury and </w:t>
      </w:r>
      <w:proofErr w:type="spellStart"/>
      <w:r w:rsidRPr="00BC0D1F">
        <w:t>MidCentral</w:t>
      </w:r>
      <w:proofErr w:type="spellEnd"/>
      <w:r w:rsidRPr="00BC0D1F">
        <w:t xml:space="preserve"> DHBs continue to lead the way in this area</w:t>
      </w:r>
    </w:p>
    <w:p w14:paraId="18D8C4E2" w14:textId="77777777" w:rsidR="00AD72CC" w:rsidRPr="00BC0D1F" w:rsidRDefault="00AD72CC" w:rsidP="006407C8">
      <w:pPr>
        <w:pStyle w:val="Bullet"/>
      </w:pPr>
      <w:r w:rsidRPr="00BC0D1F">
        <w:t>continued to support the implementation of a National Child Health Information Platform (NCHIP) solution in the Midland region</w:t>
      </w:r>
    </w:p>
    <w:p w14:paraId="4F05C008" w14:textId="77777777" w:rsidR="00AD72CC" w:rsidRPr="00BC0D1F" w:rsidRDefault="00AD72CC" w:rsidP="006407C8">
      <w:pPr>
        <w:pStyle w:val="Bullet"/>
      </w:pPr>
      <w:proofErr w:type="gramStart"/>
      <w:r w:rsidRPr="00BC0D1F">
        <w:t>continued</w:t>
      </w:r>
      <w:proofErr w:type="gramEnd"/>
      <w:r w:rsidRPr="00BC0D1F">
        <w:t xml:space="preserve"> to work with DHBs to implement and increase the functionality of the Maternity Clinical Information System, which is in use in five DHBs.</w:t>
      </w:r>
    </w:p>
    <w:p w14:paraId="2AA4DA02" w14:textId="77777777" w:rsidR="006407C8" w:rsidRPr="00BC0D1F" w:rsidRDefault="006407C8" w:rsidP="006407C8"/>
    <w:p w14:paraId="114C562C" w14:textId="77777777" w:rsidR="00DF4B9A" w:rsidRPr="00BC0D1F" w:rsidRDefault="00AD72CC" w:rsidP="006407C8">
      <w:pPr>
        <w:pStyle w:val="Heading3"/>
      </w:pPr>
      <w:r w:rsidRPr="00BC0D1F">
        <w:t>Maintaining wellness by improving prevention</w:t>
      </w:r>
    </w:p>
    <w:p w14:paraId="3892887D" w14:textId="77777777" w:rsidR="00AD72CC" w:rsidRPr="00BC0D1F" w:rsidRDefault="00AD72CC" w:rsidP="006407C8">
      <w:pPr>
        <w:rPr>
          <w:noProof/>
          <w:lang w:eastAsia="en-NZ"/>
        </w:rPr>
      </w:pPr>
      <w:r w:rsidRPr="00BC0D1F">
        <w:rPr>
          <w:noProof/>
          <w:lang w:eastAsia="en-NZ"/>
        </w:rPr>
        <w:t>New Zealanders are living longer but are also more likely to spend a portion of their later years managing a long-term condition. It is important that we invest in ways to help people stay well for longer and prevent the onset of these conditions. This focus on maintaining wellness underpins a wide range of Ministry actions.</w:t>
      </w:r>
    </w:p>
    <w:p w14:paraId="688AE738" w14:textId="77777777" w:rsidR="00AD72CC" w:rsidRPr="00BC0D1F" w:rsidRDefault="00AD72CC" w:rsidP="006407C8">
      <w:pPr>
        <w:rPr>
          <w:noProof/>
          <w:lang w:eastAsia="en-NZ"/>
        </w:rPr>
      </w:pPr>
    </w:p>
    <w:p w14:paraId="33D537F2" w14:textId="77777777" w:rsidR="00AD72CC" w:rsidRPr="00BC0D1F" w:rsidRDefault="00AD72CC" w:rsidP="006407C8">
      <w:pPr>
        <w:rPr>
          <w:noProof/>
          <w:lang w:eastAsia="en-NZ"/>
        </w:rPr>
      </w:pPr>
      <w:r w:rsidRPr="00BC0D1F">
        <w:rPr>
          <w:noProof/>
          <w:lang w:eastAsia="en-NZ"/>
        </w:rPr>
        <w:t>In 2015/16 the Ministry progressed programmes aimed at keeping people well, such as newborn screening, promoting good hygiene and working with other agencies on healthy housing.</w:t>
      </w:r>
    </w:p>
    <w:p w14:paraId="15D00846" w14:textId="77777777" w:rsidR="006407C8" w:rsidRPr="00BC0D1F" w:rsidRDefault="006407C8" w:rsidP="006407C8">
      <w:pPr>
        <w:rPr>
          <w:noProof/>
          <w:lang w:eastAsia="en-NZ"/>
        </w:rPr>
      </w:pPr>
    </w:p>
    <w:p w14:paraId="68DA123C" w14:textId="77777777" w:rsidR="00DF4B9A" w:rsidRPr="00BC0D1F" w:rsidRDefault="00AD72CC" w:rsidP="006407C8">
      <w:pPr>
        <w:pStyle w:val="Heading4"/>
      </w:pPr>
      <w:r w:rsidRPr="00BC0D1F">
        <w:t>Early prevention</w:t>
      </w:r>
    </w:p>
    <w:p w14:paraId="10FA7977" w14:textId="77777777" w:rsidR="00AD72CC" w:rsidRPr="00BC0D1F" w:rsidRDefault="00AD72CC" w:rsidP="006407C8">
      <w:pPr>
        <w:rPr>
          <w:noProof/>
          <w:lang w:eastAsia="en-NZ"/>
        </w:rPr>
      </w:pPr>
      <w:r w:rsidRPr="00BC0D1F">
        <w:rPr>
          <w:noProof/>
          <w:lang w:eastAsia="en-NZ"/>
        </w:rPr>
        <w:t>Newborns are enrolled with general practices to ensure babies receive essential health care, including on-time immunisations. By April 2016, 77.4 percent of newborns were enrolled with general practice in the three-month period analysed. This was an increase from 57.4 percent in January 2013. The Ministry works closely across teams, and with both DHBs and PHOs, to ensure more newborns are being enrolled early.</w:t>
      </w:r>
    </w:p>
    <w:p w14:paraId="741292C2" w14:textId="77777777" w:rsidR="006407C8" w:rsidRPr="00BC0D1F" w:rsidRDefault="006407C8" w:rsidP="006407C8">
      <w:pPr>
        <w:rPr>
          <w:noProof/>
          <w:lang w:eastAsia="en-NZ"/>
        </w:rPr>
      </w:pPr>
    </w:p>
    <w:p w14:paraId="07951617" w14:textId="77777777" w:rsidR="00AD72CC" w:rsidRPr="00BC0D1F" w:rsidRDefault="00AD72CC" w:rsidP="006407C8">
      <w:pPr>
        <w:pStyle w:val="Heading4"/>
      </w:pPr>
      <w:r w:rsidRPr="00BC0D1F">
        <w:t>Immunisation</w:t>
      </w:r>
    </w:p>
    <w:p w14:paraId="7D7D1C56" w14:textId="77777777" w:rsidR="00DF4B9A" w:rsidRPr="00BC0D1F" w:rsidRDefault="00AD72CC" w:rsidP="006407C8">
      <w:pPr>
        <w:rPr>
          <w:noProof/>
          <w:lang w:eastAsia="en-NZ"/>
        </w:rPr>
      </w:pPr>
      <w:r w:rsidRPr="00BC0D1F">
        <w:rPr>
          <w:noProof/>
          <w:lang w:eastAsia="en-NZ"/>
        </w:rPr>
        <w:t>The National Immunisation Programme protects against vaccine-preventable diseases across the lifespan. The actions include increasing immunisation rates in infants and children to protect against many diseases, including pertussis (whooping cough) and measles; increasing immunisation of girls against human papillomavirus; and protecting older and vulnerable people from influenza through high rates of vaccination.</w:t>
      </w:r>
    </w:p>
    <w:p w14:paraId="43B500FC" w14:textId="77777777" w:rsidR="006407C8" w:rsidRPr="00BC0D1F" w:rsidRDefault="006407C8" w:rsidP="006407C8">
      <w:pPr>
        <w:rPr>
          <w:noProof/>
          <w:lang w:eastAsia="en-NZ"/>
        </w:rPr>
      </w:pPr>
    </w:p>
    <w:p w14:paraId="11F39333" w14:textId="77777777" w:rsidR="00AD72CC" w:rsidRPr="00BC0D1F" w:rsidRDefault="00AD72CC" w:rsidP="006407C8">
      <w:pPr>
        <w:pStyle w:val="Heading4"/>
      </w:pPr>
      <w:r w:rsidRPr="00BC0D1F">
        <w:t>Prostate cancer management</w:t>
      </w:r>
    </w:p>
    <w:p w14:paraId="4862C23A" w14:textId="77777777" w:rsidR="00DF4B9A" w:rsidRPr="00BC0D1F" w:rsidRDefault="00AD72CC" w:rsidP="006407C8">
      <w:pPr>
        <w:rPr>
          <w:noProof/>
          <w:lang w:eastAsia="en-NZ"/>
        </w:rPr>
      </w:pPr>
      <w:r w:rsidRPr="00BC0D1F">
        <w:rPr>
          <w:noProof/>
          <w:lang w:eastAsia="en-NZ"/>
        </w:rPr>
        <w:t xml:space="preserve">The </w:t>
      </w:r>
      <w:r w:rsidRPr="00BC0D1F">
        <w:rPr>
          <w:i/>
        </w:rPr>
        <w:t>Prostate Cancer Management and Referral Guidance</w:t>
      </w:r>
      <w:r w:rsidRPr="00BC0D1F">
        <w:rPr>
          <w:noProof/>
          <w:lang w:eastAsia="en-NZ"/>
        </w:rPr>
        <w:t xml:space="preserve"> was released by the Ministry in September 2015. One of the priorities of the awareness and quality improvement programme is for GPs and other health care professionals to be supported to provide men and their families and whānau with consistent information on prostate cancer testing and treatment options.</w:t>
      </w:r>
    </w:p>
    <w:p w14:paraId="0FC1F57A" w14:textId="77777777" w:rsidR="00AD72CC" w:rsidRPr="00BC0D1F" w:rsidRDefault="00AD72CC" w:rsidP="006407C8">
      <w:pPr>
        <w:rPr>
          <w:noProof/>
          <w:lang w:eastAsia="en-NZ"/>
        </w:rPr>
      </w:pPr>
    </w:p>
    <w:p w14:paraId="1EF30AF6" w14:textId="77777777" w:rsidR="00DF4B9A" w:rsidRPr="00BC0D1F" w:rsidRDefault="00AD72CC" w:rsidP="006407C8">
      <w:pPr>
        <w:rPr>
          <w:noProof/>
          <w:lang w:eastAsia="en-NZ"/>
        </w:rPr>
      </w:pPr>
      <w:r w:rsidRPr="00BC0D1F">
        <w:rPr>
          <w:noProof/>
          <w:lang w:eastAsia="en-NZ"/>
        </w:rPr>
        <w:t>Guidance on using active surveillance to manage men with low-risk prostate cancer was published by the Ministry in June 2015. This guidance is for urologists and other health professionals involved in the management of men with localised, low-risk prostate cancer. It clarifies what active surveillance is and the roles and responsibilities of the different health professionals.</w:t>
      </w:r>
    </w:p>
    <w:p w14:paraId="6CF83756" w14:textId="77777777" w:rsidR="00AD72CC" w:rsidRPr="00BC0D1F" w:rsidRDefault="00AD72CC" w:rsidP="006407C8">
      <w:pPr>
        <w:rPr>
          <w:noProof/>
          <w:lang w:eastAsia="en-NZ"/>
        </w:rPr>
      </w:pPr>
    </w:p>
    <w:p w14:paraId="096FD262" w14:textId="77777777" w:rsidR="00AD72CC" w:rsidRPr="00BC0D1F" w:rsidRDefault="00AD72CC" w:rsidP="006407C8">
      <w:pPr>
        <w:rPr>
          <w:noProof/>
          <w:lang w:eastAsia="en-NZ"/>
        </w:rPr>
      </w:pPr>
      <w:r w:rsidRPr="00BC0D1F">
        <w:rPr>
          <w:noProof/>
          <w:lang w:eastAsia="en-NZ"/>
        </w:rPr>
        <w:t xml:space="preserve">A Best Practice Advocacy Centre was commissioned to provide decision-making support to men and primary care health professionals to enable consistent, well-informed choices about prostate cancer testing and treatment. The decision support tool will be in line with, and will support the implementation of, the </w:t>
      </w:r>
      <w:r w:rsidRPr="00BC0D1F">
        <w:rPr>
          <w:i/>
          <w:noProof/>
          <w:lang w:eastAsia="en-NZ"/>
        </w:rPr>
        <w:t>Prostate Cancer Management and Referral Guidance</w:t>
      </w:r>
      <w:r w:rsidRPr="00BC0D1F">
        <w:rPr>
          <w:noProof/>
          <w:lang w:eastAsia="en-NZ"/>
        </w:rPr>
        <w:t>.</w:t>
      </w:r>
    </w:p>
    <w:p w14:paraId="21E6C20F" w14:textId="77777777" w:rsidR="00AD72CC" w:rsidRPr="00BC0D1F" w:rsidRDefault="00AD72CC" w:rsidP="006407C8">
      <w:pPr>
        <w:rPr>
          <w:noProof/>
          <w:lang w:eastAsia="en-NZ"/>
        </w:rPr>
      </w:pPr>
    </w:p>
    <w:p w14:paraId="2CAF85BA" w14:textId="77777777" w:rsidR="00AD72CC" w:rsidRPr="00BC0D1F" w:rsidRDefault="00AD72CC" w:rsidP="006407C8">
      <w:pPr>
        <w:rPr>
          <w:noProof/>
          <w:lang w:eastAsia="en-NZ"/>
        </w:rPr>
      </w:pPr>
      <w:r w:rsidRPr="00BC0D1F">
        <w:rPr>
          <w:noProof/>
          <w:lang w:eastAsia="en-NZ"/>
        </w:rPr>
        <w:t>The Ministry is supporting the prostate cancer pathology roadshow in September 2016. The roadshow serves to enhance the professional development of pathologists through education on prostate cancer. The aim will be to improve the accuracy and consistency of prostate cancer diagnosis.</w:t>
      </w:r>
    </w:p>
    <w:p w14:paraId="64AA06F6" w14:textId="77777777" w:rsidR="006407C8" w:rsidRPr="00BC0D1F" w:rsidRDefault="006407C8" w:rsidP="006407C8">
      <w:pPr>
        <w:rPr>
          <w:noProof/>
          <w:lang w:eastAsia="en-NZ"/>
        </w:rPr>
      </w:pPr>
    </w:p>
    <w:p w14:paraId="69D9F5C3" w14:textId="77777777" w:rsidR="00AD72CC" w:rsidRPr="00BC0D1F" w:rsidRDefault="00AD72CC" w:rsidP="006407C8">
      <w:pPr>
        <w:pStyle w:val="Heading4"/>
      </w:pPr>
      <w:r w:rsidRPr="00BC0D1F">
        <w:t>Service improvement programmes</w:t>
      </w:r>
    </w:p>
    <w:p w14:paraId="69B63758" w14:textId="77777777" w:rsidR="00AD72CC" w:rsidRPr="00BC0D1F" w:rsidRDefault="00AD72CC" w:rsidP="006407C8">
      <w:pPr>
        <w:rPr>
          <w:noProof/>
          <w:lang w:eastAsia="en-NZ"/>
        </w:rPr>
      </w:pPr>
      <w:r w:rsidRPr="00BC0D1F">
        <w:rPr>
          <w:noProof/>
          <w:lang w:eastAsia="en-NZ"/>
        </w:rPr>
        <w:t>The Long Term Conditions service improvement work programme included the launch by Ministers Joyce and Coleman of a partnership with the Health Research Council and the National Science Challenge. A two-stage application process was agreed to enable further work on promising proposals. A revised and updated self-management guidance document (Ministry of Health 2016c) was published on the Ministry website in February 2016. The Western Bay of Plenty PHO weight management project has been completed; the tools and resources will be made available on the Bay of Plenty DHB website.</w:t>
      </w:r>
    </w:p>
    <w:p w14:paraId="0E760E54" w14:textId="77777777" w:rsidR="00AD72CC" w:rsidRPr="00BC0D1F" w:rsidRDefault="00AD72CC" w:rsidP="006407C8">
      <w:pPr>
        <w:rPr>
          <w:noProof/>
          <w:lang w:eastAsia="en-NZ"/>
        </w:rPr>
      </w:pPr>
    </w:p>
    <w:p w14:paraId="62105A72" w14:textId="77777777" w:rsidR="00AD72CC" w:rsidRPr="00BC0D1F" w:rsidRDefault="00AD72CC" w:rsidP="006407C8">
      <w:pPr>
        <w:rPr>
          <w:noProof/>
          <w:lang w:eastAsia="en-NZ"/>
        </w:rPr>
      </w:pPr>
      <w:r w:rsidRPr="00BC0D1F">
        <w:rPr>
          <w:noProof/>
          <w:lang w:eastAsia="en-NZ"/>
        </w:rPr>
        <w:lastRenderedPageBreak/>
        <w:t>Cardiac service improvement work included the development of accelerated chest pain pathways, quality improvement initiatives and ongoing support of the cardiac registries. All DHBs contribute to the cardiac registries, and this information is used to identify service improvement and support changes in clinical practice.</w:t>
      </w:r>
    </w:p>
    <w:p w14:paraId="286AAE84" w14:textId="77777777" w:rsidR="00AD72CC" w:rsidRPr="00BC0D1F" w:rsidRDefault="00AD72CC" w:rsidP="006407C8">
      <w:pPr>
        <w:rPr>
          <w:noProof/>
          <w:lang w:eastAsia="en-NZ"/>
        </w:rPr>
      </w:pPr>
    </w:p>
    <w:p w14:paraId="1FB5D566" w14:textId="77777777" w:rsidR="00DF4B9A" w:rsidRPr="00BC0D1F" w:rsidRDefault="00AD72CC" w:rsidP="006407C8">
      <w:pPr>
        <w:rPr>
          <w:noProof/>
          <w:lang w:eastAsia="en-NZ"/>
        </w:rPr>
      </w:pPr>
      <w:r w:rsidRPr="00BC0D1F">
        <w:rPr>
          <w:noProof/>
          <w:lang w:eastAsia="en-NZ"/>
        </w:rPr>
        <w:t>The stroke service improvement programme initiated the launch of the Face, Arm, Speech, Time (FAST) campaign in June 2016, jointly with the Health Promotion Agency and Stroke Foundation, to highlight the need to promptly access emergency services. A six-month Telestroke pilot commenced on 1 June 2016 to provide an acute thrombolysis service 24/7, improve patient outcomes, and reduce inequitable acute stroke service delivery. The pilot is hosted by specialists at Wellington Hospital supporting four smaller hospitals in the Central and South Island regions. Over the year DHBs have improved the average national percentages for the two stroke indicators.</w:t>
      </w:r>
    </w:p>
    <w:p w14:paraId="1DC85C8F" w14:textId="77777777" w:rsidR="00AD72CC" w:rsidRPr="00BC0D1F" w:rsidRDefault="00AD72CC" w:rsidP="006407C8">
      <w:pPr>
        <w:rPr>
          <w:noProof/>
          <w:lang w:eastAsia="en-NZ"/>
        </w:rPr>
      </w:pPr>
    </w:p>
    <w:p w14:paraId="2A939DC3" w14:textId="77777777" w:rsidR="00AD72CC" w:rsidRPr="00BC0D1F" w:rsidRDefault="00AD72CC" w:rsidP="006407C8">
      <w:pPr>
        <w:rPr>
          <w:noProof/>
          <w:lang w:eastAsia="en-NZ"/>
        </w:rPr>
      </w:pPr>
      <w:r w:rsidRPr="00BC0D1F">
        <w:rPr>
          <w:noProof/>
          <w:lang w:eastAsia="en-NZ"/>
        </w:rPr>
        <w:t>The hepatitis C services programme supported DHBs to develop integrated hepatitis C assessment and treatment services through regional leadership and a service delivery focus on populations most at risk. Work was informed by a clinically led hepatitis C Implementation Advisory Group, who developed guidance covering the high-level hepatitis C clinical pathway, minimum requirements, quality assurance frameworks, minimum standards and data collection. Education and training activities were also developed to support the roll-out of funded hepatitis C treatments.</w:t>
      </w:r>
    </w:p>
    <w:p w14:paraId="7C180413" w14:textId="77777777" w:rsidR="006407C8" w:rsidRPr="00BC0D1F" w:rsidRDefault="006407C8" w:rsidP="006407C8">
      <w:pPr>
        <w:rPr>
          <w:noProof/>
          <w:lang w:eastAsia="en-NZ"/>
        </w:rPr>
      </w:pPr>
    </w:p>
    <w:p w14:paraId="40613C9F" w14:textId="77777777" w:rsidR="00AD72CC" w:rsidRPr="00BC0D1F" w:rsidRDefault="00AD72CC" w:rsidP="006407C8">
      <w:pPr>
        <w:pStyle w:val="Heading4"/>
      </w:pPr>
      <w:r w:rsidRPr="00BC0D1F">
        <w:t>Health screening programmes</w:t>
      </w:r>
    </w:p>
    <w:p w14:paraId="6D5F7301" w14:textId="77777777" w:rsidR="00AD72CC" w:rsidRPr="00BC0D1F" w:rsidRDefault="00AD72CC" w:rsidP="006407C8">
      <w:pPr>
        <w:rPr>
          <w:noProof/>
          <w:lang w:eastAsia="en-NZ"/>
        </w:rPr>
      </w:pPr>
      <w:r w:rsidRPr="00BC0D1F">
        <w:rPr>
          <w:noProof/>
          <w:lang w:eastAsia="en-NZ"/>
        </w:rPr>
        <w:t>Population health screening programmes (via the National Screening Unit) are provided for breast and cervical screening, antenatal, newborn hearing and newborn metabolic disorders. The Ministry</w:t>
      </w:r>
      <w:r w:rsidR="00DF4B9A" w:rsidRPr="00BC0D1F">
        <w:rPr>
          <w:noProof/>
          <w:lang w:eastAsia="en-NZ"/>
        </w:rPr>
        <w:t>’</w:t>
      </w:r>
      <w:r w:rsidRPr="00BC0D1F">
        <w:rPr>
          <w:noProof/>
          <w:lang w:eastAsia="en-NZ"/>
        </w:rPr>
        <w:t>s national screening unit is responsible for delivering safe, effective and equitable screening programmes nationwide.</w:t>
      </w:r>
    </w:p>
    <w:p w14:paraId="01CBE601" w14:textId="77777777" w:rsidR="00AD72CC" w:rsidRPr="00BC0D1F" w:rsidRDefault="00AD72CC" w:rsidP="006407C8">
      <w:pPr>
        <w:rPr>
          <w:noProof/>
          <w:lang w:eastAsia="en-NZ"/>
        </w:rPr>
      </w:pPr>
    </w:p>
    <w:p w14:paraId="06435290" w14:textId="11439462" w:rsidR="00AD72CC" w:rsidRPr="00BC0D1F" w:rsidRDefault="00AD72CC" w:rsidP="006407C8">
      <w:pPr>
        <w:rPr>
          <w:noProof/>
          <w:lang w:eastAsia="en-NZ"/>
        </w:rPr>
      </w:pPr>
      <w:r w:rsidRPr="00BC0D1F">
        <w:rPr>
          <w:noProof/>
          <w:lang w:eastAsia="en-NZ"/>
        </w:rPr>
        <w:t>Following are some examples of the work progressed or delivered in 2015/16.</w:t>
      </w:r>
    </w:p>
    <w:p w14:paraId="5FC31982" w14:textId="77777777" w:rsidR="00AD72CC" w:rsidRPr="00BC0D1F" w:rsidRDefault="00AD72CC" w:rsidP="006407C8">
      <w:pPr>
        <w:pStyle w:val="Bullet"/>
        <w:keepLines/>
      </w:pPr>
      <w:r w:rsidRPr="00BC0D1F">
        <w:t>A mortality evaluation of the national breast-screening programme was published. This major new study confirms that New Zealand</w:t>
      </w:r>
      <w:r w:rsidR="00DF4B9A" w:rsidRPr="00BC0D1F">
        <w:t>’</w:t>
      </w:r>
      <w:r w:rsidRPr="00BC0D1F">
        <w:t xml:space="preserve">s organised breast-screening programme, </w:t>
      </w:r>
      <w:proofErr w:type="spellStart"/>
      <w:r w:rsidRPr="00BC0D1F">
        <w:t>BreastScreen</w:t>
      </w:r>
      <w:proofErr w:type="spellEnd"/>
      <w:r w:rsidRPr="00BC0D1F">
        <w:t xml:space="preserve"> </w:t>
      </w:r>
      <w:proofErr w:type="spellStart"/>
      <w:r w:rsidRPr="00BC0D1F">
        <w:t>Aotearoa</w:t>
      </w:r>
      <w:proofErr w:type="spellEnd"/>
      <w:r w:rsidRPr="00BC0D1F">
        <w:t xml:space="preserve"> (BSA), is reducing deaths from breast cancer. The study concludes that for women who have been screened at least once by BSA, the rate of death from breast cancer is reduced by a third compared to women never screened by the programme. It also confirms that greater reductions in death rates are possible if participation targets are achieved in all priority groups and across the country. The findings of this study are in line with mortality studies of breast-screening programmes internationally.</w:t>
      </w:r>
    </w:p>
    <w:p w14:paraId="5AB66DBA" w14:textId="77777777" w:rsidR="00AD72CC" w:rsidRPr="00BC0D1F" w:rsidRDefault="00AD72CC" w:rsidP="006407C8">
      <w:pPr>
        <w:pStyle w:val="Bullet"/>
      </w:pPr>
      <w:r w:rsidRPr="00BC0D1F">
        <w:t>The Ministry engaged with the sector to develop a new service model to better target priority women in BSA and the National Cervical Screening Programme.</w:t>
      </w:r>
      <w:r w:rsidRPr="00BC0D1F">
        <w:rPr>
          <w:rStyle w:val="FootnoteReference"/>
        </w:rPr>
        <w:footnoteReference w:id="7"/>
      </w:r>
    </w:p>
    <w:p w14:paraId="239C5D80" w14:textId="77777777" w:rsidR="00DF4B9A" w:rsidRPr="00BC0D1F" w:rsidRDefault="00AD72CC" w:rsidP="006407C8">
      <w:pPr>
        <w:pStyle w:val="Bullet"/>
      </w:pPr>
      <w:r w:rsidRPr="00BC0D1F">
        <w:t>Policy and service development work was undertaken to support the change in 2018 from primary cytology screening to primary human papillomavirus (HPV) screening in the National Cervical Screening Programme.</w:t>
      </w:r>
    </w:p>
    <w:p w14:paraId="40BBC4AD" w14:textId="77777777" w:rsidR="00AD72CC" w:rsidRPr="00BC0D1F" w:rsidRDefault="00AD72CC" w:rsidP="006407C8">
      <w:pPr>
        <w:pStyle w:val="Bullet"/>
      </w:pPr>
      <w:r w:rsidRPr="00BC0D1F">
        <w:t>Undertaking a project to improve the timeliness, quality and completeness of colposcopy data received at the National Cervical Screening Programme register. The programme has been working closely with DHBs to support the implementation of the electronic reporting system in DHB colposcopy clinics. At 30 June 2016, 16 DHBs had gone live with electronic reporting of colposcopy data, with full implementation expected by the end of July 2016.</w:t>
      </w:r>
    </w:p>
    <w:p w14:paraId="7E74FE21" w14:textId="77777777" w:rsidR="00AD72CC" w:rsidRPr="00BC0D1F" w:rsidRDefault="00AD72CC" w:rsidP="006407C8">
      <w:pPr>
        <w:pStyle w:val="Bullet"/>
      </w:pPr>
      <w:r w:rsidRPr="00BC0D1F">
        <w:lastRenderedPageBreak/>
        <w:t xml:space="preserve">Completion of a new screening protocol and standardised screening equipment were introduced in all DHBs for the Universal </w:t>
      </w:r>
      <w:proofErr w:type="spellStart"/>
      <w:r w:rsidRPr="00BC0D1F">
        <w:t>Newborn</w:t>
      </w:r>
      <w:proofErr w:type="spellEnd"/>
      <w:r w:rsidRPr="00BC0D1F">
        <w:t xml:space="preserve"> Hearing Screening and Early Intervention Programme (UNHSEIP). The UNHSEIP detects about 60 babies per year with moderate to severe or profound congenital hearing loss. (This programme is jointly overseen by the Ministries of Health and Education.)</w:t>
      </w:r>
    </w:p>
    <w:p w14:paraId="69463DA8" w14:textId="77777777" w:rsidR="00AD72CC" w:rsidRPr="00BC0D1F" w:rsidRDefault="00AD72CC" w:rsidP="006407C8">
      <w:pPr>
        <w:pStyle w:val="Bullet"/>
      </w:pPr>
      <w:r w:rsidRPr="00BC0D1F">
        <w:t xml:space="preserve">Work was undertaken to improve the timeliness of </w:t>
      </w:r>
      <w:proofErr w:type="spellStart"/>
      <w:r w:rsidRPr="00BC0D1F">
        <w:t>newborn</w:t>
      </w:r>
      <w:proofErr w:type="spellEnd"/>
      <w:r w:rsidRPr="00BC0D1F">
        <w:t xml:space="preserve"> metabolic screening, including measures to improve the transit time (the time taken for a blood spot sample to reach the laboratory after it has been taken). In order to reduce morbidity and mortality, timely detection of disorders is critical. The </w:t>
      </w:r>
      <w:proofErr w:type="spellStart"/>
      <w:r w:rsidRPr="00BC0D1F">
        <w:t>Newborn</w:t>
      </w:r>
      <w:proofErr w:type="spellEnd"/>
      <w:r w:rsidRPr="00BC0D1F">
        <w:t xml:space="preserve"> Metabolic Screening Programme screens babies for 24 rare but life-threatening metabolic disorders.</w:t>
      </w:r>
    </w:p>
    <w:p w14:paraId="46B85808" w14:textId="77777777" w:rsidR="00AD72CC" w:rsidRDefault="00AD72CC" w:rsidP="006407C8">
      <w:pPr>
        <w:pStyle w:val="Bullet"/>
      </w:pPr>
      <w:r w:rsidRPr="00BC0D1F">
        <w:t xml:space="preserve">Quality improvement initiatives were implemented for antenatal screening for Down syndrome and other conditions, with the aim of ensuring timely and accurate results are provided to pregnant women and their </w:t>
      </w:r>
      <w:proofErr w:type="spellStart"/>
      <w:r w:rsidRPr="00BC0D1F">
        <w:t>whānau</w:t>
      </w:r>
      <w:proofErr w:type="spellEnd"/>
      <w:r w:rsidRPr="00BC0D1F">
        <w:t>. This included development of practitioner guidelines and feedback to radiology practices and practitioners on the quality of the measurements (nuchal translucency and crown rump length) taken during first trimester ultrasound scans.</w:t>
      </w:r>
    </w:p>
    <w:p w14:paraId="4DA1C43A" w14:textId="77777777" w:rsidR="00792E4C" w:rsidRPr="00BC0D1F" w:rsidRDefault="00792E4C" w:rsidP="00792E4C">
      <w:pPr>
        <w:pStyle w:val="Bullet"/>
        <w:numPr>
          <w:ilvl w:val="0"/>
          <w:numId w:val="0"/>
        </w:numPr>
        <w:ind w:left="284"/>
      </w:pPr>
    </w:p>
    <w:p w14:paraId="54357D18" w14:textId="77777777" w:rsidR="00792E4C" w:rsidRPr="00BC0D1F" w:rsidRDefault="00792E4C" w:rsidP="00792E4C">
      <w:pPr>
        <w:pStyle w:val="Heading4"/>
      </w:pPr>
      <w:r w:rsidRPr="00BC0D1F">
        <w:t>Health literacy</w:t>
      </w:r>
    </w:p>
    <w:p w14:paraId="230CF63C" w14:textId="77777777" w:rsidR="00792E4C" w:rsidRPr="00BC0D1F" w:rsidRDefault="00792E4C" w:rsidP="00792E4C">
      <w:pPr>
        <w:rPr>
          <w:noProof/>
          <w:lang w:eastAsia="en-NZ"/>
        </w:rPr>
      </w:pPr>
      <w:r w:rsidRPr="00BC0D1F">
        <w:rPr>
          <w:noProof/>
          <w:lang w:eastAsia="en-NZ"/>
        </w:rPr>
        <w:t xml:space="preserve">A number of health literacy programmes have been introduced to support people to better understand health literary and its impact. These include building whānau health literacy for </w:t>
      </w:r>
      <w:r w:rsidRPr="00BC0D1F">
        <w:t>a number of Māori who are enrolled</w:t>
      </w:r>
      <w:r w:rsidRPr="00BC0D1F">
        <w:rPr>
          <w:noProof/>
          <w:lang w:eastAsia="en-NZ"/>
        </w:rPr>
        <w:t xml:space="preserve"> for elective bariatric surgery and looking at a range of settings, including marae, where ongoing self-management can be built.</w:t>
      </w:r>
    </w:p>
    <w:p w14:paraId="29160A5E" w14:textId="77777777" w:rsidR="006407C8" w:rsidRPr="00BC0D1F" w:rsidRDefault="006407C8" w:rsidP="006407C8"/>
    <w:p w14:paraId="4D987B5C" w14:textId="77777777" w:rsidR="00AD72CC" w:rsidRPr="00BC0D1F" w:rsidRDefault="00AD72CC" w:rsidP="006407C8">
      <w:pPr>
        <w:pStyle w:val="Heading3"/>
        <w:rPr>
          <w:lang w:eastAsia="en-NZ"/>
        </w:rPr>
      </w:pPr>
      <w:r w:rsidRPr="00BC0D1F">
        <w:rPr>
          <w:lang w:eastAsia="en-NZ"/>
        </w:rPr>
        <w:t>Bowel screening</w:t>
      </w:r>
    </w:p>
    <w:p w14:paraId="6DC14FA3" w14:textId="77777777" w:rsidR="00DF4B9A" w:rsidRPr="00BC0D1F" w:rsidRDefault="00AD72CC" w:rsidP="006407C8">
      <w:pPr>
        <w:rPr>
          <w:noProof/>
          <w:lang w:eastAsia="en-NZ"/>
        </w:rPr>
      </w:pPr>
      <w:r w:rsidRPr="00BC0D1F">
        <w:rPr>
          <w:noProof/>
          <w:lang w:eastAsia="en-NZ"/>
        </w:rPr>
        <w:t>Budget 2016 provides $39.3 million over four years to begin implementation of the National Bowel Screening Programme. This will cover the cost of the design, planning and set-up phases. Additional funding has also been set aside for work on the national IT system and infrastructure needed for a national programme.</w:t>
      </w:r>
    </w:p>
    <w:p w14:paraId="2C190A8A" w14:textId="77777777" w:rsidR="00AD72CC" w:rsidRPr="00BC0D1F" w:rsidRDefault="00AD72CC" w:rsidP="006407C8">
      <w:pPr>
        <w:rPr>
          <w:noProof/>
          <w:lang w:eastAsia="en-NZ"/>
        </w:rPr>
      </w:pPr>
    </w:p>
    <w:p w14:paraId="57B62061" w14:textId="77777777" w:rsidR="00DF4B9A" w:rsidRPr="00BC0D1F" w:rsidRDefault="00AD72CC" w:rsidP="006407C8">
      <w:pPr>
        <w:rPr>
          <w:noProof/>
          <w:lang w:eastAsia="en-NZ"/>
        </w:rPr>
      </w:pPr>
      <w:r w:rsidRPr="00BC0D1F">
        <w:rPr>
          <w:noProof/>
          <w:lang w:eastAsia="en-NZ"/>
        </w:rPr>
        <w:t>The roll-out of the national programme will see Hutt Valley and Wairarapa DHBs begin screening the eligible 60 to 74 years age group from mid-2017, with all other DHBs following in stages. Bowel screening will continue to be offered at Waitemata DHB, which will transition from a pilot to the national bowel screening model over the course of the roll-out. DHBs have worked hard to reduce waiting times for publicly funded colonoscopies and to improve the quality and efficiency of colonoscopy services.</w:t>
      </w:r>
    </w:p>
    <w:p w14:paraId="010517B0" w14:textId="77777777" w:rsidR="00DF4B9A" w:rsidRPr="00BC0D1F" w:rsidRDefault="00AD72CC" w:rsidP="006407C8">
      <w:pPr>
        <w:spacing w:before="240"/>
        <w:rPr>
          <w:noProof/>
          <w:lang w:eastAsia="en-NZ"/>
        </w:rPr>
      </w:pPr>
      <w:r w:rsidRPr="00BC0D1F">
        <w:rPr>
          <w:noProof/>
          <w:lang w:eastAsia="en-NZ"/>
        </w:rPr>
        <w:t>While there are still challenges ahead, a national bowel screening programme will build on this progress and deliver improved bowel cancer detection to more New Zealanders.</w:t>
      </w:r>
    </w:p>
    <w:p w14:paraId="3B6A6460" w14:textId="77777777" w:rsidR="006407C8" w:rsidRPr="00BC0D1F" w:rsidRDefault="006407C8" w:rsidP="006407C8">
      <w:pPr>
        <w:rPr>
          <w:noProof/>
          <w:lang w:eastAsia="en-NZ"/>
        </w:rPr>
      </w:pPr>
    </w:p>
    <w:p w14:paraId="56C9A710" w14:textId="77777777" w:rsidR="00DF4B9A" w:rsidRPr="00BC0D1F" w:rsidRDefault="00AD72CC" w:rsidP="006407C8">
      <w:pPr>
        <w:pStyle w:val="Heading3"/>
      </w:pPr>
      <w:r w:rsidRPr="00BC0D1F">
        <w:t>Reducing obesity: Childhood Obesity Plan</w:t>
      </w:r>
    </w:p>
    <w:p w14:paraId="111AEEB3" w14:textId="77777777" w:rsidR="00AD72CC" w:rsidRPr="00BC0D1F" w:rsidRDefault="00AD72CC" w:rsidP="006407C8">
      <w:r w:rsidRPr="00BC0D1F">
        <w:t>Obesity is a risk indicator for a number of debilitating health conditions, particularly diabetes. Reducing obesity would be expected to enable people to live longer and better, as well as reducing the burden on the health system fr0m obesity-related conditions. New Zealand rates of adult and child obesity are relatively high, and have been increasing.</w:t>
      </w:r>
    </w:p>
    <w:p w14:paraId="5144135B" w14:textId="77777777" w:rsidR="006407C8" w:rsidRPr="00BC0D1F" w:rsidRDefault="006407C8" w:rsidP="006407C8">
      <w:pPr>
        <w:rPr>
          <w:noProof/>
          <w:lang w:eastAsia="en-NZ"/>
        </w:rPr>
      </w:pPr>
    </w:p>
    <w:p w14:paraId="3BA76B17" w14:textId="2B36EEB5" w:rsidR="00AD72CC" w:rsidRPr="00BC0D1F" w:rsidRDefault="00AD72CC" w:rsidP="006407C8">
      <w:pPr>
        <w:rPr>
          <w:rFonts w:cs="Arial"/>
          <w:bCs/>
          <w:szCs w:val="22"/>
        </w:rPr>
      </w:pPr>
      <w:r w:rsidRPr="00BC0D1F">
        <w:rPr>
          <w:noProof/>
          <w:lang w:eastAsia="en-NZ"/>
        </w:rPr>
        <w:t>In October 2015 the Government implemented the Childhood Obesity Plan. This is a package of 22</w:t>
      </w:r>
      <w:r w:rsidR="006407C8" w:rsidRPr="00BC0D1F">
        <w:rPr>
          <w:noProof/>
          <w:lang w:eastAsia="en-NZ"/>
        </w:rPr>
        <w:t> </w:t>
      </w:r>
      <w:r w:rsidRPr="00BC0D1F">
        <w:rPr>
          <w:noProof/>
          <w:lang w:eastAsia="en-NZ"/>
        </w:rPr>
        <w:t xml:space="preserve">initiatives to prevent and manage obesity in children and young people. It includes targeted interventions for those who are obese, increased support for those at risk of becoming obese and </w:t>
      </w:r>
      <w:r w:rsidRPr="00BC0D1F">
        <w:rPr>
          <w:noProof/>
          <w:lang w:eastAsia="en-NZ"/>
        </w:rPr>
        <w:lastRenderedPageBreak/>
        <w:t>a broad base of population-based strategies to make healthier choices easier for all New Zealanders. (Examples of progress on some of the 22 initiatives are provided below</w:t>
      </w:r>
      <w:r w:rsidRPr="00BC0D1F">
        <w:rPr>
          <w:rFonts w:cs="Arial"/>
          <w:bCs/>
          <w:szCs w:val="22"/>
        </w:rPr>
        <w:t>.)</w:t>
      </w:r>
    </w:p>
    <w:p w14:paraId="20C433D0" w14:textId="77777777" w:rsidR="00AD72CC" w:rsidRPr="00BC0D1F" w:rsidRDefault="00AD72CC" w:rsidP="006407C8"/>
    <w:p w14:paraId="22047FF7" w14:textId="77777777" w:rsidR="00AD72CC" w:rsidRPr="00BC0D1F" w:rsidRDefault="00AD72CC" w:rsidP="006407C8">
      <w:pPr>
        <w:rPr>
          <w:noProof/>
          <w:lang w:eastAsia="en-NZ"/>
        </w:rPr>
      </w:pPr>
      <w:r w:rsidRPr="00BC0D1F">
        <w:rPr>
          <w:noProof/>
          <w:lang w:eastAsia="en-NZ"/>
        </w:rPr>
        <w:t xml:space="preserve">On 1 July 2016 the Ministry implemented a new </w:t>
      </w:r>
      <w:r w:rsidR="00DF4B9A" w:rsidRPr="00BC0D1F">
        <w:rPr>
          <w:noProof/>
          <w:lang w:eastAsia="en-NZ"/>
        </w:rPr>
        <w:t>‘</w:t>
      </w:r>
      <w:r w:rsidRPr="00BC0D1F">
        <w:rPr>
          <w:noProof/>
          <w:lang w:eastAsia="en-NZ"/>
        </w:rPr>
        <w:t>Raising healthy kids</w:t>
      </w:r>
      <w:r w:rsidR="00DF4B9A" w:rsidRPr="00BC0D1F">
        <w:rPr>
          <w:noProof/>
          <w:lang w:eastAsia="en-NZ"/>
        </w:rPr>
        <w:t>’</w:t>
      </w:r>
      <w:r w:rsidRPr="00BC0D1F">
        <w:rPr>
          <w:noProof/>
          <w:lang w:eastAsia="en-NZ"/>
        </w:rPr>
        <w:t xml:space="preserve"> target to support this package of initiatives. This is one of two targeted interventions in the </w:t>
      </w:r>
      <w:hyperlink r:id="rId26" w:history="1">
        <w:r w:rsidRPr="00BC0D1F">
          <w:rPr>
            <w:noProof/>
            <w:lang w:eastAsia="en-NZ"/>
          </w:rPr>
          <w:t>Childhood Obesity Plan</w:t>
        </w:r>
      </w:hyperlink>
      <w:r w:rsidRPr="00BC0D1F">
        <w:rPr>
          <w:noProof/>
          <w:lang w:eastAsia="en-NZ"/>
        </w:rPr>
        <w:t xml:space="preserve"> that will reach at-risk young children and their families directly.</w:t>
      </w:r>
    </w:p>
    <w:p w14:paraId="21ADF28F" w14:textId="77777777" w:rsidR="00AD72CC" w:rsidRPr="00BC0D1F" w:rsidRDefault="00AD72CC" w:rsidP="006407C8">
      <w:pPr>
        <w:rPr>
          <w:noProof/>
          <w:lang w:eastAsia="en-NZ"/>
        </w:rPr>
      </w:pPr>
    </w:p>
    <w:p w14:paraId="293F2AE6" w14:textId="77777777" w:rsidR="00AD72CC" w:rsidRPr="00BC0D1F" w:rsidRDefault="00AD72CC" w:rsidP="006407C8">
      <w:pPr>
        <w:rPr>
          <w:noProof/>
          <w:lang w:eastAsia="en-NZ"/>
        </w:rPr>
      </w:pPr>
      <w:r w:rsidRPr="00BC0D1F">
        <w:rPr>
          <w:noProof/>
          <w:lang w:eastAsia="en-NZ"/>
        </w:rPr>
        <w:t>A practical resource</w:t>
      </w:r>
      <w:r w:rsidRPr="00BC0D1F">
        <w:rPr>
          <w:i/>
        </w:rPr>
        <w:t>, Weight Management in 2–5 Year Olds</w:t>
      </w:r>
      <w:r w:rsidRPr="00BC0D1F">
        <w:rPr>
          <w:noProof/>
          <w:lang w:eastAsia="en-NZ"/>
        </w:rPr>
        <w:t>, has been developed by the Ministry to equip health providers with the most up-to-date advice to monitor, assess and manage children who are overweight and obese. It also includes sleep, nutrition and activity tips to assist caregivers of two- to five-year olds.</w:t>
      </w:r>
    </w:p>
    <w:p w14:paraId="775D6FF3" w14:textId="77777777" w:rsidR="006407C8" w:rsidRPr="00BC0D1F" w:rsidRDefault="006407C8" w:rsidP="006407C8">
      <w:pPr>
        <w:rPr>
          <w:noProof/>
          <w:lang w:eastAsia="en-NZ"/>
        </w:rPr>
      </w:pPr>
    </w:p>
    <w:p w14:paraId="569CB889" w14:textId="77777777" w:rsidR="00AD72CC" w:rsidRPr="00BC0D1F" w:rsidRDefault="00AD72CC" w:rsidP="006407C8">
      <w:pPr>
        <w:pStyle w:val="Heading4"/>
        <w:rPr>
          <w:i/>
        </w:rPr>
      </w:pPr>
      <w:r w:rsidRPr="00BC0D1F">
        <w:rPr>
          <w:i/>
        </w:rPr>
        <w:t>Eating and Activity Guidelines for New Zealand Adults</w:t>
      </w:r>
    </w:p>
    <w:p w14:paraId="556031F7" w14:textId="77777777" w:rsidR="00DF4B9A" w:rsidRPr="00BC0D1F" w:rsidRDefault="00AD72CC" w:rsidP="006407C8">
      <w:pPr>
        <w:rPr>
          <w:noProof/>
          <w:lang w:eastAsia="en-NZ"/>
        </w:rPr>
      </w:pPr>
      <w:r w:rsidRPr="00BC0D1F">
        <w:rPr>
          <w:noProof/>
          <w:lang w:eastAsia="en-NZ"/>
        </w:rPr>
        <w:t xml:space="preserve">These evidence-based guidelines for use by health and physical activity practitioners were released in October 2015 as part of the </w:t>
      </w:r>
      <w:hyperlink r:id="rId27" w:history="1">
        <w:r w:rsidRPr="00BC0D1F">
          <w:rPr>
            <w:noProof/>
            <w:lang w:eastAsia="en-NZ"/>
          </w:rPr>
          <w:t>Childhood Obesity Plan</w:t>
        </w:r>
      </w:hyperlink>
      <w:r w:rsidRPr="00BC0D1F">
        <w:rPr>
          <w:noProof/>
          <w:lang w:eastAsia="en-NZ"/>
        </w:rPr>
        <w:t>. The guidelines support New Zealanders to live well and stay well by reducing their risk of long-term conditions such as type</w:t>
      </w:r>
      <w:r w:rsidR="006407C8" w:rsidRPr="00BC0D1F">
        <w:rPr>
          <w:noProof/>
          <w:lang w:eastAsia="en-NZ"/>
        </w:rPr>
        <w:t> </w:t>
      </w:r>
      <w:r w:rsidRPr="00BC0D1F">
        <w:rPr>
          <w:noProof/>
          <w:lang w:eastAsia="en-NZ"/>
        </w:rPr>
        <w:t>2 diabetes and obesity.</w:t>
      </w:r>
    </w:p>
    <w:p w14:paraId="6669B488" w14:textId="77777777" w:rsidR="00AD72CC" w:rsidRPr="00BC0D1F" w:rsidRDefault="00AD72CC" w:rsidP="006407C8">
      <w:pPr>
        <w:rPr>
          <w:noProof/>
          <w:lang w:eastAsia="en-NZ"/>
        </w:rPr>
      </w:pPr>
    </w:p>
    <w:p w14:paraId="003FC384" w14:textId="77777777" w:rsidR="00AD72CC" w:rsidRPr="00BC0D1F" w:rsidRDefault="00AD72CC" w:rsidP="006407C8">
      <w:pPr>
        <w:rPr>
          <w:noProof/>
          <w:lang w:eastAsia="en-NZ"/>
        </w:rPr>
      </w:pPr>
      <w:r w:rsidRPr="00BC0D1F">
        <w:rPr>
          <w:noProof/>
          <w:lang w:eastAsia="en-NZ"/>
        </w:rPr>
        <w:t xml:space="preserve">The new </w:t>
      </w:r>
      <w:r w:rsidRPr="00BC0D1F">
        <w:rPr>
          <w:i/>
        </w:rPr>
        <w:t>Eating and Activity Guidelines</w:t>
      </w:r>
      <w:r w:rsidRPr="00BC0D1F">
        <w:rPr>
          <w:noProof/>
          <w:lang w:eastAsia="en-NZ"/>
        </w:rPr>
        <w:t xml:space="preserve"> integrate advice on food, nutrition, healthy weight and physical activity into a single document for the first time. The core part of the publication is a series of statements or recommendations for healthy eating, maintaining a healthy weight, being physically active and minimising sedentary behaviour. Accompanying the guidelines are consumer resources, topical questions and answers, and related information, which are available on the Ministry</w:t>
      </w:r>
      <w:r w:rsidR="00DF4B9A" w:rsidRPr="00BC0D1F">
        <w:rPr>
          <w:noProof/>
          <w:lang w:eastAsia="en-NZ"/>
        </w:rPr>
        <w:t>’</w:t>
      </w:r>
      <w:r w:rsidRPr="00BC0D1F">
        <w:rPr>
          <w:noProof/>
          <w:lang w:eastAsia="en-NZ"/>
        </w:rPr>
        <w:t>s website.</w:t>
      </w:r>
    </w:p>
    <w:p w14:paraId="293C46F7" w14:textId="77777777" w:rsidR="006407C8" w:rsidRPr="00BC0D1F" w:rsidRDefault="006407C8" w:rsidP="006407C8">
      <w:pPr>
        <w:rPr>
          <w:noProof/>
          <w:lang w:eastAsia="en-NZ"/>
        </w:rPr>
      </w:pPr>
    </w:p>
    <w:p w14:paraId="087B4B6D" w14:textId="77777777" w:rsidR="00DF4B9A" w:rsidRPr="00BC0D1F" w:rsidRDefault="00AD72CC" w:rsidP="006407C8">
      <w:pPr>
        <w:pStyle w:val="Heading4"/>
      </w:pPr>
      <w:r w:rsidRPr="00BC0D1F">
        <w:t>National Healthy Food and Drink Policy</w:t>
      </w:r>
    </w:p>
    <w:p w14:paraId="7D09405A" w14:textId="77777777" w:rsidR="00DF4B9A" w:rsidRPr="00BC0D1F" w:rsidRDefault="00AD72CC" w:rsidP="006407C8">
      <w:pPr>
        <w:keepLines/>
      </w:pPr>
      <w:r w:rsidRPr="00BC0D1F">
        <w:t xml:space="preserve">A sector network </w:t>
      </w:r>
      <w:r w:rsidRPr="00BC0D1F">
        <w:rPr>
          <w:lang w:eastAsia="en-NZ"/>
        </w:rPr>
        <w:t>comprising</w:t>
      </w:r>
      <w:r w:rsidRPr="00BC0D1F">
        <w:t xml:space="preserve"> DHBs and Ministry representatives has worked collaboratively to develop a consistent approach to the food environment within their organisations and demonstrate leadership in this important area. A three</w:t>
      </w:r>
      <w:r w:rsidRPr="00BC0D1F">
        <w:rPr>
          <w:lang w:eastAsia="en-NZ"/>
        </w:rPr>
        <w:t>-</w:t>
      </w:r>
      <w:r w:rsidRPr="00BC0D1F">
        <w:t xml:space="preserve">stage process has been used to achieve this initiative in the </w:t>
      </w:r>
      <w:hyperlink r:id="rId28" w:history="1">
        <w:r w:rsidRPr="00BC0D1F">
          <w:t>Childhood Obesity Plan</w:t>
        </w:r>
      </w:hyperlink>
      <w:r w:rsidRPr="00BC0D1F">
        <w:t xml:space="preserve">. The first stage was the removal of sugar-sweetened beverages from DHB facilities by 30 September 2015. The second stage was the development of healthy food and drink policy principles (aligned with the </w:t>
      </w:r>
      <w:r w:rsidRPr="00BC0D1F">
        <w:rPr>
          <w:i/>
        </w:rPr>
        <w:t>Eating and Activity Guidelines</w:t>
      </w:r>
      <w:r w:rsidRPr="00BC0D1F">
        <w:t xml:space="preserve"> </w:t>
      </w:r>
      <w:r w:rsidRPr="00BC0D1F">
        <w:rPr>
          <w:i/>
        </w:rPr>
        <w:t>for New Zealand Adults</w:t>
      </w:r>
      <w:r w:rsidRPr="00BC0D1F">
        <w:t>) by 30 December 2015.</w:t>
      </w:r>
    </w:p>
    <w:p w14:paraId="66F6BFE5" w14:textId="77777777" w:rsidR="00AD72CC" w:rsidRPr="00BC0D1F" w:rsidRDefault="00AD72CC" w:rsidP="006407C8"/>
    <w:p w14:paraId="232C9021" w14:textId="77777777" w:rsidR="00AD72CC" w:rsidRPr="00BC0D1F" w:rsidRDefault="00AD72CC" w:rsidP="006407C8">
      <w:r w:rsidRPr="00BC0D1F">
        <w:t>The third stage has been the development by the sector network of detailed nutrient criteria for use in hospital cafes, shops, vending machines and catering for staff and visitors. Key stakeholder consultation</w:t>
      </w:r>
      <w:r w:rsidRPr="00BC0D1F">
        <w:rPr>
          <w:lang w:eastAsia="en-NZ"/>
        </w:rPr>
        <w:t>,</w:t>
      </w:r>
      <w:r w:rsidRPr="00BC0D1F">
        <w:t xml:space="preserve"> including DHBs, health sector unions, </w:t>
      </w:r>
      <w:proofErr w:type="gramStart"/>
      <w:r w:rsidRPr="00BC0D1F">
        <w:t>food</w:t>
      </w:r>
      <w:proofErr w:type="gramEnd"/>
      <w:r w:rsidRPr="00BC0D1F">
        <w:t xml:space="preserve"> industry</w:t>
      </w:r>
      <w:r w:rsidRPr="00BC0D1F">
        <w:rPr>
          <w:lang w:eastAsia="en-NZ"/>
        </w:rPr>
        <w:t xml:space="preserve"> and</w:t>
      </w:r>
      <w:r w:rsidRPr="00BC0D1F">
        <w:t xml:space="preserve"> catering companies</w:t>
      </w:r>
      <w:r w:rsidRPr="00BC0D1F">
        <w:rPr>
          <w:lang w:eastAsia="en-NZ"/>
        </w:rPr>
        <w:t>,</w:t>
      </w:r>
      <w:r w:rsidRPr="00BC0D1F">
        <w:t xml:space="preserve"> was undertaken. The National Healthy Food and Drink Policy is being considered for approval </w:t>
      </w:r>
      <w:r w:rsidRPr="00BC0D1F">
        <w:rPr>
          <w:lang w:eastAsia="en-NZ"/>
        </w:rPr>
        <w:t>by</w:t>
      </w:r>
      <w:r w:rsidRPr="00BC0D1F">
        <w:t xml:space="preserve"> DHBs and has been adopted by the Ministry. A generic organisational healthy food and drink policy has also been developed to support other agencies such as </w:t>
      </w:r>
      <w:r w:rsidRPr="00BC0D1F">
        <w:rPr>
          <w:lang w:eastAsia="en-NZ"/>
        </w:rPr>
        <w:t>g</w:t>
      </w:r>
      <w:r w:rsidRPr="00BC0D1F">
        <w:t>overnment departments, Crown agencies and local authorities to show leadership in the area of providing healthier food and drink environments for staff and visitors.</w:t>
      </w:r>
    </w:p>
    <w:p w14:paraId="7FA216F4" w14:textId="77777777" w:rsidR="006407C8" w:rsidRPr="00BC0D1F" w:rsidRDefault="006407C8" w:rsidP="006407C8"/>
    <w:p w14:paraId="08578E19" w14:textId="77777777" w:rsidR="00DF4B9A" w:rsidRPr="00BC0D1F" w:rsidRDefault="00AD72CC" w:rsidP="006407C8">
      <w:pPr>
        <w:pStyle w:val="Heading3"/>
      </w:pPr>
      <w:r w:rsidRPr="00BC0D1F">
        <w:t>Implementing a diabetes plan</w:t>
      </w:r>
    </w:p>
    <w:p w14:paraId="21F30783" w14:textId="08B21D29" w:rsidR="00DF4B9A" w:rsidRPr="00BC0D1F" w:rsidRDefault="00AD72CC" w:rsidP="006407C8">
      <w:pPr>
        <w:rPr>
          <w:noProof/>
          <w:lang w:eastAsia="en-NZ"/>
        </w:rPr>
      </w:pPr>
      <w:r w:rsidRPr="00BC0D1F">
        <w:rPr>
          <w:noProof/>
          <w:lang w:eastAsia="en-NZ"/>
        </w:rPr>
        <w:t xml:space="preserve">The Living Well with Diabetes Plan was launched by </w:t>
      </w:r>
      <w:r w:rsidR="001A343C">
        <w:rPr>
          <w:noProof/>
          <w:lang w:eastAsia="en-NZ"/>
        </w:rPr>
        <w:t xml:space="preserve">the </w:t>
      </w:r>
      <w:r w:rsidRPr="00BC0D1F">
        <w:rPr>
          <w:noProof/>
          <w:lang w:eastAsia="en-NZ"/>
        </w:rPr>
        <w:t xml:space="preserve">Minister </w:t>
      </w:r>
      <w:r w:rsidR="001A343C">
        <w:rPr>
          <w:noProof/>
          <w:lang w:eastAsia="en-NZ"/>
        </w:rPr>
        <w:t xml:space="preserve">of Health </w:t>
      </w:r>
      <w:r w:rsidRPr="00BC0D1F">
        <w:rPr>
          <w:noProof/>
          <w:lang w:eastAsia="en-NZ"/>
        </w:rPr>
        <w:t xml:space="preserve">in October 2015. The Plan provides a clear roadmap for how to tackle diabetes over 2015−2020. The objectives include reducing the burden of disease for people with diabetes by providing integrated services, and the </w:t>
      </w:r>
      <w:r w:rsidRPr="00BC0D1F">
        <w:t>tools and support people need to manage their health.</w:t>
      </w:r>
    </w:p>
    <w:p w14:paraId="0373E970" w14:textId="77777777" w:rsidR="00AD72CC" w:rsidRPr="00BC0D1F" w:rsidRDefault="00AD72CC" w:rsidP="006407C8">
      <w:pPr>
        <w:rPr>
          <w:noProof/>
          <w:lang w:eastAsia="en-NZ"/>
        </w:rPr>
      </w:pPr>
    </w:p>
    <w:p w14:paraId="10CF0DAF" w14:textId="77777777" w:rsidR="00DF4B9A" w:rsidRPr="00BC0D1F" w:rsidRDefault="00AD72CC" w:rsidP="006407C8">
      <w:pPr>
        <w:rPr>
          <w:noProof/>
          <w:lang w:eastAsia="en-NZ"/>
        </w:rPr>
      </w:pPr>
      <w:r w:rsidRPr="00BC0D1F">
        <w:rPr>
          <w:noProof/>
          <w:lang w:eastAsia="en-NZ"/>
        </w:rPr>
        <w:t xml:space="preserve">Services to support the Plan are under way, with two community-led weight management programmes running to June 2017 for people with or at risk of diabetes. Guidance papers and </w:t>
      </w:r>
      <w:r w:rsidRPr="00BC0D1F">
        <w:rPr>
          <w:noProof/>
          <w:lang w:eastAsia="en-NZ"/>
        </w:rPr>
        <w:lastRenderedPageBreak/>
        <w:t>advice were updated for pre-diabetes, retinal screening and self-management. The self</w:t>
      </w:r>
      <w:r w:rsidR="006407C8" w:rsidRPr="00BC0D1F">
        <w:rPr>
          <w:noProof/>
          <w:lang w:eastAsia="en-NZ"/>
        </w:rPr>
        <w:noBreakHyphen/>
      </w:r>
      <w:r w:rsidRPr="00BC0D1F">
        <w:rPr>
          <w:noProof/>
          <w:lang w:eastAsia="en-NZ"/>
        </w:rPr>
        <w:t>management guidance was developed after three workshops in 2015 to support people with long-term conditions, including diabetes. A consensus statement for chronic kidney disease was implemented, with a web-based decision support tool available for primary care.</w:t>
      </w:r>
    </w:p>
    <w:p w14:paraId="724CBB8D" w14:textId="77777777" w:rsidR="00AD72CC" w:rsidRPr="00BC0D1F" w:rsidRDefault="00AD72CC" w:rsidP="006407C8">
      <w:pPr>
        <w:rPr>
          <w:noProof/>
          <w:lang w:eastAsia="en-NZ"/>
        </w:rPr>
      </w:pPr>
    </w:p>
    <w:p w14:paraId="04C40D48" w14:textId="77777777" w:rsidR="00DF4B9A" w:rsidRPr="00BC0D1F" w:rsidRDefault="00AD72CC" w:rsidP="006407C8">
      <w:pPr>
        <w:rPr>
          <w:noProof/>
          <w:lang w:eastAsia="en-NZ"/>
        </w:rPr>
      </w:pPr>
      <w:r w:rsidRPr="00BC0D1F">
        <w:rPr>
          <w:noProof/>
          <w:lang w:eastAsia="en-NZ"/>
        </w:rPr>
        <w:t>Two DHB-led projects to support primary mental health for people with poorly controlled diabetes, along with a related evaluation, have been contracted. DHBs continue to implement and update the 20 quality standards for diabetes care. Regular monitoring of the DHBs</w:t>
      </w:r>
      <w:r w:rsidR="00DF4B9A" w:rsidRPr="00BC0D1F">
        <w:rPr>
          <w:noProof/>
          <w:lang w:eastAsia="en-NZ"/>
        </w:rPr>
        <w:t>’</w:t>
      </w:r>
      <w:r w:rsidRPr="00BC0D1F">
        <w:rPr>
          <w:noProof/>
          <w:lang w:eastAsia="en-NZ"/>
        </w:rPr>
        <w:t xml:space="preserve"> Diabetes Care Improvement Packages will continue through to June 2017. The Virtual Diabetes Register algorithm was reviewed and validated, and data was revised for the last five years.</w:t>
      </w:r>
    </w:p>
    <w:p w14:paraId="703E3CC6" w14:textId="77777777" w:rsidR="006407C8" w:rsidRPr="00BC0D1F" w:rsidRDefault="006407C8" w:rsidP="006407C8">
      <w:pPr>
        <w:rPr>
          <w:noProof/>
          <w:lang w:eastAsia="en-NZ"/>
        </w:rPr>
      </w:pPr>
    </w:p>
    <w:p w14:paraId="1EAE6BEC" w14:textId="77777777" w:rsidR="00DF4B9A" w:rsidRPr="00BC0D1F" w:rsidRDefault="00AD72CC" w:rsidP="006407C8">
      <w:pPr>
        <w:pStyle w:val="Heading3"/>
      </w:pPr>
      <w:r w:rsidRPr="00BC0D1F">
        <w:t>Improving the quality and safety of health services</w:t>
      </w:r>
    </w:p>
    <w:p w14:paraId="246EF71B" w14:textId="77777777" w:rsidR="00AD72CC" w:rsidRPr="00BC0D1F" w:rsidRDefault="00AD72CC" w:rsidP="006407C8">
      <w:pPr>
        <w:pStyle w:val="Heading4"/>
      </w:pPr>
      <w:r w:rsidRPr="00BC0D1F">
        <w:t>Publication of clinical performance and outcome information</w:t>
      </w:r>
    </w:p>
    <w:p w14:paraId="500A8D64" w14:textId="77777777" w:rsidR="00DF4B9A" w:rsidRPr="00BC0D1F" w:rsidRDefault="00AD72CC" w:rsidP="006407C8">
      <w:pPr>
        <w:rPr>
          <w:noProof/>
          <w:lang w:eastAsia="en-NZ"/>
        </w:rPr>
      </w:pPr>
      <w:r w:rsidRPr="00BC0D1F">
        <w:rPr>
          <w:noProof/>
          <w:lang w:eastAsia="en-NZ"/>
        </w:rPr>
        <w:t>The Office of the Chief Medical Officer is leading work, in collaboration with the Health Quality and Safety Commission (HQSC) and the Accident Compensation Corporation (ACC), towards publication of clinical information. The aim of publishing clinical information is to facilitate improvements in the quality and safety of health services for the benefit of consumers.</w:t>
      </w:r>
    </w:p>
    <w:p w14:paraId="3FDF1337" w14:textId="77777777" w:rsidR="00AD72CC" w:rsidRPr="00BC0D1F" w:rsidRDefault="00AD72CC" w:rsidP="006407C8">
      <w:pPr>
        <w:rPr>
          <w:noProof/>
          <w:lang w:eastAsia="en-NZ"/>
        </w:rPr>
      </w:pPr>
    </w:p>
    <w:p w14:paraId="6BF0EF4F" w14:textId="77777777" w:rsidR="00DF4B9A" w:rsidRPr="00BC0D1F" w:rsidRDefault="00AD72CC" w:rsidP="006407C8">
      <w:pPr>
        <w:rPr>
          <w:noProof/>
          <w:lang w:eastAsia="en-NZ"/>
        </w:rPr>
      </w:pPr>
      <w:r w:rsidRPr="00BC0D1F">
        <w:rPr>
          <w:noProof/>
          <w:lang w:eastAsia="en-NZ"/>
        </w:rPr>
        <w:t>Consumers, employers, colleges and professional bodies will all be involved in developing the outcome measures. The Ministry, HQSC and ACC are in the process of finalising the principles that will underpin the ongoing work leading to publication of clinical information. The next step will include the development of nationally applicable standards to ensure consistency of approaches, such as data capture, definitions and measures.</w:t>
      </w:r>
    </w:p>
    <w:p w14:paraId="15198ABC" w14:textId="77777777" w:rsidR="006407C8" w:rsidRPr="00BC0D1F" w:rsidRDefault="006407C8" w:rsidP="006407C8">
      <w:pPr>
        <w:rPr>
          <w:noProof/>
          <w:lang w:eastAsia="en-NZ"/>
        </w:rPr>
      </w:pPr>
    </w:p>
    <w:p w14:paraId="0FEC0A78" w14:textId="77777777" w:rsidR="00AD72CC" w:rsidRPr="00BC0D1F" w:rsidRDefault="00AD72CC" w:rsidP="006407C8">
      <w:pPr>
        <w:pStyle w:val="Heading4"/>
        <w:rPr>
          <w:lang w:eastAsia="en-NZ"/>
        </w:rPr>
      </w:pPr>
      <w:r w:rsidRPr="00BC0D1F">
        <w:rPr>
          <w:lang w:eastAsia="en-NZ"/>
        </w:rPr>
        <w:t>Exploring the Link Report</w:t>
      </w:r>
    </w:p>
    <w:p w14:paraId="6D5A4B99" w14:textId="77777777" w:rsidR="00AD72CC" w:rsidRPr="00BC0D1F" w:rsidRDefault="00AD72CC" w:rsidP="006407C8">
      <w:pPr>
        <w:rPr>
          <w:noProof/>
          <w:lang w:eastAsia="en-NZ"/>
        </w:rPr>
      </w:pPr>
      <w:r w:rsidRPr="00BC0D1F">
        <w:rPr>
          <w:noProof/>
          <w:lang w:eastAsia="en-NZ"/>
        </w:rPr>
        <w:t xml:space="preserve">In March 2016 </w:t>
      </w:r>
      <w:r w:rsidRPr="00BC0D1F">
        <w:t>government agencies, including the Ministry, The Treasury and HQSC</w:t>
      </w:r>
      <w:r w:rsidRPr="00BC0D1F">
        <w:rPr>
          <w:noProof/>
          <w:lang w:eastAsia="en-NZ"/>
        </w:rPr>
        <w:t>, in collaboration with the Auckland, Bay of Plenty, Canterbury and Whanganui DHBs, collaborated to publish a report</w:t>
      </w:r>
      <w:r w:rsidRPr="00BC0D1F">
        <w:rPr>
          <w:rStyle w:val="FootnoteReference"/>
        </w:rPr>
        <w:footnoteReference w:id="8"/>
      </w:r>
      <w:r w:rsidRPr="00BC0D1F">
        <w:rPr>
          <w:noProof/>
          <w:lang w:eastAsia="en-NZ"/>
        </w:rPr>
        <w:t xml:space="preserve"> on the results of a project initiated in 2015. It provides an overview of each case study DHB and its approach to quality improvement, assesses the impact of quality improvement strategies on organisational outcomes, and offers useful lessons for organisations with an interest in quality and safety in the health sector.</w:t>
      </w:r>
    </w:p>
    <w:p w14:paraId="3C131AA7" w14:textId="77777777" w:rsidR="00AD72CC" w:rsidRPr="00BC0D1F" w:rsidRDefault="00AD72CC" w:rsidP="006407C8">
      <w:pPr>
        <w:rPr>
          <w:noProof/>
          <w:lang w:eastAsia="en-NZ"/>
        </w:rPr>
      </w:pPr>
    </w:p>
    <w:p w14:paraId="43F24C10" w14:textId="77777777" w:rsidR="00AD72CC" w:rsidRPr="00BC0D1F" w:rsidRDefault="00AD72CC" w:rsidP="006407C8">
      <w:pPr>
        <w:rPr>
          <w:noProof/>
          <w:lang w:eastAsia="en-NZ"/>
        </w:rPr>
      </w:pPr>
      <w:r w:rsidRPr="00BC0D1F">
        <w:rPr>
          <w:noProof/>
          <w:lang w:eastAsia="en-NZ"/>
        </w:rPr>
        <w:t>A number of DHBs are using quality frameworks and concepts as core elements of their organisational strategies to improve patient outcomes and manage health care costs. The successes and challenges of these strategies can provide useful insights for other DHBs and the broader health system for evaluating existing programmes and developing new initiatives.</w:t>
      </w:r>
    </w:p>
    <w:p w14:paraId="415CE205" w14:textId="77777777" w:rsidR="006407C8" w:rsidRPr="00BC0D1F" w:rsidRDefault="006407C8" w:rsidP="006407C8">
      <w:pPr>
        <w:rPr>
          <w:noProof/>
          <w:lang w:eastAsia="en-NZ"/>
        </w:rPr>
      </w:pPr>
    </w:p>
    <w:p w14:paraId="2357BC59" w14:textId="77777777" w:rsidR="00DF4B9A" w:rsidRPr="00BC0D1F" w:rsidRDefault="00AD72CC" w:rsidP="006407C8">
      <w:pPr>
        <w:pStyle w:val="Heading3"/>
      </w:pPr>
      <w:r w:rsidRPr="00BC0D1F">
        <w:t>Supporting the health of older people</w:t>
      </w:r>
    </w:p>
    <w:p w14:paraId="77E176B3" w14:textId="77777777" w:rsidR="00AD72CC" w:rsidRPr="00BC0D1F" w:rsidRDefault="00AD72CC" w:rsidP="006407C8">
      <w:pPr>
        <w:rPr>
          <w:noProof/>
          <w:lang w:eastAsia="en-NZ"/>
        </w:rPr>
      </w:pPr>
      <w:r w:rsidRPr="00BC0D1F">
        <w:rPr>
          <w:noProof/>
          <w:lang w:eastAsia="en-NZ"/>
        </w:rPr>
        <w:t>During 2015/16 the Ministry worked with older people and their families and whānau, DHBs, primary health care, service providers, NGOs and other government agencies to ensure health services are addressing the priority health needs of older people in consistent and integrated ways. Following are some of the achievements in 2015/16.</w:t>
      </w:r>
    </w:p>
    <w:p w14:paraId="1F939F19" w14:textId="77777777" w:rsidR="00AD72CC" w:rsidRPr="00BC0D1F" w:rsidRDefault="00AD72CC" w:rsidP="00D4652C">
      <w:pPr>
        <w:pStyle w:val="Bullet"/>
        <w:spacing w:before="120"/>
      </w:pPr>
      <w:r w:rsidRPr="00BC0D1F">
        <w:t>The quality and safety of health services for older people were improved, with the number of four-year rest home certifications up from 89 in 2013/14 to 114 in 2014/15. Full rest home audit reports are now published online, giving people the information they need about how a rest home is performing. The audit framework for home and community support services is now fully implemented</w:t>
      </w:r>
      <w:r w:rsidR="006407C8" w:rsidRPr="00BC0D1F">
        <w:t>.</w:t>
      </w:r>
    </w:p>
    <w:p w14:paraId="7D4B5579" w14:textId="55B70F53" w:rsidR="00AD72CC" w:rsidRPr="00BC0D1F" w:rsidRDefault="00AD72CC" w:rsidP="00D4652C">
      <w:pPr>
        <w:pStyle w:val="Bullet"/>
        <w:spacing w:before="120"/>
      </w:pPr>
      <w:r w:rsidRPr="00BC0D1F">
        <w:lastRenderedPageBreak/>
        <w:t>Implementation of the international Resident Assessment Instrument (</w:t>
      </w:r>
      <w:proofErr w:type="spellStart"/>
      <w:r w:rsidRPr="00BC0D1F">
        <w:t>interRAI</w:t>
      </w:r>
      <w:proofErr w:type="spellEnd"/>
      <w:r w:rsidRPr="00BC0D1F">
        <w:t>) comprehensive clinical assessment framework in residential care for older people was completed, meaning that all older people who require either home care or residential care are assessed under an integrated, best practice assessment framework. This will result in more consistent and transparent care planning and, ultimately, well-targeted services that better meet the care needs of older people.</w:t>
      </w:r>
    </w:p>
    <w:p w14:paraId="4E1B0987" w14:textId="77777777" w:rsidR="00DF4B9A" w:rsidRPr="00BC0D1F" w:rsidRDefault="00AD72CC" w:rsidP="00D4652C">
      <w:pPr>
        <w:pStyle w:val="Bullet"/>
        <w:spacing w:before="120"/>
      </w:pPr>
      <w:r w:rsidRPr="00BC0D1F">
        <w:t xml:space="preserve">A new </w:t>
      </w:r>
      <w:proofErr w:type="spellStart"/>
      <w:r w:rsidRPr="00BC0D1F">
        <w:t>interRAI</w:t>
      </w:r>
      <w:proofErr w:type="spellEnd"/>
      <w:r w:rsidRPr="00BC0D1F">
        <w:t xml:space="preserve"> NZ governance board and terms of reference were established.</w:t>
      </w:r>
    </w:p>
    <w:p w14:paraId="7E496292" w14:textId="77777777" w:rsidR="00AD72CC" w:rsidRPr="00BC0D1F" w:rsidRDefault="00AD72CC" w:rsidP="00D4652C">
      <w:pPr>
        <w:pStyle w:val="Bullet"/>
        <w:spacing w:before="120"/>
      </w:pPr>
      <w:r w:rsidRPr="00BC0D1F">
        <w:t>The implementation of the current dementia care position statement and dementia care pathways was supported. The Ministry has worked with DHBs, NGOs and the aged care sector to further develop dementia care pathways through regionally oriented services and implementing priorities identified in the dementia care position statement.</w:t>
      </w:r>
    </w:p>
    <w:p w14:paraId="605775C5" w14:textId="77777777" w:rsidR="00AD72CC" w:rsidRPr="00BC0D1F" w:rsidRDefault="00AD72CC" w:rsidP="00D4652C">
      <w:pPr>
        <w:pStyle w:val="Bullet"/>
        <w:spacing w:before="120"/>
      </w:pPr>
      <w:r w:rsidRPr="00BC0D1F">
        <w:t>The Ministry monitored DHB initiatives to encourage DHB geriatricians and gerontology nurse specialists to work with, advise and support health professionals in primary health care and aged residential care to improve the quality of care for older people. Some DHBs are using multidisciplinary community rehabilitation teams to help older people who are discharged from hospital. The Ministry monitors DHBs</w:t>
      </w:r>
      <w:r w:rsidR="00DF4B9A" w:rsidRPr="00BC0D1F">
        <w:t>’</w:t>
      </w:r>
      <w:r w:rsidRPr="00BC0D1F">
        <w:t xml:space="preserve"> progress through the DHB annual planning and reporting cycle.</w:t>
      </w:r>
    </w:p>
    <w:p w14:paraId="164DF4CA" w14:textId="77777777" w:rsidR="00AD72CC" w:rsidRPr="00BC0D1F" w:rsidRDefault="00AD72CC" w:rsidP="00D4652C">
      <w:pPr>
        <w:pStyle w:val="Bullet"/>
        <w:spacing w:before="120"/>
      </w:pPr>
      <w:r w:rsidRPr="00BC0D1F">
        <w:t>The Ministry continued collaboration with other government agencies to improve services for older people, including:</w:t>
      </w:r>
    </w:p>
    <w:p w14:paraId="47B4A447" w14:textId="77777777" w:rsidR="00AD72CC" w:rsidRPr="00BC0D1F" w:rsidRDefault="00AD72CC" w:rsidP="00D4652C">
      <w:pPr>
        <w:pStyle w:val="Dash"/>
      </w:pPr>
      <w:r w:rsidRPr="00BC0D1F">
        <w:t>ACC and DHBs, to identify investment opportunities to reduce the impact on older people of fractures and falls</w:t>
      </w:r>
    </w:p>
    <w:p w14:paraId="780F08CA" w14:textId="77777777" w:rsidR="00AD72CC" w:rsidRPr="00BC0D1F" w:rsidRDefault="00AD72CC" w:rsidP="00D4652C">
      <w:pPr>
        <w:pStyle w:val="Dash"/>
        <w:keepLines/>
        <w:ind w:left="568" w:hanging="284"/>
      </w:pPr>
      <w:r w:rsidRPr="00BC0D1F">
        <w:t>the Ministry of Social Development and other agencies, to develop more joined-up or integrated services to better meet the changing needs of New Zealand</w:t>
      </w:r>
      <w:r w:rsidR="00DF4B9A" w:rsidRPr="00BC0D1F">
        <w:t>’</w:t>
      </w:r>
      <w:r w:rsidRPr="00BC0D1F">
        <w:t>s ageing population, including a Department of Internal Affairs web portal providing access for older people to information on the government services available to them</w:t>
      </w:r>
    </w:p>
    <w:p w14:paraId="73D114C8" w14:textId="77777777" w:rsidR="00AD72CC" w:rsidRPr="00BC0D1F" w:rsidRDefault="00AD72CC" w:rsidP="00D4652C">
      <w:pPr>
        <w:pStyle w:val="Dash"/>
      </w:pPr>
      <w:r w:rsidRPr="00BC0D1F">
        <w:t>the Office for Seniors, in its work to increase the number of age-friendly communities</w:t>
      </w:r>
    </w:p>
    <w:p w14:paraId="37172FF9" w14:textId="77777777" w:rsidR="00DF4B9A" w:rsidRPr="00BC0D1F" w:rsidRDefault="00AD72CC" w:rsidP="00D4652C">
      <w:pPr>
        <w:pStyle w:val="Dash"/>
      </w:pPr>
      <w:proofErr w:type="gramStart"/>
      <w:r w:rsidRPr="00BC0D1F">
        <w:t>the</w:t>
      </w:r>
      <w:proofErr w:type="gramEnd"/>
      <w:r w:rsidRPr="00BC0D1F">
        <w:t xml:space="preserve"> Ministry of Business Innovation and Employment, on regional growth initiatives involving trialling innovative supported housing initiatives for older people.</w:t>
      </w:r>
    </w:p>
    <w:p w14:paraId="0F982BEA" w14:textId="77777777" w:rsidR="00AD72CC" w:rsidRPr="00BC0D1F" w:rsidRDefault="00AD72CC" w:rsidP="00D4652C">
      <w:pPr>
        <w:pStyle w:val="Bullet"/>
        <w:spacing w:before="120"/>
      </w:pPr>
      <w:r w:rsidRPr="00BC0D1F">
        <w:t>The settlement in relation to home care workers</w:t>
      </w:r>
      <w:r w:rsidR="00DF4B9A" w:rsidRPr="00BC0D1F">
        <w:t>’</w:t>
      </w:r>
      <w:r w:rsidRPr="00BC0D1F">
        <w:t xml:space="preserve"> claim for time spent travelling between clients to be paid was implemented. The settlement, reached by DHBs, providers, unions and the Ministry, includes:</w:t>
      </w:r>
    </w:p>
    <w:p w14:paraId="5BD97C49" w14:textId="77777777" w:rsidR="00DF4B9A" w:rsidRPr="00BC0D1F" w:rsidRDefault="00AD72CC" w:rsidP="00D4652C">
      <w:pPr>
        <w:pStyle w:val="Dash"/>
      </w:pPr>
      <w:r w:rsidRPr="00BC0D1F">
        <w:t>paying for travel time at the minimum wage from 1 July 2015 and paying standard mileage rates from 1 March 2016</w:t>
      </w:r>
    </w:p>
    <w:p w14:paraId="4181D2E9" w14:textId="77777777" w:rsidR="00AD72CC" w:rsidRPr="00BC0D1F" w:rsidRDefault="00AD72CC" w:rsidP="00D4652C">
      <w:pPr>
        <w:pStyle w:val="Dash"/>
      </w:pPr>
      <w:r w:rsidRPr="00BC0D1F">
        <w:t>reviewing the home and community support sector</w:t>
      </w:r>
    </w:p>
    <w:p w14:paraId="2C851F0B" w14:textId="77777777" w:rsidR="00AD72CC" w:rsidRPr="00BC0D1F" w:rsidRDefault="00AD72CC" w:rsidP="00D4652C">
      <w:pPr>
        <w:pStyle w:val="Dash"/>
      </w:pPr>
      <w:r w:rsidRPr="00BC0D1F">
        <w:t>a move towards a regulated accreditation process for the home and community support workforce</w:t>
      </w:r>
    </w:p>
    <w:p w14:paraId="0A04C024" w14:textId="77777777" w:rsidR="00AD72CC" w:rsidRPr="00BC0D1F" w:rsidRDefault="00AD72CC" w:rsidP="00D4652C">
      <w:pPr>
        <w:pStyle w:val="Dash"/>
      </w:pPr>
      <w:proofErr w:type="gramStart"/>
      <w:r w:rsidRPr="00BC0D1F">
        <w:t>establishing</w:t>
      </w:r>
      <w:proofErr w:type="gramEnd"/>
      <w:r w:rsidRPr="00BC0D1F">
        <w:t xml:space="preserve"> and implementing systems to provide in-between travel payments and enacting legislation to prevent future similar claims.</w:t>
      </w:r>
    </w:p>
    <w:p w14:paraId="734BE211" w14:textId="77777777" w:rsidR="00DF4B9A" w:rsidRPr="00BC0D1F" w:rsidRDefault="00AD72CC" w:rsidP="00D4652C">
      <w:pPr>
        <w:pStyle w:val="Bullet"/>
        <w:spacing w:before="120"/>
      </w:pPr>
      <w:r w:rsidRPr="00BC0D1F">
        <w:t>The Ministry monitored the implementation of the additional charging framework in residential care. This framework was introduced in 2014 to enable residential care providers to charge higher prices for higher-quality facilities, while ensuring that beds would continue to be available at standard prices for those who could not pay additional charges.</w:t>
      </w:r>
    </w:p>
    <w:p w14:paraId="412CA0D5" w14:textId="3415602C" w:rsidR="00AD72CC" w:rsidRPr="00BC0D1F" w:rsidRDefault="00AD72CC" w:rsidP="00D4652C">
      <w:pPr>
        <w:pStyle w:val="Bullet"/>
        <w:spacing w:before="120"/>
      </w:pPr>
      <w:r w:rsidRPr="00BC0D1F">
        <w:t xml:space="preserve">The Health of Older People Strategy </w:t>
      </w:r>
      <w:r w:rsidR="001A343C">
        <w:t>i</w:t>
      </w:r>
      <w:r w:rsidR="001A343C" w:rsidRPr="00BC0D1F">
        <w:t xml:space="preserve">s </w:t>
      </w:r>
      <w:r w:rsidR="001A343C">
        <w:t xml:space="preserve">being </w:t>
      </w:r>
      <w:r w:rsidRPr="00BC0D1F">
        <w:t>refreshed in response to the Government</w:t>
      </w:r>
      <w:r w:rsidR="00DF4B9A" w:rsidRPr="00BC0D1F">
        <w:t>’</w:t>
      </w:r>
      <w:r w:rsidRPr="00BC0D1F">
        <w:t xml:space="preserve">s request for the Ministry to develop an updated New Zealand Health Strategy. The refreshed Health of Older People Strategy will provide a road map for future improvements to health services for older people over the next 10 to 15 years. A draft refreshed strategy was forwarded to Cabinet for consideration at the end of 2015/16. The draft followed a period of significant engagement with the health and social sectors and older people and their families on what the priorities are for a refreshed strategy. Over 40 workshops were held around the </w:t>
      </w:r>
      <w:r w:rsidRPr="00BC0D1F">
        <w:lastRenderedPageBreak/>
        <w:t>country and more than 2000 people actively participated. Public consultation will occur from July to September 2016, after which the strategy will be finalised and approved by Cabinet. An implementation plan will be developed to guide the new strategy</w:t>
      </w:r>
      <w:r w:rsidR="00DF4B9A" w:rsidRPr="00BC0D1F">
        <w:t>’</w:t>
      </w:r>
      <w:r w:rsidRPr="00BC0D1F">
        <w:t>s implementation in the coming years.</w:t>
      </w:r>
    </w:p>
    <w:p w14:paraId="6822F28E" w14:textId="6EED9420" w:rsidR="00AD72CC" w:rsidRPr="00BC0D1F" w:rsidRDefault="00AD72CC" w:rsidP="00D4652C">
      <w:pPr>
        <w:pStyle w:val="Bullet"/>
        <w:spacing w:before="120"/>
      </w:pPr>
      <w:r w:rsidRPr="00BC0D1F">
        <w:t>The Ministry funded the production of Māori child health research reports</w:t>
      </w:r>
      <w:r w:rsidR="0028793C">
        <w:t xml:space="preserve">, </w:t>
      </w:r>
      <w:r w:rsidRPr="0028793C">
        <w:rPr>
          <w:i/>
        </w:rPr>
        <w:t xml:space="preserve">Life and Living in Advanced Age Cohort Study </w:t>
      </w:r>
      <w:r w:rsidRPr="00BC0D1F">
        <w:t>(</w:t>
      </w:r>
      <w:proofErr w:type="spellStart"/>
      <w:r w:rsidRPr="00BC0D1F">
        <w:t>LiLACS</w:t>
      </w:r>
      <w:proofErr w:type="spellEnd"/>
      <w:r w:rsidRPr="00BC0D1F">
        <w:t xml:space="preserve">) </w:t>
      </w:r>
      <w:r w:rsidRPr="00384854">
        <w:rPr>
          <w:i/>
        </w:rPr>
        <w:t>NZ</w:t>
      </w:r>
      <w:r w:rsidRPr="00BC0D1F">
        <w:t xml:space="preserve">, a longitudinal cohort study of New Zealanders aged 80 years and above living in the Bay of Plenty and </w:t>
      </w:r>
      <w:proofErr w:type="spellStart"/>
      <w:r w:rsidRPr="00BC0D1F">
        <w:t>Rotorua</w:t>
      </w:r>
      <w:proofErr w:type="spellEnd"/>
      <w:r w:rsidRPr="00BC0D1F">
        <w:t xml:space="preserve">. There is a lack of good information about the health and wellbeing of people in advanced age, and the Ministry has commissioned these reports to inform health service planners and providers in the aged care sector </w:t>
      </w:r>
      <w:r w:rsidR="0028793C">
        <w:t xml:space="preserve">on </w:t>
      </w:r>
      <w:r w:rsidRPr="00BC0D1F">
        <w:t>how older Māori and non-Māori compare in terms of health status and access to health care (</w:t>
      </w:r>
      <w:proofErr w:type="spellStart"/>
      <w:r w:rsidRPr="00BC0D1F">
        <w:t>Kerse</w:t>
      </w:r>
      <w:proofErr w:type="spellEnd"/>
      <w:r w:rsidRPr="00BC0D1F">
        <w:t xml:space="preserve"> and </w:t>
      </w:r>
      <w:proofErr w:type="spellStart"/>
      <w:r w:rsidRPr="00BC0D1F">
        <w:t>LiLACS</w:t>
      </w:r>
      <w:proofErr w:type="spellEnd"/>
      <w:r w:rsidRPr="00BC0D1F">
        <w:t xml:space="preserve"> NZ 2015a, 2015b, 2015c, 2015d).</w:t>
      </w:r>
    </w:p>
    <w:p w14:paraId="1FC00FFF" w14:textId="77777777" w:rsidR="00D4652C" w:rsidRPr="00BC0D1F" w:rsidRDefault="00D4652C" w:rsidP="00D4652C"/>
    <w:p w14:paraId="26327E62" w14:textId="77777777" w:rsidR="00AD72CC" w:rsidRPr="00BC0D1F" w:rsidRDefault="00AD72CC" w:rsidP="00D4652C">
      <w:pPr>
        <w:pStyle w:val="Heading3"/>
      </w:pPr>
      <w:r w:rsidRPr="00BC0D1F">
        <w:t>Implementing Rising to the Challenge</w:t>
      </w:r>
    </w:p>
    <w:p w14:paraId="7A2739C8" w14:textId="77777777" w:rsidR="00AD72CC" w:rsidRPr="00BC0D1F" w:rsidRDefault="00AD72CC" w:rsidP="00D4652C">
      <w:pPr>
        <w:rPr>
          <w:noProof/>
          <w:spacing w:val="-2"/>
          <w:lang w:eastAsia="en-NZ"/>
        </w:rPr>
      </w:pPr>
      <w:r w:rsidRPr="00BC0D1F">
        <w:rPr>
          <w:noProof/>
          <w:lang w:eastAsia="en-NZ"/>
        </w:rPr>
        <w:t xml:space="preserve">The Ministry continues to monitor progress on the implementation of Rising to the Challenge: The Mental Health and Addiction Service Development Plan 2012–2017. The Plan sets the direction for mental health and addiction service delivery across the health and disability system over a five-year period. It outlines key priority actions for achieving further sector-wide changes to make service provision more consistent and to improve outcomes for both the people who use </w:t>
      </w:r>
      <w:r w:rsidRPr="00BC0D1F">
        <w:rPr>
          <w:noProof/>
          <w:spacing w:val="-2"/>
          <w:lang w:eastAsia="en-NZ"/>
        </w:rPr>
        <w:t>services and their families and whānau. Rising to the Challenge focuses on four overarching goals:</w:t>
      </w:r>
    </w:p>
    <w:p w14:paraId="4DE0B919" w14:textId="77777777" w:rsidR="00AD72CC" w:rsidRPr="00BC0D1F" w:rsidRDefault="00AD72CC" w:rsidP="00D4652C">
      <w:pPr>
        <w:pStyle w:val="Bullet"/>
      </w:pPr>
      <w:r w:rsidRPr="00BC0D1F">
        <w:t>making better use of resources</w:t>
      </w:r>
    </w:p>
    <w:p w14:paraId="4129CF45" w14:textId="77777777" w:rsidR="00AD72CC" w:rsidRPr="00BC0D1F" w:rsidRDefault="00AD72CC" w:rsidP="00D4652C">
      <w:pPr>
        <w:pStyle w:val="Bullet"/>
      </w:pPr>
      <w:r w:rsidRPr="00BC0D1F">
        <w:t>improving integration between primary and secondary services</w:t>
      </w:r>
    </w:p>
    <w:p w14:paraId="7C016613" w14:textId="77777777" w:rsidR="00AD72CC" w:rsidRPr="00BC0D1F" w:rsidRDefault="00AD72CC" w:rsidP="00D4652C">
      <w:pPr>
        <w:pStyle w:val="Bullet"/>
      </w:pPr>
      <w:r w:rsidRPr="00BC0D1F">
        <w:t>cementing and building on gains for people with high needs</w:t>
      </w:r>
    </w:p>
    <w:p w14:paraId="5CB5E934" w14:textId="77777777" w:rsidR="00AD72CC" w:rsidRPr="00BC0D1F" w:rsidRDefault="00AD72CC" w:rsidP="00D4652C">
      <w:pPr>
        <w:pStyle w:val="Bullet"/>
      </w:pPr>
      <w:proofErr w:type="gramStart"/>
      <w:r w:rsidRPr="00BC0D1F">
        <w:t>delivering</w:t>
      </w:r>
      <w:proofErr w:type="gramEnd"/>
      <w:r w:rsidRPr="00BC0D1F">
        <w:t xml:space="preserve"> increased access for all age groups, with a focus on infants, children and youth, older people, and adults with common disorders such as anxiety and depression.</w:t>
      </w:r>
    </w:p>
    <w:p w14:paraId="49C044EF" w14:textId="77777777" w:rsidR="00AD72CC" w:rsidRPr="00BC0D1F" w:rsidRDefault="00AD72CC" w:rsidP="00D4652C"/>
    <w:p w14:paraId="702164E1" w14:textId="77777777" w:rsidR="00AD72CC" w:rsidRPr="00BC0D1F" w:rsidRDefault="00AD72CC" w:rsidP="00D4652C">
      <w:r w:rsidRPr="00BC0D1F">
        <w:t>Examples of key initiatives under the Plan include:</w:t>
      </w:r>
    </w:p>
    <w:p w14:paraId="4C2806B2" w14:textId="77777777" w:rsidR="00AD72CC" w:rsidRPr="00BC0D1F" w:rsidRDefault="00AD72CC" w:rsidP="00D4652C">
      <w:pPr>
        <w:pStyle w:val="Bullet"/>
      </w:pPr>
      <w:r w:rsidRPr="00BC0D1F">
        <w:t>the Prime Minister</w:t>
      </w:r>
      <w:r w:rsidR="00DF4B9A" w:rsidRPr="00BC0D1F">
        <w:t>’</w:t>
      </w:r>
      <w:r w:rsidRPr="00BC0D1F">
        <w:t>s Youth Mental Health Project</w:t>
      </w:r>
    </w:p>
    <w:p w14:paraId="3695B75A" w14:textId="77777777" w:rsidR="00AD72CC" w:rsidRPr="00BC0D1F" w:rsidRDefault="00AD72CC" w:rsidP="00D4652C">
      <w:pPr>
        <w:pStyle w:val="Bullet"/>
      </w:pPr>
      <w:r w:rsidRPr="00BC0D1F">
        <w:t>the full implementation of the adolescent e-therapy tool SPARX</w:t>
      </w:r>
      <w:r w:rsidRPr="00BC0D1F">
        <w:rPr>
          <w:rStyle w:val="FootnoteReference"/>
        </w:rPr>
        <w:footnoteReference w:id="9"/>
      </w:r>
    </w:p>
    <w:p w14:paraId="28A7C59F" w14:textId="77777777" w:rsidR="00AD72CC" w:rsidRPr="00BC0D1F" w:rsidRDefault="00AD72CC" w:rsidP="00D4652C">
      <w:pPr>
        <w:pStyle w:val="Bullet"/>
      </w:pPr>
      <w:r w:rsidRPr="00BC0D1F">
        <w:t>the New Zealand Suicide Prevention Action Plan 2013–2016</w:t>
      </w:r>
    </w:p>
    <w:p w14:paraId="47553B01" w14:textId="77777777" w:rsidR="00AD72CC" w:rsidRPr="00BC0D1F" w:rsidRDefault="00AD72CC" w:rsidP="00D4652C">
      <w:pPr>
        <w:pStyle w:val="Bullet"/>
      </w:pPr>
      <w:r w:rsidRPr="00BC0D1F">
        <w:t>acute perinatal and infant mental health services being delivered in the North Island</w:t>
      </w:r>
    </w:p>
    <w:p w14:paraId="2BC571D4" w14:textId="77777777" w:rsidR="00AD72CC" w:rsidRPr="00BC0D1F" w:rsidRDefault="00AD72CC" w:rsidP="00D4652C">
      <w:pPr>
        <w:pStyle w:val="Bullet"/>
      </w:pPr>
      <w:r w:rsidRPr="00BC0D1F">
        <w:t>two alcohol and other drug treatment courts (in Auckland and Waitakere)</w:t>
      </w:r>
    </w:p>
    <w:p w14:paraId="50AC8B09" w14:textId="77777777" w:rsidR="00AD72CC" w:rsidRPr="00BC0D1F" w:rsidRDefault="00AD72CC" w:rsidP="00D4652C">
      <w:pPr>
        <w:pStyle w:val="Bullet"/>
      </w:pPr>
      <w:r w:rsidRPr="00BC0D1F">
        <w:t>treatment programmes for repeat impaired (drink) drivers</w:t>
      </w:r>
    </w:p>
    <w:p w14:paraId="065EBAE1" w14:textId="77777777" w:rsidR="00AD72CC" w:rsidRPr="00BC0D1F" w:rsidRDefault="00AD72CC" w:rsidP="00D4652C">
      <w:pPr>
        <w:pStyle w:val="Bullet"/>
      </w:pPr>
      <w:r w:rsidRPr="00BC0D1F">
        <w:t>providing 40 new full-time equivalents (FTEs) in regional Youth Forensic Community Services, taking the total number of FTEs to 74</w:t>
      </w:r>
    </w:p>
    <w:p w14:paraId="7B33FEB6" w14:textId="77777777" w:rsidR="00AD72CC" w:rsidRPr="00BC0D1F" w:rsidRDefault="00AD72CC" w:rsidP="00D4652C">
      <w:pPr>
        <w:pStyle w:val="Bullet"/>
      </w:pPr>
      <w:r w:rsidRPr="00BC0D1F">
        <w:t>shifting appropriate secondary mental health and addiction services closer to home by providing more community services as alternatives to inpatient specialist beds</w:t>
      </w:r>
    </w:p>
    <w:p w14:paraId="14BF7612" w14:textId="77777777" w:rsidR="00AD72CC" w:rsidRPr="00BC0D1F" w:rsidRDefault="00AD72CC" w:rsidP="00D4652C">
      <w:pPr>
        <w:pStyle w:val="Bullet"/>
      </w:pPr>
      <w:proofErr w:type="gramStart"/>
      <w:r w:rsidRPr="00BC0D1F">
        <w:t>substantial</w:t>
      </w:r>
      <w:proofErr w:type="gramEnd"/>
      <w:r w:rsidRPr="00BC0D1F">
        <w:t xml:space="preserve"> investment each year in primary mental health services to improve access to talking therapies and other psychosocial responses.</w:t>
      </w:r>
    </w:p>
    <w:p w14:paraId="10213E06" w14:textId="77777777" w:rsidR="00D4652C" w:rsidRPr="00BC0D1F" w:rsidRDefault="00D4652C" w:rsidP="00D4652C"/>
    <w:p w14:paraId="66552978" w14:textId="77777777" w:rsidR="00DF4B9A" w:rsidRPr="00BC0D1F" w:rsidRDefault="00AD72CC" w:rsidP="00D4652C">
      <w:pPr>
        <w:pStyle w:val="Heading4"/>
      </w:pPr>
      <w:r w:rsidRPr="00BC0D1F">
        <w:lastRenderedPageBreak/>
        <w:t>Suicide prevention</w:t>
      </w:r>
    </w:p>
    <w:p w14:paraId="6C24D0C2" w14:textId="77777777" w:rsidR="00AD72CC" w:rsidRPr="00BC0D1F" w:rsidRDefault="00AD72CC" w:rsidP="00D4652C">
      <w:pPr>
        <w:rPr>
          <w:noProof/>
          <w:lang w:eastAsia="en-NZ"/>
        </w:rPr>
      </w:pPr>
      <w:r w:rsidRPr="00BC0D1F">
        <w:rPr>
          <w:noProof/>
          <w:lang w:eastAsia="en-NZ"/>
        </w:rPr>
        <w:t>All DHBs have suicide prevention plans in place to guide their responsibilities for facilitating cross-agency collaboration in local suicide prevention. Early observation is that this has resulted in a stronger and more coordinated response to significant events in communities.</w:t>
      </w:r>
    </w:p>
    <w:p w14:paraId="5B699F75" w14:textId="77777777" w:rsidR="00D4652C" w:rsidRPr="00BC0D1F" w:rsidRDefault="00D4652C" w:rsidP="00D4652C">
      <w:pPr>
        <w:rPr>
          <w:noProof/>
          <w:lang w:eastAsia="en-NZ"/>
        </w:rPr>
      </w:pPr>
    </w:p>
    <w:p w14:paraId="7E172471" w14:textId="77777777" w:rsidR="00DF4B9A" w:rsidRPr="00BC0D1F" w:rsidRDefault="00AD72CC" w:rsidP="00D4652C">
      <w:pPr>
        <w:rPr>
          <w:noProof/>
          <w:lang w:eastAsia="en-NZ"/>
        </w:rPr>
      </w:pPr>
      <w:r w:rsidRPr="00BC0D1F">
        <w:rPr>
          <w:noProof/>
          <w:lang w:eastAsia="en-NZ"/>
        </w:rPr>
        <w:t>Opportunities for new and strengthened approaches to inform efforts to prevent suicide include:</w:t>
      </w:r>
    </w:p>
    <w:p w14:paraId="58DDF431" w14:textId="33174D41" w:rsidR="00DF4B9A" w:rsidRPr="00BC0D1F" w:rsidRDefault="00AD72CC" w:rsidP="00D4652C">
      <w:pPr>
        <w:pStyle w:val="Bullet"/>
      </w:pPr>
      <w:r w:rsidRPr="00BC0D1F">
        <w:t xml:space="preserve">the implementation of the Suicide Prevention Outcomes Framework </w:t>
      </w:r>
    </w:p>
    <w:p w14:paraId="55EDE06E" w14:textId="77777777" w:rsidR="00DF4B9A" w:rsidRPr="00BC0D1F" w:rsidRDefault="00AD72CC" w:rsidP="00D4652C">
      <w:pPr>
        <w:pStyle w:val="Bullet"/>
      </w:pPr>
      <w:r w:rsidRPr="00BC0D1F">
        <w:t>the refreshed New Zealand Suicide Prevention Strategy and Action Plan</w:t>
      </w:r>
    </w:p>
    <w:p w14:paraId="21C7B3A1" w14:textId="77777777" w:rsidR="00DF4B9A" w:rsidRPr="00BC0D1F" w:rsidRDefault="00AD72CC" w:rsidP="00D4652C">
      <w:pPr>
        <w:pStyle w:val="Bullet"/>
      </w:pPr>
      <w:r w:rsidRPr="00BC0D1F">
        <w:t>the Office of the Auditor General</w:t>
      </w:r>
      <w:r w:rsidR="00DF4B9A" w:rsidRPr="00BC0D1F">
        <w:t>’</w:t>
      </w:r>
      <w:r w:rsidRPr="00BC0D1F">
        <w:t>s audit of the collection and use of information on suicide</w:t>
      </w:r>
    </w:p>
    <w:p w14:paraId="0542EEE6" w14:textId="77777777" w:rsidR="00AD72CC" w:rsidRPr="00BC0D1F" w:rsidRDefault="00AD72CC" w:rsidP="00D4652C">
      <w:pPr>
        <w:pStyle w:val="Bullet"/>
      </w:pPr>
      <w:proofErr w:type="gramStart"/>
      <w:r w:rsidRPr="00BC0D1F">
        <w:t>the</w:t>
      </w:r>
      <w:proofErr w:type="gramEnd"/>
      <w:r w:rsidRPr="00BC0D1F">
        <w:t xml:space="preserve"> potential of the Suicide Mortality Review Committee to add momentum and a central focus to analysis of the issues and identification of effective intervention points.</w:t>
      </w:r>
    </w:p>
    <w:p w14:paraId="73D3A500" w14:textId="77777777" w:rsidR="00D4652C" w:rsidRPr="00BC0D1F" w:rsidRDefault="00D4652C" w:rsidP="00D4652C"/>
    <w:p w14:paraId="196DDABA" w14:textId="77777777" w:rsidR="00AD72CC" w:rsidRPr="00BC0D1F" w:rsidRDefault="00AD72CC" w:rsidP="00D4652C">
      <w:r w:rsidRPr="00BC0D1F">
        <w:t>The refresh of the current Strategy and the Action Plan has commenced.</w:t>
      </w:r>
    </w:p>
    <w:p w14:paraId="266CD070" w14:textId="77777777" w:rsidR="00D4652C" w:rsidRPr="00BC0D1F" w:rsidRDefault="00D4652C" w:rsidP="00D4652C"/>
    <w:p w14:paraId="37851B60" w14:textId="77777777" w:rsidR="00AD72CC" w:rsidRPr="00BC0D1F" w:rsidRDefault="00AD72CC" w:rsidP="00D4652C">
      <w:pPr>
        <w:pStyle w:val="Heading4"/>
      </w:pPr>
      <w:r w:rsidRPr="00BC0D1F">
        <w:t>Gambling harm minimisation</w:t>
      </w:r>
    </w:p>
    <w:p w14:paraId="0877FEAE" w14:textId="77777777" w:rsidR="00AD72CC" w:rsidRPr="00BC0D1F" w:rsidRDefault="00AD72CC" w:rsidP="00D4652C">
      <w:pPr>
        <w:rPr>
          <w:noProof/>
          <w:lang w:eastAsia="en-NZ"/>
        </w:rPr>
      </w:pPr>
      <w:r w:rsidRPr="00BC0D1F">
        <w:rPr>
          <w:noProof/>
          <w:lang w:eastAsia="en-NZ"/>
        </w:rPr>
        <w:t>The Strategy to Prevent and Minimise Gambling Harm 2016/17 to 2018/19 has been completed and published following a comprehensive consultation and agreement process.</w:t>
      </w:r>
    </w:p>
    <w:p w14:paraId="7E7213A7" w14:textId="77777777" w:rsidR="00D4652C" w:rsidRPr="00BC0D1F" w:rsidRDefault="00D4652C" w:rsidP="00D4652C">
      <w:pPr>
        <w:rPr>
          <w:noProof/>
          <w:lang w:eastAsia="en-NZ"/>
        </w:rPr>
      </w:pPr>
    </w:p>
    <w:p w14:paraId="7968E194" w14:textId="77777777" w:rsidR="00AD72CC" w:rsidRPr="00BC0D1F" w:rsidRDefault="00AD72CC" w:rsidP="00D4652C">
      <w:pPr>
        <w:pStyle w:val="Heading4"/>
      </w:pPr>
      <w:r w:rsidRPr="00BC0D1F">
        <w:t>Cross-agency project on conduct problems</w:t>
      </w:r>
    </w:p>
    <w:p w14:paraId="47A2EAF8" w14:textId="2B587155" w:rsidR="00DF4B9A" w:rsidRPr="00BC0D1F" w:rsidRDefault="00AD72CC" w:rsidP="00D4652C">
      <w:pPr>
        <w:keepLines/>
        <w:rPr>
          <w:noProof/>
          <w:lang w:eastAsia="en-NZ"/>
        </w:rPr>
      </w:pPr>
      <w:r w:rsidRPr="00BC0D1F">
        <w:t>In August 2015 the Social Sector Board (Deputy Chief Executives) agreed to provide governance to the cross-agency project conduct problems and signed off on the project plan.</w:t>
      </w:r>
      <w:r w:rsidRPr="00BC0D1F">
        <w:rPr>
          <w:noProof/>
          <w:lang w:eastAsia="en-NZ"/>
        </w:rPr>
        <w:t xml:space="preserve"> There is strong agency support for the project, as reflected in the participating agencies all dedicating resources it. Following the release of the expert panel</w:t>
      </w:r>
      <w:r w:rsidR="00DF4B9A" w:rsidRPr="00BC0D1F">
        <w:rPr>
          <w:noProof/>
          <w:lang w:eastAsia="en-NZ"/>
        </w:rPr>
        <w:t>’</w:t>
      </w:r>
      <w:r w:rsidRPr="00BC0D1F">
        <w:rPr>
          <w:noProof/>
          <w:lang w:eastAsia="en-NZ"/>
        </w:rPr>
        <w:t xml:space="preserve">s final report, </w:t>
      </w:r>
      <w:proofErr w:type="gramStart"/>
      <w:r w:rsidRPr="00BC0D1F">
        <w:rPr>
          <w:i/>
        </w:rPr>
        <w:t>Investing</w:t>
      </w:r>
      <w:proofErr w:type="gramEnd"/>
      <w:r w:rsidRPr="00BC0D1F">
        <w:rPr>
          <w:i/>
        </w:rPr>
        <w:t xml:space="preserve"> in New</w:t>
      </w:r>
      <w:r w:rsidR="00D4652C" w:rsidRPr="00BC0D1F">
        <w:rPr>
          <w:i/>
        </w:rPr>
        <w:t> </w:t>
      </w:r>
      <w:r w:rsidRPr="00BC0D1F">
        <w:rPr>
          <w:i/>
        </w:rPr>
        <w:t>Zealand</w:t>
      </w:r>
      <w:r w:rsidR="00DF4B9A" w:rsidRPr="00BC0D1F">
        <w:rPr>
          <w:i/>
        </w:rPr>
        <w:t>’</w:t>
      </w:r>
      <w:r w:rsidRPr="00BC0D1F">
        <w:rPr>
          <w:i/>
        </w:rPr>
        <w:t>s Children and their Families</w:t>
      </w:r>
      <w:r w:rsidRPr="00BC0D1F">
        <w:rPr>
          <w:noProof/>
          <w:lang w:eastAsia="en-NZ"/>
        </w:rPr>
        <w:t>, the Deputy Chief Executives signalled that governance for the project should shift to the Vulnerable Children</w:t>
      </w:r>
      <w:r w:rsidR="00DF4B9A" w:rsidRPr="00BC0D1F">
        <w:rPr>
          <w:noProof/>
          <w:lang w:eastAsia="en-NZ"/>
        </w:rPr>
        <w:t>’</w:t>
      </w:r>
      <w:r w:rsidRPr="00BC0D1F">
        <w:rPr>
          <w:noProof/>
          <w:lang w:eastAsia="en-NZ"/>
        </w:rPr>
        <w:t>s Board because the project is a key enabler for the work of this new children</w:t>
      </w:r>
      <w:r w:rsidR="00DF4B9A" w:rsidRPr="00BC0D1F">
        <w:rPr>
          <w:noProof/>
          <w:lang w:eastAsia="en-NZ"/>
        </w:rPr>
        <w:t>’</w:t>
      </w:r>
      <w:r w:rsidRPr="00BC0D1F">
        <w:rPr>
          <w:noProof/>
          <w:lang w:eastAsia="en-NZ"/>
        </w:rPr>
        <w:t>s entity.</w:t>
      </w:r>
    </w:p>
    <w:p w14:paraId="501CFDD7" w14:textId="77777777" w:rsidR="00AD72CC" w:rsidRPr="00BC0D1F" w:rsidRDefault="00AD72CC" w:rsidP="00D4652C">
      <w:pPr>
        <w:rPr>
          <w:noProof/>
          <w:lang w:eastAsia="en-NZ"/>
        </w:rPr>
      </w:pPr>
    </w:p>
    <w:p w14:paraId="03430178" w14:textId="77777777" w:rsidR="00AD72CC" w:rsidRPr="00BC0D1F" w:rsidRDefault="00AD72CC" w:rsidP="00D4652C">
      <w:pPr>
        <w:rPr>
          <w:noProof/>
          <w:lang w:eastAsia="en-NZ"/>
        </w:rPr>
      </w:pPr>
      <w:r w:rsidRPr="00BC0D1F">
        <w:rPr>
          <w:noProof/>
          <w:lang w:eastAsia="en-NZ"/>
        </w:rPr>
        <w:t>The project is on temporary hold while the infrastructure and resources to progress the service design work are established for the Vulnerable Children</w:t>
      </w:r>
      <w:r w:rsidR="00DF4B9A" w:rsidRPr="00BC0D1F">
        <w:rPr>
          <w:noProof/>
          <w:lang w:eastAsia="en-NZ"/>
        </w:rPr>
        <w:t>’</w:t>
      </w:r>
      <w:r w:rsidRPr="00BC0D1F">
        <w:rPr>
          <w:noProof/>
          <w:lang w:eastAsia="en-NZ"/>
        </w:rPr>
        <w:t>s Board and high-level decisions are made on how best the Ministry can contribute. The project aims to develop a model for a service system and an investment proposal to address service gaps for consideration through the Social Sector Investment Change Programme.</w:t>
      </w:r>
    </w:p>
    <w:p w14:paraId="3C9BFC56" w14:textId="77777777" w:rsidR="00D4652C" w:rsidRPr="00BC0D1F" w:rsidRDefault="00D4652C" w:rsidP="00D4652C">
      <w:pPr>
        <w:rPr>
          <w:noProof/>
          <w:lang w:eastAsia="en-NZ"/>
        </w:rPr>
      </w:pPr>
    </w:p>
    <w:p w14:paraId="472C3B5F" w14:textId="77777777" w:rsidR="00AD72CC" w:rsidRPr="00BC0D1F" w:rsidRDefault="00AD72CC" w:rsidP="00D4652C">
      <w:pPr>
        <w:pStyle w:val="Heading4"/>
      </w:pPr>
      <w:r w:rsidRPr="00BC0D1F">
        <w:t>Rural Mental Health Initiative</w:t>
      </w:r>
    </w:p>
    <w:p w14:paraId="06EE8AF9" w14:textId="1FFB8537" w:rsidR="00AD72CC" w:rsidRPr="00BC0D1F" w:rsidRDefault="00AD72CC" w:rsidP="00D4652C">
      <w:pPr>
        <w:rPr>
          <w:noProof/>
          <w:lang w:eastAsia="en-NZ"/>
        </w:rPr>
      </w:pPr>
      <w:r w:rsidRPr="00BC0D1F">
        <w:rPr>
          <w:noProof/>
          <w:lang w:eastAsia="en-NZ"/>
        </w:rPr>
        <w:t>In June 2015 the Ministers of Health and Primary Industries jointly announced a one-off funding allocation of $500,000 for rural mental health initiatives as part of an emergency response to financial and environmental factors affecting rural communities.</w:t>
      </w:r>
    </w:p>
    <w:p w14:paraId="085635AC" w14:textId="77777777" w:rsidR="00AD72CC" w:rsidRPr="00BC0D1F" w:rsidRDefault="00AD72CC" w:rsidP="00D4652C">
      <w:pPr>
        <w:rPr>
          <w:noProof/>
          <w:lang w:eastAsia="en-NZ"/>
        </w:rPr>
      </w:pPr>
    </w:p>
    <w:p w14:paraId="6E55B856" w14:textId="77777777" w:rsidR="00DF4B9A" w:rsidRPr="00BC0D1F" w:rsidRDefault="00AD72CC" w:rsidP="00D4652C">
      <w:pPr>
        <w:rPr>
          <w:noProof/>
          <w:lang w:eastAsia="en-NZ"/>
        </w:rPr>
      </w:pPr>
      <w:r w:rsidRPr="00BC0D1F">
        <w:rPr>
          <w:noProof/>
          <w:lang w:eastAsia="en-NZ"/>
        </w:rPr>
        <w:t>The funding enabled the Rural Health Alliance Aotearoa New Zealand to deliver 42 suicide prevention workshops to rural health professionals, social workers, school counsellors, Māori health providers and others. The Alliance also appointed 15 clinical champions and a medical director to strengthen links between health professionals and Rural Support Trusts.</w:t>
      </w:r>
    </w:p>
    <w:p w14:paraId="698DA590" w14:textId="77777777" w:rsidR="00AD72CC" w:rsidRPr="00BC0D1F" w:rsidRDefault="00AD72CC" w:rsidP="00D4652C">
      <w:pPr>
        <w:rPr>
          <w:noProof/>
          <w:lang w:eastAsia="en-NZ"/>
        </w:rPr>
      </w:pPr>
    </w:p>
    <w:p w14:paraId="7A157BEC" w14:textId="77777777" w:rsidR="00DF4B9A" w:rsidRPr="00BC0D1F" w:rsidRDefault="00AD72CC" w:rsidP="00D4652C">
      <w:pPr>
        <w:rPr>
          <w:noProof/>
          <w:lang w:eastAsia="en-NZ"/>
        </w:rPr>
      </w:pPr>
      <w:r w:rsidRPr="00BC0D1F">
        <w:rPr>
          <w:noProof/>
          <w:lang w:eastAsia="en-NZ"/>
        </w:rPr>
        <w:t>In June 2016 the Ministers of Health and Primary Industries committed to invest a further $600,000 to further strengthen rural mental health networks, provide more workshops and develop a longer-term strategic approach to rural mental health and addiction outcomes.</w:t>
      </w:r>
    </w:p>
    <w:p w14:paraId="253FFB2E" w14:textId="77777777" w:rsidR="00D4652C" w:rsidRPr="00BC0D1F" w:rsidRDefault="00D4652C" w:rsidP="00D4652C">
      <w:pPr>
        <w:rPr>
          <w:noProof/>
          <w:lang w:eastAsia="en-NZ"/>
        </w:rPr>
      </w:pPr>
    </w:p>
    <w:p w14:paraId="2293E3A9" w14:textId="77777777" w:rsidR="00DF4B9A" w:rsidRPr="00BC0D1F" w:rsidRDefault="00AD72CC" w:rsidP="00D4652C">
      <w:pPr>
        <w:pStyle w:val="Heading3"/>
      </w:pPr>
      <w:proofErr w:type="spellStart"/>
      <w:r w:rsidRPr="00BC0D1F">
        <w:lastRenderedPageBreak/>
        <w:t>Smokefree</w:t>
      </w:r>
      <w:proofErr w:type="spellEnd"/>
      <w:r w:rsidRPr="00BC0D1F">
        <w:t xml:space="preserve"> </w:t>
      </w:r>
      <w:proofErr w:type="spellStart"/>
      <w:r w:rsidRPr="00BC0D1F">
        <w:t>Aotearoa</w:t>
      </w:r>
      <w:proofErr w:type="spellEnd"/>
      <w:r w:rsidRPr="00BC0D1F">
        <w:t xml:space="preserve"> New Zealand 2025</w:t>
      </w:r>
    </w:p>
    <w:p w14:paraId="1E919CF8" w14:textId="77777777" w:rsidR="00DF4B9A" w:rsidRPr="00BC0D1F" w:rsidRDefault="00AD72CC" w:rsidP="00D4652C">
      <w:pPr>
        <w:rPr>
          <w:noProof/>
          <w:lang w:eastAsia="en-NZ"/>
        </w:rPr>
      </w:pPr>
      <w:r w:rsidRPr="00BC0D1F">
        <w:rPr>
          <w:noProof/>
          <w:lang w:eastAsia="en-NZ"/>
        </w:rPr>
        <w:t>Tobacco use is a leading modifiable health risk factor in New Zealand, accounting for around 5000 deaths a year. New Zealand has a comprehensive tobacco control programme that incorporates internationally recommended strategies for legislation, taxation, health promotion and smoking cessation services to minimise the harm from tobacco. The Government has set an aspirational goal of reducing smoking prevalence and tobacco availability to minimal levels to make New Zealand essentially a smokefree nation by 2025.</w:t>
      </w:r>
    </w:p>
    <w:p w14:paraId="533F9003" w14:textId="77777777" w:rsidR="00AD72CC" w:rsidRPr="00BC0D1F" w:rsidRDefault="00AD72CC" w:rsidP="00D4652C">
      <w:pPr>
        <w:rPr>
          <w:noProof/>
          <w:lang w:eastAsia="en-NZ"/>
        </w:rPr>
      </w:pPr>
    </w:p>
    <w:p w14:paraId="4884AC97" w14:textId="77777777" w:rsidR="00AD72CC" w:rsidRPr="00BC0D1F" w:rsidRDefault="00AD72CC" w:rsidP="00D4652C">
      <w:pPr>
        <w:rPr>
          <w:noProof/>
          <w:lang w:eastAsia="en-NZ"/>
        </w:rPr>
      </w:pPr>
      <w:r w:rsidRPr="00BC0D1F">
        <w:rPr>
          <w:noProof/>
          <w:lang w:eastAsia="en-NZ"/>
        </w:rPr>
        <w:t>The smoking rate is steadily decreasing but remains high in some groups, particularly Māori. The rate of daily smoking has decreased from 18.3 percent in 2006/07 to 15 percent in 2014/15. The total amount of tobacco consumed per capita fell by nearly 23 percent from 2010 to 2014, and, importantly, the rate of daily smoking by Year 10 students (14 and 15 years of age) has decreased from over 15 percent in 2000 to under 3 percent in 2014.</w:t>
      </w:r>
    </w:p>
    <w:p w14:paraId="24DDED1B" w14:textId="77777777" w:rsidR="00AD72CC" w:rsidRPr="00BC0D1F" w:rsidRDefault="00AD72CC" w:rsidP="00D4652C">
      <w:pPr>
        <w:rPr>
          <w:noProof/>
          <w:lang w:eastAsia="en-NZ"/>
        </w:rPr>
      </w:pPr>
    </w:p>
    <w:p w14:paraId="70DDECE3" w14:textId="77777777" w:rsidR="00AD72CC" w:rsidRPr="00BC0D1F" w:rsidRDefault="00AD72CC" w:rsidP="00D4652C">
      <w:pPr>
        <w:rPr>
          <w:lang w:eastAsia="en-NZ"/>
        </w:rPr>
      </w:pPr>
      <w:r w:rsidRPr="00BC0D1F">
        <w:rPr>
          <w:lang w:eastAsia="en-NZ"/>
        </w:rPr>
        <w:t xml:space="preserve">Key areas of focus for the tobacco control programme over the past year have included: securing annual excise tax increases for tobacco products of 10 percent until 2020; the progression of the plain packaging amendment bill; </w:t>
      </w:r>
      <w:r w:rsidRPr="00BC0D1F">
        <w:rPr>
          <w:noProof/>
          <w:lang w:eastAsia="en-NZ"/>
        </w:rPr>
        <w:t>increasing taxation on tobacco products;</w:t>
      </w:r>
      <w:r w:rsidRPr="00BC0D1F">
        <w:rPr>
          <w:lang w:eastAsia="en-NZ"/>
        </w:rPr>
        <w:t xml:space="preserve"> consultation on the draft standardised packaging regulations; consultation on the regulation of electronic cigarettes; and advice on the illicit trade protocol.</w:t>
      </w:r>
    </w:p>
    <w:p w14:paraId="0CD5B6A1" w14:textId="77777777" w:rsidR="00D4652C" w:rsidRPr="00BC0D1F" w:rsidRDefault="00D4652C" w:rsidP="00D4652C"/>
    <w:p w14:paraId="7DCC0332" w14:textId="77777777" w:rsidR="00AD72CC" w:rsidRPr="00BC0D1F" w:rsidRDefault="00AD72CC" w:rsidP="00D4652C">
      <w:pPr>
        <w:pStyle w:val="Heading4"/>
        <w:rPr>
          <w:lang w:eastAsia="en-NZ"/>
        </w:rPr>
      </w:pPr>
      <w:proofErr w:type="spellStart"/>
      <w:r w:rsidRPr="00BC0D1F">
        <w:rPr>
          <w:lang w:eastAsia="en-NZ"/>
        </w:rPr>
        <w:t>Smokefree</w:t>
      </w:r>
      <w:proofErr w:type="spellEnd"/>
      <w:r w:rsidRPr="00BC0D1F">
        <w:rPr>
          <w:lang w:eastAsia="en-NZ"/>
        </w:rPr>
        <w:t xml:space="preserve"> New Zealand 2025 Innovation Fund</w:t>
      </w:r>
    </w:p>
    <w:p w14:paraId="16A384A9" w14:textId="77777777" w:rsidR="00AD72CC" w:rsidRPr="00BC0D1F" w:rsidRDefault="00AD72CC" w:rsidP="00D4652C">
      <w:pPr>
        <w:rPr>
          <w:noProof/>
          <w:lang w:eastAsia="en-NZ"/>
        </w:rPr>
      </w:pPr>
      <w:r w:rsidRPr="00BC0D1F">
        <w:rPr>
          <w:noProof/>
          <w:lang w:eastAsia="en-NZ"/>
        </w:rPr>
        <w:t>The Smokefree New Zealand 2025 Innovation Fund was established to invest in the design, development, promotion and delivery of innovative efforts to reduce the harm and wider costs of smoking through a supportive and comprehensive public health environment approach. Two rounds of funding were distributed and over 24 programmes were funded. Most programmes ended in June 2016, and the remaining programmes will finish by the end of 2016. All programmes will be evaluated and a summary of evaluations will be available on the Ministry website.</w:t>
      </w:r>
    </w:p>
    <w:p w14:paraId="1A2505AA" w14:textId="77777777" w:rsidR="00D4652C" w:rsidRPr="00BC0D1F" w:rsidRDefault="00D4652C" w:rsidP="00D4652C">
      <w:pPr>
        <w:rPr>
          <w:noProof/>
          <w:lang w:eastAsia="en-NZ"/>
        </w:rPr>
      </w:pPr>
    </w:p>
    <w:p w14:paraId="1956FC10" w14:textId="77777777" w:rsidR="00DF4B9A" w:rsidRPr="00BC0D1F" w:rsidRDefault="00AD72CC" w:rsidP="00D4652C">
      <w:pPr>
        <w:pStyle w:val="Heading3"/>
      </w:pPr>
      <w:r w:rsidRPr="00BC0D1F">
        <w:t>Therapeutic products regulatory regime</w:t>
      </w:r>
    </w:p>
    <w:p w14:paraId="3910B938" w14:textId="77777777" w:rsidR="00DF4B9A" w:rsidRPr="00BC0D1F" w:rsidRDefault="00AD72CC" w:rsidP="00D4652C">
      <w:pPr>
        <w:rPr>
          <w:noProof/>
          <w:lang w:eastAsia="en-NZ"/>
        </w:rPr>
      </w:pPr>
      <w:r w:rsidRPr="00BC0D1F">
        <w:rPr>
          <w:noProof/>
          <w:lang w:eastAsia="en-NZ"/>
        </w:rPr>
        <w:t>Cabinet was advised and has made decisions on the strategic direction for the therapeutic products regulatory regime, the main elements of its design and a number of related matters (such as the prescribing framework). These high-level decisions will now guide the work on the detailed design of the scheme and how it is set out in legislation, regulations, and regulator-made instruments.</w:t>
      </w:r>
    </w:p>
    <w:p w14:paraId="519E7727" w14:textId="77777777" w:rsidR="00AD72CC" w:rsidRPr="00BC0D1F" w:rsidRDefault="00AD72CC" w:rsidP="00D4652C">
      <w:pPr>
        <w:rPr>
          <w:noProof/>
          <w:lang w:eastAsia="en-NZ"/>
        </w:rPr>
      </w:pPr>
    </w:p>
    <w:p w14:paraId="7BF8AFA2" w14:textId="7F77AAFD" w:rsidR="00D4652C" w:rsidRDefault="00AD72CC" w:rsidP="00D4652C">
      <w:pPr>
        <w:rPr>
          <w:noProof/>
          <w:lang w:eastAsia="en-NZ"/>
        </w:rPr>
      </w:pPr>
      <w:r w:rsidRPr="00BC0D1F">
        <w:rPr>
          <w:noProof/>
          <w:lang w:eastAsia="en-NZ"/>
        </w:rPr>
        <w:t>There has been considerable engagement with the therapeutic products industry (medicines, medical devices, and cell and tissue therapeutic products), health professional representative groups, the pharmacy sector and other interested parties, which will continue and deepen. The Parliamentary Counsel Office and the Legislation Design Advisory Committee are working on the design and content of the Therapeutic Products Bill.</w:t>
      </w:r>
    </w:p>
    <w:p w14:paraId="2CE7B063" w14:textId="77777777" w:rsidR="00136F36" w:rsidRPr="00BC0D1F" w:rsidRDefault="00136F36" w:rsidP="00D4652C">
      <w:pPr>
        <w:rPr>
          <w:noProof/>
          <w:lang w:eastAsia="en-NZ"/>
        </w:rPr>
      </w:pPr>
    </w:p>
    <w:p w14:paraId="0E76CB39" w14:textId="77777777" w:rsidR="00DF4B9A" w:rsidRPr="00BC0D1F" w:rsidRDefault="00AD72CC" w:rsidP="00D4652C">
      <w:pPr>
        <w:pStyle w:val="Heading3"/>
      </w:pPr>
      <w:r w:rsidRPr="00BC0D1F">
        <w:t>Strengthening the health and disability workforce</w:t>
      </w:r>
    </w:p>
    <w:p w14:paraId="7E5EF670" w14:textId="77777777" w:rsidR="00AD72CC" w:rsidRPr="00BC0D1F" w:rsidRDefault="00AD72CC" w:rsidP="00D4652C">
      <w:pPr>
        <w:rPr>
          <w:noProof/>
          <w:lang w:eastAsia="en-NZ"/>
        </w:rPr>
      </w:pPr>
      <w:r w:rsidRPr="00BC0D1F">
        <w:rPr>
          <w:noProof/>
          <w:lang w:eastAsia="en-NZ"/>
        </w:rPr>
        <w:t>The Ministry is committed to building a sustainable, flexible and fit-for-purpose workforce in a dynamic environment. The Ministry continues to drive the workforce response to shifting patterns of illness and disease, and the increasing focus on prevention, self-care, home-based care and community care. This includes initiatives aimed at developing a workforce that is capable, appropriately trained, motivated, supported and flexible enough to deliver on health targets and government and wider Ministry priorities for health.</w:t>
      </w:r>
    </w:p>
    <w:p w14:paraId="1C211163" w14:textId="77777777" w:rsidR="00AD72CC" w:rsidRPr="00BC0D1F" w:rsidRDefault="00AD72CC" w:rsidP="00D4652C">
      <w:pPr>
        <w:rPr>
          <w:noProof/>
          <w:lang w:eastAsia="en-NZ"/>
        </w:rPr>
      </w:pPr>
    </w:p>
    <w:p w14:paraId="3BA4CF9E" w14:textId="77777777" w:rsidR="00AD72CC" w:rsidRPr="00BC0D1F" w:rsidRDefault="00AD72CC" w:rsidP="00D4652C">
      <w:pPr>
        <w:rPr>
          <w:noProof/>
          <w:lang w:eastAsia="en-NZ"/>
        </w:rPr>
      </w:pPr>
      <w:r w:rsidRPr="00BC0D1F">
        <w:rPr>
          <w:noProof/>
          <w:lang w:eastAsia="en-NZ"/>
        </w:rPr>
        <w:lastRenderedPageBreak/>
        <w:t>In 2015/16 the Ministry funded the following health and disability workforce initiatives.</w:t>
      </w:r>
    </w:p>
    <w:p w14:paraId="3CBDB345" w14:textId="77777777" w:rsidR="00DF4B9A" w:rsidRPr="00BC0D1F" w:rsidRDefault="00AD72CC" w:rsidP="00D4652C">
      <w:pPr>
        <w:pStyle w:val="Bullet"/>
        <w:keepLines/>
      </w:pPr>
      <w:r w:rsidRPr="00BC0D1F">
        <w:t>The Voluntary Bonding Scheme provides incentives for new graduates to work in hard-to-staff professions and/or specialties and hard-to-staff communities. In the 2016 calendar year there were 333 new registrants: doctors, GP trainees, nurses, midwives, medical physicists, radiation therapists and sonographers were on the scheme, with dentists included for the first time.</w:t>
      </w:r>
    </w:p>
    <w:p w14:paraId="549333DC" w14:textId="77777777" w:rsidR="00AD72CC" w:rsidRPr="00BC0D1F" w:rsidRDefault="00AD72CC" w:rsidP="00D4652C">
      <w:pPr>
        <w:pStyle w:val="Bullet"/>
      </w:pPr>
      <w:r w:rsidRPr="00BC0D1F">
        <w:t>The Nursing Entry to Practice (NETP) programme enables new graduate nurses to practise in well-supported and safe environments and to build a sustainable pathway for the nursing workforce into the future. In the 2015 calendar year funding was provided for 1178 NETP placements, 42 NETP placements in aged residential care and 175 Nurse Entry to Specialist Practice placements.</w:t>
      </w:r>
    </w:p>
    <w:p w14:paraId="2E3957F0" w14:textId="77777777" w:rsidR="00AD72CC" w:rsidRPr="00BC0D1F" w:rsidRDefault="00AD72CC" w:rsidP="00D4652C">
      <w:pPr>
        <w:pStyle w:val="Bullet"/>
      </w:pPr>
      <w:r w:rsidRPr="00BC0D1F">
        <w:t>The Midwifery First Year of Practice Programme provides a mix of mentoring and education to support new midwifery graduates in their first year in the workplace. The compulsory programme has three cohorts per year and will see 161 new midwifery graduates completing in the 2016 calendar year.</w:t>
      </w:r>
    </w:p>
    <w:p w14:paraId="68EF63EF" w14:textId="77777777" w:rsidR="00AD72CC" w:rsidRPr="00BC0D1F" w:rsidRDefault="00AD72CC" w:rsidP="00D4652C">
      <w:pPr>
        <w:pStyle w:val="Bullet"/>
      </w:pPr>
      <w:r w:rsidRPr="00BC0D1F">
        <w:t>The Midwifery Recruitment and Retention service provides support to rural midwives to ensure there are sufficient midwives to meet demand for maternity services in rural areas. In the 2015 calendar year 478 locum placements and 10 rural relocation grants were provided to support rural midwives.</w:t>
      </w:r>
    </w:p>
    <w:p w14:paraId="42D9A82F" w14:textId="77777777" w:rsidR="00AD72CC" w:rsidRPr="00BC0D1F" w:rsidRDefault="00AD72CC" w:rsidP="00D4652C">
      <w:pPr>
        <w:pStyle w:val="Bullet"/>
      </w:pPr>
      <w:r w:rsidRPr="00BC0D1F">
        <w:t>Health Workforce New Zealand (HWNZ) continues to fund the Royal New Zealand College of General Practitioners for the training and employment of GP registrars as part of the General Practice Education Programme (GPEP). In the 2016 calendar year 182 registrars enrolled in GPEP1, compared to 169 in 2015.</w:t>
      </w:r>
    </w:p>
    <w:p w14:paraId="3315DD2E" w14:textId="77777777" w:rsidR="00AD72CC" w:rsidRPr="00BC0D1F" w:rsidRDefault="00AD72CC" w:rsidP="00D4652C">
      <w:pPr>
        <w:pStyle w:val="Bullet"/>
      </w:pPr>
      <w:r w:rsidRPr="00BC0D1F">
        <w:t>The Pharmaceutical Society of New Zealand, on behalf of HWNZ, completed the successful introduction of pharmacy accuracy checking technicians into the pharmacy workforce. These technicians carry out the final check on a dispensed item, a task previously undertaken by a pharmacist. Introduction of this role has resulted in increasing the time pharmacists spend on patient-focused activities without compromising public safety in the dispensing of medicines.</w:t>
      </w:r>
    </w:p>
    <w:p w14:paraId="68D2F9D6" w14:textId="77777777" w:rsidR="00D4652C" w:rsidRPr="00BC0D1F" w:rsidRDefault="00D4652C" w:rsidP="00D4652C">
      <w:pPr>
        <w:rPr>
          <w:noProof/>
          <w:lang w:eastAsia="en-NZ"/>
        </w:rPr>
      </w:pPr>
    </w:p>
    <w:p w14:paraId="00C77591" w14:textId="77777777" w:rsidR="00AD72CC" w:rsidRPr="00BC0D1F" w:rsidRDefault="00AD72CC" w:rsidP="00D4652C">
      <w:pPr>
        <w:rPr>
          <w:noProof/>
          <w:lang w:eastAsia="en-NZ"/>
        </w:rPr>
      </w:pPr>
      <w:r w:rsidRPr="00BC0D1F">
        <w:rPr>
          <w:noProof/>
          <w:lang w:eastAsia="en-NZ"/>
        </w:rPr>
        <w:t>Following are some of the additional initiatives undertaken in the 2015/16 financial year to support building a sustainable workforce.</w:t>
      </w:r>
    </w:p>
    <w:p w14:paraId="7EF5E196" w14:textId="77777777" w:rsidR="00AD72CC" w:rsidRPr="00BC0D1F" w:rsidRDefault="00AD72CC" w:rsidP="00D4652C">
      <w:pPr>
        <w:pStyle w:val="Bullet"/>
      </w:pPr>
      <w:r w:rsidRPr="00BC0D1F">
        <w:t xml:space="preserve">HWNZ continues to work with the Medical Colleges to bring together medical specialty factsheets to support graduate doctors to make appropriate career choices and to have opportunities for employment in New Zealand. Fifty factsheets are now on the </w:t>
      </w:r>
      <w:proofErr w:type="spellStart"/>
      <w:r w:rsidRPr="00BC0D1F">
        <w:t>Kiwihealthjobs</w:t>
      </w:r>
      <w:proofErr w:type="spellEnd"/>
      <w:r w:rsidRPr="00BC0D1F">
        <w:t xml:space="preserve"> website, and these are updated as new information becomes available.</w:t>
      </w:r>
    </w:p>
    <w:p w14:paraId="39DC3440" w14:textId="2EC0A681" w:rsidR="00DF4B9A" w:rsidRPr="00BC0D1F" w:rsidRDefault="00AD72CC" w:rsidP="00D4652C">
      <w:pPr>
        <w:pStyle w:val="Bullet"/>
      </w:pPr>
      <w:r w:rsidRPr="00BC0D1F">
        <w:t>HWNZ, in conjunction with key stakeholders, has over-arching responsibility for the coordination of community-based clinical attachments (CBAs), including urgent care, hospice, community mental health and other community-based services, and in general practice. Completing a 13-week CBA helps trainees to understand the interface between primary and secondary care and prepare them for future practice. As at June 2016, 19 percent of interns had completed a CBA.</w:t>
      </w:r>
    </w:p>
    <w:p w14:paraId="4FCD4AE6" w14:textId="77777777" w:rsidR="00DF4B9A" w:rsidRPr="00BC0D1F" w:rsidRDefault="00AD72CC" w:rsidP="00D4652C">
      <w:pPr>
        <w:pStyle w:val="Bullet"/>
      </w:pPr>
      <w:r w:rsidRPr="00BC0D1F">
        <w:t>HWNZ has strengthened its data intelligence of the regulated health workforce by developing a forecasting model that projects the age and size of a workforce in 10 years</w:t>
      </w:r>
      <w:r w:rsidR="00DF4B9A" w:rsidRPr="00BC0D1F">
        <w:t>’</w:t>
      </w:r>
      <w:r w:rsidRPr="00BC0D1F">
        <w:t xml:space="preserve"> time. The model has been used to estimate the future supply of New Zealand</w:t>
      </w:r>
      <w:r w:rsidR="00DF4B9A" w:rsidRPr="00BC0D1F">
        <w:t>’</w:t>
      </w:r>
      <w:r w:rsidRPr="00BC0D1F">
        <w:t>s medical and nursing workforce and the allied health workforce. The workforce projections in the model have enhanced HWNZ</w:t>
      </w:r>
      <w:r w:rsidR="00DF4B9A" w:rsidRPr="00BC0D1F">
        <w:t>’</w:t>
      </w:r>
      <w:r w:rsidRPr="00BC0D1F">
        <w:t>s work with stakeholders in identifying how they can support a sustainable health workforce that is able to meet future demand for health care.</w:t>
      </w:r>
    </w:p>
    <w:p w14:paraId="11BF369E" w14:textId="77777777" w:rsidR="00AD72CC" w:rsidRPr="00BC0D1F" w:rsidRDefault="00AD72CC" w:rsidP="00D4652C">
      <w:pPr>
        <w:pStyle w:val="Bullet"/>
        <w:keepLines/>
      </w:pPr>
      <w:r w:rsidRPr="00BC0D1F">
        <w:lastRenderedPageBreak/>
        <w:t>Following engagement with key stakeholders, both within and outside the medical workforce, HWNZ and the DHBs are co-developing an alternative funding model for medical vocational training that can be progressively implemented over a three- to five-year period. Implementation of such a model is expected to ensure workforce sustainability and sector capacity and capability to address future health needs.</w:t>
      </w:r>
    </w:p>
    <w:p w14:paraId="6F9F15CD" w14:textId="77777777" w:rsidR="00D4652C" w:rsidRPr="00BC0D1F" w:rsidRDefault="00D4652C" w:rsidP="00D4652C"/>
    <w:p w14:paraId="45144179" w14:textId="77777777" w:rsidR="00AD72CC" w:rsidRPr="00BC0D1F" w:rsidRDefault="00AD72CC" w:rsidP="00D4652C">
      <w:pPr>
        <w:pStyle w:val="Heading4"/>
      </w:pPr>
      <w:r w:rsidRPr="00BC0D1F">
        <w:t>Ministry of Health Pacific scholarships</w:t>
      </w:r>
    </w:p>
    <w:p w14:paraId="35209D4B" w14:textId="77777777" w:rsidR="00AD72CC" w:rsidRPr="00BC0D1F" w:rsidRDefault="00AD72CC" w:rsidP="00D4652C">
      <w:pPr>
        <w:rPr>
          <w:rFonts w:cs="Arial"/>
          <w:color w:val="000000"/>
          <w:lang w:eastAsia="en-NZ"/>
        </w:rPr>
      </w:pPr>
      <w:r w:rsidRPr="00BC0D1F">
        <w:rPr>
          <w:noProof/>
          <w:lang w:eastAsia="en-NZ"/>
        </w:rPr>
        <w:t>In 2015/16 the Ministry funded 164 Pacific students through the ANIVA scholarships. Scholarships are awarded to Pacific students pursuing a career in health or a health-related subject. As at the end of the 2015 academic year the ANIVA programme</w:t>
      </w:r>
      <w:r w:rsidR="00DF4B9A" w:rsidRPr="00BC0D1F">
        <w:rPr>
          <w:noProof/>
          <w:lang w:eastAsia="en-NZ"/>
        </w:rPr>
        <w:t xml:space="preserve"> </w:t>
      </w:r>
      <w:r w:rsidRPr="00BC0D1F">
        <w:rPr>
          <w:noProof/>
          <w:lang w:eastAsia="en-NZ"/>
        </w:rPr>
        <w:t>had developed and received New Zealand Qualifications Authority approval and accreditation of Pacific specialty qualifications, in partnership with Whitireia Community Polytechnic, as follows.</w:t>
      </w:r>
    </w:p>
    <w:p w14:paraId="3F3F1406" w14:textId="77777777" w:rsidR="00AD72CC" w:rsidRPr="00BC0D1F" w:rsidRDefault="00AD72CC" w:rsidP="00D4652C">
      <w:pPr>
        <w:pStyle w:val="Bullet"/>
      </w:pPr>
      <w:r w:rsidRPr="00BC0D1F">
        <w:t>The postgraduate Diploma in Specialty Care (Pacific Health), which builds on the established Postgraduate Certificate in Specialty Care (Pacific Health), was offered in 2015 for the first time. Twenty-four students were enrolled in this programme, and 22 students (92 percent) completed the qualification. Ninety-five percent of students said their expectations for the programme were exceeded or met.</w:t>
      </w:r>
    </w:p>
    <w:p w14:paraId="71EFF27C" w14:textId="77777777" w:rsidR="00AD72CC" w:rsidRPr="00BC0D1F" w:rsidRDefault="00AD72CC" w:rsidP="00D4652C">
      <w:pPr>
        <w:pStyle w:val="Bullet"/>
      </w:pPr>
      <w:r w:rsidRPr="00BC0D1F">
        <w:t xml:space="preserve">Level 4 of the National Certificate in Mental Health and Addiction Support (Pacific Health) (the </w:t>
      </w:r>
      <w:r w:rsidR="00DF4B9A" w:rsidRPr="00BC0D1F">
        <w:t>‘</w:t>
      </w:r>
      <w:r w:rsidRPr="00BC0D1F">
        <w:t>unregulated programme</w:t>
      </w:r>
      <w:r w:rsidR="00DF4B9A" w:rsidRPr="00BC0D1F">
        <w:t>’</w:t>
      </w:r>
      <w:r w:rsidRPr="00BC0D1F">
        <w:t>) attracted enrolment of 40 students, of whom 82.5 percent completed their qualifications. All the students said that their expectations for the programme, which was offered for the first time in 2015, were exceeded or met.</w:t>
      </w:r>
    </w:p>
    <w:p w14:paraId="1D3663C1" w14:textId="77777777" w:rsidR="00AD72CC" w:rsidRPr="00BC0D1F" w:rsidRDefault="00AD72CC" w:rsidP="00D4652C">
      <w:pPr>
        <w:pStyle w:val="Bullet"/>
      </w:pPr>
      <w:r w:rsidRPr="00BC0D1F">
        <w:t>The Master of Professional Practice (Pacific Leadership), which completes the development of a Pacific Specialty academic and career pathway for Pacific nurses, was delivered for the first time in 2016.</w:t>
      </w:r>
    </w:p>
    <w:p w14:paraId="4A9D9B62" w14:textId="1948905B" w:rsidR="00AD72CC" w:rsidRPr="00BC0D1F" w:rsidRDefault="00AD72CC" w:rsidP="00D4652C">
      <w:pPr>
        <w:pStyle w:val="Bullet"/>
        <w:rPr>
          <w:rFonts w:cs="Arial"/>
        </w:rPr>
      </w:pPr>
      <w:r w:rsidRPr="00BC0D1F">
        <w:t xml:space="preserve">Of the 24 students enrolled in the existing Postgraduate Certificate in Specialty Care (Pacific Health), 88 percent completed their qualification; </w:t>
      </w:r>
      <w:r w:rsidR="001A343C">
        <w:t>nine</w:t>
      </w:r>
      <w:r w:rsidR="001A343C" w:rsidRPr="00BC0D1F">
        <w:t xml:space="preserve"> </w:t>
      </w:r>
      <w:r w:rsidRPr="00BC0D1F">
        <w:t>percent of students said their expectations for the programme were exceeded or</w:t>
      </w:r>
      <w:r w:rsidRPr="00BC0D1F">
        <w:rPr>
          <w:rFonts w:cs="Arial"/>
        </w:rPr>
        <w:t xml:space="preserve"> met.</w:t>
      </w:r>
    </w:p>
    <w:p w14:paraId="1B5EE841" w14:textId="77777777" w:rsidR="00D4652C" w:rsidRPr="00BC0D1F" w:rsidRDefault="00D4652C" w:rsidP="00D4652C"/>
    <w:p w14:paraId="2300BD70" w14:textId="77777777" w:rsidR="00AD72CC" w:rsidRPr="00BC0D1F" w:rsidRDefault="00AD72CC" w:rsidP="00D4652C">
      <w:pPr>
        <w:pStyle w:val="Heading4"/>
      </w:pPr>
      <w:r w:rsidRPr="00BC0D1F">
        <w:t>Pacific Health Science Academy and mentoring</w:t>
      </w:r>
    </w:p>
    <w:p w14:paraId="6E703186" w14:textId="77777777" w:rsidR="00AD72CC" w:rsidRPr="00BC0D1F" w:rsidRDefault="00AD72CC" w:rsidP="00D4652C">
      <w:pPr>
        <w:rPr>
          <w:noProof/>
          <w:lang w:eastAsia="en-NZ"/>
        </w:rPr>
      </w:pPr>
      <w:r w:rsidRPr="00BC0D1F">
        <w:rPr>
          <w:noProof/>
          <w:lang w:eastAsia="en-NZ"/>
        </w:rPr>
        <w:t>Three Pacific Health Science Academies (PHSAs) were established in low-decile schools in Auckland as part of Programme Working and Achieving Together (Programme W&amp;AT!). Programme W&amp;AT! is managed by the Pacific Health Unit at Counties Manukau Health within the Counties Manukau DHB. In addition to the Health Science Academies, Programme W&amp;AT! also delivers a Pacific Tertiary Student Programme. By the end of 2015 over 70 students from years 11 to 13 had been offered a place at the PHSAs.</w:t>
      </w:r>
    </w:p>
    <w:p w14:paraId="6128D897" w14:textId="77777777" w:rsidR="00D4652C" w:rsidRPr="00BC0D1F" w:rsidRDefault="00D4652C" w:rsidP="00D4652C">
      <w:pPr>
        <w:rPr>
          <w:noProof/>
          <w:lang w:eastAsia="en-NZ"/>
        </w:rPr>
      </w:pPr>
    </w:p>
    <w:p w14:paraId="7709FCE2" w14:textId="77777777" w:rsidR="00DF4B9A" w:rsidRPr="00BC0D1F" w:rsidRDefault="00AD72CC" w:rsidP="00D4652C">
      <w:pPr>
        <w:pStyle w:val="Heading4"/>
      </w:pPr>
      <w:r w:rsidRPr="00BC0D1F">
        <w:t xml:space="preserve">Pacific orientation programme at University of </w:t>
      </w:r>
      <w:proofErr w:type="spellStart"/>
      <w:r w:rsidRPr="00BC0D1F">
        <w:t>Otago</w:t>
      </w:r>
      <w:proofErr w:type="spellEnd"/>
    </w:p>
    <w:p w14:paraId="553756BF" w14:textId="77777777" w:rsidR="00AD72CC" w:rsidRPr="00BC0D1F" w:rsidRDefault="00AD72CC" w:rsidP="00D4652C">
      <w:pPr>
        <w:rPr>
          <w:noProof/>
          <w:lang w:eastAsia="en-NZ"/>
        </w:rPr>
      </w:pPr>
      <w:r w:rsidRPr="00BC0D1F">
        <w:rPr>
          <w:noProof/>
          <w:lang w:eastAsia="en-NZ"/>
        </w:rPr>
        <w:t>There was an increase in the number of Pacific students who successfully gained entry into the health professional and/or allied health programmes at the University of Otago. In 2015, 34</w:t>
      </w:r>
      <w:r w:rsidR="00D4652C" w:rsidRPr="00BC0D1F">
        <w:rPr>
          <w:noProof/>
          <w:lang w:eastAsia="en-NZ"/>
        </w:rPr>
        <w:t> </w:t>
      </w:r>
      <w:r w:rsidRPr="00BC0D1F">
        <w:rPr>
          <w:noProof/>
          <w:lang w:eastAsia="en-NZ"/>
        </w:rPr>
        <w:t>students were offered a place within one of the programmes. Five years ago, prior to starting this enhanced learning programme, there was an average of five Pacfic students per year enrolled in a health professional course</w:t>
      </w:r>
      <w:bookmarkStart w:id="37" w:name="_Toc458160986"/>
      <w:r w:rsidRPr="00BC0D1F">
        <w:rPr>
          <w:noProof/>
          <w:lang w:eastAsia="en-NZ"/>
        </w:rPr>
        <w:t>.</w:t>
      </w:r>
    </w:p>
    <w:p w14:paraId="4707C5E9" w14:textId="77777777" w:rsidR="00D4652C" w:rsidRPr="00BC0D1F" w:rsidRDefault="00D4652C" w:rsidP="00D4652C">
      <w:pPr>
        <w:rPr>
          <w:noProof/>
          <w:lang w:eastAsia="en-NZ"/>
        </w:rPr>
      </w:pPr>
    </w:p>
    <w:p w14:paraId="10406466" w14:textId="77777777" w:rsidR="00DF4B9A" w:rsidRPr="00BC0D1F" w:rsidRDefault="00AD72CC" w:rsidP="00D4652C">
      <w:pPr>
        <w:pStyle w:val="Heading3"/>
      </w:pPr>
      <w:r w:rsidRPr="00BC0D1F">
        <w:lastRenderedPageBreak/>
        <w:t>Supporting regional and national collaboration</w:t>
      </w:r>
      <w:bookmarkEnd w:id="37"/>
    </w:p>
    <w:p w14:paraId="11584DFC" w14:textId="77777777" w:rsidR="00AD72CC" w:rsidRPr="00BC0D1F" w:rsidRDefault="00AD72CC" w:rsidP="00D4652C">
      <w:pPr>
        <w:pStyle w:val="Heading4"/>
      </w:pPr>
      <w:r w:rsidRPr="00BC0D1F">
        <w:t>National service planning</w:t>
      </w:r>
    </w:p>
    <w:p w14:paraId="03B4877B" w14:textId="77777777" w:rsidR="00AD72CC" w:rsidRPr="00BC0D1F" w:rsidRDefault="00AD72CC" w:rsidP="00D4652C">
      <w:pPr>
        <w:keepNext/>
        <w:rPr>
          <w:noProof/>
          <w:lang w:eastAsia="en-NZ"/>
        </w:rPr>
      </w:pPr>
      <w:r w:rsidRPr="00BC0D1F">
        <w:rPr>
          <w:noProof/>
          <w:lang w:eastAsia="en-NZ"/>
        </w:rPr>
        <w:t>During 2015/16 the Ministry continued to develop and support designated national services. The Ministry:</w:t>
      </w:r>
    </w:p>
    <w:p w14:paraId="3FBE1F5F" w14:textId="77777777" w:rsidR="00AD72CC" w:rsidRPr="00BC0D1F" w:rsidRDefault="00AD72CC" w:rsidP="00D4652C">
      <w:pPr>
        <w:pStyle w:val="Bullet"/>
        <w:keepNext/>
      </w:pPr>
      <w:r w:rsidRPr="00BC0D1F">
        <w:t>worked with Clinical Genetics to improve access to first specialist assessment</w:t>
      </w:r>
    </w:p>
    <w:p w14:paraId="7BC6675C" w14:textId="77777777" w:rsidR="00DF4B9A" w:rsidRPr="00BC0D1F" w:rsidRDefault="00AD72CC" w:rsidP="00D4652C">
      <w:pPr>
        <w:pStyle w:val="Bullet"/>
      </w:pPr>
      <w:r w:rsidRPr="00BC0D1F">
        <w:t>progressed establishing a National Intestinal Failure Service, with a focus on supporting clinicians in regional hospitals to identify and appropriately manage patients to improve outcomes; a clinical governance board has been established to oversee the progress</w:t>
      </w:r>
    </w:p>
    <w:p w14:paraId="05782B30" w14:textId="77777777" w:rsidR="00AD72CC" w:rsidRPr="00BC0D1F" w:rsidRDefault="00AD72CC" w:rsidP="00D4652C">
      <w:pPr>
        <w:pStyle w:val="Bullet"/>
      </w:pPr>
      <w:r w:rsidRPr="00BC0D1F">
        <w:t>progressed the establishment of the national renal transplant service, which aims to lift live donor kidney transplants by 10 per year; a national strategic leadership team has been established to oversee progress within the service</w:t>
      </w:r>
    </w:p>
    <w:p w14:paraId="6E1D802A" w14:textId="77777777" w:rsidR="00AD72CC" w:rsidRPr="00BC0D1F" w:rsidRDefault="00AD72CC" w:rsidP="00D4652C">
      <w:pPr>
        <w:pStyle w:val="Bullet"/>
      </w:pPr>
      <w:r w:rsidRPr="00BC0D1F">
        <w:t>reviewed hyperbaric services to develop a sustainable service model</w:t>
      </w:r>
    </w:p>
    <w:p w14:paraId="7CCAC024" w14:textId="77777777" w:rsidR="00AD72CC" w:rsidRPr="00BC0D1F" w:rsidRDefault="00AD72CC" w:rsidP="00D4652C">
      <w:pPr>
        <w:pStyle w:val="Bullet"/>
      </w:pPr>
      <w:proofErr w:type="gramStart"/>
      <w:r w:rsidRPr="00BC0D1F">
        <w:t>supported</w:t>
      </w:r>
      <w:proofErr w:type="gramEnd"/>
      <w:r w:rsidRPr="00BC0D1F">
        <w:t xml:space="preserve"> developing service models for perinatal pathology, epilepsy and vascular services.</w:t>
      </w:r>
    </w:p>
    <w:p w14:paraId="093A3312" w14:textId="77777777" w:rsidR="00AD72CC" w:rsidRPr="00BC0D1F" w:rsidRDefault="00AD72CC" w:rsidP="00D4652C">
      <w:pPr>
        <w:rPr>
          <w:noProof/>
          <w:lang w:eastAsia="en-NZ"/>
        </w:rPr>
      </w:pPr>
    </w:p>
    <w:p w14:paraId="18C5F51C" w14:textId="77777777" w:rsidR="00AD72CC" w:rsidRPr="00BC0D1F" w:rsidRDefault="00AD72CC" w:rsidP="00D4652C">
      <w:pPr>
        <w:pStyle w:val="Heading2"/>
      </w:pPr>
      <w:bookmarkStart w:id="38" w:name="_Toc459730010"/>
      <w:bookmarkStart w:id="39" w:name="_Toc461544284"/>
      <w:bookmarkStart w:id="40" w:name="_Toc463507914"/>
      <w:bookmarkStart w:id="41" w:name="_Toc430768804"/>
      <w:r w:rsidRPr="00BC0D1F">
        <w:t>Other Ministry priorities</w:t>
      </w:r>
      <w:bookmarkEnd w:id="38"/>
      <w:bookmarkEnd w:id="39"/>
      <w:bookmarkEnd w:id="40"/>
    </w:p>
    <w:p w14:paraId="7D58F628" w14:textId="3A15B80D" w:rsidR="00AD72CC" w:rsidRPr="00BC0D1F" w:rsidRDefault="00AD72CC" w:rsidP="006444F4">
      <w:pPr>
        <w:pStyle w:val="Heading3"/>
      </w:pPr>
      <w:bookmarkStart w:id="42" w:name="_Toc458160988"/>
      <w:r w:rsidRPr="00BC0D1F">
        <w:t xml:space="preserve">Māori </w:t>
      </w:r>
      <w:r w:rsidR="006444F4" w:rsidRPr="00BC0D1F">
        <w:t>h</w:t>
      </w:r>
      <w:r w:rsidRPr="00BC0D1F">
        <w:t xml:space="preserve">ealth </w:t>
      </w:r>
      <w:r w:rsidR="006444F4" w:rsidRPr="00BC0D1F">
        <w:t>r</w:t>
      </w:r>
      <w:r w:rsidRPr="00BC0D1F">
        <w:t>esearch</w:t>
      </w:r>
    </w:p>
    <w:p w14:paraId="58E84534" w14:textId="6DF78087" w:rsidR="00DF4B9A" w:rsidRPr="00BC0D1F" w:rsidRDefault="001A343C" w:rsidP="006444F4">
      <w:r>
        <w:t>B</w:t>
      </w:r>
      <w:r w:rsidRPr="00BC0D1F">
        <w:t xml:space="preserve">aseline </w:t>
      </w:r>
      <w:r w:rsidR="00AD72CC" w:rsidRPr="00BC0D1F">
        <w:t xml:space="preserve">information </w:t>
      </w:r>
      <w:r>
        <w:t>on older peoples is presented in</w:t>
      </w:r>
      <w:r w:rsidR="00AD72CC" w:rsidRPr="00BC0D1F">
        <w:t xml:space="preserve"> the Life and Living in Advanced Age Cohort Study (</w:t>
      </w:r>
      <w:proofErr w:type="spellStart"/>
      <w:r w:rsidR="00AD72CC" w:rsidRPr="00BC0D1F">
        <w:t>LiLACS</w:t>
      </w:r>
      <w:proofErr w:type="spellEnd"/>
      <w:r w:rsidR="00AD72CC" w:rsidRPr="00BC0D1F">
        <w:t xml:space="preserve">) NZ, a longitudinal cohort study by the University of Auckland of Māori and non-Māori aged 80 years and above living in the Bay of Plenty and </w:t>
      </w:r>
      <w:proofErr w:type="spellStart"/>
      <w:r w:rsidR="00AD72CC" w:rsidRPr="00BC0D1F">
        <w:t>Rotorua</w:t>
      </w:r>
      <w:proofErr w:type="spellEnd"/>
      <w:r w:rsidR="00AD72CC" w:rsidRPr="00BC0D1F">
        <w:t>. There is a lack of good information about the health and wellbeing of people in advanced age and the Ministry has commissioned these reports to inform health service planners and providers in the aged care sector.</w:t>
      </w:r>
    </w:p>
    <w:p w14:paraId="61B3D2A6" w14:textId="77777777" w:rsidR="006444F4" w:rsidRPr="00BC0D1F" w:rsidRDefault="006444F4" w:rsidP="006444F4"/>
    <w:p w14:paraId="4AA526AF" w14:textId="047D2E16" w:rsidR="00DF4B9A" w:rsidRPr="00BC0D1F" w:rsidRDefault="00AD72CC" w:rsidP="006444F4">
      <w:r w:rsidRPr="00BC0D1F">
        <w:t>The Ministry funded research a</w:t>
      </w:r>
      <w:r w:rsidR="00384854">
        <w:t>nd monitoring report</w:t>
      </w:r>
      <w:r w:rsidRPr="00BC0D1F">
        <w:t>s on:</w:t>
      </w:r>
    </w:p>
    <w:p w14:paraId="3CC9F57F" w14:textId="77777777" w:rsidR="00DF4B9A" w:rsidRPr="00BC0D1F" w:rsidRDefault="00AD72CC" w:rsidP="006444F4">
      <w:pPr>
        <w:pStyle w:val="Bullet"/>
      </w:pPr>
      <w:r w:rsidRPr="00BC0D1F">
        <w:t>Māori child health and young people with chronic conditions and disabilities (Craig et al 2014) as well as health determinants (Simpson et al 2015): these publications are used by those working in the health sector to improve health outcomes for Māori children and young people, and provide a relevant evidence base to assist the Ministry and DHBs to develop programmes and interventions focused on addressing the health needs of Māori children and young people</w:t>
      </w:r>
    </w:p>
    <w:p w14:paraId="2ADBCE86" w14:textId="77777777" w:rsidR="00AD72CC" w:rsidRPr="00BC0D1F" w:rsidRDefault="00AD72CC" w:rsidP="006444F4">
      <w:pPr>
        <w:pStyle w:val="Bullet"/>
      </w:pPr>
      <w:r w:rsidRPr="00BC0D1F">
        <w:t>DHB Māori health profiles: statistical data to inform good planning to improve Māori health outcomes was released in October, and this set of publications presents a snapshot of Māori health compared with non-Māori health across a range of health and disability related indicators.</w:t>
      </w:r>
    </w:p>
    <w:p w14:paraId="4D8EA5CC" w14:textId="77777777" w:rsidR="006444F4" w:rsidRPr="00BC0D1F" w:rsidRDefault="006444F4" w:rsidP="006444F4"/>
    <w:p w14:paraId="747B6902" w14:textId="77777777" w:rsidR="00AD72CC" w:rsidRPr="00BC0D1F" w:rsidRDefault="00AD72CC" w:rsidP="006444F4">
      <w:pPr>
        <w:pStyle w:val="Heading3"/>
      </w:pPr>
      <w:r w:rsidRPr="00BC0D1F">
        <w:t>Pacific Innovation Fund</w:t>
      </w:r>
    </w:p>
    <w:p w14:paraId="3D787321" w14:textId="77777777" w:rsidR="00AD72CC" w:rsidRPr="00BC0D1F" w:rsidRDefault="00AD72CC" w:rsidP="006444F4">
      <w:pPr>
        <w:rPr>
          <w:noProof/>
          <w:lang w:eastAsia="en-NZ"/>
        </w:rPr>
      </w:pPr>
      <w:r w:rsidRPr="00BC0D1F">
        <w:rPr>
          <w:noProof/>
          <w:lang w:eastAsia="en-NZ"/>
        </w:rPr>
        <w:t>As part of the Government</w:t>
      </w:r>
      <w:r w:rsidR="00DF4B9A" w:rsidRPr="00BC0D1F">
        <w:rPr>
          <w:noProof/>
          <w:lang w:eastAsia="en-NZ"/>
        </w:rPr>
        <w:t>’</w:t>
      </w:r>
      <w:r w:rsidRPr="00BC0D1F">
        <w:rPr>
          <w:noProof/>
          <w:lang w:eastAsia="en-NZ"/>
        </w:rPr>
        <w:t>s 2012 Budget, the Ministry established the Pacific Innovation Fund. The purpose of the Fund is to invest in Pacific health initiatives that will demonstrate innovation through the application of new strategies, models and methods of service delivery.</w:t>
      </w:r>
    </w:p>
    <w:p w14:paraId="50E58723" w14:textId="77777777" w:rsidR="00AD72CC" w:rsidRPr="00BC0D1F" w:rsidRDefault="00AD72CC" w:rsidP="006444F4">
      <w:pPr>
        <w:rPr>
          <w:noProof/>
          <w:lang w:eastAsia="en-NZ"/>
        </w:rPr>
      </w:pPr>
    </w:p>
    <w:p w14:paraId="107E34DE" w14:textId="77777777" w:rsidR="00DF4B9A" w:rsidRPr="00BC0D1F" w:rsidRDefault="00AD72CC" w:rsidP="006444F4">
      <w:pPr>
        <w:rPr>
          <w:rFonts w:cs="Arial"/>
          <w:color w:val="000000"/>
          <w:lang w:eastAsia="en-NZ"/>
        </w:rPr>
      </w:pPr>
      <w:r w:rsidRPr="00BC0D1F">
        <w:rPr>
          <w:noProof/>
          <w:lang w:eastAsia="en-NZ"/>
        </w:rPr>
        <w:t xml:space="preserve">The Ministry funded seven contracts to deliver Pacific-specific innovation projects. The projects cover a range of health aspects for Pacific people, such as obesity, antenatal care and suicide prevention. For all contracts an evaluation has been completed or a plan is in place to have an evaluation completed. </w:t>
      </w:r>
      <w:r w:rsidRPr="00BC0D1F">
        <w:rPr>
          <w:rFonts w:cs="Arial"/>
          <w:color w:val="000000"/>
          <w:lang w:eastAsia="en-NZ"/>
        </w:rPr>
        <w:t>The evaluations received suggest that the innovation projects have been delivered in a way that engages with and meet the needs of the Pacific communities they serve.</w:t>
      </w:r>
    </w:p>
    <w:p w14:paraId="54BED262" w14:textId="77777777" w:rsidR="006444F4" w:rsidRPr="00BC0D1F" w:rsidRDefault="006444F4" w:rsidP="006444F4">
      <w:pPr>
        <w:rPr>
          <w:rFonts w:cs="Arial"/>
          <w:color w:val="000000"/>
          <w:lang w:eastAsia="en-NZ"/>
        </w:rPr>
      </w:pPr>
    </w:p>
    <w:p w14:paraId="3799DA1C" w14:textId="77777777" w:rsidR="00AD72CC" w:rsidRPr="00BC0D1F" w:rsidRDefault="00AD72CC" w:rsidP="006444F4">
      <w:pPr>
        <w:pStyle w:val="Heading3"/>
      </w:pPr>
      <w:r w:rsidRPr="00BC0D1F">
        <w:lastRenderedPageBreak/>
        <w:t>Maternal and child health</w:t>
      </w:r>
      <w:bookmarkEnd w:id="42"/>
    </w:p>
    <w:p w14:paraId="24513C37" w14:textId="77777777" w:rsidR="00DF4B9A" w:rsidRPr="00BC0D1F" w:rsidRDefault="00AD72CC" w:rsidP="006444F4">
      <w:pPr>
        <w:rPr>
          <w:noProof/>
          <w:lang w:eastAsia="en-NZ"/>
        </w:rPr>
      </w:pPr>
      <w:r w:rsidRPr="00BC0D1F">
        <w:rPr>
          <w:noProof/>
          <w:lang w:eastAsia="en-NZ"/>
        </w:rPr>
        <w:t>Changes have been made to improve the access to and delivery of maternity and child health services. Further work is being progressed under a wider programme of work relating to the Ministry</w:t>
      </w:r>
      <w:r w:rsidR="00DF4B9A" w:rsidRPr="00BC0D1F">
        <w:rPr>
          <w:noProof/>
          <w:lang w:eastAsia="en-NZ"/>
        </w:rPr>
        <w:t>’</w:t>
      </w:r>
      <w:r w:rsidRPr="00BC0D1F">
        <w:rPr>
          <w:noProof/>
          <w:lang w:eastAsia="en-NZ"/>
        </w:rPr>
        <w:t>s contribution to the Investing in Children and Enhanced Access to Universal Services work programmes. The Ministry is also developing a longer-term work programme to improve service access and outcomes for pregnant women, children, families and whānau.</w:t>
      </w:r>
    </w:p>
    <w:p w14:paraId="5B7FCDDD" w14:textId="77777777" w:rsidR="006444F4" w:rsidRPr="00BC0D1F" w:rsidRDefault="006444F4" w:rsidP="006444F4">
      <w:pPr>
        <w:rPr>
          <w:noProof/>
          <w:lang w:eastAsia="en-NZ"/>
        </w:rPr>
      </w:pPr>
    </w:p>
    <w:p w14:paraId="510986DA" w14:textId="77777777" w:rsidR="00AD72CC" w:rsidRPr="00BC0D1F" w:rsidRDefault="00AD72CC" w:rsidP="006444F4">
      <w:pPr>
        <w:pStyle w:val="Heading4"/>
        <w:rPr>
          <w:lang w:eastAsia="en-NZ"/>
        </w:rPr>
      </w:pPr>
      <w:r w:rsidRPr="00BC0D1F">
        <w:rPr>
          <w:lang w:eastAsia="en-NZ"/>
        </w:rPr>
        <w:t>Child and Family Maternity Quality Initiative</w:t>
      </w:r>
    </w:p>
    <w:p w14:paraId="758744CA" w14:textId="010B8F71" w:rsidR="00DF4B9A" w:rsidRPr="00BC0D1F" w:rsidRDefault="00AD72CC" w:rsidP="006444F4">
      <w:pPr>
        <w:rPr>
          <w:noProof/>
          <w:lang w:eastAsia="en-NZ"/>
        </w:rPr>
      </w:pPr>
      <w:r w:rsidRPr="00BC0D1F">
        <w:rPr>
          <w:noProof/>
          <w:lang w:eastAsia="en-NZ"/>
        </w:rPr>
        <w:t>The Child and Family Maternity Quality Initiative is the Ministry</w:t>
      </w:r>
      <w:r w:rsidR="00DF4B9A" w:rsidRPr="00BC0D1F">
        <w:rPr>
          <w:noProof/>
          <w:lang w:eastAsia="en-NZ"/>
        </w:rPr>
        <w:t>’</w:t>
      </w:r>
      <w:r w:rsidRPr="00BC0D1F">
        <w:rPr>
          <w:noProof/>
          <w:lang w:eastAsia="en-NZ"/>
        </w:rPr>
        <w:t xml:space="preserve">s programme for </w:t>
      </w:r>
      <w:r w:rsidR="00544CF9">
        <w:rPr>
          <w:noProof/>
          <w:lang w:eastAsia="en-NZ"/>
        </w:rPr>
        <w:t>improving</w:t>
      </w:r>
      <w:r w:rsidR="00544CF9" w:rsidRPr="00BC0D1F">
        <w:rPr>
          <w:noProof/>
          <w:lang w:eastAsia="en-NZ"/>
        </w:rPr>
        <w:t xml:space="preserve"> </w:t>
      </w:r>
      <w:r w:rsidRPr="00BC0D1F">
        <w:rPr>
          <w:noProof/>
          <w:lang w:eastAsia="en-NZ"/>
        </w:rPr>
        <w:t>quality and safety in the maternity sector. The first workstream has focused on projects that promote and strengthen maternity services (eg, establishing the Maternal Fetal Medicine Governance Board). The second workstream has focused on projects that support the women and families who most need high-quality, comprehensive, integrated care (eg, smoking cessation, alcohol and other drugs in pregnancy, and improved maternal mental health services).</w:t>
      </w:r>
    </w:p>
    <w:p w14:paraId="6166F34A" w14:textId="77777777" w:rsidR="00AD72CC" w:rsidRPr="00BC0D1F" w:rsidRDefault="00AD72CC" w:rsidP="006444F4">
      <w:pPr>
        <w:rPr>
          <w:noProof/>
          <w:lang w:eastAsia="en-NZ"/>
        </w:rPr>
      </w:pPr>
    </w:p>
    <w:p w14:paraId="45904C1A" w14:textId="77777777" w:rsidR="00AD72CC" w:rsidRPr="00BC0D1F" w:rsidRDefault="00AD72CC" w:rsidP="006444F4">
      <w:pPr>
        <w:rPr>
          <w:noProof/>
          <w:lang w:eastAsia="en-NZ"/>
        </w:rPr>
      </w:pPr>
      <w:r w:rsidRPr="00BC0D1F">
        <w:rPr>
          <w:noProof/>
          <w:lang w:eastAsia="en-NZ"/>
        </w:rPr>
        <w:t xml:space="preserve">The third workstream has seen maternity quality and safety programmes embedded in DHBs, as well as implementation of the </w:t>
      </w:r>
      <w:r w:rsidRPr="00BC0D1F">
        <w:rPr>
          <w:i/>
        </w:rPr>
        <w:t>Gestational Diabetes Management Guideline</w:t>
      </w:r>
      <w:r w:rsidRPr="00BC0D1F">
        <w:rPr>
          <w:noProof/>
          <w:lang w:eastAsia="en-NZ"/>
        </w:rPr>
        <w:t>, the convening of MATCON 2015 (a national maternity conference) and the ongoing work of the National Maternity Monitoring Group. Projects in the final workstream have increased maternity service integration, as evidenced by the alliancing contract with the NZ College of Midwives, and the ongoing implementation of the Maternity Clinical Information System in the five early adopter DHBs.</w:t>
      </w:r>
    </w:p>
    <w:p w14:paraId="4BC462B4" w14:textId="77777777" w:rsidR="006444F4" w:rsidRPr="00BC0D1F" w:rsidRDefault="006444F4" w:rsidP="006444F4">
      <w:pPr>
        <w:rPr>
          <w:noProof/>
          <w:lang w:eastAsia="en-NZ"/>
        </w:rPr>
      </w:pPr>
    </w:p>
    <w:p w14:paraId="480B6463" w14:textId="77777777" w:rsidR="00AD72CC" w:rsidRPr="00BC0D1F" w:rsidRDefault="00AD72CC" w:rsidP="006444F4">
      <w:pPr>
        <w:pStyle w:val="Heading3"/>
      </w:pPr>
      <w:bookmarkStart w:id="43" w:name="_Toc458160990"/>
      <w:r w:rsidRPr="00BC0D1F">
        <w:t>Palliative care and hospices</w:t>
      </w:r>
      <w:bookmarkEnd w:id="43"/>
    </w:p>
    <w:p w14:paraId="7817115D" w14:textId="77777777" w:rsidR="00AD72CC" w:rsidRPr="00BC0D1F" w:rsidRDefault="00AD72CC" w:rsidP="006444F4">
      <w:r w:rsidRPr="00BC0D1F">
        <w:t>Budget 2015 invested $76.1 million over four years to support hospice sustainability and fund new and innovative services in aged residential care, primary care and community settings.</w:t>
      </w:r>
    </w:p>
    <w:p w14:paraId="2802101A" w14:textId="5EF2392C" w:rsidR="00AD72CC" w:rsidRPr="00BC0D1F" w:rsidRDefault="00AD72CC" w:rsidP="006444F4">
      <w:pPr>
        <w:pStyle w:val="Bullet"/>
      </w:pPr>
      <w:r w:rsidRPr="00BC0D1F">
        <w:t>Fifty-two million dollars over four years was disbursed to DHBs from 1</w:t>
      </w:r>
      <w:r w:rsidR="006444F4" w:rsidRPr="00BC0D1F">
        <w:t> </w:t>
      </w:r>
      <w:r w:rsidRPr="00BC0D1F">
        <w:t>July 2015 to support the sustainable funding of hospices, including funding some current services.</w:t>
      </w:r>
    </w:p>
    <w:p w14:paraId="72307DE6" w14:textId="77777777" w:rsidR="00AD72CC" w:rsidRPr="00BC0D1F" w:rsidRDefault="00AD72CC" w:rsidP="006444F4">
      <w:pPr>
        <w:pStyle w:val="Bullet"/>
      </w:pPr>
      <w:r w:rsidRPr="00BC0D1F">
        <w:t>By the end of 2015/16 new services totalling $13.4 million over four years and involving 15</w:t>
      </w:r>
      <w:r w:rsidR="006444F4" w:rsidRPr="00BC0D1F">
        <w:t> </w:t>
      </w:r>
      <w:r w:rsidRPr="00BC0D1F">
        <w:t>DHBs and 22 hospices had also been agreed. Funding for the remaining five DHBs is being considered as hospices finalise new service proposals.</w:t>
      </w:r>
    </w:p>
    <w:p w14:paraId="495AD332" w14:textId="77777777" w:rsidR="00AD72CC" w:rsidRPr="00BC0D1F" w:rsidRDefault="00AD72CC" w:rsidP="006444F4">
      <w:pPr>
        <w:pStyle w:val="Bullet"/>
      </w:pPr>
      <w:r w:rsidRPr="00BC0D1F">
        <w:t>Approximately 40 FTE clinical positions have been established, with another 20 likely when the remaining service proposals are finalised. These positions will provide specialist advice, education and support to aged residential care services, primary health and community services staff, to ensure the provision of high-quality palliative care.</w:t>
      </w:r>
    </w:p>
    <w:p w14:paraId="3C64FBB5" w14:textId="77777777" w:rsidR="006444F4" w:rsidRPr="00BC0D1F" w:rsidRDefault="006444F4" w:rsidP="006444F4"/>
    <w:p w14:paraId="091920BB" w14:textId="77777777" w:rsidR="00AD72CC" w:rsidRPr="00BC0D1F" w:rsidRDefault="00AD72CC" w:rsidP="006444F4">
      <w:pPr>
        <w:pStyle w:val="Heading3"/>
      </w:pPr>
      <w:bookmarkStart w:id="44" w:name="_Toc458160991"/>
      <w:r w:rsidRPr="00BC0D1F">
        <w:t>Oral health</w:t>
      </w:r>
      <w:bookmarkEnd w:id="44"/>
    </w:p>
    <w:p w14:paraId="24094E79" w14:textId="77777777" w:rsidR="00AD72CC" w:rsidRPr="00BC0D1F" w:rsidRDefault="00AD72CC" w:rsidP="006444F4">
      <w:pPr>
        <w:pStyle w:val="Heading4"/>
        <w:rPr>
          <w:lang w:eastAsia="en-NZ"/>
        </w:rPr>
      </w:pPr>
      <w:r w:rsidRPr="00BC0D1F">
        <w:rPr>
          <w:lang w:eastAsia="en-NZ"/>
        </w:rPr>
        <w:t>Community oral health services</w:t>
      </w:r>
    </w:p>
    <w:p w14:paraId="141435B3" w14:textId="77777777" w:rsidR="00DF4B9A" w:rsidRPr="00BC0D1F" w:rsidRDefault="00AD72CC" w:rsidP="006444F4">
      <w:pPr>
        <w:rPr>
          <w:noProof/>
          <w:lang w:eastAsia="en-NZ"/>
        </w:rPr>
      </w:pPr>
      <w:r w:rsidRPr="00BC0D1F">
        <w:rPr>
          <w:noProof/>
          <w:lang w:eastAsia="en-NZ"/>
        </w:rPr>
        <w:t>Over the past eight years the Ministry and DHBs have implemented a major re-investment programme in child and adolescent health. The reinvestment programme is showing encouraging improvement in child oral health outcomes, as well as community oral health services enrolment and attendance.</w:t>
      </w:r>
    </w:p>
    <w:p w14:paraId="665CE147" w14:textId="77777777" w:rsidR="00AD72CC" w:rsidRPr="00BC0D1F" w:rsidRDefault="00AD72CC" w:rsidP="006444F4"/>
    <w:p w14:paraId="143B450D" w14:textId="77777777" w:rsidR="00AD72CC" w:rsidRPr="00BC0D1F" w:rsidRDefault="00AD72CC" w:rsidP="00396B77">
      <w:pPr>
        <w:rPr>
          <w:noProof/>
          <w:lang w:eastAsia="en-NZ"/>
        </w:rPr>
      </w:pPr>
      <w:r w:rsidRPr="00BC0D1F">
        <w:rPr>
          <w:noProof/>
          <w:lang w:eastAsia="en-NZ"/>
        </w:rPr>
        <w:t>Between 2007 and 2014 (the latest available data):</w:t>
      </w:r>
    </w:p>
    <w:p w14:paraId="40D4B88C" w14:textId="77777777" w:rsidR="00AD72CC" w:rsidRPr="00BC0D1F" w:rsidRDefault="00AD72CC" w:rsidP="00396B77">
      <w:pPr>
        <w:pStyle w:val="Bullet"/>
      </w:pPr>
      <w:r w:rsidRPr="00BC0D1F">
        <w:t>the percentage of children who were caries-free at age five increased from 51 percent to 59</w:t>
      </w:r>
      <w:r w:rsidR="006444F4" w:rsidRPr="00BC0D1F">
        <w:t> </w:t>
      </w:r>
      <w:r w:rsidRPr="00BC0D1F">
        <w:t>percent (the results for Māori five-year-olds increased from 29 percent to 40 percent caries-free, and for Pacific five-year-olds from 29 percent to 35 percent caries-free)</w:t>
      </w:r>
    </w:p>
    <w:p w14:paraId="3BB8AEDF" w14:textId="338A95D4" w:rsidR="00AD72CC" w:rsidRPr="00BC0D1F" w:rsidRDefault="00AD72CC" w:rsidP="006444F4">
      <w:pPr>
        <w:pStyle w:val="Bullet"/>
      </w:pPr>
      <w:proofErr w:type="gramStart"/>
      <w:r w:rsidRPr="00BC0D1F">
        <w:lastRenderedPageBreak/>
        <w:t>the</w:t>
      </w:r>
      <w:proofErr w:type="gramEnd"/>
      <w:r w:rsidRPr="00BC0D1F">
        <w:t xml:space="preserve"> average number of decayed, missing and filled teeth (DMFT) per five-year-old child reduced (</w:t>
      </w:r>
      <w:proofErr w:type="spellStart"/>
      <w:r w:rsidRPr="00BC0D1F">
        <w:t>ie</w:t>
      </w:r>
      <w:proofErr w:type="spellEnd"/>
      <w:r w:rsidRPr="00BC0D1F">
        <w:t xml:space="preserve">, improved) from 2.27 to 1.83 (the results for Māori five-year-olds reduced from 3.67 to 2.96 average </w:t>
      </w:r>
      <w:r w:rsidR="00C81438">
        <w:t xml:space="preserve">DMFT, </w:t>
      </w:r>
      <w:r w:rsidRPr="00BC0D1F">
        <w:t>and for Pacific five-year-olds from 3.85 to 3.29 average DMFT).</w:t>
      </w:r>
    </w:p>
    <w:p w14:paraId="37197CF3" w14:textId="77777777" w:rsidR="00AD72CC" w:rsidRPr="00BC0D1F" w:rsidRDefault="00AD72CC" w:rsidP="006444F4">
      <w:pPr>
        <w:rPr>
          <w:noProof/>
          <w:lang w:eastAsia="en-NZ"/>
        </w:rPr>
      </w:pPr>
    </w:p>
    <w:p w14:paraId="67DB4B3E" w14:textId="77777777" w:rsidR="00DF4B9A" w:rsidRPr="00BC0D1F" w:rsidRDefault="00AD72CC" w:rsidP="006444F4">
      <w:pPr>
        <w:rPr>
          <w:noProof/>
          <w:lang w:eastAsia="en-NZ"/>
        </w:rPr>
      </w:pPr>
      <w:r w:rsidRPr="00BC0D1F">
        <w:rPr>
          <w:noProof/>
          <w:lang w:eastAsia="en-NZ"/>
        </w:rPr>
        <w:t>At December 2015, 247,849 preschool children were enrolled with community oral health services, equating to 81 percent of the eligible population. The preschool enrolment rate has been steadily increasing since 2007, when it was 43 percent.</w:t>
      </w:r>
    </w:p>
    <w:p w14:paraId="62E288FA" w14:textId="77777777" w:rsidR="006444F4" w:rsidRPr="00BC0D1F" w:rsidRDefault="006444F4" w:rsidP="006444F4">
      <w:pPr>
        <w:rPr>
          <w:noProof/>
          <w:lang w:eastAsia="en-NZ"/>
        </w:rPr>
      </w:pPr>
    </w:p>
    <w:p w14:paraId="27ADB78A" w14:textId="77777777" w:rsidR="00DF4B9A" w:rsidRPr="00BC0D1F" w:rsidRDefault="00AD72CC" w:rsidP="006444F4">
      <w:pPr>
        <w:pStyle w:val="Heading4"/>
        <w:rPr>
          <w:lang w:eastAsia="en-NZ"/>
        </w:rPr>
      </w:pPr>
      <w:r w:rsidRPr="00BC0D1F">
        <w:rPr>
          <w:lang w:eastAsia="en-NZ"/>
        </w:rPr>
        <w:t>Electronic oral health record</w:t>
      </w:r>
    </w:p>
    <w:p w14:paraId="4E66DF01" w14:textId="77777777" w:rsidR="00AD72CC" w:rsidRPr="00BC0D1F" w:rsidRDefault="00AD72CC" w:rsidP="006444F4">
      <w:pPr>
        <w:rPr>
          <w:noProof/>
          <w:lang w:eastAsia="en-NZ"/>
        </w:rPr>
      </w:pPr>
      <w:r w:rsidRPr="00BC0D1F">
        <w:rPr>
          <w:noProof/>
          <w:lang w:eastAsia="en-NZ"/>
        </w:rPr>
        <w:t>The electronic oral health care programme is a priority project for the Oral Health team. When implemented, the electronic oral health record will contribute the oral health component of the comprehensive electronic medical record for each patient. It is anticipated that improved capture, quality and access to oral health data will support clinical decision-making, provide operational efficiencies, improve patient experience and provide more robust and timely data for service development and planning.</w:t>
      </w:r>
    </w:p>
    <w:p w14:paraId="5B861A34" w14:textId="77777777" w:rsidR="00AD72CC" w:rsidRPr="00BC0D1F" w:rsidRDefault="00AD72CC" w:rsidP="006444F4">
      <w:pPr>
        <w:rPr>
          <w:noProof/>
          <w:lang w:eastAsia="en-NZ"/>
        </w:rPr>
      </w:pPr>
    </w:p>
    <w:p w14:paraId="42A82BDC" w14:textId="77777777" w:rsidR="00AD72CC" w:rsidRPr="00BC0D1F" w:rsidRDefault="00AD72CC" w:rsidP="006444F4">
      <w:pPr>
        <w:rPr>
          <w:noProof/>
          <w:lang w:eastAsia="en-NZ"/>
        </w:rPr>
      </w:pPr>
      <w:r w:rsidRPr="00BC0D1F">
        <w:rPr>
          <w:noProof/>
          <w:lang w:eastAsia="en-NZ"/>
        </w:rPr>
        <w:t>To provide strategic direction, the Ministry has established a programme board, which met for the first time in November 2015. It has also put in place a team to deliver the programme, which has been working closely with all DHBs and other stakeholders to understand their current situation and requirements in order to codesign the approach for achieving a national electronic oral health record.</w:t>
      </w:r>
    </w:p>
    <w:p w14:paraId="48A77123" w14:textId="77777777" w:rsidR="006444F4" w:rsidRPr="00BC0D1F" w:rsidRDefault="006444F4" w:rsidP="006444F4">
      <w:pPr>
        <w:rPr>
          <w:noProof/>
          <w:lang w:eastAsia="en-NZ"/>
        </w:rPr>
      </w:pPr>
    </w:p>
    <w:p w14:paraId="5AAC19DD" w14:textId="77777777" w:rsidR="00AD72CC" w:rsidRPr="00BC0D1F" w:rsidRDefault="00AD72CC" w:rsidP="006444F4">
      <w:pPr>
        <w:pStyle w:val="Heading4"/>
        <w:rPr>
          <w:lang w:eastAsia="en-NZ"/>
        </w:rPr>
      </w:pPr>
      <w:r w:rsidRPr="00BC0D1F">
        <w:rPr>
          <w:lang w:eastAsia="en-NZ"/>
        </w:rPr>
        <w:t>Oral Health Promotion Initiative</w:t>
      </w:r>
    </w:p>
    <w:p w14:paraId="17691E6F" w14:textId="77777777" w:rsidR="00AD72CC" w:rsidRPr="00BC0D1F" w:rsidRDefault="00AD72CC" w:rsidP="006444F4">
      <w:pPr>
        <w:rPr>
          <w:noProof/>
          <w:lang w:eastAsia="en-NZ"/>
        </w:rPr>
      </w:pPr>
      <w:r w:rsidRPr="00BC0D1F">
        <w:rPr>
          <w:noProof/>
          <w:lang w:eastAsia="en-NZ"/>
        </w:rPr>
        <w:t>A Government investment of $10 million over four years has been made for an oral health promotion initiative to promote preschool oral health. Preschoolers from Māori, Pacific and low-income families/whānau are the priority groups due to their significantly poorer oral health outcomes from childhood to adulthood. The initiative includes the development of a national social marketing campaign and the distribution of toothbrushes and toothpaste to families/</w:t>
      </w:r>
      <w:r w:rsidR="006444F4" w:rsidRPr="00BC0D1F">
        <w:rPr>
          <w:noProof/>
          <w:lang w:eastAsia="en-NZ"/>
        </w:rPr>
        <w:t xml:space="preserve"> </w:t>
      </w:r>
      <w:r w:rsidRPr="00BC0D1F">
        <w:rPr>
          <w:noProof/>
          <w:lang w:eastAsia="en-NZ"/>
        </w:rPr>
        <w:t>whānau and their young children.</w:t>
      </w:r>
    </w:p>
    <w:p w14:paraId="36C1586C" w14:textId="77777777" w:rsidR="00AD72CC" w:rsidRPr="00BC0D1F" w:rsidRDefault="00AD72CC" w:rsidP="006444F4">
      <w:pPr>
        <w:rPr>
          <w:noProof/>
          <w:lang w:eastAsia="en-NZ"/>
        </w:rPr>
      </w:pPr>
    </w:p>
    <w:p w14:paraId="326A07BE" w14:textId="77777777" w:rsidR="00DF4B9A" w:rsidRPr="00BC0D1F" w:rsidRDefault="00AD72CC" w:rsidP="006444F4">
      <w:pPr>
        <w:rPr>
          <w:noProof/>
          <w:lang w:eastAsia="en-NZ"/>
        </w:rPr>
      </w:pPr>
      <w:r w:rsidRPr="00BC0D1F">
        <w:rPr>
          <w:noProof/>
          <w:lang w:eastAsia="en-NZ"/>
        </w:rPr>
        <w:t>In 2015 the Ministry contracted the Health Promotion Agency to undertake formative development work on child oral health to help inform the initiative. Three pieces of work were carried out: a literature review on oral health in children under five years; consumer research with parents, caregivers and whānau; and stakeholder engagement along with a resource stocktake.</w:t>
      </w:r>
    </w:p>
    <w:p w14:paraId="28B7DC11" w14:textId="77777777" w:rsidR="00AD72CC" w:rsidRPr="00BC0D1F" w:rsidRDefault="00AD72CC" w:rsidP="006444F4">
      <w:pPr>
        <w:rPr>
          <w:noProof/>
          <w:lang w:eastAsia="en-NZ"/>
        </w:rPr>
      </w:pPr>
    </w:p>
    <w:p w14:paraId="30823C10" w14:textId="77777777" w:rsidR="00DF4B9A" w:rsidRPr="00BC0D1F" w:rsidRDefault="00AD72CC" w:rsidP="006444F4">
      <w:pPr>
        <w:rPr>
          <w:noProof/>
          <w:lang w:eastAsia="en-NZ"/>
        </w:rPr>
      </w:pPr>
      <w:r w:rsidRPr="00BC0D1F">
        <w:rPr>
          <w:noProof/>
          <w:lang w:eastAsia="en-NZ"/>
        </w:rPr>
        <w:t>In March 2016 the Ministry commissioned the Health Promotion Agency to develop and deliver a national social marketing campaign, based on the formative development work already conducted, to improve preschool oral health for children aged under five years. This phase of the campaign is expected to go live in 2016/17.</w:t>
      </w:r>
    </w:p>
    <w:p w14:paraId="0F46FB05" w14:textId="77777777" w:rsidR="006444F4" w:rsidRPr="00BC0D1F" w:rsidRDefault="006444F4" w:rsidP="006444F4">
      <w:pPr>
        <w:rPr>
          <w:noProof/>
          <w:lang w:eastAsia="en-NZ"/>
        </w:rPr>
      </w:pPr>
    </w:p>
    <w:p w14:paraId="3118B40D" w14:textId="77777777" w:rsidR="00AD72CC" w:rsidRPr="00BC0D1F" w:rsidRDefault="00AD72CC" w:rsidP="006444F4">
      <w:pPr>
        <w:pStyle w:val="Heading4"/>
      </w:pPr>
      <w:r w:rsidRPr="00BC0D1F">
        <w:t>Decision-making on the fluoridation of drinking-water supplies</w:t>
      </w:r>
    </w:p>
    <w:p w14:paraId="1BC02A45" w14:textId="77777777" w:rsidR="00DF4B9A" w:rsidRPr="00BC0D1F" w:rsidRDefault="00AD72CC" w:rsidP="00396B77">
      <w:pPr>
        <w:rPr>
          <w:noProof/>
          <w:lang w:eastAsia="en-NZ"/>
        </w:rPr>
      </w:pPr>
      <w:r w:rsidRPr="00BC0D1F">
        <w:rPr>
          <w:noProof/>
          <w:lang w:eastAsia="en-NZ"/>
        </w:rPr>
        <w:t>In March 2016 Cabinet agreed proposed legislative changes to enable DHBs, rather than local authorities, to decide which community water supplies are to be fluoridated in their areas.</w:t>
      </w:r>
    </w:p>
    <w:p w14:paraId="362260D9" w14:textId="77777777" w:rsidR="006444F4" w:rsidRPr="00BC0D1F" w:rsidRDefault="006444F4" w:rsidP="00396B77">
      <w:pPr>
        <w:rPr>
          <w:noProof/>
          <w:lang w:eastAsia="en-NZ"/>
        </w:rPr>
      </w:pPr>
    </w:p>
    <w:p w14:paraId="5FEA3F1E" w14:textId="77777777" w:rsidR="00AD72CC" w:rsidRPr="00BC0D1F" w:rsidRDefault="00AD72CC" w:rsidP="00396B77">
      <w:pPr>
        <w:rPr>
          <w:noProof/>
          <w:lang w:eastAsia="en-NZ"/>
        </w:rPr>
      </w:pPr>
      <w:r w:rsidRPr="00BC0D1F">
        <w:rPr>
          <w:noProof/>
          <w:lang w:eastAsia="en-NZ"/>
        </w:rPr>
        <w:t>The Ministry is working to develop the Bill for introduction to the House. This includes developing the legislation for introduction to the House; developing operational policy for DHBs; and addressing other implementation issues. The Ministry will be seeking input from DHBs and local government to help inform the work.</w:t>
      </w:r>
    </w:p>
    <w:p w14:paraId="38845D62" w14:textId="77777777" w:rsidR="006444F4" w:rsidRPr="00BC0D1F" w:rsidRDefault="006444F4" w:rsidP="00396B77">
      <w:pPr>
        <w:rPr>
          <w:noProof/>
          <w:lang w:eastAsia="en-NZ"/>
        </w:rPr>
      </w:pPr>
    </w:p>
    <w:p w14:paraId="48FF3944" w14:textId="77777777" w:rsidR="00AD72CC" w:rsidRPr="00BC0D1F" w:rsidRDefault="00AD72CC" w:rsidP="009E5791">
      <w:pPr>
        <w:pStyle w:val="Heading1"/>
      </w:pPr>
      <w:bookmarkStart w:id="45" w:name="_Toc459730011"/>
      <w:bookmarkStart w:id="46" w:name="_Toc461544285"/>
      <w:bookmarkStart w:id="47" w:name="_Toc463507915"/>
      <w:r w:rsidRPr="00BC0D1F">
        <w:lastRenderedPageBreak/>
        <w:t>Achieving our objectives</w:t>
      </w:r>
      <w:bookmarkEnd w:id="41"/>
      <w:bookmarkEnd w:id="45"/>
      <w:bookmarkEnd w:id="46"/>
      <w:bookmarkEnd w:id="47"/>
    </w:p>
    <w:p w14:paraId="0244B62E" w14:textId="6EEB7E9D" w:rsidR="00AD72CC" w:rsidRPr="00BC0D1F" w:rsidRDefault="00AD72CC" w:rsidP="009E5791">
      <w:pPr>
        <w:pStyle w:val="Heading2"/>
      </w:pPr>
      <w:bookmarkStart w:id="48" w:name="_Toc430768805"/>
      <w:bookmarkStart w:id="49" w:name="_Toc459730012"/>
      <w:bookmarkStart w:id="50" w:name="_Toc461544286"/>
      <w:bookmarkStart w:id="51" w:name="_Toc463507916"/>
      <w:r w:rsidRPr="00BC0D1F">
        <w:t>Overview of the Ministry</w:t>
      </w:r>
      <w:r w:rsidR="00DF4B9A" w:rsidRPr="00BC0D1F">
        <w:t>’</w:t>
      </w:r>
      <w:r w:rsidRPr="00BC0D1F">
        <w:t>s outcomes framework</w:t>
      </w:r>
      <w:bookmarkEnd w:id="48"/>
      <w:bookmarkEnd w:id="49"/>
      <w:bookmarkEnd w:id="50"/>
      <w:bookmarkEnd w:id="51"/>
    </w:p>
    <w:p w14:paraId="210DB956" w14:textId="505BF411" w:rsidR="00AD72CC" w:rsidRPr="00BC0D1F" w:rsidRDefault="00AD72CC" w:rsidP="009E5791">
      <w:pPr>
        <w:rPr>
          <w:noProof/>
          <w:lang w:eastAsia="en-NZ"/>
        </w:rPr>
      </w:pPr>
      <w:r w:rsidRPr="00BC0D1F">
        <w:rPr>
          <w:noProof/>
          <w:lang w:eastAsia="en-NZ"/>
        </w:rPr>
        <w:t>The Ministry</w:t>
      </w:r>
      <w:r w:rsidR="00DF4B9A" w:rsidRPr="00BC0D1F">
        <w:rPr>
          <w:noProof/>
          <w:lang w:eastAsia="en-NZ"/>
        </w:rPr>
        <w:t>’</w:t>
      </w:r>
      <w:r w:rsidRPr="00BC0D1F">
        <w:rPr>
          <w:noProof/>
          <w:lang w:eastAsia="en-NZ"/>
        </w:rPr>
        <w:t>s 2015/16 outcomes framework contains two outcomes for the health and disability system</w:t>
      </w:r>
      <w:r w:rsidR="00EA2636">
        <w:rPr>
          <w:noProof/>
          <w:lang w:eastAsia="en-NZ"/>
        </w:rPr>
        <w:t>.</w:t>
      </w:r>
    </w:p>
    <w:p w14:paraId="268BDBAF" w14:textId="05D6D2DC" w:rsidR="00AD72CC" w:rsidRPr="00BC0D1F" w:rsidRDefault="00AD72CC" w:rsidP="00B45F1A">
      <w:pPr>
        <w:pStyle w:val="Bullet"/>
      </w:pPr>
      <w:r w:rsidRPr="00BC0D1F">
        <w:t>New Zealanders live longer, healthier, more independent lives</w:t>
      </w:r>
      <w:r w:rsidR="00544CF9">
        <w:t>.</w:t>
      </w:r>
    </w:p>
    <w:p w14:paraId="5E777EF8" w14:textId="1700C800" w:rsidR="00AD72CC" w:rsidRPr="00BC0D1F" w:rsidRDefault="00544CF9" w:rsidP="00B45F1A">
      <w:pPr>
        <w:pStyle w:val="Bullet"/>
      </w:pPr>
      <w:r>
        <w:t>T</w:t>
      </w:r>
      <w:r w:rsidR="00AD72CC" w:rsidRPr="00BC0D1F">
        <w:t>he health system is cost-effective and supports a productive economy.</w:t>
      </w:r>
    </w:p>
    <w:p w14:paraId="294EEB5A" w14:textId="77777777" w:rsidR="00AD72CC" w:rsidRPr="00BC0D1F" w:rsidRDefault="00AD72CC" w:rsidP="00B45F1A"/>
    <w:p w14:paraId="53A7ADD1" w14:textId="77777777" w:rsidR="00AD72CC" w:rsidRPr="00BC0D1F" w:rsidRDefault="00AD72CC" w:rsidP="00B45F1A">
      <w:r w:rsidRPr="00BC0D1F">
        <w:t>These health and disability system outcomes support the achievement of wider government priorities.</w:t>
      </w:r>
    </w:p>
    <w:p w14:paraId="62C407C3" w14:textId="77777777" w:rsidR="00AD72CC" w:rsidRPr="00BC0D1F" w:rsidRDefault="00AD72CC" w:rsidP="00B45F1A"/>
    <w:p w14:paraId="156A9FB4" w14:textId="1405582F" w:rsidR="00AD72CC" w:rsidRPr="00BC0D1F" w:rsidRDefault="00AD72CC" w:rsidP="00B45F1A">
      <w:r w:rsidRPr="00BC0D1F">
        <w:t>The Ministry itself had three high-level outcomes that supported the achievement of the health and disability system outcomes above</w:t>
      </w:r>
      <w:r w:rsidR="00544CF9">
        <w:t>.</w:t>
      </w:r>
    </w:p>
    <w:p w14:paraId="367D8A64" w14:textId="40E66434" w:rsidR="00AD72CC" w:rsidRPr="00BC0D1F" w:rsidRDefault="00AD72CC" w:rsidP="00B45F1A">
      <w:pPr>
        <w:pStyle w:val="Bullet"/>
      </w:pPr>
      <w:r w:rsidRPr="00BC0D1F">
        <w:t>New Zealanders are healthier and more independent</w:t>
      </w:r>
      <w:r w:rsidR="00EA2636">
        <w:t>.</w:t>
      </w:r>
    </w:p>
    <w:p w14:paraId="0932FB8B" w14:textId="284C0B8B" w:rsidR="00AD72CC" w:rsidRPr="00BC0D1F" w:rsidRDefault="00544CF9" w:rsidP="00B45F1A">
      <w:pPr>
        <w:pStyle w:val="Bullet"/>
      </w:pPr>
      <w:r>
        <w:t>H</w:t>
      </w:r>
      <w:r w:rsidR="00AD72CC" w:rsidRPr="00BC0D1F">
        <w:t>igh-quality health and disability services are delivered in a timely and accessible manner</w:t>
      </w:r>
      <w:r w:rsidR="00EA2636">
        <w:t>.</w:t>
      </w:r>
    </w:p>
    <w:p w14:paraId="03E8B57A" w14:textId="307E3E7A" w:rsidR="00AD72CC" w:rsidRPr="00BC0D1F" w:rsidRDefault="00536FEA" w:rsidP="00B45F1A">
      <w:pPr>
        <w:pStyle w:val="Bullet"/>
      </w:pPr>
      <w:r>
        <w:t>T</w:t>
      </w:r>
      <w:r w:rsidR="00AD72CC" w:rsidRPr="00BC0D1F">
        <w:t>he future sustainability of the health and disability system is assured.</w:t>
      </w:r>
    </w:p>
    <w:p w14:paraId="1186C2B8" w14:textId="77777777" w:rsidR="00AD72CC" w:rsidRPr="00BC0D1F" w:rsidRDefault="00AD72CC" w:rsidP="00B45F1A"/>
    <w:p w14:paraId="79E8C590" w14:textId="77777777" w:rsidR="00DF4B9A" w:rsidRPr="00BC0D1F" w:rsidRDefault="00AD72CC" w:rsidP="00B45F1A">
      <w:r w:rsidRPr="00BC0D1F">
        <w:t>Many factors influence outcomes. In helping to achieve these outcomes, the Ministry will have a real impact on the lives of New Zealanders. The health and disability system is dynamic and integrated, and many of our activities contribute to a number of our long-term outcomes and impacts.</w:t>
      </w:r>
    </w:p>
    <w:p w14:paraId="71F01268" w14:textId="77777777" w:rsidR="00AD72CC" w:rsidRPr="00BC0D1F" w:rsidRDefault="00AD72CC" w:rsidP="00B45F1A"/>
    <w:p w14:paraId="21FF0B9B" w14:textId="77777777" w:rsidR="00AD72CC" w:rsidRPr="00BC0D1F" w:rsidRDefault="00AD72CC" w:rsidP="00B45F1A">
      <w:r w:rsidRPr="00BC0D1F">
        <w:t>The Ministry</w:t>
      </w:r>
      <w:r w:rsidR="00DF4B9A" w:rsidRPr="00BC0D1F">
        <w:t>’</w:t>
      </w:r>
      <w:r w:rsidRPr="00BC0D1F">
        <w:t>s work is directly aimed at achieving seven impacts, which contribute to our higher-level outcomes.</w:t>
      </w:r>
    </w:p>
    <w:p w14:paraId="506CFB78" w14:textId="77777777" w:rsidR="00AD72CC" w:rsidRPr="00BC0D1F" w:rsidRDefault="00AD72CC" w:rsidP="00B45F1A">
      <w:pPr>
        <w:spacing w:before="90"/>
        <w:ind w:left="567" w:hanging="567"/>
      </w:pPr>
      <w:r w:rsidRPr="00BC0D1F">
        <w:t>1.</w:t>
      </w:r>
      <w:r w:rsidRPr="00BC0D1F">
        <w:tab/>
        <w:t>The public is supported to make informed decisions about their own health and independence.</w:t>
      </w:r>
    </w:p>
    <w:p w14:paraId="7FF81357" w14:textId="77777777" w:rsidR="00AD72CC" w:rsidRPr="00BC0D1F" w:rsidRDefault="00AD72CC" w:rsidP="00B45F1A">
      <w:pPr>
        <w:spacing w:before="90"/>
        <w:ind w:left="567" w:hanging="567"/>
      </w:pPr>
      <w:r w:rsidRPr="00BC0D1F">
        <w:t>2.</w:t>
      </w:r>
      <w:r w:rsidRPr="00BC0D1F">
        <w:tab/>
        <w:t>Health and disability services are closely integrated with other social services, and health hazards are minimised.</w:t>
      </w:r>
    </w:p>
    <w:p w14:paraId="6B0AEE42" w14:textId="77777777" w:rsidR="00AD72CC" w:rsidRPr="00BC0D1F" w:rsidRDefault="00AD72CC" w:rsidP="00B45F1A">
      <w:pPr>
        <w:spacing w:before="90"/>
        <w:ind w:left="567" w:hanging="567"/>
      </w:pPr>
      <w:r w:rsidRPr="00BC0D1F">
        <w:t>3.</w:t>
      </w:r>
      <w:r w:rsidRPr="00BC0D1F">
        <w:tab/>
        <w:t>The public can access quality services that meet their needs in a timely manner, where they need them.</w:t>
      </w:r>
    </w:p>
    <w:p w14:paraId="1D634B58" w14:textId="77777777" w:rsidR="00AD72CC" w:rsidRPr="00BC0D1F" w:rsidRDefault="00AD72CC" w:rsidP="00B45F1A">
      <w:pPr>
        <w:spacing w:before="90"/>
        <w:ind w:left="567" w:hanging="567"/>
      </w:pPr>
      <w:r w:rsidRPr="00BC0D1F">
        <w:t>4.</w:t>
      </w:r>
      <w:r w:rsidRPr="00BC0D1F">
        <w:tab/>
        <w:t>Personalised and integrated support services are provided for people who need them.</w:t>
      </w:r>
    </w:p>
    <w:p w14:paraId="054E4211" w14:textId="77777777" w:rsidR="00AD72CC" w:rsidRPr="00BC0D1F" w:rsidRDefault="00AD72CC" w:rsidP="00B45F1A">
      <w:pPr>
        <w:spacing w:before="90"/>
        <w:ind w:left="567" w:hanging="567"/>
      </w:pPr>
      <w:r w:rsidRPr="00BC0D1F">
        <w:t>5.</w:t>
      </w:r>
      <w:r w:rsidRPr="00BC0D1F">
        <w:tab/>
        <w:t>Health services are clinically integrated and better coordinated.</w:t>
      </w:r>
    </w:p>
    <w:p w14:paraId="26494A83" w14:textId="77777777" w:rsidR="00AD72CC" w:rsidRPr="00BC0D1F" w:rsidRDefault="00AD72CC" w:rsidP="00B45F1A">
      <w:pPr>
        <w:spacing w:before="90"/>
        <w:ind w:left="567" w:hanging="567"/>
      </w:pPr>
      <w:r w:rsidRPr="00BC0D1F">
        <w:t>6.</w:t>
      </w:r>
      <w:r w:rsidRPr="00BC0D1F">
        <w:tab/>
        <w:t>The health and disability system is supported by suitable infrastructure, workforce and regulatory settings.</w:t>
      </w:r>
    </w:p>
    <w:p w14:paraId="64BC503D" w14:textId="77777777" w:rsidR="00AD72CC" w:rsidRPr="00BC0D1F" w:rsidRDefault="00AD72CC" w:rsidP="00B45F1A">
      <w:pPr>
        <w:spacing w:before="90"/>
        <w:ind w:left="567" w:hanging="567"/>
      </w:pPr>
      <w:r w:rsidRPr="00BC0D1F">
        <w:t>7.</w:t>
      </w:r>
      <w:r w:rsidRPr="00BC0D1F">
        <w:tab/>
        <w:t>Quality, efficiency and value for money improvements are enhanced.</w:t>
      </w:r>
    </w:p>
    <w:p w14:paraId="275F2D65" w14:textId="77777777" w:rsidR="00AD72CC" w:rsidRPr="00BC0D1F" w:rsidRDefault="00AD72CC" w:rsidP="00B45F1A"/>
    <w:p w14:paraId="095D517D" w14:textId="77777777" w:rsidR="00AD72CC" w:rsidRPr="00BC0D1F" w:rsidRDefault="00AD72CC" w:rsidP="00B45F1A">
      <w:r w:rsidRPr="00BC0D1F">
        <w:t>The Ministry</w:t>
      </w:r>
      <w:r w:rsidR="00DF4B9A" w:rsidRPr="00BC0D1F">
        <w:t>’</w:t>
      </w:r>
      <w:r w:rsidRPr="00BC0D1F">
        <w:t>s outcomes framework (including the impact measures) will be reviewed now that the update of the New Zealand Health Strategy has been completed.</w:t>
      </w:r>
    </w:p>
    <w:p w14:paraId="5C0BDB0F" w14:textId="77777777" w:rsidR="00AD72CC" w:rsidRPr="00BC0D1F" w:rsidRDefault="00AD72CC" w:rsidP="00B45F1A"/>
    <w:p w14:paraId="4DDFC68F" w14:textId="77777777" w:rsidR="00AD72CC" w:rsidRPr="00BC0D1F" w:rsidRDefault="00AD72CC" w:rsidP="00B45F1A">
      <w:r w:rsidRPr="00BC0D1F">
        <w:t>A well-functioning health system contributes to improved health outcomes for the New Zealand population as a whole, and for particular groups such as Māori, Pacific peoples, older people and vulnerable children.</w:t>
      </w:r>
    </w:p>
    <w:p w14:paraId="1CD13C4F" w14:textId="77777777" w:rsidR="00AD72CC" w:rsidRPr="00BC0D1F" w:rsidRDefault="00AD72CC" w:rsidP="00B45F1A"/>
    <w:p w14:paraId="22036CCE" w14:textId="77777777" w:rsidR="00AD72CC" w:rsidRPr="00BC0D1F" w:rsidRDefault="00AD72CC" w:rsidP="00B45F1A">
      <w:pPr>
        <w:pStyle w:val="Heading2"/>
      </w:pPr>
      <w:bookmarkStart w:id="52" w:name="_Toc461544287"/>
      <w:bookmarkStart w:id="53" w:name="_Toc463507917"/>
      <w:r w:rsidRPr="00BC0D1F">
        <w:lastRenderedPageBreak/>
        <w:t>Health and disability system outcomes</w:t>
      </w:r>
      <w:bookmarkEnd w:id="52"/>
      <w:bookmarkEnd w:id="53"/>
    </w:p>
    <w:p w14:paraId="7871E6F6" w14:textId="77777777" w:rsidR="00AD72CC" w:rsidRPr="00BC0D1F" w:rsidRDefault="00AD72CC" w:rsidP="00B45F1A">
      <w:pPr>
        <w:pStyle w:val="Heading3"/>
      </w:pPr>
      <w:bookmarkStart w:id="54" w:name="_Toc456707074"/>
      <w:r w:rsidRPr="00BC0D1F">
        <w:t>New Zealanders live longer, healthier, more independent lives</w:t>
      </w:r>
      <w:bookmarkEnd w:id="54"/>
    </w:p>
    <w:p w14:paraId="44B65A30" w14:textId="762F8C0F" w:rsidR="00AD72CC" w:rsidRPr="00BC0D1F" w:rsidRDefault="00AD72CC" w:rsidP="00B45F1A">
      <w:pPr>
        <w:pStyle w:val="Heading4"/>
        <w:rPr>
          <w:rFonts w:eastAsia="Arial"/>
        </w:rPr>
      </w:pPr>
      <w:r w:rsidRPr="00BC0D1F">
        <w:rPr>
          <w:rFonts w:eastAsia="Arial"/>
        </w:rPr>
        <w:t>Health expectancy improves over time</w:t>
      </w:r>
    </w:p>
    <w:p w14:paraId="22AEAFCB" w14:textId="77777777" w:rsidR="00DF4B9A" w:rsidRPr="00BC0D1F" w:rsidRDefault="00AD72CC" w:rsidP="00B45F1A">
      <w:r w:rsidRPr="00BC0D1F">
        <w:t>Health expectancy (or independent life expectancy) is the number of years a person can expect to live in good health and without an impairment needing assistance.</w:t>
      </w:r>
      <w:r w:rsidRPr="00BC0D1F">
        <w:rPr>
          <w:rStyle w:val="FootnoteReference"/>
        </w:rPr>
        <w:footnoteReference w:id="10"/>
      </w:r>
      <w:r w:rsidRPr="00BC0D1F">
        <w:t xml:space="preserve"> In 2006 health expectancy for males was 67.4 years and health expectancy for females was 69.2 years. This reflects an improvement of 2.7 years for males and 1.7 years for females since 1996, and the Ministry expects to see further improvements.</w:t>
      </w:r>
    </w:p>
    <w:p w14:paraId="229AB5BF" w14:textId="77777777" w:rsidR="00AD72CC" w:rsidRPr="00BC0D1F" w:rsidRDefault="00AD72CC" w:rsidP="00B45F1A"/>
    <w:p w14:paraId="7B009E52" w14:textId="7FC24E7F" w:rsidR="0028793C" w:rsidRDefault="00AD72CC" w:rsidP="00B45F1A">
      <w:r w:rsidRPr="00BC0D1F">
        <w:t xml:space="preserve">Health expectancy </w:t>
      </w:r>
      <w:r w:rsidR="00C31E7A">
        <w:t>shows</w:t>
      </w:r>
      <w:r w:rsidR="00C31E7A" w:rsidRPr="00BC0D1F">
        <w:t xml:space="preserve"> </w:t>
      </w:r>
      <w:r w:rsidRPr="00BC0D1F">
        <w:t>the length of life that a person born today can expect to live in full health if current patterns of illness, disability and mortality continue.</w:t>
      </w:r>
      <w:r w:rsidR="000D4A85">
        <w:t xml:space="preserve"> </w:t>
      </w:r>
      <w:r w:rsidRPr="00BC0D1F">
        <w:t>In New Zealand we can measur</w:t>
      </w:r>
      <w:r w:rsidR="00C01309">
        <w:t>e health expectancy in two ways;</w:t>
      </w:r>
      <w:r w:rsidRPr="00BC0D1F">
        <w:t xml:space="preserve"> </w:t>
      </w:r>
      <w:r w:rsidR="00C01309">
        <w:t>i</w:t>
      </w:r>
      <w:r w:rsidR="00C01309" w:rsidRPr="00BC0D1F">
        <w:t>ndependent life expectancy</w:t>
      </w:r>
      <w:r w:rsidR="00C01309">
        <w:t xml:space="preserve"> and</w:t>
      </w:r>
      <w:r w:rsidR="00C01309" w:rsidRPr="00C01309">
        <w:t xml:space="preserve"> </w:t>
      </w:r>
      <w:r w:rsidR="00C01309">
        <w:t>h</w:t>
      </w:r>
      <w:r w:rsidR="00C01309" w:rsidRPr="00BC0D1F">
        <w:t>ealth-adjusted life expectancy</w:t>
      </w:r>
      <w:r w:rsidR="00C01309">
        <w:t>.</w:t>
      </w:r>
    </w:p>
    <w:p w14:paraId="1CAE285E" w14:textId="77777777" w:rsidR="0028793C" w:rsidRDefault="0028793C" w:rsidP="00B45F1A"/>
    <w:p w14:paraId="5A290712" w14:textId="604F5F56" w:rsidR="00AD72CC" w:rsidRPr="00BC0D1F" w:rsidRDefault="00AD72CC" w:rsidP="00B45F1A">
      <w:r w:rsidRPr="00BC0D1F">
        <w:t>Independent life expectancy (ILE) is a measure of the number of years a person can expect to live free of disability requiring daily assistance. Based on the 2013 post-</w:t>
      </w:r>
      <w:proofErr w:type="spellStart"/>
      <w:r w:rsidRPr="00BC0D1F">
        <w:t>censal</w:t>
      </w:r>
      <w:proofErr w:type="spellEnd"/>
      <w:r w:rsidRPr="00BC0D1F">
        <w:t xml:space="preserve"> Disability Survey, independent life expectancy for individuals born in 2013 was estimated as 65.2 years for males and 66.5 years for females. This compares to 63.8 years for males and 66.4 years for females in 1996.</w:t>
      </w:r>
      <w:r w:rsidR="000D4A85">
        <w:rPr>
          <w:rStyle w:val="FootnoteReference"/>
        </w:rPr>
        <w:footnoteReference w:id="11"/>
      </w:r>
      <w:r w:rsidRPr="00BC0D1F">
        <w:t xml:space="preserve"> </w:t>
      </w:r>
    </w:p>
    <w:p w14:paraId="73012277" w14:textId="77777777" w:rsidR="00B45F1A" w:rsidRPr="00BC0D1F" w:rsidRDefault="00B45F1A" w:rsidP="00B45F1A"/>
    <w:p w14:paraId="0D9422C6" w14:textId="77777777" w:rsidR="00DF4B9A" w:rsidRPr="00BC0D1F" w:rsidRDefault="00AD72CC" w:rsidP="00B45F1A">
      <w:r w:rsidRPr="00BC0D1F">
        <w:t>Health-adjusted life expectancy (HALE) is a summary measure of the years a person can expect to live in full health. Based on the 2013 Global Burden of Disease estimates, a New Zealand male born in 2013 can expect to live 68.2 years in full health (86.8 percent of his life), while a female can expect to live 70.5 years in full health (85.2 percent of her life). Between 1990 and 2013 HALE at birth increased by 4.9 years for males and 3.3 years for females.</w:t>
      </w:r>
    </w:p>
    <w:p w14:paraId="0706BD01" w14:textId="77777777" w:rsidR="00AD72CC" w:rsidRPr="00BC0D1F" w:rsidRDefault="00AD72CC" w:rsidP="00B45F1A"/>
    <w:p w14:paraId="288D963F" w14:textId="77777777" w:rsidR="00DF4B9A" w:rsidRPr="00BC0D1F" w:rsidRDefault="00AD72CC" w:rsidP="00B45F1A">
      <w:r w:rsidRPr="00BC0D1F">
        <w:t>Both measures show that health expectancy at birth is increasing. However, health expectancy is not increasing at the same rate as life expectancy. From 1990 to 2013 the difference between life expectancy and health expectancy (HALE) increased from 9.2 to 10.4 years for males, and from 11.0 to 12.2 years for females (Ministry of Health 2016a). Hence while New Zealanders are living longer in good health, they are also living longer in poor health.</w:t>
      </w:r>
    </w:p>
    <w:p w14:paraId="5AC9C248" w14:textId="77777777" w:rsidR="00AD72CC" w:rsidRPr="00BC0D1F" w:rsidRDefault="00AD72CC" w:rsidP="00B45F1A"/>
    <w:p w14:paraId="092F245E" w14:textId="77777777" w:rsidR="00AD72CC" w:rsidRPr="00BC0D1F" w:rsidRDefault="00AD72CC" w:rsidP="00536FEA">
      <w:pPr>
        <w:pStyle w:val="Heading4"/>
      </w:pPr>
      <w:r w:rsidRPr="00BC0D1F">
        <w:t>How do we compare with other countries?</w:t>
      </w:r>
    </w:p>
    <w:p w14:paraId="7092E650" w14:textId="77777777" w:rsidR="00B45F1A" w:rsidRPr="00BC0D1F" w:rsidRDefault="00AD72CC" w:rsidP="00B45F1A">
      <w:pPr>
        <w:rPr>
          <w:rFonts w:eastAsia="Arial"/>
        </w:rPr>
      </w:pPr>
      <w:r w:rsidRPr="00BC0D1F">
        <w:rPr>
          <w:rFonts w:eastAsia="Arial"/>
        </w:rPr>
        <w:t>In 2013</w:t>
      </w:r>
      <w:r w:rsidRPr="00BC0D1F">
        <w:rPr>
          <w:rFonts w:eastAsia="Arial" w:cs="Arial"/>
        </w:rPr>
        <w:t>,</w:t>
      </w:r>
      <w:r w:rsidRPr="00BC0D1F">
        <w:rPr>
          <w:rFonts w:eastAsia="Arial"/>
        </w:rPr>
        <w:t xml:space="preserve"> when compared to Australia, Canada, </w:t>
      </w:r>
      <w:r w:rsidRPr="00BC0D1F">
        <w:rPr>
          <w:rFonts w:eastAsia="Arial" w:cs="Arial"/>
        </w:rPr>
        <w:t xml:space="preserve">the </w:t>
      </w:r>
      <w:r w:rsidRPr="00BC0D1F">
        <w:rPr>
          <w:rFonts w:eastAsia="Arial"/>
        </w:rPr>
        <w:t>United States,</w:t>
      </w:r>
      <w:r w:rsidRPr="00BC0D1F">
        <w:rPr>
          <w:rFonts w:eastAsia="Arial" w:cs="Arial"/>
        </w:rPr>
        <w:t xml:space="preserve"> the</w:t>
      </w:r>
      <w:r w:rsidRPr="00BC0D1F">
        <w:rPr>
          <w:rFonts w:eastAsia="Arial"/>
        </w:rPr>
        <w:t xml:space="preserve"> United Kingdom and Ireland, New Zealand HALE was similar in the mean for these six countries: 70.5 vs 70.3 years for females and 68.2 vs 68.0 years for males.</w:t>
      </w:r>
    </w:p>
    <w:p w14:paraId="4E9A85CB" w14:textId="77777777" w:rsidR="00B45F1A" w:rsidRPr="00BC0D1F" w:rsidRDefault="00B45F1A" w:rsidP="00B45F1A">
      <w:pPr>
        <w:rPr>
          <w:rFonts w:eastAsia="Arial"/>
        </w:rPr>
      </w:pPr>
    </w:p>
    <w:p w14:paraId="190BAAF8" w14:textId="472E5AC2" w:rsidR="00AD72CC" w:rsidRPr="00BC0D1F" w:rsidRDefault="00AD72CC" w:rsidP="00B45F1A">
      <w:pPr>
        <w:pStyle w:val="Heading4"/>
        <w:rPr>
          <w:rFonts w:eastAsia="Arial"/>
        </w:rPr>
      </w:pPr>
      <w:r w:rsidRPr="00BC0D1F">
        <w:rPr>
          <w:rFonts w:eastAsia="Arial"/>
        </w:rPr>
        <w:t>Life expectancy increases over time</w:t>
      </w:r>
    </w:p>
    <w:p w14:paraId="07C393C3" w14:textId="5E14757D" w:rsidR="00AD72CC" w:rsidRPr="00BC0D1F" w:rsidRDefault="00AD72CC" w:rsidP="00B45F1A">
      <w:pPr>
        <w:rPr>
          <w:rFonts w:eastAsia="Arial"/>
        </w:rPr>
      </w:pPr>
      <w:r w:rsidRPr="00BC0D1F">
        <w:rPr>
          <w:rFonts w:eastAsia="Arial"/>
        </w:rPr>
        <w:t>Life expectancy at birth indicates the number of years a person can expect to live, based on the mortality rates of the population at each age in a given year or period.</w:t>
      </w:r>
      <w:r w:rsidR="000D4A85">
        <w:rPr>
          <w:rFonts w:eastAsia="Arial"/>
        </w:rPr>
        <w:t xml:space="preserve"> </w:t>
      </w:r>
      <w:r w:rsidRPr="00BC0D1F">
        <w:rPr>
          <w:rFonts w:eastAsia="Arial"/>
        </w:rPr>
        <w:t xml:space="preserve">In the period 2007–2009 life expectancy at birth was 78.4 years for males and 82.4 years for females. Between </w:t>
      </w:r>
      <w:r w:rsidR="0028793C">
        <w:rPr>
          <w:rFonts w:eastAsia="Arial"/>
        </w:rPr>
        <w:t xml:space="preserve">the periods </w:t>
      </w:r>
      <w:r w:rsidRPr="00BC0D1F">
        <w:rPr>
          <w:rFonts w:eastAsia="Arial"/>
        </w:rPr>
        <w:t>1985 and 1987 and 2007 and 2009</w:t>
      </w:r>
      <w:r w:rsidR="0028793C">
        <w:rPr>
          <w:rFonts w:eastAsia="Arial"/>
        </w:rPr>
        <w:t>,</w:t>
      </w:r>
      <w:r w:rsidRPr="00BC0D1F">
        <w:rPr>
          <w:rFonts w:eastAsia="Arial"/>
        </w:rPr>
        <w:t xml:space="preserve"> life expectancy at birth increased by 7.3</w:t>
      </w:r>
      <w:r w:rsidR="00B45F1A" w:rsidRPr="00BC0D1F">
        <w:rPr>
          <w:rFonts w:eastAsia="Arial"/>
        </w:rPr>
        <w:t> </w:t>
      </w:r>
      <w:r w:rsidRPr="00BC0D1F">
        <w:rPr>
          <w:rFonts w:eastAsia="Arial"/>
        </w:rPr>
        <w:t>years for males and 5.3 years for females. The Ministry expects to see further improvements over time.</w:t>
      </w:r>
    </w:p>
    <w:p w14:paraId="75084D65" w14:textId="77777777" w:rsidR="00B45F1A" w:rsidRPr="00BC0D1F" w:rsidRDefault="00B45F1A" w:rsidP="00B45F1A">
      <w:pPr>
        <w:rPr>
          <w:rFonts w:eastAsia="Arial"/>
        </w:rPr>
      </w:pPr>
    </w:p>
    <w:p w14:paraId="044F2AA4" w14:textId="1E1DD310" w:rsidR="00AD72CC" w:rsidRPr="00BC0D1F" w:rsidRDefault="00AD72CC" w:rsidP="00B45F1A">
      <w:r w:rsidRPr="00BC0D1F">
        <w:lastRenderedPageBreak/>
        <w:t>Life expectancy is a summary measure of mortality. Life expectancy at birth is the number of years a person born today can expect to live, given the current age-specific mortality patterns.</w:t>
      </w:r>
      <w:r w:rsidR="001A343C">
        <w:t xml:space="preserve"> </w:t>
      </w:r>
      <w:r w:rsidRPr="00BC0D1F">
        <w:t>Overall, New Zealanders are living longer than ever before. In 2014 life expectancy at birth was 79.8</w:t>
      </w:r>
      <w:r w:rsidR="00B45F1A" w:rsidRPr="00BC0D1F">
        <w:t> </w:t>
      </w:r>
      <w:r w:rsidRPr="00BC0D1F">
        <w:t>years for males and 83.3 years for females. Recent improvements in life expectancy are mainly due to lower mortality rates in the older age groups. The gap between male and female life expectancy at birth has narrowed over time.</w:t>
      </w:r>
    </w:p>
    <w:p w14:paraId="6C2388D4" w14:textId="77777777" w:rsidR="00AD72CC" w:rsidRPr="00BC0D1F" w:rsidRDefault="00AD72CC" w:rsidP="00B45F1A"/>
    <w:p w14:paraId="2A451026" w14:textId="77777777" w:rsidR="00AD72CC" w:rsidRPr="00BC0D1F" w:rsidRDefault="00AD72CC" w:rsidP="00B45F1A">
      <w:r w:rsidRPr="00BC0D1F">
        <w:t>Improvements in Māori life expectancy at birth since 1995/97 have narrowed the gap between Māori and non</w:t>
      </w:r>
      <w:r w:rsidRPr="00BC0D1F">
        <w:noBreakHyphen/>
        <w:t>Māori. With a life expectancy at birth of 73.0 years for males and 77.1 years for females during 2012–2014, Māori life expectancy at birth remained, respectively, 7.3 years and 6.8</w:t>
      </w:r>
      <w:r w:rsidR="00B45F1A" w:rsidRPr="00BC0D1F">
        <w:t> </w:t>
      </w:r>
      <w:r w:rsidRPr="00BC0D1F">
        <w:t>years lower than that for non-Māori.</w:t>
      </w:r>
    </w:p>
    <w:p w14:paraId="36894145" w14:textId="77777777" w:rsidR="00AD72CC" w:rsidRPr="00BC0D1F" w:rsidRDefault="00AD72CC" w:rsidP="00B45F1A"/>
    <w:p w14:paraId="4A99C823" w14:textId="77777777" w:rsidR="00DF4B9A" w:rsidRPr="00BC0D1F" w:rsidRDefault="00AD72CC" w:rsidP="00B45F1A">
      <w:pPr>
        <w:rPr>
          <w:rFonts w:cs="Arial"/>
          <w:color w:val="000000"/>
          <w:szCs w:val="22"/>
        </w:rPr>
      </w:pPr>
      <w:r w:rsidRPr="00BC0D1F">
        <w:t>Pacific life expectancy at birth has also increased over the past years. In the 2012−2014 period life expectancy at birth for the Pacific population was 74.5 years for males and 78.7 years for females. For both sexes this is up 1.3 years since 2005/07, but, respectively, 5.0 years and 4.5</w:t>
      </w:r>
      <w:r w:rsidR="00B45F1A" w:rsidRPr="00BC0D1F">
        <w:t> </w:t>
      </w:r>
      <w:r w:rsidRPr="00BC0D1F">
        <w:t>years lower compared with the total New Zealand population.</w:t>
      </w:r>
      <w:r w:rsidRPr="00BC0D1F">
        <w:rPr>
          <w:rStyle w:val="FootnoteReference"/>
        </w:rPr>
        <w:footnoteReference w:id="12"/>
      </w:r>
    </w:p>
    <w:p w14:paraId="089FB8EA" w14:textId="77777777" w:rsidR="00AD72CC" w:rsidRPr="00BC0D1F" w:rsidRDefault="00AD72CC" w:rsidP="00B45F1A">
      <w:pPr>
        <w:rPr>
          <w:rFonts w:eastAsia="Arial"/>
        </w:rPr>
      </w:pPr>
    </w:p>
    <w:p w14:paraId="7285A672" w14:textId="77777777" w:rsidR="00AD72CC" w:rsidRPr="00BC0D1F" w:rsidRDefault="00AD72CC" w:rsidP="00536FEA">
      <w:pPr>
        <w:pStyle w:val="Heading4"/>
      </w:pPr>
      <w:r w:rsidRPr="00BC0D1F">
        <w:t>How do we compare with other countries?</w:t>
      </w:r>
    </w:p>
    <w:p w14:paraId="0C4F6186" w14:textId="77777777" w:rsidR="00AD72CC" w:rsidRPr="00BC0D1F" w:rsidRDefault="00AD72CC" w:rsidP="00B45F1A">
      <w:pPr>
        <w:rPr>
          <w:szCs w:val="22"/>
        </w:rPr>
      </w:pPr>
      <w:r w:rsidRPr="00BC0D1F">
        <w:t>New Zealand compares well with similar countries for life expectancy. For males, life expectancy at birth was 1.9 years above the Organisation for Economic Cooperation and Development (OECD) average in 2014 (77.9 years); for females it was 0.1 years above the OECD average (83.3</w:t>
      </w:r>
      <w:r w:rsidR="00B45F1A" w:rsidRPr="00BC0D1F">
        <w:t> </w:t>
      </w:r>
      <w:r w:rsidRPr="00BC0D1F">
        <w:t>years). In 2014 the average New Zealand life expectancy of 81.6 was 1.0 years above the OECD average of 80.6</w:t>
      </w:r>
      <w:r w:rsidRPr="00BC0D1F">
        <w:rPr>
          <w:rFonts w:cs="Arial"/>
          <w:color w:val="000000"/>
          <w:szCs w:val="22"/>
        </w:rPr>
        <w:t>.</w:t>
      </w:r>
      <w:r w:rsidRPr="00BC0D1F">
        <w:rPr>
          <w:rStyle w:val="FootnoteReference"/>
        </w:rPr>
        <w:footnoteReference w:id="13"/>
      </w:r>
    </w:p>
    <w:p w14:paraId="5C5CF9C4" w14:textId="77777777" w:rsidR="00AD72CC" w:rsidRPr="00BC0D1F" w:rsidRDefault="00AD72CC" w:rsidP="00B45F1A"/>
    <w:p w14:paraId="75E6B4DC" w14:textId="77777777" w:rsidR="00AD72CC" w:rsidRPr="00BC0D1F" w:rsidRDefault="00AD72CC" w:rsidP="00B45F1A">
      <w:pPr>
        <w:pStyle w:val="Heading3"/>
      </w:pPr>
      <w:bookmarkStart w:id="55" w:name="_Toc456707075"/>
      <w:r w:rsidRPr="00BC0D1F">
        <w:t>The health system is cost-effective and supports a productive economy</w:t>
      </w:r>
      <w:bookmarkEnd w:id="55"/>
    </w:p>
    <w:p w14:paraId="2EB541E7" w14:textId="585CA1E9" w:rsidR="00AD72CC" w:rsidRPr="00BC0D1F" w:rsidRDefault="00AD72CC" w:rsidP="00B45F1A">
      <w:pPr>
        <w:pStyle w:val="Heading4"/>
        <w:rPr>
          <w:rFonts w:eastAsia="Arial"/>
        </w:rPr>
      </w:pPr>
      <w:r w:rsidRPr="00BC0D1F">
        <w:rPr>
          <w:rFonts w:eastAsia="Arial"/>
        </w:rPr>
        <w:t>Life expectancy by health spending per capita compares well within the OECD</w:t>
      </w:r>
    </w:p>
    <w:p w14:paraId="41DB41F4" w14:textId="56F7D304" w:rsidR="00DF4B9A" w:rsidRPr="00BC0D1F" w:rsidRDefault="00AD72CC" w:rsidP="00B45F1A">
      <w:pPr>
        <w:keepNext/>
      </w:pPr>
      <w:r w:rsidRPr="00BC0D1F">
        <w:t>New Zealand has maintained its position within the OECD as having relatively high life expectancy for relatively modest expenditure.</w:t>
      </w:r>
      <w:r w:rsidR="000D4A85">
        <w:rPr>
          <w:rStyle w:val="Heading5Char"/>
          <w:rFonts w:eastAsia="Arial"/>
        </w:rPr>
        <w:t xml:space="preserve"> </w:t>
      </w:r>
      <w:r w:rsidRPr="00BC0D1F">
        <w:t>New Zealand performs well internationally with respect to life expectancy in terms of health spending per capita: it has relatively high life expectancy for comparatively modest health expenditure.</w:t>
      </w:r>
    </w:p>
    <w:p w14:paraId="137DFC9E" w14:textId="77777777" w:rsidR="00B45F1A" w:rsidRPr="00BC0D1F" w:rsidRDefault="00B45F1A" w:rsidP="00B45F1A"/>
    <w:p w14:paraId="6350FE1B" w14:textId="6F79753C" w:rsidR="00AD72CC" w:rsidRPr="00BC0D1F" w:rsidRDefault="00AD72CC" w:rsidP="00B45F1A">
      <w:pPr>
        <w:rPr>
          <w:rFonts w:cs="Arial"/>
          <w:szCs w:val="22"/>
        </w:rPr>
      </w:pPr>
      <w:r w:rsidRPr="00BC0D1F">
        <w:t xml:space="preserve">In 2013 New Zealand achieved higher life expectancy </w:t>
      </w:r>
      <w:r w:rsidR="00136F36" w:rsidRPr="00BC0D1F">
        <w:t xml:space="preserve">than </w:t>
      </w:r>
      <w:r w:rsidR="00136F36">
        <w:t xml:space="preserve">could be </w:t>
      </w:r>
      <w:r w:rsidR="00136F36" w:rsidRPr="00BC0D1F">
        <w:t xml:space="preserve">expected </w:t>
      </w:r>
      <w:r w:rsidRPr="00BC0D1F">
        <w:t>(the 14th highest among 34</w:t>
      </w:r>
      <w:r w:rsidR="00B45F1A" w:rsidRPr="00BC0D1F">
        <w:t> </w:t>
      </w:r>
      <w:r w:rsidRPr="00BC0D1F">
        <w:t>countries) given expenditure on health care (18th highest among 34 countries) relative to other OECD countries.</w:t>
      </w:r>
      <w:r w:rsidRPr="00BC0D1F">
        <w:rPr>
          <w:rStyle w:val="FootnoteReference"/>
        </w:rPr>
        <w:footnoteReference w:id="14"/>
      </w:r>
    </w:p>
    <w:p w14:paraId="3531414E" w14:textId="77777777" w:rsidR="00AD72CC" w:rsidRPr="00BC0D1F" w:rsidRDefault="00AD72CC" w:rsidP="00B45F1A"/>
    <w:p w14:paraId="3DA30B9A" w14:textId="74BC54E3" w:rsidR="00AD72CC" w:rsidRPr="00BC0D1F" w:rsidRDefault="00AD72CC" w:rsidP="00B45F1A">
      <w:pPr>
        <w:pStyle w:val="Heading4"/>
        <w:rPr>
          <w:rFonts w:eastAsia="Arial"/>
        </w:rPr>
      </w:pPr>
      <w:r w:rsidRPr="00BC0D1F">
        <w:rPr>
          <w:rFonts w:eastAsia="Arial"/>
        </w:rPr>
        <w:t>Health spending growth slows over time</w:t>
      </w:r>
    </w:p>
    <w:p w14:paraId="3300EA9D" w14:textId="7C672E38" w:rsidR="00AD72CC" w:rsidRPr="00BC0D1F" w:rsidRDefault="00AD72CC" w:rsidP="00B45F1A">
      <w:r w:rsidRPr="00BC0D1F">
        <w:t xml:space="preserve">The projected rate of growth in health spending between 2010 and 2019 </w:t>
      </w:r>
      <w:r w:rsidR="000D4A85">
        <w:t>should be</w:t>
      </w:r>
      <w:r w:rsidR="000D4A85" w:rsidRPr="00BC0D1F">
        <w:t xml:space="preserve"> </w:t>
      </w:r>
      <w:r w:rsidRPr="00BC0D1F">
        <w:t>less than the rate of growth between 2000 and 2009 (25.8 percent based on real per capita expenditure in 2011 dollars).</w:t>
      </w:r>
    </w:p>
    <w:p w14:paraId="45355071" w14:textId="77777777" w:rsidR="00B45F1A" w:rsidRPr="00BC0D1F" w:rsidRDefault="00B45F1A" w:rsidP="00B45F1A"/>
    <w:p w14:paraId="4434CDA5" w14:textId="77777777" w:rsidR="00AD72CC" w:rsidRPr="00BC0D1F" w:rsidRDefault="00AD72CC" w:rsidP="00B45F1A">
      <w:pPr>
        <w:rPr>
          <w:rFonts w:cs="Arial"/>
          <w:szCs w:val="22"/>
        </w:rPr>
      </w:pPr>
      <w:r w:rsidRPr="00BC0D1F">
        <w:t xml:space="preserve">Vote Health is a significant component of government expenditure. The Minister is responsible for appropriations in the Vote for the financial year. The Ministry has a duty to ensure the wider health and disability system is managed in an efficient and productive manner while ensuring </w:t>
      </w:r>
      <w:r w:rsidRPr="00BC0D1F">
        <w:lastRenderedPageBreak/>
        <w:t>continuous improvements in the health services New Zealanders receive. The Ministry also works with sector partners to manage funds effectively.</w:t>
      </w:r>
    </w:p>
    <w:p w14:paraId="38C21818" w14:textId="77777777" w:rsidR="00AD72CC" w:rsidRPr="00BC0D1F" w:rsidRDefault="00AD72CC" w:rsidP="00B45F1A"/>
    <w:p w14:paraId="092332CE" w14:textId="77777777" w:rsidR="00AD72CC" w:rsidRPr="00BC0D1F" w:rsidRDefault="00AD72CC" w:rsidP="00B45F1A">
      <w:r w:rsidRPr="00BC0D1F">
        <w:t>The biggest challenge has been (and will be) to ensure that New Zealanders are continuously provided with excellent health care while ensuring the cost of our health sector is sustainable over the long term.</w:t>
      </w:r>
    </w:p>
    <w:p w14:paraId="2660B366" w14:textId="77777777" w:rsidR="00AD72CC" w:rsidRPr="00BC0D1F" w:rsidRDefault="00AD72CC" w:rsidP="00B45F1A"/>
    <w:p w14:paraId="66CF0A1F" w14:textId="21936826" w:rsidR="00AD72CC" w:rsidRPr="00BC0D1F" w:rsidRDefault="00AD72CC" w:rsidP="00B45F1A">
      <w:r w:rsidRPr="00BC0D1F">
        <w:t>Public spending on health care has more than doubled as a share of GDP over the past 60 years, rising from 3.1 percent in 1950 to over 6 percent in 2015/16. This increase is typical of countries in the OECD. Vote Health continues to increase each year, but the rate of growth is slowing in line with this target. Real per capita growth in Vote health over the 10 years to 2015/16 was 14</w:t>
      </w:r>
      <w:r w:rsidR="00B45F1A" w:rsidRPr="00BC0D1F">
        <w:t> </w:t>
      </w:r>
      <w:r w:rsidRPr="00BC0D1F">
        <w:t>percent, compared with the 25 percent 10-year growth target.</w:t>
      </w:r>
    </w:p>
    <w:p w14:paraId="2FC43EB3" w14:textId="77777777" w:rsidR="00AD72CC" w:rsidRPr="00BC0D1F" w:rsidRDefault="00AD72CC" w:rsidP="00B45F1A"/>
    <w:p w14:paraId="16A62109" w14:textId="77777777" w:rsidR="00AD72CC" w:rsidRPr="00BC0D1F" w:rsidRDefault="00AD72CC" w:rsidP="00B45F1A">
      <w:pPr>
        <w:pStyle w:val="Heading2"/>
      </w:pPr>
      <w:bookmarkStart w:id="56" w:name="_Toc461544288"/>
      <w:bookmarkStart w:id="57" w:name="_Toc463507918"/>
      <w:bookmarkStart w:id="58" w:name="_Toc456707076"/>
      <w:bookmarkStart w:id="59" w:name="_Toc459730013"/>
      <w:r w:rsidRPr="00BC0D1F">
        <w:t>The Ministry of Health</w:t>
      </w:r>
      <w:r w:rsidR="00DF4B9A" w:rsidRPr="00BC0D1F">
        <w:t>’</w:t>
      </w:r>
      <w:r w:rsidRPr="00BC0D1F">
        <w:t>s high-level outcomes</w:t>
      </w:r>
      <w:bookmarkEnd w:id="56"/>
      <w:bookmarkEnd w:id="57"/>
    </w:p>
    <w:p w14:paraId="7E4E1F19" w14:textId="78118238" w:rsidR="00DF4B9A" w:rsidRPr="00BC0D1F" w:rsidRDefault="00AD72CC" w:rsidP="00B45F1A">
      <w:pPr>
        <w:pStyle w:val="Heading3"/>
      </w:pPr>
      <w:r w:rsidRPr="00BC0D1F">
        <w:t>New Zealanders are healthier and more independent</w:t>
      </w:r>
      <w:bookmarkEnd w:id="58"/>
      <w:bookmarkEnd w:id="59"/>
    </w:p>
    <w:p w14:paraId="160BF134" w14:textId="77777777" w:rsidR="00AD72CC" w:rsidRPr="00BC0D1F" w:rsidRDefault="00AD72CC" w:rsidP="00B45F1A">
      <w:pPr>
        <w:keepLines/>
      </w:pPr>
      <w:r w:rsidRPr="00BC0D1F">
        <w:t xml:space="preserve">The Ministry wants a health system that improves, maintains and restores the health of the population within the available resources (where </w:t>
      </w:r>
      <w:r w:rsidR="00DF4B9A" w:rsidRPr="00BC0D1F">
        <w:t>‘</w:t>
      </w:r>
      <w:r w:rsidRPr="00BC0D1F">
        <w:t>health</w:t>
      </w:r>
      <w:r w:rsidR="00DF4B9A" w:rsidRPr="00BC0D1F">
        <w:t>’</w:t>
      </w:r>
      <w:r w:rsidRPr="00BC0D1F">
        <w:t xml:space="preserve"> includes quality of life as well as length of life). To achieve that we are improving and strengthening the capacity of the health and disability system to protect and promote wellness, and we are constantly improving and monitoring the quality of health care provided to the public.</w:t>
      </w:r>
    </w:p>
    <w:p w14:paraId="633119C0" w14:textId="77777777" w:rsidR="00AD72CC" w:rsidRPr="00BC0D1F" w:rsidRDefault="00AD72CC" w:rsidP="00B45F1A"/>
    <w:p w14:paraId="6DB5CDFD" w14:textId="77777777" w:rsidR="00AD72CC" w:rsidRPr="00BC0D1F" w:rsidRDefault="00AD72CC" w:rsidP="00B45F1A">
      <w:r w:rsidRPr="00BC0D1F">
        <w:t>We want a health and disability system that does much more than treat people when they are ill: it also needs to focus on prevention and maintaining independence. We are protecting the overall health of the nation by minimising the risks of communicable diseases and environmental hazards, and by supporting people to manage their own health and wellbeing.</w:t>
      </w:r>
    </w:p>
    <w:p w14:paraId="72AC4AAF" w14:textId="77777777" w:rsidR="00AD72CC" w:rsidRPr="00BC0D1F" w:rsidRDefault="00AD72CC" w:rsidP="00B45F1A"/>
    <w:p w14:paraId="56BA0B71" w14:textId="77777777" w:rsidR="00AD72CC" w:rsidRPr="00BC0D1F" w:rsidRDefault="00AD72CC" w:rsidP="00B45F1A">
      <w:r w:rsidRPr="00BC0D1F">
        <w:t>We are going to do this so that:</w:t>
      </w:r>
    </w:p>
    <w:p w14:paraId="3A55CF3C" w14:textId="77777777" w:rsidR="00AD72CC" w:rsidRPr="00BC0D1F" w:rsidRDefault="00AD72CC" w:rsidP="00B45F1A">
      <w:pPr>
        <w:pStyle w:val="Bullet"/>
      </w:pPr>
      <w:r w:rsidRPr="00BC0D1F">
        <w:t>the capacity of the health and disability system is improved and strengthened to protect and promote wellness, and the quality of health care provided to the public is constantly improving (and monitored)</w:t>
      </w:r>
    </w:p>
    <w:p w14:paraId="08FBFAD4" w14:textId="77777777" w:rsidR="00AD72CC" w:rsidRPr="00BC0D1F" w:rsidRDefault="00AD72CC" w:rsidP="00B45F1A">
      <w:pPr>
        <w:pStyle w:val="Bullet"/>
      </w:pPr>
      <w:proofErr w:type="gramStart"/>
      <w:r w:rsidRPr="00BC0D1F">
        <w:t>the</w:t>
      </w:r>
      <w:proofErr w:type="gramEnd"/>
      <w:r w:rsidRPr="00BC0D1F">
        <w:t xml:space="preserve"> overall health of the nation is protected by minimising the risks of communicable diseases and environmental hazards and by supporting people to manage their own health and wellbeing.</w:t>
      </w:r>
    </w:p>
    <w:p w14:paraId="45D25C2D" w14:textId="77777777" w:rsidR="00AD72CC" w:rsidRPr="00BC0D1F" w:rsidRDefault="00AD72CC" w:rsidP="00B45F1A"/>
    <w:p w14:paraId="3226F6ED" w14:textId="52BDA4FD" w:rsidR="00DF4B9A" w:rsidRPr="00BC0D1F" w:rsidRDefault="00AD72CC" w:rsidP="00B45F1A">
      <w:pPr>
        <w:pStyle w:val="Heading4"/>
        <w:rPr>
          <w:sz w:val="20"/>
        </w:rPr>
      </w:pPr>
      <w:bookmarkStart w:id="60" w:name="_Toc456707077"/>
      <w:r w:rsidRPr="00BC0D1F">
        <w:t>The public is supported to make informed decisions about their own health and independence</w:t>
      </w:r>
      <w:bookmarkEnd w:id="60"/>
    </w:p>
    <w:p w14:paraId="1BDBAE01" w14:textId="3D663120" w:rsidR="00AD72CC" w:rsidRPr="00BC0D1F" w:rsidRDefault="00B23CCE" w:rsidP="00B45F1A">
      <w:r>
        <w:t xml:space="preserve">This </w:t>
      </w:r>
      <w:r w:rsidR="00AD72CC" w:rsidRPr="00BC0D1F">
        <w:t xml:space="preserve">will be achieved if the public is supported to protect, manage and improve their own health and independence; if people can access information and advice that promotes and helps manage risks to their health and wellbeing; and if families and </w:t>
      </w:r>
      <w:proofErr w:type="spellStart"/>
      <w:r w:rsidR="00AD72CC" w:rsidRPr="00BC0D1F">
        <w:t>whānau</w:t>
      </w:r>
      <w:proofErr w:type="spellEnd"/>
      <w:r w:rsidR="00AD72CC" w:rsidRPr="00BC0D1F">
        <w:t xml:space="preserve"> are involved in considering health issues and choices. </w:t>
      </w:r>
    </w:p>
    <w:p w14:paraId="55AF0FEA" w14:textId="77777777" w:rsidR="00AD72CC" w:rsidRPr="00BC0D1F" w:rsidRDefault="00AD72CC" w:rsidP="00B45F1A"/>
    <w:p w14:paraId="38025CA6" w14:textId="506F677C" w:rsidR="00AD72CC" w:rsidRPr="00BC0D1F" w:rsidRDefault="00AD72CC" w:rsidP="00BE59A9">
      <w:pPr>
        <w:pStyle w:val="Heading5"/>
        <w:rPr>
          <w:rFonts w:eastAsia="Arial"/>
        </w:rPr>
      </w:pPr>
      <w:r w:rsidRPr="00BC0D1F">
        <w:rPr>
          <w:rFonts w:eastAsia="Arial"/>
        </w:rPr>
        <w:lastRenderedPageBreak/>
        <w:t>The results of burden of disease</w:t>
      </w:r>
      <w:r w:rsidRPr="00BC0D1F">
        <w:rPr>
          <w:rStyle w:val="FootnoteReference"/>
          <w:rFonts w:eastAsia="Arial"/>
        </w:rPr>
        <w:footnoteReference w:id="15"/>
      </w:r>
      <w:r w:rsidRPr="00BC0D1F">
        <w:rPr>
          <w:rFonts w:eastAsia="Arial"/>
        </w:rPr>
        <w:t xml:space="preserve"> and health surveys</w:t>
      </w:r>
      <w:r w:rsidRPr="00BC0D1F">
        <w:rPr>
          <w:rStyle w:val="FootnoteReference"/>
          <w:rFonts w:eastAsia="Arial"/>
        </w:rPr>
        <w:footnoteReference w:id="16"/>
      </w:r>
      <w:r w:rsidRPr="00BC0D1F">
        <w:rPr>
          <w:rFonts w:eastAsia="Arial"/>
        </w:rPr>
        <w:t xml:space="preserve"> are improved</w:t>
      </w:r>
    </w:p>
    <w:p w14:paraId="6C79D300" w14:textId="77777777" w:rsidR="00AD72CC" w:rsidRPr="00BC0D1F" w:rsidRDefault="00AD72CC" w:rsidP="00BE59A9">
      <w:pPr>
        <w:rPr>
          <w:rFonts w:cs="Arial"/>
          <w:color w:val="000000"/>
          <w:szCs w:val="22"/>
        </w:rPr>
      </w:pPr>
      <w:r w:rsidRPr="00BC0D1F">
        <w:rPr>
          <w:b/>
        </w:rPr>
        <w:t>New Zealand Burden of Disease Study</w:t>
      </w:r>
      <w:r w:rsidR="00BE59A9" w:rsidRPr="00BC0D1F">
        <w:rPr>
          <w:b/>
        </w:rPr>
        <w:t>:</w:t>
      </w:r>
      <w:r w:rsidR="00BE59A9" w:rsidRPr="00BC0D1F">
        <w:t xml:space="preserve"> </w:t>
      </w:r>
      <w:r w:rsidRPr="00BC0D1F">
        <w:t>The Ministry has established an agreement for annual updating of the New Zealand Burden of Disease study with the Institute for Health Metrics and Evaluation (IHME), University of Washington, Seattle. The IHME produces the Global Burden of Disease estimates annually. By providing New Zealand-specific data to the study, and jointly conducting the statistical analysis and reporting with IHME, the Ministry will ensure that high-quality estimates and projections of health loss and health expectancy are available for monitoring population health and system</w:t>
      </w:r>
      <w:r w:rsidRPr="00BC0D1F">
        <w:rPr>
          <w:rFonts w:cs="Arial"/>
          <w:color w:val="000000"/>
          <w:szCs w:val="22"/>
        </w:rPr>
        <w:t xml:space="preserve"> performance. From 2016 subnational analysis by Māori and non</w:t>
      </w:r>
      <w:r w:rsidRPr="00BC0D1F">
        <w:rPr>
          <w:rFonts w:cs="Arial"/>
          <w:szCs w:val="22"/>
        </w:rPr>
        <w:t>-Māori</w:t>
      </w:r>
      <w:r w:rsidRPr="00BC0D1F">
        <w:rPr>
          <w:rFonts w:cs="Arial"/>
          <w:color w:val="000000"/>
          <w:szCs w:val="22"/>
        </w:rPr>
        <w:t xml:space="preserve"> ethnicity will be included (Ministry of Health 2016a).</w:t>
      </w:r>
    </w:p>
    <w:p w14:paraId="18A09599" w14:textId="77777777" w:rsidR="00BE59A9" w:rsidRPr="00BC0D1F" w:rsidRDefault="00BE59A9" w:rsidP="00B45F1A">
      <w:pPr>
        <w:rPr>
          <w:rFonts w:cs="Arial"/>
          <w:szCs w:val="22"/>
        </w:rPr>
      </w:pPr>
    </w:p>
    <w:p w14:paraId="6397C5F4" w14:textId="77777777" w:rsidR="00DF4B9A" w:rsidRPr="00BC0D1F" w:rsidRDefault="00AD72CC" w:rsidP="00B45F1A">
      <w:r w:rsidRPr="00BC0D1F">
        <w:rPr>
          <w:b/>
        </w:rPr>
        <w:t>New Zealand Health Survey</w:t>
      </w:r>
      <w:r w:rsidR="00BE59A9" w:rsidRPr="00BC0D1F">
        <w:rPr>
          <w:b/>
        </w:rPr>
        <w:t>:</w:t>
      </w:r>
      <w:r w:rsidR="00BE59A9" w:rsidRPr="00BC0D1F">
        <w:t xml:space="preserve"> </w:t>
      </w:r>
      <w:r w:rsidRPr="00BC0D1F">
        <w:t>The New Zealand Health Survey (NZHS) is an important data collection tool for monitoring the health of the population. The survey provides evidence for health service planning, health policy and strategy development.</w:t>
      </w:r>
    </w:p>
    <w:p w14:paraId="50920465" w14:textId="77777777" w:rsidR="00B45F1A" w:rsidRPr="00BC0D1F" w:rsidRDefault="00B45F1A" w:rsidP="00B45F1A"/>
    <w:p w14:paraId="0CBF7FF8" w14:textId="77777777" w:rsidR="00AD72CC" w:rsidRPr="00BC0D1F" w:rsidRDefault="00AD72CC" w:rsidP="00B45F1A">
      <w:r w:rsidRPr="00BC0D1F">
        <w:t>Data on a range of key survey indicators are published annually in December. Key indicators cover health status, health behaviours and risk factors, health conditions, access to health care, and oral health status for both children and adults. Reports on the survey results and further information about the NZHS can be found at the Ministry</w:t>
      </w:r>
      <w:r w:rsidR="00DF4B9A" w:rsidRPr="00BC0D1F">
        <w:t>’</w:t>
      </w:r>
      <w:r w:rsidRPr="00BC0D1F">
        <w:t>s website: www.health.govt.nz. The latest available data is for 2014/15.</w:t>
      </w:r>
    </w:p>
    <w:p w14:paraId="299D0870" w14:textId="77777777" w:rsidR="00AD72CC" w:rsidRPr="00BC0D1F" w:rsidRDefault="00AD72CC" w:rsidP="00B45F1A"/>
    <w:p w14:paraId="08598523" w14:textId="77777777" w:rsidR="00DF4B9A" w:rsidRPr="00BC0D1F" w:rsidRDefault="00AD72CC" w:rsidP="00B45F1A">
      <w:r w:rsidRPr="00BC0D1F">
        <w:t>In 2014/15, 16.6 percent of adults aged 15 years and over were current smokers (smoke at least monthly), which is 3.5 percentage points down from 2006/07. The rate of daily smoking for adults was 15.0 percent in 2014/15, which is 3.3 percentage points lower than in 2006/07. Similar declines in the rate of smoking occurred for men and women. The most substantial reduction in daily smoking since 2006/07 was for youth (aged 15–17 years), 5.8 percent of whom smoked daily in 2014/15 compared with 13.7 percent in 2006/07. In contrast, daily smoking rates for adults 45 years of age and over have not changed significantly since 2006/07.</w:t>
      </w:r>
    </w:p>
    <w:p w14:paraId="6D553806" w14:textId="77777777" w:rsidR="00AD72CC" w:rsidRPr="00BC0D1F" w:rsidRDefault="00AD72CC" w:rsidP="00B45F1A"/>
    <w:p w14:paraId="5751054A" w14:textId="77777777" w:rsidR="00DF4B9A" w:rsidRPr="00BC0D1F" w:rsidRDefault="00AD72CC" w:rsidP="00B45F1A">
      <w:r w:rsidRPr="00BC0D1F">
        <w:t>A series of 10 percent tax increases (2010–2016) has already seen the price of the more expensive brands of cigarettes reach $20 for a pack of 20. Yearly 10 percent tax increases will continue between 2017 and 2020, with the price for a pack of 20 cigarettes estimated to increase to $30 by 2020. Tobacco consumption per capita has fallen by about 30 percent since 2009.</w:t>
      </w:r>
    </w:p>
    <w:p w14:paraId="5A44D07B" w14:textId="77777777" w:rsidR="00B45F1A" w:rsidRPr="00BC0D1F" w:rsidRDefault="00B45F1A" w:rsidP="00B45F1A"/>
    <w:p w14:paraId="1CFEEE67" w14:textId="6459E5A0" w:rsidR="00AD72CC" w:rsidRPr="00BC0D1F" w:rsidRDefault="00AD72CC" w:rsidP="00B45F1A">
      <w:r w:rsidRPr="00BC0D1F">
        <w:t>Improved smoking cessation support, the Government</w:t>
      </w:r>
      <w:r w:rsidR="00DF4B9A" w:rsidRPr="00BC0D1F">
        <w:t>’</w:t>
      </w:r>
      <w:r w:rsidRPr="00BC0D1F">
        <w:t xml:space="preserve">s </w:t>
      </w:r>
      <w:r w:rsidR="00DF4B9A" w:rsidRPr="00BC0D1F">
        <w:t>‘</w:t>
      </w:r>
      <w:r w:rsidR="002A549D">
        <w:t>B</w:t>
      </w:r>
      <w:r w:rsidR="002A549D" w:rsidRPr="00BC0D1F">
        <w:t xml:space="preserve">etter </w:t>
      </w:r>
      <w:r w:rsidRPr="00BC0D1F">
        <w:t>help for smokers to quit</w:t>
      </w:r>
      <w:r w:rsidR="00DF4B9A" w:rsidRPr="00BC0D1F">
        <w:t>’</w:t>
      </w:r>
      <w:r w:rsidRPr="00BC0D1F">
        <w:t xml:space="preserve"> health target, continued media campaigns aimed at prompting quitting and encouraging youth not to start, and the introduction of plain packaging legislation will all continue to reinforce that smoking is not part of New Zealanders</w:t>
      </w:r>
      <w:r w:rsidR="00DF4B9A" w:rsidRPr="00BC0D1F">
        <w:t>’</w:t>
      </w:r>
      <w:r w:rsidRPr="00BC0D1F">
        <w:t xml:space="preserve"> future.</w:t>
      </w:r>
    </w:p>
    <w:p w14:paraId="7B0CB896" w14:textId="77777777" w:rsidR="00AD72CC" w:rsidRPr="00BC0D1F" w:rsidRDefault="00AD72CC" w:rsidP="00B45F1A"/>
    <w:p w14:paraId="32124429" w14:textId="77777777" w:rsidR="00AD72CC" w:rsidRPr="00BC0D1F" w:rsidRDefault="00AD72CC" w:rsidP="00EA2636">
      <w:pPr>
        <w:keepNext/>
        <w:rPr>
          <w:b/>
        </w:rPr>
      </w:pPr>
      <w:r w:rsidRPr="00BC0D1F">
        <w:rPr>
          <w:b/>
        </w:rPr>
        <w:lastRenderedPageBreak/>
        <w:t>Selected New Zealand Health Survey indicators</w:t>
      </w:r>
    </w:p>
    <w:p w14:paraId="01CDA181" w14:textId="77777777" w:rsidR="00B45F1A" w:rsidRPr="00BC0D1F" w:rsidRDefault="00B45F1A" w:rsidP="00EA2636">
      <w:pPr>
        <w:pStyle w:val="Table"/>
      </w:pPr>
      <w:bookmarkStart w:id="61" w:name="_Toc462926708"/>
      <w:r w:rsidRPr="00BC0D1F">
        <w:t>Table 3: Selected New Zealand Health Survey indicators: unadjusted prevalence (%)</w:t>
      </w:r>
      <w:bookmarkEnd w:id="6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628"/>
        <w:gridCol w:w="1576"/>
        <w:gridCol w:w="1576"/>
        <w:gridCol w:w="1576"/>
      </w:tblGrid>
      <w:tr w:rsidR="00B45F1A" w:rsidRPr="00BC0D1F" w14:paraId="02655D02" w14:textId="77777777" w:rsidTr="00B45F1A">
        <w:trPr>
          <w:cantSplit/>
        </w:trPr>
        <w:tc>
          <w:tcPr>
            <w:tcW w:w="4628" w:type="dxa"/>
            <w:tcBorders>
              <w:top w:val="single" w:sz="4" w:space="0" w:color="auto"/>
              <w:bottom w:val="single" w:sz="4" w:space="0" w:color="auto"/>
            </w:tcBorders>
            <w:shd w:val="clear" w:color="auto" w:fill="auto"/>
          </w:tcPr>
          <w:p w14:paraId="48B985B7" w14:textId="77777777" w:rsidR="00B45F1A" w:rsidRPr="00BC0D1F" w:rsidRDefault="00B45F1A" w:rsidP="00EA2636">
            <w:pPr>
              <w:pStyle w:val="TableText"/>
              <w:keepNext/>
              <w:rPr>
                <w:b/>
              </w:rPr>
            </w:pPr>
            <w:r w:rsidRPr="00BC0D1F">
              <w:rPr>
                <w:b/>
              </w:rPr>
              <w:t>Among adults aged 15 years and over</w:t>
            </w:r>
          </w:p>
        </w:tc>
        <w:tc>
          <w:tcPr>
            <w:tcW w:w="1576" w:type="dxa"/>
            <w:tcBorders>
              <w:top w:val="single" w:sz="4" w:space="0" w:color="auto"/>
              <w:bottom w:val="single" w:sz="4" w:space="0" w:color="auto"/>
            </w:tcBorders>
            <w:shd w:val="clear" w:color="auto" w:fill="auto"/>
          </w:tcPr>
          <w:p w14:paraId="104B8BA3" w14:textId="77777777" w:rsidR="00B45F1A" w:rsidRPr="00BC0D1F" w:rsidRDefault="00B45F1A" w:rsidP="00EA2636">
            <w:pPr>
              <w:pStyle w:val="TableText"/>
              <w:keepNext/>
              <w:jc w:val="center"/>
              <w:rPr>
                <w:b/>
              </w:rPr>
            </w:pPr>
            <w:r w:rsidRPr="00BC0D1F">
              <w:rPr>
                <w:b/>
              </w:rPr>
              <w:t>2006/07</w:t>
            </w:r>
            <w:r w:rsidRPr="00BC0D1F">
              <w:rPr>
                <w:b/>
              </w:rPr>
              <w:br/>
              <w:t>(percent)</w:t>
            </w:r>
          </w:p>
        </w:tc>
        <w:tc>
          <w:tcPr>
            <w:tcW w:w="1576" w:type="dxa"/>
            <w:tcBorders>
              <w:top w:val="single" w:sz="4" w:space="0" w:color="auto"/>
              <w:bottom w:val="single" w:sz="4" w:space="0" w:color="auto"/>
            </w:tcBorders>
            <w:shd w:val="clear" w:color="auto" w:fill="auto"/>
          </w:tcPr>
          <w:p w14:paraId="3D38A1A4" w14:textId="77777777" w:rsidR="00B45F1A" w:rsidRPr="00BC0D1F" w:rsidRDefault="00B45F1A" w:rsidP="00EA2636">
            <w:pPr>
              <w:pStyle w:val="TableText"/>
              <w:keepNext/>
              <w:jc w:val="center"/>
              <w:rPr>
                <w:b/>
              </w:rPr>
            </w:pPr>
            <w:r w:rsidRPr="00BC0D1F">
              <w:rPr>
                <w:b/>
              </w:rPr>
              <w:t>2014/15</w:t>
            </w:r>
            <w:r w:rsidRPr="00BC0D1F">
              <w:rPr>
                <w:b/>
              </w:rPr>
              <w:br/>
              <w:t>(percent)</w:t>
            </w:r>
          </w:p>
        </w:tc>
        <w:tc>
          <w:tcPr>
            <w:tcW w:w="1576" w:type="dxa"/>
            <w:tcBorders>
              <w:top w:val="single" w:sz="4" w:space="0" w:color="auto"/>
              <w:bottom w:val="single" w:sz="4" w:space="0" w:color="auto"/>
            </w:tcBorders>
            <w:shd w:val="clear" w:color="auto" w:fill="auto"/>
          </w:tcPr>
          <w:p w14:paraId="409DD79C" w14:textId="77777777" w:rsidR="00B45F1A" w:rsidRPr="00BC0D1F" w:rsidRDefault="00B45F1A" w:rsidP="00EA2636">
            <w:pPr>
              <w:pStyle w:val="TableText"/>
              <w:keepNext/>
              <w:jc w:val="center"/>
              <w:rPr>
                <w:b/>
              </w:rPr>
            </w:pPr>
            <w:r w:rsidRPr="00BC0D1F">
              <w:rPr>
                <w:b/>
              </w:rPr>
              <w:t>Significance of difference</w:t>
            </w:r>
            <w:r w:rsidRPr="00BC0D1F">
              <w:rPr>
                <w:b/>
              </w:rPr>
              <w:br/>
              <w:t>(p-value)</w:t>
            </w:r>
            <w:r w:rsidRPr="00BC0D1F">
              <w:rPr>
                <w:rStyle w:val="FootnoteReference"/>
                <w:b/>
              </w:rPr>
              <w:footnoteReference w:id="17"/>
            </w:r>
          </w:p>
        </w:tc>
      </w:tr>
      <w:tr w:rsidR="00B45F1A" w:rsidRPr="00BC0D1F" w14:paraId="5A9E711E" w14:textId="77777777" w:rsidTr="00F06348">
        <w:trPr>
          <w:cantSplit/>
        </w:trPr>
        <w:tc>
          <w:tcPr>
            <w:tcW w:w="4628" w:type="dxa"/>
            <w:tcBorders>
              <w:top w:val="single" w:sz="4" w:space="0" w:color="auto"/>
              <w:bottom w:val="single" w:sz="4" w:space="0" w:color="A6A6A6"/>
            </w:tcBorders>
            <w:shd w:val="clear" w:color="auto" w:fill="auto"/>
          </w:tcPr>
          <w:p w14:paraId="05ADC755" w14:textId="77777777" w:rsidR="00B45F1A" w:rsidRPr="00BC0D1F" w:rsidRDefault="00B45F1A" w:rsidP="00B45F1A">
            <w:pPr>
              <w:pStyle w:val="TableText"/>
            </w:pPr>
            <w:r w:rsidRPr="00BC0D1F">
              <w:t>Excellent, very good or good self-rated health</w:t>
            </w:r>
          </w:p>
        </w:tc>
        <w:tc>
          <w:tcPr>
            <w:tcW w:w="1576" w:type="dxa"/>
            <w:tcBorders>
              <w:top w:val="single" w:sz="4" w:space="0" w:color="auto"/>
              <w:bottom w:val="single" w:sz="4" w:space="0" w:color="A6A6A6"/>
            </w:tcBorders>
            <w:shd w:val="clear" w:color="auto" w:fill="auto"/>
          </w:tcPr>
          <w:p w14:paraId="76C4C4CC" w14:textId="77777777" w:rsidR="00B45F1A" w:rsidRPr="00BC0D1F" w:rsidRDefault="00B45F1A" w:rsidP="00B45F1A">
            <w:pPr>
              <w:pStyle w:val="TableText"/>
              <w:jc w:val="center"/>
            </w:pPr>
            <w:r w:rsidRPr="00BC0D1F">
              <w:t>89.6</w:t>
            </w:r>
          </w:p>
        </w:tc>
        <w:tc>
          <w:tcPr>
            <w:tcW w:w="1576" w:type="dxa"/>
            <w:tcBorders>
              <w:top w:val="single" w:sz="4" w:space="0" w:color="auto"/>
              <w:bottom w:val="single" w:sz="4" w:space="0" w:color="A6A6A6"/>
            </w:tcBorders>
            <w:shd w:val="clear" w:color="auto" w:fill="auto"/>
          </w:tcPr>
          <w:p w14:paraId="75BEAA6D" w14:textId="77777777" w:rsidR="00B45F1A" w:rsidRPr="00BC0D1F" w:rsidRDefault="00B45F1A" w:rsidP="00B45F1A">
            <w:pPr>
              <w:pStyle w:val="TableText"/>
              <w:jc w:val="center"/>
            </w:pPr>
            <w:r w:rsidRPr="00BC0D1F">
              <w:t>88.9</w:t>
            </w:r>
          </w:p>
        </w:tc>
        <w:tc>
          <w:tcPr>
            <w:tcW w:w="1576" w:type="dxa"/>
            <w:tcBorders>
              <w:top w:val="single" w:sz="4" w:space="0" w:color="auto"/>
              <w:bottom w:val="single" w:sz="4" w:space="0" w:color="A6A6A6"/>
            </w:tcBorders>
            <w:shd w:val="clear" w:color="auto" w:fill="auto"/>
          </w:tcPr>
          <w:p w14:paraId="2E9D10E8" w14:textId="77777777" w:rsidR="00B45F1A" w:rsidRPr="00BC0D1F" w:rsidRDefault="00B45F1A" w:rsidP="00B45F1A">
            <w:pPr>
              <w:pStyle w:val="TableText"/>
              <w:jc w:val="center"/>
            </w:pPr>
            <w:r w:rsidRPr="00BC0D1F">
              <w:t>0.27</w:t>
            </w:r>
          </w:p>
        </w:tc>
      </w:tr>
      <w:tr w:rsidR="00B45F1A" w:rsidRPr="00BC0D1F" w14:paraId="22F31FF7" w14:textId="77777777" w:rsidTr="00F06348">
        <w:trPr>
          <w:cantSplit/>
        </w:trPr>
        <w:tc>
          <w:tcPr>
            <w:tcW w:w="4628" w:type="dxa"/>
            <w:tcBorders>
              <w:top w:val="single" w:sz="4" w:space="0" w:color="A6A6A6"/>
              <w:bottom w:val="single" w:sz="4" w:space="0" w:color="A6A6A6"/>
            </w:tcBorders>
            <w:shd w:val="clear" w:color="auto" w:fill="auto"/>
          </w:tcPr>
          <w:p w14:paraId="0B6667C4" w14:textId="77777777" w:rsidR="00B45F1A" w:rsidRPr="00BC0D1F" w:rsidRDefault="00B45F1A" w:rsidP="00B45F1A">
            <w:pPr>
              <w:pStyle w:val="TableText"/>
            </w:pPr>
            <w:r w:rsidRPr="00BC0D1F">
              <w:t>Hazardous drinking</w:t>
            </w:r>
          </w:p>
        </w:tc>
        <w:tc>
          <w:tcPr>
            <w:tcW w:w="1576" w:type="dxa"/>
            <w:tcBorders>
              <w:top w:val="single" w:sz="4" w:space="0" w:color="A6A6A6"/>
              <w:bottom w:val="single" w:sz="4" w:space="0" w:color="A6A6A6"/>
            </w:tcBorders>
            <w:shd w:val="clear" w:color="auto" w:fill="auto"/>
          </w:tcPr>
          <w:p w14:paraId="72A771D6" w14:textId="77777777" w:rsidR="00B45F1A" w:rsidRPr="00BC0D1F" w:rsidRDefault="00B45F1A" w:rsidP="00B45F1A">
            <w:pPr>
              <w:pStyle w:val="TableText"/>
              <w:jc w:val="center"/>
            </w:pPr>
            <w:r w:rsidRPr="00BC0D1F">
              <w:t>18.0</w:t>
            </w:r>
          </w:p>
        </w:tc>
        <w:tc>
          <w:tcPr>
            <w:tcW w:w="1576" w:type="dxa"/>
            <w:tcBorders>
              <w:top w:val="single" w:sz="4" w:space="0" w:color="A6A6A6"/>
              <w:bottom w:val="single" w:sz="4" w:space="0" w:color="A6A6A6"/>
            </w:tcBorders>
            <w:shd w:val="clear" w:color="auto" w:fill="auto"/>
          </w:tcPr>
          <w:p w14:paraId="1CC72252" w14:textId="77777777" w:rsidR="00B45F1A" w:rsidRPr="00BC0D1F" w:rsidRDefault="00B45F1A" w:rsidP="00B45F1A">
            <w:pPr>
              <w:pStyle w:val="TableText"/>
              <w:jc w:val="center"/>
            </w:pPr>
            <w:r w:rsidRPr="00BC0D1F">
              <w:t>17.7</w:t>
            </w:r>
          </w:p>
        </w:tc>
        <w:tc>
          <w:tcPr>
            <w:tcW w:w="1576" w:type="dxa"/>
            <w:tcBorders>
              <w:top w:val="single" w:sz="4" w:space="0" w:color="A6A6A6"/>
              <w:bottom w:val="single" w:sz="4" w:space="0" w:color="A6A6A6"/>
            </w:tcBorders>
            <w:shd w:val="clear" w:color="auto" w:fill="auto"/>
          </w:tcPr>
          <w:p w14:paraId="1E7C55C5" w14:textId="77777777" w:rsidR="00B45F1A" w:rsidRPr="00BC0D1F" w:rsidRDefault="00B45F1A" w:rsidP="00B45F1A">
            <w:pPr>
              <w:pStyle w:val="TableText"/>
              <w:jc w:val="center"/>
            </w:pPr>
            <w:r w:rsidRPr="00BC0D1F">
              <w:t>0.40</w:t>
            </w:r>
          </w:p>
        </w:tc>
      </w:tr>
      <w:tr w:rsidR="00B45F1A" w:rsidRPr="00BC0D1F" w14:paraId="1596AABF" w14:textId="77777777" w:rsidTr="00F06348">
        <w:trPr>
          <w:cantSplit/>
        </w:trPr>
        <w:tc>
          <w:tcPr>
            <w:tcW w:w="4628" w:type="dxa"/>
            <w:tcBorders>
              <w:top w:val="single" w:sz="4" w:space="0" w:color="A6A6A6"/>
              <w:bottom w:val="single" w:sz="4" w:space="0" w:color="A6A6A6"/>
            </w:tcBorders>
            <w:shd w:val="clear" w:color="auto" w:fill="auto"/>
          </w:tcPr>
          <w:p w14:paraId="641DFF73" w14:textId="77777777" w:rsidR="00B45F1A" w:rsidRPr="00BC0D1F" w:rsidRDefault="00B45F1A" w:rsidP="00B45F1A">
            <w:pPr>
              <w:pStyle w:val="TableText"/>
            </w:pPr>
            <w:r w:rsidRPr="00BC0D1F">
              <w:t>Physically active</w:t>
            </w:r>
          </w:p>
        </w:tc>
        <w:tc>
          <w:tcPr>
            <w:tcW w:w="1576" w:type="dxa"/>
            <w:tcBorders>
              <w:top w:val="single" w:sz="4" w:space="0" w:color="A6A6A6"/>
              <w:bottom w:val="single" w:sz="4" w:space="0" w:color="A6A6A6"/>
            </w:tcBorders>
            <w:shd w:val="clear" w:color="auto" w:fill="auto"/>
          </w:tcPr>
          <w:p w14:paraId="6DDDCBDF" w14:textId="77777777" w:rsidR="00B45F1A" w:rsidRPr="00BC0D1F" w:rsidRDefault="00B45F1A" w:rsidP="00B45F1A">
            <w:pPr>
              <w:pStyle w:val="TableText"/>
              <w:jc w:val="center"/>
            </w:pPr>
            <w:r w:rsidRPr="00BC0D1F">
              <w:t>52.0</w:t>
            </w:r>
          </w:p>
        </w:tc>
        <w:tc>
          <w:tcPr>
            <w:tcW w:w="1576" w:type="dxa"/>
            <w:tcBorders>
              <w:top w:val="single" w:sz="4" w:space="0" w:color="A6A6A6"/>
              <w:bottom w:val="single" w:sz="4" w:space="0" w:color="A6A6A6"/>
            </w:tcBorders>
            <w:shd w:val="clear" w:color="auto" w:fill="auto"/>
          </w:tcPr>
          <w:p w14:paraId="70E315D5" w14:textId="77777777" w:rsidR="00B45F1A" w:rsidRPr="00BC0D1F" w:rsidRDefault="00B45F1A" w:rsidP="00B45F1A">
            <w:pPr>
              <w:pStyle w:val="TableText"/>
              <w:jc w:val="center"/>
            </w:pPr>
            <w:r w:rsidRPr="00BC0D1F">
              <w:t>50.7</w:t>
            </w:r>
          </w:p>
        </w:tc>
        <w:tc>
          <w:tcPr>
            <w:tcW w:w="1576" w:type="dxa"/>
            <w:tcBorders>
              <w:top w:val="single" w:sz="4" w:space="0" w:color="A6A6A6"/>
              <w:bottom w:val="single" w:sz="4" w:space="0" w:color="A6A6A6"/>
            </w:tcBorders>
            <w:shd w:val="clear" w:color="auto" w:fill="auto"/>
          </w:tcPr>
          <w:p w14:paraId="52C974E7" w14:textId="77777777" w:rsidR="00B45F1A" w:rsidRPr="00BC0D1F" w:rsidRDefault="00B45F1A" w:rsidP="00B45F1A">
            <w:pPr>
              <w:pStyle w:val="TableText"/>
              <w:jc w:val="center"/>
            </w:pPr>
            <w:r w:rsidRPr="00BC0D1F">
              <w:t>0.22</w:t>
            </w:r>
          </w:p>
        </w:tc>
      </w:tr>
      <w:tr w:rsidR="00B45F1A" w:rsidRPr="00BC0D1F" w14:paraId="23ECE4F9" w14:textId="77777777" w:rsidTr="00F06348">
        <w:trPr>
          <w:cantSplit/>
        </w:trPr>
        <w:tc>
          <w:tcPr>
            <w:tcW w:w="4628" w:type="dxa"/>
            <w:tcBorders>
              <w:top w:val="single" w:sz="4" w:space="0" w:color="A6A6A6"/>
              <w:bottom w:val="single" w:sz="4" w:space="0" w:color="A6A6A6"/>
            </w:tcBorders>
            <w:shd w:val="clear" w:color="auto" w:fill="auto"/>
          </w:tcPr>
          <w:p w14:paraId="50211948" w14:textId="77777777" w:rsidR="00B45F1A" w:rsidRPr="00BC0D1F" w:rsidRDefault="00B45F1A" w:rsidP="00B45F1A">
            <w:pPr>
              <w:pStyle w:val="TableText"/>
            </w:pPr>
            <w:r w:rsidRPr="00BC0D1F">
              <w:t>Obesity</w:t>
            </w:r>
          </w:p>
        </w:tc>
        <w:tc>
          <w:tcPr>
            <w:tcW w:w="1576" w:type="dxa"/>
            <w:tcBorders>
              <w:top w:val="single" w:sz="4" w:space="0" w:color="A6A6A6"/>
              <w:bottom w:val="single" w:sz="4" w:space="0" w:color="A6A6A6"/>
            </w:tcBorders>
            <w:shd w:val="clear" w:color="auto" w:fill="auto"/>
          </w:tcPr>
          <w:p w14:paraId="20D3CC54" w14:textId="77777777" w:rsidR="00B45F1A" w:rsidRPr="00BC0D1F" w:rsidRDefault="00B45F1A" w:rsidP="00B45F1A">
            <w:pPr>
              <w:pStyle w:val="TableText"/>
              <w:jc w:val="center"/>
            </w:pPr>
            <w:r w:rsidRPr="00BC0D1F">
              <w:t>26.5</w:t>
            </w:r>
          </w:p>
        </w:tc>
        <w:tc>
          <w:tcPr>
            <w:tcW w:w="1576" w:type="dxa"/>
            <w:tcBorders>
              <w:top w:val="single" w:sz="4" w:space="0" w:color="A6A6A6"/>
              <w:bottom w:val="single" w:sz="4" w:space="0" w:color="A6A6A6"/>
            </w:tcBorders>
            <w:shd w:val="clear" w:color="auto" w:fill="auto"/>
          </w:tcPr>
          <w:p w14:paraId="78527EF0" w14:textId="77777777" w:rsidR="00B45F1A" w:rsidRPr="00BC0D1F" w:rsidRDefault="00B45F1A" w:rsidP="00B45F1A">
            <w:pPr>
              <w:pStyle w:val="TableText"/>
              <w:jc w:val="center"/>
            </w:pPr>
            <w:r w:rsidRPr="00BC0D1F">
              <w:t>30.7</w:t>
            </w:r>
          </w:p>
        </w:tc>
        <w:tc>
          <w:tcPr>
            <w:tcW w:w="1576" w:type="dxa"/>
            <w:tcBorders>
              <w:top w:val="single" w:sz="4" w:space="0" w:color="A6A6A6"/>
              <w:bottom w:val="single" w:sz="4" w:space="0" w:color="A6A6A6"/>
            </w:tcBorders>
            <w:shd w:val="clear" w:color="auto" w:fill="auto"/>
          </w:tcPr>
          <w:p w14:paraId="0FDCC7E2" w14:textId="77777777" w:rsidR="00B45F1A" w:rsidRPr="00BC0D1F" w:rsidRDefault="00B45F1A" w:rsidP="00B45F1A">
            <w:pPr>
              <w:pStyle w:val="TableText"/>
              <w:jc w:val="center"/>
            </w:pPr>
            <w:r w:rsidRPr="00BC0D1F">
              <w:t>0.00</w:t>
            </w:r>
          </w:p>
        </w:tc>
      </w:tr>
      <w:tr w:rsidR="00B45F1A" w:rsidRPr="00BC0D1F" w14:paraId="3EF61F8B" w14:textId="77777777" w:rsidTr="00F06348">
        <w:trPr>
          <w:cantSplit/>
        </w:trPr>
        <w:tc>
          <w:tcPr>
            <w:tcW w:w="4628" w:type="dxa"/>
            <w:tcBorders>
              <w:top w:val="single" w:sz="4" w:space="0" w:color="A6A6A6"/>
              <w:bottom w:val="single" w:sz="4" w:space="0" w:color="A6A6A6"/>
            </w:tcBorders>
            <w:shd w:val="clear" w:color="auto" w:fill="auto"/>
          </w:tcPr>
          <w:p w14:paraId="5218DCF4" w14:textId="77777777" w:rsidR="00B45F1A" w:rsidRPr="00BC0D1F" w:rsidRDefault="00B45F1A" w:rsidP="00B45F1A">
            <w:pPr>
              <w:pStyle w:val="TableText"/>
            </w:pPr>
            <w:r w:rsidRPr="00BC0D1F">
              <w:t>Mood or anxiety disorder (diagnosed)</w:t>
            </w:r>
          </w:p>
        </w:tc>
        <w:tc>
          <w:tcPr>
            <w:tcW w:w="1576" w:type="dxa"/>
            <w:tcBorders>
              <w:top w:val="single" w:sz="4" w:space="0" w:color="A6A6A6"/>
              <w:bottom w:val="single" w:sz="4" w:space="0" w:color="A6A6A6"/>
            </w:tcBorders>
            <w:shd w:val="clear" w:color="auto" w:fill="auto"/>
          </w:tcPr>
          <w:p w14:paraId="1EE154D5" w14:textId="77777777" w:rsidR="00B45F1A" w:rsidRPr="00BC0D1F" w:rsidRDefault="00B45F1A" w:rsidP="00B45F1A">
            <w:pPr>
              <w:pStyle w:val="TableText"/>
              <w:jc w:val="center"/>
            </w:pPr>
            <w:r w:rsidRPr="00BC0D1F">
              <w:t>12.7</w:t>
            </w:r>
          </w:p>
        </w:tc>
        <w:tc>
          <w:tcPr>
            <w:tcW w:w="1576" w:type="dxa"/>
            <w:tcBorders>
              <w:top w:val="single" w:sz="4" w:space="0" w:color="A6A6A6"/>
              <w:bottom w:val="single" w:sz="4" w:space="0" w:color="A6A6A6"/>
            </w:tcBorders>
            <w:shd w:val="clear" w:color="auto" w:fill="auto"/>
          </w:tcPr>
          <w:p w14:paraId="45804133" w14:textId="77777777" w:rsidR="00B45F1A" w:rsidRPr="00BC0D1F" w:rsidRDefault="00B45F1A" w:rsidP="00B45F1A">
            <w:pPr>
              <w:pStyle w:val="TableText"/>
              <w:jc w:val="center"/>
            </w:pPr>
            <w:r w:rsidRPr="00BC0D1F">
              <w:t>17.4</w:t>
            </w:r>
          </w:p>
        </w:tc>
        <w:tc>
          <w:tcPr>
            <w:tcW w:w="1576" w:type="dxa"/>
            <w:tcBorders>
              <w:top w:val="single" w:sz="4" w:space="0" w:color="A6A6A6"/>
              <w:bottom w:val="single" w:sz="4" w:space="0" w:color="A6A6A6"/>
            </w:tcBorders>
            <w:shd w:val="clear" w:color="auto" w:fill="auto"/>
          </w:tcPr>
          <w:p w14:paraId="645228DA" w14:textId="77777777" w:rsidR="00B45F1A" w:rsidRPr="00BC0D1F" w:rsidRDefault="00B45F1A" w:rsidP="00B45F1A">
            <w:pPr>
              <w:pStyle w:val="TableText"/>
              <w:jc w:val="center"/>
            </w:pPr>
            <w:r w:rsidRPr="00BC0D1F">
              <w:t>0.00</w:t>
            </w:r>
          </w:p>
        </w:tc>
      </w:tr>
      <w:tr w:rsidR="00B45F1A" w:rsidRPr="00BC0D1F" w14:paraId="5BF3A886" w14:textId="77777777" w:rsidTr="00F06348">
        <w:trPr>
          <w:cantSplit/>
        </w:trPr>
        <w:tc>
          <w:tcPr>
            <w:tcW w:w="4628" w:type="dxa"/>
            <w:tcBorders>
              <w:top w:val="single" w:sz="4" w:space="0" w:color="A6A6A6"/>
            </w:tcBorders>
            <w:shd w:val="clear" w:color="auto" w:fill="auto"/>
          </w:tcPr>
          <w:p w14:paraId="0324E400" w14:textId="77777777" w:rsidR="00B45F1A" w:rsidRPr="00BC0D1F" w:rsidRDefault="00B45F1A" w:rsidP="00B45F1A">
            <w:pPr>
              <w:pStyle w:val="TableText"/>
            </w:pPr>
            <w:r w:rsidRPr="00BC0D1F">
              <w:t>Unable to get appointment at usual medical centre within 24 hours</w:t>
            </w:r>
          </w:p>
        </w:tc>
        <w:tc>
          <w:tcPr>
            <w:tcW w:w="1576" w:type="dxa"/>
            <w:tcBorders>
              <w:top w:val="single" w:sz="4" w:space="0" w:color="A6A6A6"/>
            </w:tcBorders>
            <w:shd w:val="clear" w:color="auto" w:fill="auto"/>
          </w:tcPr>
          <w:p w14:paraId="394B98EF" w14:textId="77777777" w:rsidR="00B45F1A" w:rsidRPr="00BC0D1F" w:rsidRDefault="00B45F1A" w:rsidP="00B45F1A">
            <w:pPr>
              <w:pStyle w:val="TableText"/>
              <w:jc w:val="center"/>
            </w:pPr>
            <w:r w:rsidRPr="00BC0D1F">
              <w:t>17.6</w:t>
            </w:r>
          </w:p>
        </w:tc>
        <w:tc>
          <w:tcPr>
            <w:tcW w:w="1576" w:type="dxa"/>
            <w:tcBorders>
              <w:top w:val="single" w:sz="4" w:space="0" w:color="A6A6A6"/>
            </w:tcBorders>
            <w:shd w:val="clear" w:color="auto" w:fill="auto"/>
          </w:tcPr>
          <w:p w14:paraId="2436E6DD" w14:textId="77777777" w:rsidR="00B45F1A" w:rsidRPr="00BC0D1F" w:rsidRDefault="00B45F1A" w:rsidP="00B45F1A">
            <w:pPr>
              <w:pStyle w:val="TableText"/>
              <w:jc w:val="center"/>
            </w:pPr>
            <w:r w:rsidRPr="00BC0D1F">
              <w:t>16.8</w:t>
            </w:r>
          </w:p>
        </w:tc>
        <w:tc>
          <w:tcPr>
            <w:tcW w:w="1576" w:type="dxa"/>
            <w:tcBorders>
              <w:top w:val="single" w:sz="4" w:space="0" w:color="A6A6A6"/>
            </w:tcBorders>
            <w:shd w:val="clear" w:color="auto" w:fill="auto"/>
          </w:tcPr>
          <w:p w14:paraId="69437530" w14:textId="77777777" w:rsidR="00B45F1A" w:rsidRPr="00BC0D1F" w:rsidRDefault="00B45F1A" w:rsidP="00B45F1A">
            <w:pPr>
              <w:pStyle w:val="TableText"/>
              <w:jc w:val="center"/>
            </w:pPr>
            <w:r w:rsidRPr="00BC0D1F">
              <w:t>0.01</w:t>
            </w:r>
          </w:p>
        </w:tc>
      </w:tr>
    </w:tbl>
    <w:p w14:paraId="4F00B6C9" w14:textId="77777777" w:rsidR="00EA2636" w:rsidRDefault="00EA2636" w:rsidP="00BE59A9">
      <w:pPr>
        <w:pStyle w:val="Heading5"/>
      </w:pPr>
    </w:p>
    <w:p w14:paraId="554287A9" w14:textId="31C91021" w:rsidR="00887E69" w:rsidRDefault="00887E69" w:rsidP="00BE59A9">
      <w:pPr>
        <w:pStyle w:val="Heading5"/>
      </w:pPr>
      <w:r>
        <w:t>Eighty-five percent</w:t>
      </w:r>
      <w:r w:rsidRPr="00BE3759">
        <w:t xml:space="preserve"> of new babies are enrolled with </w:t>
      </w:r>
      <w:proofErr w:type="spellStart"/>
      <w:r w:rsidRPr="00BE3759">
        <w:t>Plunket</w:t>
      </w:r>
      <w:proofErr w:type="spellEnd"/>
      <w:r w:rsidRPr="00BE3759">
        <w:t xml:space="preserve"> national Well Child</w:t>
      </w:r>
      <w:r>
        <w:t>/</w:t>
      </w:r>
      <w:proofErr w:type="spellStart"/>
      <w:r w:rsidRPr="00CE0A60">
        <w:t>Tamariki</w:t>
      </w:r>
      <w:proofErr w:type="spellEnd"/>
      <w:r w:rsidRPr="00CE0A60">
        <w:t xml:space="preserve"> </w:t>
      </w:r>
      <w:proofErr w:type="spellStart"/>
      <w:r w:rsidRPr="00CE0A60">
        <w:t>Ora</w:t>
      </w:r>
      <w:proofErr w:type="spellEnd"/>
      <w:r w:rsidR="00EA2636">
        <w:t xml:space="preserve"> services</w:t>
      </w:r>
      <w:r w:rsidRPr="009A42E5">
        <w:rPr>
          <w:rStyle w:val="FootnoteReference"/>
        </w:rPr>
        <w:footnoteReference w:id="18"/>
      </w:r>
    </w:p>
    <w:p w14:paraId="745B36BB" w14:textId="43D26407" w:rsidR="00887E69" w:rsidRDefault="00887E69" w:rsidP="00887E69">
      <w:r w:rsidRPr="00441FCD">
        <w:t xml:space="preserve">Services are provided in conjunction with the Well Child </w:t>
      </w:r>
      <w:proofErr w:type="spellStart"/>
      <w:r w:rsidRPr="00441FCD">
        <w:t>Tamariki</w:t>
      </w:r>
      <w:proofErr w:type="spellEnd"/>
      <w:r w:rsidRPr="00441FCD">
        <w:t xml:space="preserve"> </w:t>
      </w:r>
      <w:proofErr w:type="spellStart"/>
      <w:r w:rsidRPr="00441FCD">
        <w:t>Ora</w:t>
      </w:r>
      <w:proofErr w:type="spellEnd"/>
      <w:r w:rsidRPr="00441FCD">
        <w:t xml:space="preserve"> National Schedule (June 2013) which outlines the assessment, intervention and health </w:t>
      </w:r>
      <w:r w:rsidRPr="00887E69">
        <w:t>education</w:t>
      </w:r>
      <w:r w:rsidRPr="00441FCD">
        <w:t xml:space="preserve"> activities for each of the eight universal core contacts. These are delivered to children and their families when the child reaches between four and six weeks of age, and continues unt</w:t>
      </w:r>
      <w:r>
        <w:t>il the child is five years old.</w:t>
      </w:r>
    </w:p>
    <w:p w14:paraId="349E3EC5" w14:textId="77777777" w:rsidR="00887E69" w:rsidRDefault="00887E69" w:rsidP="00887E69"/>
    <w:p w14:paraId="48490C66" w14:textId="0E908D16" w:rsidR="00AD72CC" w:rsidRPr="00BC0D1F" w:rsidRDefault="00C01309" w:rsidP="00BE59A9">
      <w:pPr>
        <w:pStyle w:val="Heading5"/>
      </w:pPr>
      <w:r>
        <w:t>Target</w:t>
      </w:r>
      <w:r w:rsidR="00CB2716">
        <w:t xml:space="preserve"> for d</w:t>
      </w:r>
      <w:r w:rsidR="00AD72CC" w:rsidRPr="00BC0D1F">
        <w:t xml:space="preserve">aily smoking prevalence </w:t>
      </w:r>
      <w:r w:rsidR="00CB2716">
        <w:t>to fall</w:t>
      </w:r>
      <w:r w:rsidR="00AD72CC" w:rsidRPr="00BC0D1F">
        <w:t xml:space="preserve"> to 10% by 2018 and the Māori and Pacific rates halve from their 2011 levels</w:t>
      </w:r>
      <w:r w:rsidR="00AD72CC" w:rsidRPr="00BC0D1F">
        <w:rPr>
          <w:rStyle w:val="FootnoteReference"/>
        </w:rPr>
        <w:footnoteReference w:id="19"/>
      </w:r>
      <w:r w:rsidR="00AD72CC" w:rsidRPr="00BC0D1F">
        <w:t xml:space="preserve"> as part of </w:t>
      </w:r>
      <w:proofErr w:type="spellStart"/>
      <w:r w:rsidR="00AD72CC" w:rsidRPr="00BC0D1F">
        <w:t>Smokefree</w:t>
      </w:r>
      <w:proofErr w:type="spellEnd"/>
      <w:r w:rsidR="00AD72CC" w:rsidRPr="00BC0D1F">
        <w:t xml:space="preserve"> 2025</w:t>
      </w:r>
      <w:r w:rsidR="00AD72CC" w:rsidRPr="00BC0D1F">
        <w:rPr>
          <w:rStyle w:val="FootnoteReference"/>
        </w:rPr>
        <w:footnoteReference w:id="20"/>
      </w:r>
    </w:p>
    <w:p w14:paraId="19CA403E" w14:textId="1ADCE37C" w:rsidR="00AD72CC" w:rsidRPr="00BC0D1F" w:rsidRDefault="00AD72CC" w:rsidP="00587875">
      <w:r w:rsidRPr="00BC0D1F">
        <w:t>There has been no statistically significant decline in the rate of daily smoking for Māori and Pacific adults since 2006/07. With rates of 35.5 percent for Māori and 22.4 percent for Pacific adults, their rates remain considerably higher than those of non-Māori and non-Pacific adults.</w:t>
      </w:r>
      <w:r w:rsidRPr="00BC0D1F">
        <w:rPr>
          <w:rStyle w:val="FootnoteReference"/>
        </w:rPr>
        <w:footnoteReference w:id="21"/>
      </w:r>
    </w:p>
    <w:p w14:paraId="39FECF18" w14:textId="77777777" w:rsidR="00AD72CC" w:rsidRPr="00BC0D1F" w:rsidRDefault="00AD72CC" w:rsidP="00587875"/>
    <w:p w14:paraId="7F5BA09C" w14:textId="5F79DDEF" w:rsidR="00AD72CC" w:rsidRPr="00BC0D1F" w:rsidRDefault="00AD72CC" w:rsidP="00BE59A9">
      <w:pPr>
        <w:pStyle w:val="Heading5"/>
        <w:rPr>
          <w:rFonts w:eastAsia="Arial"/>
        </w:rPr>
      </w:pPr>
      <w:r w:rsidRPr="00BC0D1F">
        <w:rPr>
          <w:rFonts w:eastAsia="Arial"/>
        </w:rPr>
        <w:t>A B4 School Check is provided to 90 percent of the eligible population</w:t>
      </w:r>
    </w:p>
    <w:p w14:paraId="608DD05E" w14:textId="77777777" w:rsidR="00AD72CC" w:rsidRPr="00BC0D1F" w:rsidRDefault="00AD72CC" w:rsidP="00587875">
      <w:r w:rsidRPr="00BC0D1F">
        <w:t>A total of 57,985 children were checked during 2015/16 with a coverage of 92 percent of the total population and 93 percent of the high deprivation population. DHBs are currently funded to reach 90 percent of the total and high deprivation populations. Coverage for Māori and Pacific children was 88 and 89 percent respectively</w:t>
      </w:r>
      <w:r w:rsidR="00587875" w:rsidRPr="00BC0D1F">
        <w:t>.</w:t>
      </w:r>
    </w:p>
    <w:p w14:paraId="3B7F8216" w14:textId="77777777" w:rsidR="00AD72CC" w:rsidRPr="00BC0D1F" w:rsidRDefault="00AD72CC" w:rsidP="00587875"/>
    <w:p w14:paraId="25AE5AF6" w14:textId="7048E3E5" w:rsidR="00AD72CC" w:rsidRPr="00BC0D1F" w:rsidRDefault="00AD72CC" w:rsidP="00BE59A9">
      <w:pPr>
        <w:pStyle w:val="Heading5"/>
      </w:pPr>
      <w:r w:rsidRPr="00BC0D1F">
        <w:rPr>
          <w:rFonts w:eastAsia="Arial"/>
        </w:rPr>
        <w:t>There is a reduced suicide rate for all ages</w:t>
      </w:r>
      <w:r w:rsidRPr="00BC0D1F">
        <w:rPr>
          <w:rStyle w:val="FootnoteReference"/>
        </w:rPr>
        <w:footnoteReference w:id="22"/>
      </w:r>
    </w:p>
    <w:p w14:paraId="51882938" w14:textId="77777777" w:rsidR="00AD72CC" w:rsidRPr="00BC0D1F" w:rsidRDefault="00AD72CC" w:rsidP="00587875">
      <w:r w:rsidRPr="00BC0D1F">
        <w:t>Suicide and suicidal behaviours continue to be a major public health issue in New Zealand. In 2013, 508 people (365 males and 143 females) died in New Zealand by suicide.</w:t>
      </w:r>
      <w:r w:rsidRPr="00BC0D1F">
        <w:rPr>
          <w:rStyle w:val="FootnoteReference"/>
        </w:rPr>
        <w:footnoteReference w:id="23"/>
      </w:r>
      <w:r w:rsidRPr="00BC0D1F">
        <w:t xml:space="preserve"> Overall, suicide </w:t>
      </w:r>
      <w:r w:rsidRPr="00BC0D1F">
        <w:lastRenderedPageBreak/>
        <w:t>rates remained relatively stable between 2004 and 2013, ranging from 10.9 to 12.2 deaths per 100,000 population over this period.</w:t>
      </w:r>
    </w:p>
    <w:p w14:paraId="6FA22594" w14:textId="77777777" w:rsidR="00AD72CC" w:rsidRPr="00BC0D1F" w:rsidRDefault="00AD72CC" w:rsidP="00587875">
      <w:pPr>
        <w:spacing w:before="240"/>
      </w:pPr>
      <w:r w:rsidRPr="00BC0D1F">
        <w:t>Numerous factors influence a person</w:t>
      </w:r>
      <w:r w:rsidR="00DF4B9A" w:rsidRPr="00BC0D1F">
        <w:t>’</w:t>
      </w:r>
      <w:r w:rsidRPr="00BC0D1F">
        <w:t>s decision to take their own life or to self-harm. The number of suicides and self-harm hospitalisations can vary considerably from year to year, which makes it difficult to quantify the precise effect that programmes such as suicide prevention-related initiatives have on suicide and suicidal behaviour.</w:t>
      </w:r>
    </w:p>
    <w:p w14:paraId="3A888F9C" w14:textId="77777777" w:rsidR="00AD72CC" w:rsidRPr="00BC0D1F" w:rsidRDefault="00AD72CC" w:rsidP="00587875"/>
    <w:p w14:paraId="23FA1C6E" w14:textId="77777777" w:rsidR="00AD72CC" w:rsidRPr="00BC0D1F" w:rsidRDefault="00AD72CC" w:rsidP="00587875">
      <w:pPr>
        <w:rPr>
          <w:rFonts w:eastAsia="Arial" w:cs="Arial"/>
          <w:szCs w:val="22"/>
        </w:rPr>
      </w:pPr>
      <w:r w:rsidRPr="00BC0D1F">
        <w:t>The current suicide prevention strategy and action plan end in 2016. Consideration is currently under way on the best approach to suicide prevention in recognition that suicide continues to be a major health and social issue in New Zealand. Actions will build on the current strategy and previous action plans and incorporate thinking and knowledge that have emerged since these were released. Because suicide prevention requires a multi-</w:t>
      </w:r>
      <w:proofErr w:type="spellStart"/>
      <w:r w:rsidRPr="00BC0D1F">
        <w:t>sectoral</w:t>
      </w:r>
      <w:proofErr w:type="spellEnd"/>
      <w:r w:rsidRPr="00BC0D1F">
        <w:t xml:space="preserve"> approach, the support and commitment from a range of government agencies will be essential. The first stage of a suicide prevention outcomes framework is complete. Implementation will be ongoing and will inform the approach to suicide prevention.</w:t>
      </w:r>
    </w:p>
    <w:p w14:paraId="4D2169BF" w14:textId="77777777" w:rsidR="00AD72CC" w:rsidRPr="00BC0D1F" w:rsidRDefault="00AD72CC" w:rsidP="00587875"/>
    <w:p w14:paraId="15E2B0A9" w14:textId="77777777" w:rsidR="00DF4B9A" w:rsidRPr="00BC0D1F" w:rsidRDefault="00AD72CC" w:rsidP="00587875">
      <w:pPr>
        <w:rPr>
          <w:rFonts w:cs="Arial"/>
          <w:color w:val="000000"/>
          <w:szCs w:val="22"/>
          <w:lang w:eastAsia="en-NZ"/>
        </w:rPr>
      </w:pPr>
      <w:proofErr w:type="spellStart"/>
      <w:r w:rsidRPr="00BC0D1F">
        <w:t>Waka</w:t>
      </w:r>
      <w:proofErr w:type="spellEnd"/>
      <w:r w:rsidRPr="00BC0D1F">
        <w:t xml:space="preserve"> </w:t>
      </w:r>
      <w:proofErr w:type="spellStart"/>
      <w:r w:rsidRPr="00BC0D1F">
        <w:t>Hourua</w:t>
      </w:r>
      <w:proofErr w:type="spellEnd"/>
      <w:r w:rsidRPr="00BC0D1F">
        <w:t>, the national Māori and Pacific suicide prevention programme, has four components: National Leadership, National Māori Community Suicide Prevention,</w:t>
      </w:r>
      <w:r w:rsidRPr="00BC0D1F">
        <w:rPr>
          <w:rFonts w:cs="Arial"/>
          <w:color w:val="000000"/>
          <w:szCs w:val="22"/>
          <w:lang w:eastAsia="en-NZ"/>
        </w:rPr>
        <w:t xml:space="preserve"> N</w:t>
      </w:r>
      <w:r w:rsidRPr="00BC0D1F">
        <w:t xml:space="preserve">ational </w:t>
      </w:r>
      <w:proofErr w:type="spellStart"/>
      <w:r w:rsidRPr="00BC0D1F">
        <w:t>Pasifika</w:t>
      </w:r>
      <w:proofErr w:type="spellEnd"/>
      <w:r w:rsidRPr="00BC0D1F">
        <w:t xml:space="preserve"> Community Suicide Prevention and Research and Evaluation.</w:t>
      </w:r>
    </w:p>
    <w:p w14:paraId="34A008EE" w14:textId="77777777" w:rsidR="00AD72CC" w:rsidRPr="00BC0D1F" w:rsidRDefault="00AD72CC" w:rsidP="00587875">
      <w:pPr>
        <w:rPr>
          <w:lang w:eastAsia="en-NZ"/>
        </w:rPr>
      </w:pPr>
    </w:p>
    <w:p w14:paraId="7A835B83" w14:textId="77777777" w:rsidR="00DF4B9A" w:rsidRPr="00BC0D1F" w:rsidRDefault="00AD72CC" w:rsidP="00587875">
      <w:r w:rsidRPr="00BC0D1F">
        <w:t xml:space="preserve">The National Māori Community Suicide Prevention programme has appointed coordinators, who have supported the development and implementation of community suicide prevention plans in five DHB communities. They are in the process of working with several other DHBs to identify communities to work with. To support this work and other work, they have developed resources and training programmes for communities and organisations. They have also completed evaluation of 24 one-off-funded suicide prevention initiatives, and the results have indicated that, in the areas where the projects were run, Māori </w:t>
      </w:r>
      <w:proofErr w:type="spellStart"/>
      <w:r w:rsidRPr="00BC0D1F">
        <w:t>whānau</w:t>
      </w:r>
      <w:proofErr w:type="spellEnd"/>
      <w:r w:rsidRPr="00BC0D1F">
        <w:t xml:space="preserve"> have greater knowledge about suicide risk and increased understanding about accessing services.</w:t>
      </w:r>
    </w:p>
    <w:p w14:paraId="1C5AB49E" w14:textId="77777777" w:rsidR="00AD72CC" w:rsidRPr="00BC0D1F" w:rsidRDefault="00AD72CC" w:rsidP="00587875"/>
    <w:p w14:paraId="5ECFC6F8" w14:textId="6A131B56" w:rsidR="00AD72CC" w:rsidRPr="00BC0D1F" w:rsidRDefault="00AD72CC" w:rsidP="00587875">
      <w:r w:rsidRPr="00BC0D1F">
        <w:t xml:space="preserve">The National </w:t>
      </w:r>
      <w:proofErr w:type="spellStart"/>
      <w:r w:rsidRPr="00BC0D1F">
        <w:t>Pasifika</w:t>
      </w:r>
      <w:proofErr w:type="spellEnd"/>
      <w:r w:rsidRPr="00BC0D1F">
        <w:t xml:space="preserve"> Community Suicide Prevention programme appointed 14</w:t>
      </w:r>
      <w:r w:rsidR="00587875" w:rsidRPr="00BC0D1F">
        <w:t> </w:t>
      </w:r>
      <w:r w:rsidRPr="00BC0D1F">
        <w:t>ambassadors in a number of communities of Pacific people in New Zealand. They have also developed appropriate suicide prevention training and resources, and media guidelines relating to suicide reporting, and have run training using the guidelines for Pacific people who work in the media.</w:t>
      </w:r>
    </w:p>
    <w:p w14:paraId="6411136D" w14:textId="77777777" w:rsidR="00AD72CC" w:rsidRPr="00BC0D1F" w:rsidRDefault="00AD72CC" w:rsidP="00587875"/>
    <w:p w14:paraId="7E2315AF" w14:textId="375BC5EC" w:rsidR="00AD72CC" w:rsidRPr="00BC0D1F" w:rsidRDefault="00AD72CC" w:rsidP="00587875">
      <w:pPr>
        <w:pStyle w:val="Heading4"/>
      </w:pPr>
      <w:bookmarkStart w:id="62" w:name="_Toc456707078"/>
      <w:r w:rsidRPr="00BC0D1F">
        <w:t>Health and disability services are closely integrated with other social services, and health hazards are minimised</w:t>
      </w:r>
      <w:bookmarkEnd w:id="62"/>
    </w:p>
    <w:p w14:paraId="2303D9A8" w14:textId="004CD6E4" w:rsidR="00AD72CC" w:rsidRPr="00BC0D1F" w:rsidRDefault="00656B5D" w:rsidP="00587875">
      <w:r>
        <w:t>This</w:t>
      </w:r>
      <w:r w:rsidR="00AD72CC" w:rsidRPr="00BC0D1F">
        <w:t xml:space="preserve"> will be achieved when more integrated health and social services make it easier for those with social needs to look after their health and independence, and when the public are protected from environmental and disease risk factors that lead to ill health. The following measures show how well we are </w:t>
      </w:r>
      <w:r>
        <w:t>doing</w:t>
      </w:r>
      <w:r w:rsidR="00AD72CC" w:rsidRPr="00BC0D1F">
        <w:t>.</w:t>
      </w:r>
    </w:p>
    <w:p w14:paraId="65C1B7E7" w14:textId="77777777" w:rsidR="00AD72CC" w:rsidRPr="00BC0D1F" w:rsidRDefault="00AD72CC" w:rsidP="00587875"/>
    <w:p w14:paraId="53B909C2" w14:textId="56C4C0C8" w:rsidR="00DF4B9A" w:rsidRPr="00BC0D1F" w:rsidRDefault="00AD72CC" w:rsidP="00BE59A9">
      <w:pPr>
        <w:pStyle w:val="Heading5"/>
        <w:rPr>
          <w:rFonts w:eastAsia="Arial"/>
        </w:rPr>
      </w:pPr>
      <w:r w:rsidRPr="00BC0D1F">
        <w:rPr>
          <w:rFonts w:eastAsia="Arial"/>
        </w:rPr>
        <w:t>The annual influenza programme of 1.2 million doses of flu vaccine is delivered</w:t>
      </w:r>
    </w:p>
    <w:p w14:paraId="44735DA1" w14:textId="4184121D" w:rsidR="00AD72CC" w:rsidRPr="00976E58" w:rsidRDefault="00AD72CC" w:rsidP="00587875">
      <w:pPr>
        <w:rPr>
          <w:spacing w:val="-2"/>
        </w:rPr>
      </w:pPr>
      <w:r w:rsidRPr="00976E58">
        <w:rPr>
          <w:spacing w:val="-2"/>
        </w:rPr>
        <w:t xml:space="preserve">The Ministry monitors the volume of influenza vaccine doses distributed annually. The seasonal influenza immunisation programme </w:t>
      </w:r>
      <w:r w:rsidR="007C4364" w:rsidRPr="00976E58">
        <w:rPr>
          <w:spacing w:val="-2"/>
        </w:rPr>
        <w:t>ends</w:t>
      </w:r>
      <w:r w:rsidRPr="00976E58">
        <w:rPr>
          <w:spacing w:val="-2"/>
        </w:rPr>
        <w:t xml:space="preserve"> on 31 August 2016. Currently 1,230,700 doses of influenza vaccine are distributed. Business object reports are available to measure DHB and PHO coverage by age and ethnicity. The final number of over</w:t>
      </w:r>
      <w:r w:rsidR="007C4364" w:rsidRPr="00976E58">
        <w:rPr>
          <w:spacing w:val="-2"/>
        </w:rPr>
        <w:t>-</w:t>
      </w:r>
      <w:r w:rsidRPr="00976E58">
        <w:rPr>
          <w:spacing w:val="-2"/>
        </w:rPr>
        <w:t>65</w:t>
      </w:r>
      <w:r w:rsidR="007C4364" w:rsidRPr="00976E58">
        <w:rPr>
          <w:spacing w:val="-2"/>
        </w:rPr>
        <w:t>-</w:t>
      </w:r>
      <w:r w:rsidRPr="00976E58">
        <w:rPr>
          <w:spacing w:val="-2"/>
        </w:rPr>
        <w:t>year-olds immunised cannot be confirmed until late October, when all immunisation claims have been submitted for payment.</w:t>
      </w:r>
    </w:p>
    <w:p w14:paraId="18DBB7A4" w14:textId="77777777" w:rsidR="00AD72CC" w:rsidRPr="00BC0D1F" w:rsidRDefault="00AD72CC" w:rsidP="00587875"/>
    <w:p w14:paraId="4020D35D" w14:textId="55248E86" w:rsidR="00AD72CC" w:rsidRPr="00BC0D1F" w:rsidRDefault="00AD72CC" w:rsidP="00BE59A9">
      <w:pPr>
        <w:pStyle w:val="Heading5"/>
        <w:rPr>
          <w:rFonts w:eastAsia="Arial"/>
        </w:rPr>
      </w:pPr>
      <w:r w:rsidRPr="00BC0D1F">
        <w:rPr>
          <w:rFonts w:eastAsia="Arial"/>
        </w:rPr>
        <w:lastRenderedPageBreak/>
        <w:t>Health and disability services are closely integrated with other social services</w:t>
      </w:r>
    </w:p>
    <w:p w14:paraId="6ECCCC9B" w14:textId="2421B31C" w:rsidR="00AD72CC" w:rsidRPr="00BC0D1F" w:rsidRDefault="00AD72CC" w:rsidP="00587875">
      <w:r w:rsidRPr="00BC0D1F">
        <w:t xml:space="preserve">This was a new measure in 2014/15. It drew on the report </w:t>
      </w:r>
      <w:r w:rsidRPr="00BC0D1F">
        <w:rPr>
          <w:i/>
        </w:rPr>
        <w:t xml:space="preserve">Delivering Social Services Every Day: Changing how we work together to support New Zealanders </w:t>
      </w:r>
      <w:r w:rsidRPr="00BC0D1F">
        <w:t>(Ministry of Social Development, May 2014) published on behalf of social sector agencies. Further such reports were expected, but the report has not been updated.</w:t>
      </w:r>
    </w:p>
    <w:p w14:paraId="41D254B6" w14:textId="77777777" w:rsidR="00AD72CC" w:rsidRPr="00BC0D1F" w:rsidRDefault="00AD72CC" w:rsidP="00587875"/>
    <w:p w14:paraId="3D08B471" w14:textId="22E06963" w:rsidR="00AD72CC" w:rsidRPr="00BC0D1F" w:rsidRDefault="00AD72CC" w:rsidP="00BE59A9">
      <w:pPr>
        <w:pStyle w:val="Heading5"/>
        <w:rPr>
          <w:rFonts w:eastAsia="Arial"/>
        </w:rPr>
      </w:pPr>
      <w:r w:rsidRPr="00BC0D1F">
        <w:rPr>
          <w:rFonts w:eastAsia="Arial"/>
        </w:rPr>
        <w:t>The incidence of rheumatic fever rates is reduced by two-thirds to 1.4 cases per 100,000 people by June 2017</w:t>
      </w:r>
    </w:p>
    <w:p w14:paraId="03F72930" w14:textId="4BCC11BC" w:rsidR="00AD72CC" w:rsidRPr="00BC0D1F" w:rsidRDefault="00AD72CC" w:rsidP="00587875">
      <w:r w:rsidRPr="00BC0D1F">
        <w:t xml:space="preserve">The latest figures </w:t>
      </w:r>
      <w:r w:rsidR="00C01309">
        <w:t xml:space="preserve">from the </w:t>
      </w:r>
      <w:r w:rsidR="00C01309" w:rsidRPr="00BC0D1F">
        <w:rPr>
          <w:noProof/>
          <w:lang w:eastAsia="en-NZ"/>
        </w:rPr>
        <w:t>Ministry’s Rheumatic Fever Prevention Programme show a 37 percent decrease in first-episode rheumatic fever hospitalisations since the target was introduced in 2012</w:t>
      </w:r>
      <w:r w:rsidR="00C01309">
        <w:t>.  S</w:t>
      </w:r>
      <w:r w:rsidR="00C01309" w:rsidRPr="00BC0D1F">
        <w:t xml:space="preserve">o far </w:t>
      </w:r>
      <w:r w:rsidRPr="00BC0D1F">
        <w:t>3418 eligible families have been referred to the Healthy Homes Initiatives, with more than 2838 interventions supplied. The initiatives are in all 11 DHBs with a high incidence of rheumatic fever.</w:t>
      </w:r>
    </w:p>
    <w:p w14:paraId="3BF3C3FF" w14:textId="77777777" w:rsidR="00AD72CC" w:rsidRPr="00BC0D1F" w:rsidRDefault="00AD72CC" w:rsidP="00587875"/>
    <w:p w14:paraId="11B2D1E6" w14:textId="77777777" w:rsidR="00AD72CC" w:rsidRPr="00BC0D1F" w:rsidRDefault="00AD72CC" w:rsidP="00587875">
      <w:r w:rsidRPr="00BC0D1F">
        <w:t>Priority populations (Māori, Pacific or Quintile 5) understand the cause of rheumatic fever, how to prevent Group A streptococcal throat infections and how to access care in a timely manner, including:</w:t>
      </w:r>
    </w:p>
    <w:p w14:paraId="142B2A3E" w14:textId="77777777" w:rsidR="00AD72CC" w:rsidRPr="00BC0D1F" w:rsidRDefault="00AD72CC" w:rsidP="00587875">
      <w:pPr>
        <w:pStyle w:val="Bullet"/>
      </w:pPr>
      <w:r w:rsidRPr="00BC0D1F">
        <w:t>the Pacific Engagement Strategy: 30,000 families engaged through in-home visits and community events in Auckland and Wellington</w:t>
      </w:r>
    </w:p>
    <w:p w14:paraId="57003D27" w14:textId="77777777" w:rsidR="00AD72CC" w:rsidRPr="00BC0D1F" w:rsidRDefault="00AD72CC" w:rsidP="00587875">
      <w:pPr>
        <w:pStyle w:val="Bullet"/>
      </w:pPr>
      <w:r w:rsidRPr="00BC0D1F">
        <w:t>Māori Community Fund delivered to the six highest DHB Māori communities</w:t>
      </w:r>
    </w:p>
    <w:p w14:paraId="3F36D696" w14:textId="77777777" w:rsidR="00AD72CC" w:rsidRPr="00BC0D1F" w:rsidRDefault="00AD72CC" w:rsidP="00587875">
      <w:pPr>
        <w:pStyle w:val="Bullet"/>
      </w:pPr>
      <w:proofErr w:type="gramStart"/>
      <w:r w:rsidRPr="00BC0D1F">
        <w:t>advertising</w:t>
      </w:r>
      <w:proofErr w:type="gramEnd"/>
      <w:r w:rsidRPr="00BC0D1F">
        <w:t xml:space="preserve"> campaigns in winter 2016.</w:t>
      </w:r>
    </w:p>
    <w:p w14:paraId="35D31508" w14:textId="77777777" w:rsidR="00AD72CC" w:rsidRPr="00BC0D1F" w:rsidRDefault="00AD72CC" w:rsidP="00587875"/>
    <w:p w14:paraId="7DDA93E4" w14:textId="77777777" w:rsidR="00AD72CC" w:rsidRPr="00BC0D1F" w:rsidRDefault="00AD72CC" w:rsidP="00587875">
      <w:r w:rsidRPr="00BC0D1F">
        <w:t>Eighty percent of at-risk children and young people have free and rapid access to effective sore throat management services and appropriate utilisation of school-based programmes and rapid response clinics.</w:t>
      </w:r>
    </w:p>
    <w:p w14:paraId="456896AD" w14:textId="77777777" w:rsidR="00AD72CC" w:rsidRPr="00BC0D1F" w:rsidRDefault="00AD72CC" w:rsidP="00587875"/>
    <w:p w14:paraId="586946A2" w14:textId="1637B556" w:rsidR="00AD72CC" w:rsidRPr="00BC0D1F" w:rsidRDefault="00AD72CC" w:rsidP="00587875">
      <w:pPr>
        <w:pStyle w:val="Heading3"/>
      </w:pPr>
      <w:bookmarkStart w:id="63" w:name="_Toc456707079"/>
      <w:bookmarkStart w:id="64" w:name="_Toc459730014"/>
      <w:r w:rsidRPr="00BC0D1F">
        <w:t>High-quality health and disability services are delivered in a timely and accessible manner</w:t>
      </w:r>
      <w:bookmarkEnd w:id="63"/>
      <w:bookmarkEnd w:id="64"/>
    </w:p>
    <w:p w14:paraId="59C7A23F" w14:textId="6398DA94" w:rsidR="00AD72CC" w:rsidRPr="00BC0D1F" w:rsidRDefault="00656B5D" w:rsidP="00587875">
      <w:r>
        <w:t>We</w:t>
      </w:r>
      <w:r w:rsidR="00AD72CC" w:rsidRPr="00BC0D1F">
        <w:t xml:space="preserve"> are seeking to achieve a health system that is people-centred and more convenient: a high-quality system that meets people</w:t>
      </w:r>
      <w:r w:rsidR="00DF4B9A" w:rsidRPr="00BC0D1F">
        <w:t>’</w:t>
      </w:r>
      <w:r w:rsidR="00AD72CC" w:rsidRPr="00BC0D1F">
        <w:t>s health needs and their legitimate expectations, and that New Zealanders have confidence in. We are doing this so that clinical integration of health services delivers a better health care experience to New Zealanders, which will mean strong coordination at every level of the health and disability system to ensure the different parts work well together. In this way, the sector will work together to provide health and disability services across organisational and disciplinary boundaries so that patients receive the best possible care. Sector coordination contributes to efficiencies across the system and ensures a similar level of care for patients, regardless of where they live.</w:t>
      </w:r>
    </w:p>
    <w:p w14:paraId="5AA82C38" w14:textId="77777777" w:rsidR="00AD72CC" w:rsidRPr="00BC0D1F" w:rsidRDefault="00AD72CC" w:rsidP="00C121BD"/>
    <w:p w14:paraId="00B53850" w14:textId="72346AD2" w:rsidR="00AD72CC" w:rsidRPr="00BC0D1F" w:rsidRDefault="00AD72CC" w:rsidP="00C121BD">
      <w:pPr>
        <w:pStyle w:val="Heading4"/>
        <w:rPr>
          <w:color w:val="000000"/>
        </w:rPr>
      </w:pPr>
      <w:bookmarkStart w:id="65" w:name="_Toc456707080"/>
      <w:r w:rsidRPr="00BC0D1F">
        <w:t xml:space="preserve">The public can access quality services that meet their needs in a timely manner, where they need </w:t>
      </w:r>
      <w:r w:rsidRPr="00BC0D1F">
        <w:rPr>
          <w:color w:val="000000"/>
        </w:rPr>
        <w:t>them</w:t>
      </w:r>
      <w:bookmarkEnd w:id="65"/>
    </w:p>
    <w:p w14:paraId="433E11FB" w14:textId="61F33DCA" w:rsidR="00AD72CC" w:rsidRPr="00BC0D1F" w:rsidRDefault="00656B5D" w:rsidP="00C121BD">
      <w:r>
        <w:t>This</w:t>
      </w:r>
      <w:r w:rsidR="00AD72CC" w:rsidRPr="00BC0D1F">
        <w:t xml:space="preserve"> will be achieved when the public have access to quality services and the health and disability system is supported to embed sustainable improvements in service delivery. Harm from the use of alcohol, tobacco and other drugs will be minimised, and monitoring sector performance and communicating that information will provide the public with confidence and trust in the sector. The following measures show how well we are </w:t>
      </w:r>
      <w:r>
        <w:t>doing.</w:t>
      </w:r>
    </w:p>
    <w:p w14:paraId="3F449783" w14:textId="77777777" w:rsidR="00AD72CC" w:rsidRPr="00BC0D1F" w:rsidRDefault="00AD72CC" w:rsidP="00C121BD"/>
    <w:p w14:paraId="45754CEA" w14:textId="081BBE8A" w:rsidR="00AD72CC" w:rsidRPr="00BC0D1F" w:rsidRDefault="00AD72CC" w:rsidP="00BE59A9">
      <w:pPr>
        <w:pStyle w:val="Heading5"/>
        <w:rPr>
          <w:rFonts w:eastAsia="Arial"/>
        </w:rPr>
      </w:pPr>
      <w:r w:rsidRPr="00BC0D1F">
        <w:rPr>
          <w:rFonts w:eastAsia="Arial"/>
        </w:rPr>
        <w:lastRenderedPageBreak/>
        <w:t>Infant mortality rates continue to decrease from a baseline of 4.8 deaths per 1000 live births in 2009</w:t>
      </w:r>
    </w:p>
    <w:p w14:paraId="6CE81720" w14:textId="77777777" w:rsidR="00AD72CC" w:rsidRPr="00BC0D1F" w:rsidRDefault="00AD72CC" w:rsidP="00C121BD">
      <w:r w:rsidRPr="00BC0D1F">
        <w:t>Infant mortality was 5.0 per 1000 live births in 2013.</w:t>
      </w:r>
    </w:p>
    <w:p w14:paraId="1ECC1200" w14:textId="77777777" w:rsidR="00AD72CC" w:rsidRPr="00BC0D1F" w:rsidRDefault="00AD72CC" w:rsidP="00C121BD"/>
    <w:p w14:paraId="15DB48B8" w14:textId="07D7E4E8" w:rsidR="00AD72CC" w:rsidRPr="00BC0D1F" w:rsidRDefault="00AD72CC" w:rsidP="00BE59A9">
      <w:pPr>
        <w:pStyle w:val="Heading5"/>
        <w:rPr>
          <w:rFonts w:eastAsia="Arial"/>
        </w:rPr>
      </w:pPr>
      <w:r w:rsidRPr="00BC0D1F">
        <w:rPr>
          <w:rFonts w:eastAsia="Arial"/>
        </w:rPr>
        <w:t>Serious and sentinel events reduce from a baseline of 374 in 2009/10</w:t>
      </w:r>
    </w:p>
    <w:p w14:paraId="6C8BC6A5" w14:textId="374C708C" w:rsidR="00DF4B9A" w:rsidRPr="00BC0D1F" w:rsidRDefault="00AD72CC" w:rsidP="00C121BD">
      <w:r w:rsidRPr="00BC0D1F">
        <w:rPr>
          <w:rFonts w:cs="Arial"/>
          <w:color w:val="000000"/>
          <w:szCs w:val="22"/>
        </w:rPr>
        <w:t>T</w:t>
      </w:r>
      <w:r w:rsidRPr="00BC0D1F">
        <w:t xml:space="preserve">hese are adverse events that have generally resulted in harm to patients. DHBs report information on such events for the previous year to the Health Quality &amp; Safety Commission (HQSC). </w:t>
      </w:r>
      <w:r w:rsidR="0065005F">
        <w:t xml:space="preserve">The </w:t>
      </w:r>
      <w:r w:rsidRPr="00BC0D1F">
        <w:t xml:space="preserve">numbers for 2015/16 are: 520 </w:t>
      </w:r>
      <w:r w:rsidR="00DF4B9A" w:rsidRPr="00BC0D1F">
        <w:t>‘</w:t>
      </w:r>
      <w:r w:rsidRPr="00BC0D1F">
        <w:t>general</w:t>
      </w:r>
      <w:r w:rsidR="00DF4B9A" w:rsidRPr="00BC0D1F">
        <w:t>’</w:t>
      </w:r>
      <w:r w:rsidRPr="00BC0D1F">
        <w:t xml:space="preserve"> events (525 in 2014/15</w:t>
      </w:r>
      <w:r w:rsidR="00C121BD" w:rsidRPr="00BC0D1F">
        <w:t>)</w:t>
      </w:r>
      <w:r w:rsidRPr="00BC0D1F">
        <w:rPr>
          <w:rStyle w:val="FootnoteReference"/>
        </w:rPr>
        <w:footnoteReference w:id="24"/>
      </w:r>
      <w:r w:rsidRPr="00BC0D1F">
        <w:t xml:space="preserve"> and 185 mental health cases</w:t>
      </w:r>
      <w:r w:rsidR="0065005F">
        <w:rPr>
          <w:rStyle w:val="FootnoteReference"/>
        </w:rPr>
        <w:footnoteReference w:id="25"/>
      </w:r>
      <w:r w:rsidRPr="00BC0D1F">
        <w:t xml:space="preserve"> (185 in 2014/15).</w:t>
      </w:r>
      <w:r w:rsidR="00887E69">
        <w:t xml:space="preserve"> </w:t>
      </w:r>
      <w:r w:rsidRPr="00BC0D1F">
        <w:t>The increase in numbers since the baseline of 2009/10 is thought to be a result of improved reporting rather than an actual increase.</w:t>
      </w:r>
    </w:p>
    <w:p w14:paraId="4950AAEA" w14:textId="77777777" w:rsidR="00AD72CC" w:rsidRPr="00752320" w:rsidRDefault="00AD72CC" w:rsidP="00C121BD">
      <w:pPr>
        <w:rPr>
          <w:szCs w:val="22"/>
        </w:rPr>
      </w:pPr>
    </w:p>
    <w:p w14:paraId="3E46C4DB" w14:textId="64C317ED" w:rsidR="0065005F" w:rsidRPr="00752320" w:rsidRDefault="00AD72CC" w:rsidP="0065005F">
      <w:pPr>
        <w:autoSpaceDE w:val="0"/>
        <w:autoSpaceDN w:val="0"/>
        <w:adjustRightInd w:val="0"/>
        <w:spacing w:line="240" w:lineRule="auto"/>
        <w:rPr>
          <w:szCs w:val="22"/>
          <w:lang w:eastAsia="en-NZ"/>
        </w:rPr>
      </w:pPr>
      <w:r w:rsidRPr="00752320">
        <w:rPr>
          <w:szCs w:val="22"/>
        </w:rPr>
        <w:t>Further information is available on the HQSC website (</w:t>
      </w:r>
      <w:hyperlink r:id="rId29" w:history="1">
        <w:r w:rsidRPr="00752320">
          <w:rPr>
            <w:szCs w:val="22"/>
          </w:rPr>
          <w:t>www.hqsc.govt.nz/our-programmes/adverse-events/</w:t>
        </w:r>
      </w:hyperlink>
      <w:r w:rsidR="0065005F" w:rsidRPr="00752320">
        <w:rPr>
          <w:rFonts w:cs="Arial Mäori"/>
          <w:color w:val="000000"/>
          <w:szCs w:val="22"/>
          <w:lang w:eastAsia="en-NZ"/>
        </w:rPr>
        <w:t>serious-adverse-events-reports/</w:t>
      </w:r>
      <w:r w:rsidR="00556A3E">
        <w:rPr>
          <w:rFonts w:cs="Arial Mäori"/>
          <w:color w:val="000000"/>
          <w:szCs w:val="22"/>
          <w:lang w:eastAsia="en-NZ"/>
        </w:rPr>
        <w:t>)</w:t>
      </w:r>
    </w:p>
    <w:p w14:paraId="14A403D4" w14:textId="718EE13E" w:rsidR="00AD72CC" w:rsidRPr="00BC0D1F" w:rsidRDefault="00AD72CC" w:rsidP="00BE59A9">
      <w:pPr>
        <w:pStyle w:val="Heading5"/>
        <w:rPr>
          <w:rFonts w:eastAsia="Arial"/>
        </w:rPr>
      </w:pPr>
      <w:r w:rsidRPr="00BC0D1F">
        <w:rPr>
          <w:rFonts w:eastAsia="Arial"/>
        </w:rPr>
        <w:t>There is reduced amenable mortality</w:t>
      </w:r>
      <w:r w:rsidRPr="00BC0D1F">
        <w:rPr>
          <w:rStyle w:val="FootnoteReference"/>
          <w:rFonts w:eastAsia="Arial"/>
        </w:rPr>
        <w:footnoteReference w:id="26"/>
      </w:r>
    </w:p>
    <w:p w14:paraId="1D7076CD" w14:textId="77777777" w:rsidR="00AD72CC" w:rsidRPr="00BC0D1F" w:rsidRDefault="00AD72CC" w:rsidP="00C121BD">
      <w:pPr>
        <w:rPr>
          <w:rFonts w:cs="Arial"/>
          <w:color w:val="000000"/>
          <w:szCs w:val="18"/>
        </w:rPr>
      </w:pPr>
      <w:r w:rsidRPr="00BC0D1F">
        <w:t>The amenable mortality rate has decreased by 29 percent over the last 10 years (from 132.0 per 100,000 people aged 0–74 years in 2004 to 93.5 per 100,000 in 2013). The decrease was evident across all ethnic groups. The largest decline has been seen for Māori, with the amenable mortality rate falling by almost one-third (32 percent). However, in 2013 the amenable mortality rate was still 2.8 times higher for Māori and 2.4 times higher for Pacific people, compared with non-Māori, non-Pacific people.</w:t>
      </w:r>
    </w:p>
    <w:p w14:paraId="7E8A49A5" w14:textId="77777777" w:rsidR="00AD72CC" w:rsidRPr="00BC0D1F" w:rsidRDefault="00AD72CC" w:rsidP="00C121BD"/>
    <w:p w14:paraId="1A384178" w14:textId="445B69F9" w:rsidR="00AD72CC" w:rsidRPr="00BC0D1F" w:rsidRDefault="00AD72CC" w:rsidP="00BE59A9">
      <w:pPr>
        <w:pStyle w:val="Heading5"/>
        <w:rPr>
          <w:rFonts w:eastAsia="Arial"/>
        </w:rPr>
      </w:pPr>
      <w:r w:rsidRPr="00BC0D1F">
        <w:rPr>
          <w:rFonts w:eastAsia="Arial"/>
        </w:rPr>
        <w:t>The overall quality score in the health group continues to improve (2007: 68; 2009: 69; 2012: 72; 2013: 73), as measured through the Kiwis Count Survey</w:t>
      </w:r>
    </w:p>
    <w:p w14:paraId="22C40447" w14:textId="0A867425" w:rsidR="00AD72CC" w:rsidRPr="00BC0D1F" w:rsidRDefault="00AD72CC" w:rsidP="00C121BD">
      <w:r w:rsidRPr="00BC0D1F">
        <w:t xml:space="preserve">The State Services Commission report (see </w:t>
      </w:r>
      <w:hyperlink r:id="rId30" w:history="1">
        <w:r w:rsidR="00AF3A6E" w:rsidRPr="003F25F9">
          <w:rPr>
            <w:rStyle w:val="Hyperlink"/>
          </w:rPr>
          <w:t>www.ssc.govt.nz/kiwis-count</w:t>
        </w:r>
      </w:hyperlink>
      <w:r w:rsidRPr="00BC0D1F">
        <w:t xml:space="preserve">) has not been updated for </w:t>
      </w:r>
      <w:r w:rsidR="002A549D">
        <w:t>2015/16</w:t>
      </w:r>
      <w:r w:rsidRPr="00BC0D1F">
        <w:t>.</w:t>
      </w:r>
    </w:p>
    <w:p w14:paraId="54E4E98A" w14:textId="77777777" w:rsidR="00AD72CC" w:rsidRPr="00BC0D1F" w:rsidRDefault="00AD72CC" w:rsidP="00C121BD">
      <w:bookmarkStart w:id="66" w:name="_Toc456707081"/>
    </w:p>
    <w:p w14:paraId="6CE0337D" w14:textId="01FD4124" w:rsidR="00AD72CC" w:rsidRPr="00BC0D1F" w:rsidRDefault="00AD72CC" w:rsidP="00C121BD">
      <w:pPr>
        <w:pStyle w:val="Heading4"/>
        <w:rPr>
          <w:color w:val="000000"/>
        </w:rPr>
      </w:pPr>
      <w:r w:rsidRPr="00BC0D1F">
        <w:t xml:space="preserve">Personalised and integrated support services are </w:t>
      </w:r>
      <w:r w:rsidRPr="00BC0D1F">
        <w:rPr>
          <w:color w:val="000000"/>
        </w:rPr>
        <w:t>provided for people who need them</w:t>
      </w:r>
      <w:bookmarkEnd w:id="66"/>
    </w:p>
    <w:p w14:paraId="3BD26226" w14:textId="42A08AAA" w:rsidR="00AF3A6E" w:rsidRDefault="00656B5D" w:rsidP="00656B5D">
      <w:pPr>
        <w:rPr>
          <w:rFonts w:eastAsia="Arial"/>
        </w:rPr>
      </w:pPr>
      <w:r>
        <w:t>This</w:t>
      </w:r>
      <w:r w:rsidR="00AD72CC" w:rsidRPr="00BC0D1F">
        <w:t xml:space="preserve"> will be achieved when integrated, effective, affordable, people-centred health services for people with disabilities, including older New Zealanders, are provided so that they can remain living in their homes longer and can live healthier and more independent lives. The following measures show how well we are </w:t>
      </w:r>
      <w:r>
        <w:t>doing.</w:t>
      </w:r>
    </w:p>
    <w:p w14:paraId="75DDC60C" w14:textId="110C1A7C" w:rsidR="00AD72CC" w:rsidRPr="00BC0D1F" w:rsidRDefault="00AD72CC" w:rsidP="00BE59A9">
      <w:pPr>
        <w:pStyle w:val="Heading5"/>
      </w:pPr>
      <w:r w:rsidRPr="00BC0D1F">
        <w:rPr>
          <w:rFonts w:eastAsia="Arial"/>
        </w:rPr>
        <w:t>There is a reduced incidence of falls</w:t>
      </w:r>
      <w:r w:rsidRPr="00BC0D1F">
        <w:rPr>
          <w:rStyle w:val="FootnoteReference"/>
          <w:rFonts w:cs="Arial"/>
          <w:color w:val="000000"/>
          <w:szCs w:val="18"/>
        </w:rPr>
        <w:footnoteReference w:id="27"/>
      </w:r>
    </w:p>
    <w:p w14:paraId="207DEA7B" w14:textId="77777777" w:rsidR="00DF4B9A" w:rsidRPr="00BC0D1F" w:rsidRDefault="00AD72CC" w:rsidP="00C121BD">
      <w:r w:rsidRPr="00BC0D1F">
        <w:t>There were 65 in-hospital falls resulting in fractured neck of femur (broken hip) in the 12</w:t>
      </w:r>
      <w:r w:rsidR="00C121BD" w:rsidRPr="00BC0D1F">
        <w:t> </w:t>
      </w:r>
      <w:r w:rsidRPr="00BC0D1F">
        <w:t>months ending March 2016. This is a reduction of 44 falls compared with the expected number of 109 falls given the rate observed in the baseline of July 2010 to June 2012. We also see a downward shift in falls in hospital causing other kind of fractures: 204 in the year ending March 2016, which is significantly lower than the 240 falls we would have expected in this year, given the median quarterly result (60 falls) observed in the period from July 2012 to June 2014.</w:t>
      </w:r>
    </w:p>
    <w:p w14:paraId="19993193" w14:textId="77777777" w:rsidR="00AD72CC" w:rsidRPr="00976E58" w:rsidRDefault="00AD72CC" w:rsidP="00C121BD">
      <w:pPr>
        <w:rPr>
          <w:sz w:val="20"/>
        </w:rPr>
      </w:pPr>
    </w:p>
    <w:p w14:paraId="250F936B" w14:textId="39D7BED6" w:rsidR="00DF4B9A" w:rsidRPr="00BC0D1F" w:rsidRDefault="00AD72CC" w:rsidP="00C121BD">
      <w:r w:rsidRPr="00BC0D1F">
        <w:t>This result is also supported in the HQSC</w:t>
      </w:r>
      <w:r w:rsidR="00DF4B9A" w:rsidRPr="00BC0D1F">
        <w:t>’</w:t>
      </w:r>
      <w:r w:rsidRPr="00BC0D1F">
        <w:t>s serious adverse event data. In the period 1 July 2015 to 30 June 2016, all falls-related serious adverse events reported by DHBs reduced from 27</w:t>
      </w:r>
      <w:r w:rsidR="006B71EB">
        <w:t xml:space="preserve">7 </w:t>
      </w:r>
      <w:r w:rsidR="006B71EB">
        <w:lastRenderedPageBreak/>
        <w:t>(2014/15) to 194. Within the</w:t>
      </w:r>
      <w:r w:rsidRPr="00BC0D1F">
        <w:t xml:space="preserve"> data, reported falls resulting in fractured neck of femur decreased from 84 (2014/15) to 68.</w:t>
      </w:r>
    </w:p>
    <w:p w14:paraId="6197407E" w14:textId="77777777" w:rsidR="00AD72CC" w:rsidRPr="00976E58" w:rsidRDefault="00AD72CC" w:rsidP="00C121BD">
      <w:pPr>
        <w:rPr>
          <w:sz w:val="20"/>
        </w:rPr>
      </w:pPr>
    </w:p>
    <w:p w14:paraId="02920CB3" w14:textId="24C0E346" w:rsidR="00DF4B9A" w:rsidRPr="00BC0D1F" w:rsidRDefault="00AD72CC" w:rsidP="00C121BD">
      <w:r w:rsidRPr="00BC0D1F">
        <w:t xml:space="preserve">In the last 18 months there has been a cross-agency work programme between HQSC, ACC and the Ministry. As of July 2016 a significant injection of expenditure is being made by ACC to support efforts to reduce falls and harm from falls over the next </w:t>
      </w:r>
      <w:r w:rsidR="00C121BD" w:rsidRPr="00BC0D1F">
        <w:t>three</w:t>
      </w:r>
      <w:r w:rsidRPr="00BC0D1F">
        <w:t xml:space="preserve"> years ($30 million). Aligned with this is a common </w:t>
      </w:r>
      <w:r w:rsidR="00DF4B9A" w:rsidRPr="00BC0D1F">
        <w:t>‘</w:t>
      </w:r>
      <w:r w:rsidRPr="00BC0D1F">
        <w:t>outcomes framework</w:t>
      </w:r>
      <w:r w:rsidR="00DF4B9A" w:rsidRPr="00BC0D1F">
        <w:t>’</w:t>
      </w:r>
      <w:r w:rsidRPr="00BC0D1F">
        <w:t>, which the parties are largely in agreement about</w:t>
      </w:r>
      <w:r w:rsidR="006B71EB">
        <w:t>,</w:t>
      </w:r>
      <w:r w:rsidRPr="00BC0D1F">
        <w:t xml:space="preserve"> to use as a measure of progress. There may be some changes to wording, but the measures have been chosen to be easily obtainable, reliable and durable (with a 5- to 10-year timeframe to consider given the nature of the interventions).</w:t>
      </w:r>
    </w:p>
    <w:p w14:paraId="37FDEA39" w14:textId="77777777" w:rsidR="00AD72CC" w:rsidRPr="00976E58" w:rsidRDefault="00AD72CC" w:rsidP="00C121BD">
      <w:pPr>
        <w:rPr>
          <w:sz w:val="20"/>
        </w:rPr>
      </w:pPr>
    </w:p>
    <w:p w14:paraId="230F5338" w14:textId="77777777" w:rsidR="00AD72CC" w:rsidRPr="00BC0D1F" w:rsidRDefault="00AD72CC" w:rsidP="00C121BD">
      <w:r w:rsidRPr="00BC0D1F">
        <w:t>The work to establish relatively easily obtained metrics is largely complete. The measures are too numerous and detailed for an annual report, but an executive summary is likely to be developed. We intend to use this in all reports from the contributing agencies.</w:t>
      </w:r>
    </w:p>
    <w:p w14:paraId="1DF852E7" w14:textId="77777777" w:rsidR="00AD72CC" w:rsidRPr="00976E58" w:rsidRDefault="00AD72CC" w:rsidP="00C121BD">
      <w:pPr>
        <w:rPr>
          <w:sz w:val="20"/>
        </w:rPr>
      </w:pPr>
    </w:p>
    <w:p w14:paraId="5A912D4D" w14:textId="77777777" w:rsidR="00AD72CC" w:rsidRPr="00BC0D1F" w:rsidRDefault="00AD72CC" w:rsidP="00C121BD">
      <w:r w:rsidRPr="00BC0D1F">
        <w:t xml:space="preserve">One of the measures that reflects the previous annual reports is </w:t>
      </w:r>
      <w:r w:rsidR="00DF4B9A" w:rsidRPr="00BC0D1F">
        <w:t>‘</w:t>
      </w:r>
      <w:r w:rsidRPr="00BC0D1F">
        <w:t>Number of hospital admissions for a fall</w:t>
      </w:r>
      <w:r w:rsidR="00DF4B9A" w:rsidRPr="00BC0D1F">
        <w:t>’</w:t>
      </w:r>
      <w:r w:rsidRPr="00BC0D1F">
        <w:t>. This will be derived from the ACC claims and cross referenced with National Minimum Dataset (Hospital Events) data. It is likely to be a good surrogate of success and relatively independent of other activities that have an impact on the type of events associated with admission to hospitals.</w:t>
      </w:r>
    </w:p>
    <w:p w14:paraId="0E83C475" w14:textId="77777777" w:rsidR="00AD72CC" w:rsidRPr="00976E58" w:rsidRDefault="00AD72CC" w:rsidP="00C121BD">
      <w:pPr>
        <w:rPr>
          <w:sz w:val="20"/>
        </w:rPr>
      </w:pPr>
    </w:p>
    <w:p w14:paraId="70147C0A" w14:textId="11E7136D" w:rsidR="00AD72CC" w:rsidRPr="00BC0D1F" w:rsidRDefault="00AD72CC" w:rsidP="00BE59A9">
      <w:pPr>
        <w:pStyle w:val="Heading5"/>
        <w:rPr>
          <w:rFonts w:eastAsia="Arial"/>
        </w:rPr>
      </w:pPr>
      <w:r w:rsidRPr="00BC0D1F">
        <w:rPr>
          <w:rFonts w:eastAsia="Arial"/>
        </w:rPr>
        <w:t>There is a reduced prevalence of people in the 65-plus-years age group with dependent disability</w:t>
      </w:r>
    </w:p>
    <w:p w14:paraId="5CE78D08" w14:textId="77777777" w:rsidR="00AD72CC" w:rsidRPr="00BC0D1F" w:rsidRDefault="00AD72CC" w:rsidP="00C121BD">
      <w:r w:rsidRPr="00BC0D1F">
        <w:t>The measure has been redefined as follows: a reduction in the proportion of older people requiring residential care; and rate of acute hospital use.</w:t>
      </w:r>
    </w:p>
    <w:p w14:paraId="68E109B3" w14:textId="77777777" w:rsidR="00AF3A6E" w:rsidRDefault="00AF3A6E" w:rsidP="00C121BD"/>
    <w:p w14:paraId="785F93E9" w14:textId="56AA9583" w:rsidR="00AD72CC" w:rsidRPr="00976E58" w:rsidRDefault="00AD72CC" w:rsidP="00C121BD">
      <w:pPr>
        <w:rPr>
          <w:spacing w:val="-2"/>
        </w:rPr>
      </w:pPr>
      <w:r w:rsidRPr="00976E58">
        <w:rPr>
          <w:spacing w:val="-2"/>
        </w:rPr>
        <w:t>A key focus in the sector is on improving the independence of older people. There is good evidence older people who conti</w:t>
      </w:r>
      <w:r w:rsidR="00976E58">
        <w:rPr>
          <w:spacing w:val="-2"/>
        </w:rPr>
        <w:t>nue to live in their own home,</w:t>
      </w:r>
      <w:r w:rsidRPr="00976E58">
        <w:rPr>
          <w:spacing w:val="-2"/>
        </w:rPr>
        <w:t xml:space="preserve"> with support from home and community support s</w:t>
      </w:r>
      <w:r w:rsidR="00976E58">
        <w:rPr>
          <w:spacing w:val="-2"/>
        </w:rPr>
        <w:t>ervice providers if necessary,</w:t>
      </w:r>
      <w:r w:rsidRPr="00976E58">
        <w:rPr>
          <w:spacing w:val="-2"/>
        </w:rPr>
        <w:t xml:space="preserve"> experience greater wellbeing. </w:t>
      </w:r>
      <w:proofErr w:type="gramStart"/>
      <w:r w:rsidRPr="00976E58">
        <w:rPr>
          <w:spacing w:val="-2"/>
        </w:rPr>
        <w:t>Most older</w:t>
      </w:r>
      <w:proofErr w:type="gramEnd"/>
      <w:r w:rsidRPr="00976E58">
        <w:rPr>
          <w:spacing w:val="-2"/>
        </w:rPr>
        <w:t xml:space="preserve"> adults </w:t>
      </w:r>
      <w:r w:rsidRPr="00976E58">
        <w:rPr>
          <w:spacing w:val="4"/>
        </w:rPr>
        <w:t>prefer to stay in their own home, and this arrangement is also usually less expensive than residential care.</w:t>
      </w:r>
      <w:r w:rsidRPr="00976E58">
        <w:rPr>
          <w:spacing w:val="-2"/>
        </w:rPr>
        <w:t xml:space="preserve"> The aim is to reduce the proportion of older people requiring residential care services.</w:t>
      </w:r>
    </w:p>
    <w:p w14:paraId="05BA5885" w14:textId="77777777" w:rsidR="00AD72CC" w:rsidRPr="00BC0D1F" w:rsidRDefault="00AD72CC" w:rsidP="00C121BD"/>
    <w:p w14:paraId="58E297FE" w14:textId="5690BD49" w:rsidR="00AD72CC" w:rsidRPr="00BC0D1F" w:rsidRDefault="00254F70" w:rsidP="009679C3">
      <w:pPr>
        <w:keepNext/>
      </w:pPr>
      <w:r w:rsidRPr="00254F70">
        <w:t>In 2015/16 the number of people aged 75 and over in residential care was 28,503, an increase of 2,146 since 2006/07.</w:t>
      </w:r>
      <w:r w:rsidR="00AD72CC" w:rsidRPr="00BC0D1F">
        <w:rPr>
          <w:rStyle w:val="FootnoteReference"/>
        </w:rPr>
        <w:footnoteReference w:id="28"/>
      </w:r>
      <w:r w:rsidR="00AD72CC" w:rsidRPr="00254F70">
        <w:rPr>
          <w:rStyle w:val="FootnoteReference"/>
        </w:rPr>
        <w:t xml:space="preserve"> </w:t>
      </w:r>
      <w:r>
        <w:t xml:space="preserve"> </w:t>
      </w:r>
      <w:r w:rsidRPr="00254F70">
        <w:t>This represents a decrease in the proportion of older people requiring care from 11 percent to 10 percent.</w:t>
      </w:r>
    </w:p>
    <w:p w14:paraId="07EDD587" w14:textId="77777777" w:rsidR="009679C3" w:rsidRPr="00BC0D1F" w:rsidRDefault="009679C3" w:rsidP="009679C3"/>
    <w:p w14:paraId="4A253EE2" w14:textId="77777777" w:rsidR="00DF4B9A" w:rsidRPr="00BC0D1F" w:rsidRDefault="00AD72CC" w:rsidP="009679C3">
      <w:r w:rsidRPr="00BC0D1F">
        <w:t>The rate of acute hospital bed days is a measure of how effectively health system resources are being used. This rate may be affected by the quality of primary care, discharge planning and ongoing communication about a person</w:t>
      </w:r>
      <w:r w:rsidR="00DF4B9A" w:rsidRPr="00BC0D1F">
        <w:t>’</w:t>
      </w:r>
      <w:r w:rsidRPr="00BC0D1F">
        <w:t>s care between hospital and community care. The corresponding aim is to reduce the rate of acute hospital use.</w:t>
      </w:r>
    </w:p>
    <w:p w14:paraId="11EA4FB4" w14:textId="77777777" w:rsidR="00AD72CC" w:rsidRPr="00BC0D1F" w:rsidRDefault="00AD72CC" w:rsidP="00C121BD"/>
    <w:p w14:paraId="65005992" w14:textId="7BB9A7E8" w:rsidR="00DF4B9A" w:rsidRPr="00BC0D1F" w:rsidRDefault="00AD72CC" w:rsidP="00C121BD">
      <w:pPr>
        <w:rPr>
          <w:rFonts w:cs="Arial"/>
          <w:szCs w:val="22"/>
        </w:rPr>
      </w:pPr>
      <w:r w:rsidRPr="00BC0D1F">
        <w:t>Acute hospital service use in New Zealand by people aged 65 years and over was estimated as 1.11</w:t>
      </w:r>
      <w:r w:rsidR="00C121BD" w:rsidRPr="00BC0D1F">
        <w:t> </w:t>
      </w:r>
      <w:r w:rsidRPr="00BC0D1F">
        <w:t>million bed days in the year ending March 2013/14</w:t>
      </w:r>
      <w:r w:rsidRPr="00BC0D1F">
        <w:rPr>
          <w:rFonts w:cs="Arial"/>
          <w:szCs w:val="22"/>
        </w:rPr>
        <w:t>.</w:t>
      </w:r>
      <w:r w:rsidRPr="00BC0D1F">
        <w:rPr>
          <w:rStyle w:val="FootnoteReference"/>
        </w:rPr>
        <w:footnoteReference w:id="29"/>
      </w:r>
      <w:r w:rsidRPr="00BC0D1F">
        <w:rPr>
          <w:rFonts w:cs="Arial"/>
          <w:szCs w:val="22"/>
        </w:rPr>
        <w:t xml:space="preserve"> </w:t>
      </w:r>
      <w:r w:rsidRPr="00BC0D1F">
        <w:t>This represents an average of about 2.8</w:t>
      </w:r>
      <w:r w:rsidR="00BE59A9" w:rsidRPr="00BC0D1F">
        <w:t> </w:t>
      </w:r>
      <w:r w:rsidRPr="00BC0D1F">
        <w:t>bed days per person for the year. In the year ending March 201</w:t>
      </w:r>
      <w:r w:rsidR="003D53A0">
        <w:t>5</w:t>
      </w:r>
      <w:r w:rsidRPr="00BC0D1F">
        <w:t>/1</w:t>
      </w:r>
      <w:r w:rsidR="003D53A0">
        <w:t>6</w:t>
      </w:r>
      <w:r w:rsidRPr="00BC0D1F">
        <w:t xml:space="preserve"> the rate had fallen to an estimated 2.55 bed days per person and 1.0</w:t>
      </w:r>
      <w:r w:rsidR="003D53A0">
        <w:t>8</w:t>
      </w:r>
      <w:r w:rsidRPr="00BC0D1F">
        <w:t xml:space="preserve"> million total bed days for the year.</w:t>
      </w:r>
    </w:p>
    <w:p w14:paraId="5979242F" w14:textId="77777777" w:rsidR="00AD72CC" w:rsidRPr="00BC0D1F" w:rsidRDefault="00AD72CC" w:rsidP="00C121BD"/>
    <w:p w14:paraId="176DF95E" w14:textId="1114B89F" w:rsidR="00AD72CC" w:rsidRPr="00BC0D1F" w:rsidRDefault="00AD72CC" w:rsidP="00BE59A9">
      <w:pPr>
        <w:pStyle w:val="Heading5"/>
      </w:pPr>
      <w:r w:rsidRPr="00BC0D1F">
        <w:rPr>
          <w:rFonts w:eastAsia="Arial"/>
        </w:rPr>
        <w:lastRenderedPageBreak/>
        <w:t>Ethnic health disparities are reduced</w:t>
      </w:r>
      <w:r w:rsidRPr="00BC0D1F">
        <w:rPr>
          <w:rStyle w:val="FootnoteReference"/>
          <w:rFonts w:cs="Arial"/>
          <w:szCs w:val="18"/>
        </w:rPr>
        <w:footnoteReference w:id="30"/>
      </w:r>
    </w:p>
    <w:p w14:paraId="4A2E39F2" w14:textId="77777777" w:rsidR="00AD72CC" w:rsidRPr="00BC0D1F" w:rsidRDefault="00AD72CC" w:rsidP="00C121BD">
      <w:r w:rsidRPr="00BC0D1F">
        <w:t>Ethnic health disparities have reduced as health outcomes have improved, but challenges still exist.</w:t>
      </w:r>
    </w:p>
    <w:p w14:paraId="6A71C976" w14:textId="77777777" w:rsidR="00AD72CC" w:rsidRPr="00BC0D1F" w:rsidRDefault="00AD72CC" w:rsidP="00C121BD">
      <w:pPr>
        <w:pStyle w:val="Bullet"/>
      </w:pPr>
      <w:r w:rsidRPr="00BC0D1F">
        <w:t>From 2004 to 2013 amenable mortality rates decreased across all ethnic groups. In absolute terms the greatest decline was seen for Māori, followed by Pacific people. In relative terms, however, inequality increased for Māori and remained stable for Pacific people: in 2013 rates for Māori were 2.8 times higher, and rates for Pacific people 2.4 times higher than for non-Māori and non-Pacific people. The most common conditions contributing to deaths amenable to health care vary by life stage but are largely consistent between ethnic groups.</w:t>
      </w:r>
    </w:p>
    <w:p w14:paraId="2A4A97D3" w14:textId="77777777" w:rsidR="00AD72CC" w:rsidRPr="00BC0D1F" w:rsidRDefault="00AD72CC" w:rsidP="00C121BD">
      <w:pPr>
        <w:pStyle w:val="Bullet"/>
      </w:pPr>
      <w:r w:rsidRPr="00BC0D1F">
        <w:t>Smoking is strongly associated with neighbourhood deprivation. In 2014/15 the rate of daily smoking was 25.4 percent in the most deprived areas, compared with 8.3 percent in the least deprived areas (Ministry of Health 2015). This variation was not due to differences in the demographic mix across neighbourhoods, because after adjusting for differences in age, sex and ethnicity, adults living in the most deprived areas were 3.4 times more likely to be daily smokers than adults living in the least deprived areas.</w:t>
      </w:r>
    </w:p>
    <w:p w14:paraId="7F294839" w14:textId="77777777" w:rsidR="009679C3" w:rsidRPr="00BC0D1F" w:rsidRDefault="00AD72CC" w:rsidP="00887E69">
      <w:pPr>
        <w:pStyle w:val="Bullet"/>
      </w:pPr>
      <w:r w:rsidRPr="00BC0D1F">
        <w:t>The Māori and Pacific infant mortality rates (5.7 and 6.9 per 1000 live births, respectively) remained higher than the rate for the Asian and European or Other ethnic groups in 2012 (2.9</w:t>
      </w:r>
      <w:r w:rsidR="009679C3" w:rsidRPr="00BC0D1F">
        <w:t> </w:t>
      </w:r>
      <w:r w:rsidRPr="00BC0D1F">
        <w:t>and 4.1 per 1000 respectively).</w:t>
      </w:r>
      <w:r w:rsidRPr="002A549D">
        <w:rPr>
          <w:vertAlign w:val="superscript"/>
        </w:rPr>
        <w:footnoteReference w:id="31"/>
      </w:r>
    </w:p>
    <w:p w14:paraId="6DC4B382" w14:textId="77777777" w:rsidR="00AD72CC" w:rsidRPr="00BC0D1F" w:rsidRDefault="00AD72CC" w:rsidP="009679C3"/>
    <w:p w14:paraId="2E27655C" w14:textId="25A2556B" w:rsidR="00AD72CC" w:rsidRPr="00BC0D1F" w:rsidRDefault="00AD72CC" w:rsidP="00BE59A9">
      <w:pPr>
        <w:pStyle w:val="Heading5"/>
        <w:rPr>
          <w:rFonts w:eastAsia="Arial"/>
        </w:rPr>
      </w:pPr>
      <w:r w:rsidRPr="00BC0D1F">
        <w:rPr>
          <w:rFonts w:eastAsia="Arial"/>
        </w:rPr>
        <w:t>The proportion of people with a K10 score</w:t>
      </w:r>
      <w:r w:rsidRPr="00BC0D1F">
        <w:rPr>
          <w:rStyle w:val="FootnoteReference"/>
          <w:rFonts w:eastAsia="Arial"/>
        </w:rPr>
        <w:footnoteReference w:id="32"/>
      </w:r>
      <w:r w:rsidRPr="00BC0D1F">
        <w:rPr>
          <w:rFonts w:eastAsia="Arial"/>
        </w:rPr>
        <w:t xml:space="preserve"> ≥12 is reduced (an indicator of mental illness, such as anxiety or depressive disorder)</w:t>
      </w:r>
    </w:p>
    <w:p w14:paraId="11818D8A" w14:textId="5FB39F85" w:rsidR="00AD72CC" w:rsidRPr="00BC0D1F" w:rsidRDefault="00AD72CC" w:rsidP="009679C3">
      <w:pPr>
        <w:keepLines/>
      </w:pPr>
      <w:r w:rsidRPr="00BC0D1F">
        <w:rPr>
          <w:rFonts w:cs="Arial"/>
          <w:color w:val="000000"/>
          <w:szCs w:val="22"/>
          <w:lang w:eastAsia="en-NZ"/>
        </w:rPr>
        <w:t xml:space="preserve">A </w:t>
      </w:r>
      <w:r w:rsidRPr="00BC0D1F">
        <w:t>K10 score of 12 or more indicates high or very high levels of psychological distress. Where people experience these levels of psychological distress there is a high probability that they have an anxiety or depressive disorder. In 2014/15 it was estimated that</w:t>
      </w:r>
      <w:r w:rsidRPr="00BC0D1F">
        <w:rPr>
          <w:rFonts w:cs="Arial"/>
          <w:color w:val="000000"/>
          <w:szCs w:val="22"/>
          <w:lang w:eastAsia="en-NZ"/>
        </w:rPr>
        <w:t xml:space="preserve"> </w:t>
      </w:r>
      <w:r w:rsidRPr="00BC0D1F">
        <w:t>225,000 adults had a K10</w:t>
      </w:r>
      <w:r w:rsidR="009679C3" w:rsidRPr="00BC0D1F">
        <w:t> </w:t>
      </w:r>
      <w:r w:rsidRPr="00BC0D1F">
        <w:t>score of ≥12. This represents 6.2 percent of the population, compared with 6.6 percent in 2006/07, indicating no statistically significant change.</w:t>
      </w:r>
    </w:p>
    <w:p w14:paraId="321F92F8" w14:textId="77777777" w:rsidR="00AD72CC" w:rsidRPr="00BC0D1F" w:rsidRDefault="00AD72CC" w:rsidP="009679C3"/>
    <w:p w14:paraId="0055F18A" w14:textId="08FB8D42" w:rsidR="00AD72CC" w:rsidRDefault="00AD72CC" w:rsidP="009679C3">
      <w:r w:rsidRPr="00BC0D1F">
        <w:t>Men are less likely to report having experienced psychological distress in the last four weeks than women. In 2014/15, 4.6 percent of men and 7.6 percent of women had a K10 score of ≥12. After adjusting for age and sex differences, Māori and Pacific adults were 1.6 times more likely to report having experienced psychological distress than non-Māori and non-Pacific adults, respectively. Adjusted for age, sex and ethnic differences, adults living in the most deprived areas were 3.0 times more likely to report having experienced psychological distress than those living in the least deprived areas. This is up from 1.7 times more likely in 2013/14.</w:t>
      </w:r>
    </w:p>
    <w:p w14:paraId="47EE518E" w14:textId="77777777" w:rsidR="00656B5D" w:rsidRPr="00BC0D1F" w:rsidRDefault="00656B5D" w:rsidP="009679C3"/>
    <w:p w14:paraId="6FC12BF7" w14:textId="23F4718E" w:rsidR="00DF4B9A" w:rsidRPr="00BC0D1F" w:rsidRDefault="00AD72CC" w:rsidP="009679C3">
      <w:pPr>
        <w:pStyle w:val="Heading4"/>
        <w:rPr>
          <w:color w:val="000000"/>
        </w:rPr>
      </w:pPr>
      <w:bookmarkStart w:id="67" w:name="_Toc456707082"/>
      <w:r w:rsidRPr="00BC0D1F">
        <w:t xml:space="preserve">Health services are clinically integrated and better </w:t>
      </w:r>
      <w:r w:rsidRPr="00BC0D1F">
        <w:rPr>
          <w:color w:val="000000"/>
        </w:rPr>
        <w:t>coordinated</w:t>
      </w:r>
      <w:bookmarkEnd w:id="67"/>
    </w:p>
    <w:p w14:paraId="60C08ACE" w14:textId="602A0BB3" w:rsidR="00AD72CC" w:rsidRPr="00BC0D1F" w:rsidRDefault="00656B5D" w:rsidP="009679C3">
      <w:r>
        <w:t xml:space="preserve">This </w:t>
      </w:r>
      <w:r w:rsidR="00AD72CC" w:rsidRPr="00BC0D1F">
        <w:t xml:space="preserve">will be achieved when a significant contribution has been made to the Better Public Services results, and when coordination throughout the health sector is improved and strengthened. The following measures show how well we are </w:t>
      </w:r>
      <w:r>
        <w:t>doing</w:t>
      </w:r>
      <w:r w:rsidR="00AD72CC" w:rsidRPr="00BC0D1F">
        <w:t>.</w:t>
      </w:r>
    </w:p>
    <w:p w14:paraId="5599E637" w14:textId="77777777" w:rsidR="00AD72CC" w:rsidRPr="00976E58" w:rsidRDefault="00AD72CC" w:rsidP="009679C3">
      <w:pPr>
        <w:rPr>
          <w:sz w:val="20"/>
        </w:rPr>
      </w:pPr>
    </w:p>
    <w:p w14:paraId="0C219C9B" w14:textId="439CEC38" w:rsidR="00AD72CC" w:rsidRPr="00BC0D1F" w:rsidRDefault="00AD72CC" w:rsidP="00BE59A9">
      <w:pPr>
        <w:pStyle w:val="Heading5"/>
      </w:pPr>
      <w:r w:rsidRPr="00BC0D1F">
        <w:rPr>
          <w:rFonts w:eastAsia="Arial"/>
        </w:rPr>
        <w:lastRenderedPageBreak/>
        <w:t>DHB performance against planned integration activities</w:t>
      </w:r>
      <w:r w:rsidRPr="00BC0D1F">
        <w:rPr>
          <w:rStyle w:val="FootnoteReference"/>
        </w:rPr>
        <w:footnoteReference w:id="33"/>
      </w:r>
    </w:p>
    <w:p w14:paraId="0984E835" w14:textId="77777777" w:rsidR="00AD72CC" w:rsidRPr="00BC0D1F" w:rsidRDefault="00AD72CC" w:rsidP="009679C3">
      <w:r w:rsidRPr="00BC0D1F">
        <w:rPr>
          <w:noProof/>
          <w:lang w:eastAsia="en-NZ"/>
        </w:rPr>
        <w:t xml:space="preserve">The Ministry </w:t>
      </w:r>
      <w:r w:rsidRPr="00BC0D1F">
        <w:t xml:space="preserve">monitored DHB performance against planned integration activities, including shifting services closer to home, integrated acute demand planning, and the development of clinical pathways − Counties </w:t>
      </w:r>
      <w:proofErr w:type="spellStart"/>
      <w:r w:rsidRPr="00BC0D1F">
        <w:t>Manukau</w:t>
      </w:r>
      <w:proofErr w:type="spellEnd"/>
      <w:r w:rsidRPr="00BC0D1F">
        <w:t xml:space="preserve">, Canterbury and </w:t>
      </w:r>
      <w:proofErr w:type="spellStart"/>
      <w:r w:rsidRPr="00BC0D1F">
        <w:t>MidCentral</w:t>
      </w:r>
      <w:proofErr w:type="spellEnd"/>
      <w:r w:rsidRPr="00BC0D1F">
        <w:t xml:space="preserve"> DHBs continue to lead the way in this area. The Ministry also continued to work with DHBs to implement and increase the functionality of the Maternity Clinical Information System, which is in use in five DHBs.</w:t>
      </w:r>
    </w:p>
    <w:p w14:paraId="357CBE42" w14:textId="38047B20" w:rsidR="00AD72CC" w:rsidRPr="00BC0D1F" w:rsidRDefault="00AD72CC" w:rsidP="00BE59A9">
      <w:pPr>
        <w:pStyle w:val="Heading5"/>
        <w:rPr>
          <w:color w:val="000000"/>
        </w:rPr>
      </w:pPr>
      <w:r w:rsidRPr="00BC0D1F">
        <w:rPr>
          <w:rFonts w:eastAsia="Arial"/>
        </w:rPr>
        <w:t>The number of assaults on children decreases</w:t>
      </w:r>
    </w:p>
    <w:p w14:paraId="2C2F950A" w14:textId="77777777" w:rsidR="00DF4B9A" w:rsidRPr="00BC0D1F" w:rsidRDefault="00AD72CC" w:rsidP="009679C3">
      <w:pPr>
        <w:rPr>
          <w:lang w:eastAsia="en-NZ"/>
        </w:rPr>
      </w:pPr>
      <w:r w:rsidRPr="00BC0D1F">
        <w:rPr>
          <w:lang w:eastAsia="en-NZ"/>
        </w:rPr>
        <w:t>In 2015/16, the Ministry undertook the following work.</w:t>
      </w:r>
    </w:p>
    <w:p w14:paraId="38756245" w14:textId="4EA34CDD" w:rsidR="00DF4B9A" w:rsidRPr="00BC0D1F" w:rsidRDefault="00AD72CC" w:rsidP="009679C3">
      <w:pPr>
        <w:pStyle w:val="Bullet"/>
        <w:rPr>
          <w:lang w:eastAsia="en-NZ"/>
        </w:rPr>
      </w:pPr>
      <w:r w:rsidRPr="00BC0D1F">
        <w:rPr>
          <w:lang w:eastAsia="en-NZ"/>
        </w:rPr>
        <w:t xml:space="preserve">Provided implementation support and funding to establish all </w:t>
      </w:r>
      <w:r w:rsidR="00976E58">
        <w:rPr>
          <w:lang w:eastAsia="en-NZ"/>
        </w:rPr>
        <w:t>10</w:t>
      </w:r>
      <w:r w:rsidRPr="00BC0D1F">
        <w:rPr>
          <w:lang w:eastAsia="en-NZ"/>
        </w:rPr>
        <w:t xml:space="preserve"> children</w:t>
      </w:r>
      <w:r w:rsidR="00DF4B9A" w:rsidRPr="00BC0D1F">
        <w:rPr>
          <w:lang w:eastAsia="en-NZ"/>
        </w:rPr>
        <w:t>’</w:t>
      </w:r>
      <w:r w:rsidRPr="00BC0D1F">
        <w:rPr>
          <w:lang w:eastAsia="en-NZ"/>
        </w:rPr>
        <w:t xml:space="preserve">s teams, including new teams in Hamilton, </w:t>
      </w:r>
      <w:proofErr w:type="spellStart"/>
      <w:r w:rsidRPr="00BC0D1F">
        <w:rPr>
          <w:lang w:eastAsia="en-NZ"/>
        </w:rPr>
        <w:t>Tair</w:t>
      </w:r>
      <w:r w:rsidR="00976E58">
        <w:rPr>
          <w:lang w:eastAsia="en-NZ"/>
        </w:rPr>
        <w:t>ā</w:t>
      </w:r>
      <w:r w:rsidRPr="00BC0D1F">
        <w:rPr>
          <w:lang w:eastAsia="en-NZ"/>
        </w:rPr>
        <w:t>whiti</w:t>
      </w:r>
      <w:proofErr w:type="spellEnd"/>
      <w:r w:rsidRPr="00BC0D1F">
        <w:rPr>
          <w:lang w:eastAsia="en-NZ"/>
        </w:rPr>
        <w:t xml:space="preserve">, Eastern Bay of Plenty, </w:t>
      </w:r>
      <w:proofErr w:type="spellStart"/>
      <w:r w:rsidRPr="00BC0D1F">
        <w:rPr>
          <w:lang w:eastAsia="en-NZ"/>
        </w:rPr>
        <w:t>Whanganui</w:t>
      </w:r>
      <w:proofErr w:type="spellEnd"/>
      <w:r w:rsidRPr="00BC0D1F">
        <w:rPr>
          <w:lang w:eastAsia="en-NZ"/>
        </w:rPr>
        <w:t xml:space="preserve">, Christchurch, and Counties </w:t>
      </w:r>
      <w:proofErr w:type="spellStart"/>
      <w:r w:rsidRPr="00BC0D1F">
        <w:rPr>
          <w:lang w:eastAsia="en-NZ"/>
        </w:rPr>
        <w:t>Manukau</w:t>
      </w:r>
      <w:proofErr w:type="spellEnd"/>
      <w:r w:rsidRPr="00BC0D1F">
        <w:rPr>
          <w:lang w:eastAsia="en-NZ"/>
        </w:rPr>
        <w:t>.</w:t>
      </w:r>
    </w:p>
    <w:p w14:paraId="0A47CF68" w14:textId="77777777" w:rsidR="00DF4B9A" w:rsidRPr="00BC0D1F" w:rsidRDefault="00AD72CC" w:rsidP="009679C3">
      <w:pPr>
        <w:pStyle w:val="Bullet"/>
        <w:rPr>
          <w:lang w:eastAsia="en-NZ"/>
        </w:rPr>
      </w:pPr>
      <w:r w:rsidRPr="00BC0D1F">
        <w:rPr>
          <w:lang w:eastAsia="en-NZ"/>
        </w:rPr>
        <w:t xml:space="preserve">Contributed to the </w:t>
      </w:r>
      <w:r w:rsidR="00DF4B9A" w:rsidRPr="00BC0D1F">
        <w:rPr>
          <w:lang w:eastAsia="en-NZ"/>
        </w:rPr>
        <w:t>‘</w:t>
      </w:r>
      <w:r w:rsidRPr="00BC0D1F">
        <w:rPr>
          <w:lang w:eastAsia="en-NZ"/>
        </w:rPr>
        <w:t>Hub</w:t>
      </w:r>
      <w:r w:rsidR="00DF4B9A" w:rsidRPr="00BC0D1F">
        <w:rPr>
          <w:lang w:eastAsia="en-NZ"/>
        </w:rPr>
        <w:t>’</w:t>
      </w:r>
      <w:r w:rsidRPr="00BC0D1F">
        <w:rPr>
          <w:lang w:eastAsia="en-NZ"/>
        </w:rPr>
        <w:t xml:space="preserve"> contact and triage point, and the Vulnerable Kids Information System (</w:t>
      </w:r>
      <w:proofErr w:type="spellStart"/>
      <w:r w:rsidRPr="00BC0D1F">
        <w:rPr>
          <w:lang w:eastAsia="en-NZ"/>
        </w:rPr>
        <w:t>ViKI</w:t>
      </w:r>
      <w:proofErr w:type="spellEnd"/>
      <w:r w:rsidRPr="00BC0D1F">
        <w:rPr>
          <w:lang w:eastAsia="en-NZ"/>
        </w:rPr>
        <w:t xml:space="preserve">) which are now operational in the Christchurch, Hamilton and Counties </w:t>
      </w:r>
      <w:proofErr w:type="spellStart"/>
      <w:r w:rsidRPr="00BC0D1F">
        <w:rPr>
          <w:lang w:eastAsia="en-NZ"/>
        </w:rPr>
        <w:t>Manukau</w:t>
      </w:r>
      <w:proofErr w:type="spellEnd"/>
      <w:r w:rsidRPr="00BC0D1F">
        <w:rPr>
          <w:lang w:eastAsia="en-NZ"/>
        </w:rPr>
        <w:t xml:space="preserve"> Children</w:t>
      </w:r>
      <w:r w:rsidR="00DF4B9A" w:rsidRPr="00BC0D1F">
        <w:rPr>
          <w:lang w:eastAsia="en-NZ"/>
        </w:rPr>
        <w:t>’</w:t>
      </w:r>
      <w:r w:rsidRPr="00BC0D1F">
        <w:rPr>
          <w:lang w:eastAsia="en-NZ"/>
        </w:rPr>
        <w:t>s Teams.</w:t>
      </w:r>
    </w:p>
    <w:p w14:paraId="7FEC7031" w14:textId="77777777" w:rsidR="00DF4B9A" w:rsidRPr="00BC0D1F" w:rsidRDefault="00AD72CC" w:rsidP="009679C3">
      <w:pPr>
        <w:pStyle w:val="Bullet"/>
        <w:rPr>
          <w:lang w:eastAsia="en-NZ"/>
        </w:rPr>
      </w:pPr>
      <w:r w:rsidRPr="00BC0D1F">
        <w:rPr>
          <w:lang w:eastAsia="en-NZ"/>
        </w:rPr>
        <w:t>Developed and agreed, with other agencies, the Vulnerable Children</w:t>
      </w:r>
      <w:r w:rsidR="00DF4B9A" w:rsidRPr="00BC0D1F">
        <w:rPr>
          <w:lang w:eastAsia="en-NZ"/>
        </w:rPr>
        <w:t>’</w:t>
      </w:r>
      <w:r w:rsidRPr="00BC0D1F">
        <w:rPr>
          <w:lang w:eastAsia="en-NZ"/>
        </w:rPr>
        <w:t>s Approved Information Sharing Agreement.</w:t>
      </w:r>
    </w:p>
    <w:p w14:paraId="2C98F679" w14:textId="77777777" w:rsidR="00DF4B9A" w:rsidRPr="00BC0D1F" w:rsidRDefault="00AD72CC" w:rsidP="009679C3">
      <w:pPr>
        <w:pStyle w:val="Bullet"/>
        <w:rPr>
          <w:lang w:eastAsia="en-NZ"/>
        </w:rPr>
      </w:pPr>
      <w:r w:rsidRPr="00BC0D1F">
        <w:rPr>
          <w:lang w:eastAsia="en-NZ"/>
        </w:rPr>
        <w:t>Supported the health sector to implement the requirements of the Vulnerable Children Act 2014, including the development of a cross-agency safety checking service for self-employed children</w:t>
      </w:r>
      <w:r w:rsidR="00DF4B9A" w:rsidRPr="00BC0D1F">
        <w:rPr>
          <w:lang w:eastAsia="en-NZ"/>
        </w:rPr>
        <w:t>’</w:t>
      </w:r>
      <w:r w:rsidRPr="00BC0D1F">
        <w:rPr>
          <w:lang w:eastAsia="en-NZ"/>
        </w:rPr>
        <w:t>s workers.</w:t>
      </w:r>
    </w:p>
    <w:p w14:paraId="03343E60" w14:textId="77777777" w:rsidR="00DF4B9A" w:rsidRPr="00BC0D1F" w:rsidRDefault="00AD72CC" w:rsidP="009679C3">
      <w:pPr>
        <w:pStyle w:val="Bullet"/>
        <w:rPr>
          <w:color w:val="000000"/>
          <w:szCs w:val="22"/>
          <w:lang w:eastAsia="en-NZ"/>
        </w:rPr>
      </w:pPr>
      <w:r w:rsidRPr="00BC0D1F">
        <w:rPr>
          <w:rFonts w:cs="Arial"/>
          <w:iCs/>
          <w:color w:val="000000"/>
          <w:szCs w:val="22"/>
          <w:lang w:eastAsia="en-NZ"/>
        </w:rPr>
        <w:t>Contributed to the review and publication of the second edition of the Guide to Effective and Safe Practice in Youth Mentoring.</w:t>
      </w:r>
    </w:p>
    <w:p w14:paraId="0649A81E" w14:textId="77777777" w:rsidR="00DF4B9A" w:rsidRPr="00BC0D1F" w:rsidRDefault="00AD72CC" w:rsidP="009679C3">
      <w:pPr>
        <w:pStyle w:val="Bullet"/>
        <w:rPr>
          <w:color w:val="000000"/>
          <w:szCs w:val="22"/>
          <w:lang w:eastAsia="en-NZ"/>
        </w:rPr>
      </w:pPr>
      <w:r w:rsidRPr="00BC0D1F">
        <w:rPr>
          <w:rFonts w:cs="Arial"/>
          <w:iCs/>
          <w:color w:val="000000"/>
          <w:szCs w:val="22"/>
          <w:lang w:eastAsia="en-NZ"/>
        </w:rPr>
        <w:t>Supported DHBs to adopt the National Child Protection Alert System (NCPAS) to alert DHB health professionals to child protection concerns when children arrive at hospital. Currently 19 out of 20 DHBs are approved to use the system.</w:t>
      </w:r>
    </w:p>
    <w:p w14:paraId="2863C95E" w14:textId="09BA8066" w:rsidR="00AD72CC" w:rsidRPr="00887E69" w:rsidRDefault="00AD72CC" w:rsidP="00887E69">
      <w:pPr>
        <w:pStyle w:val="Bullet"/>
        <w:rPr>
          <w:rFonts w:cs="Arial"/>
          <w:iCs/>
          <w:color w:val="000000"/>
          <w:szCs w:val="22"/>
          <w:lang w:eastAsia="en-NZ"/>
        </w:rPr>
      </w:pPr>
      <w:r w:rsidRPr="00BC0D1F">
        <w:rPr>
          <w:rFonts w:cs="Arial"/>
          <w:iCs/>
          <w:color w:val="000000"/>
          <w:szCs w:val="22"/>
          <w:lang w:eastAsia="en-NZ"/>
        </w:rPr>
        <w:t>Worked with DHBs, the New Zealand Police and Child, Youth and Family to develop new draft schedules to the existing Memorandum of Understanding. The purpose of this memorandum is to set out the commitment to collaborate and to ensure health and safety outcomes for children and young people are met. The draft schedules establishes the basis for how the parties will work together at district, regional and national levels on cases of Medical Neglect and for the management of children exposed to a Clandestine Laboratory.</w:t>
      </w:r>
    </w:p>
    <w:p w14:paraId="49E05A5A" w14:textId="52DC8B97" w:rsidR="00AD72CC" w:rsidRPr="00887E69" w:rsidRDefault="00AD72CC" w:rsidP="00887E69">
      <w:pPr>
        <w:pStyle w:val="Bullet"/>
        <w:rPr>
          <w:rFonts w:cs="Arial"/>
          <w:iCs/>
          <w:color w:val="000000"/>
          <w:szCs w:val="22"/>
          <w:lang w:eastAsia="en-NZ"/>
        </w:rPr>
      </w:pPr>
      <w:r w:rsidRPr="00887E69">
        <w:rPr>
          <w:rFonts w:cs="Arial"/>
          <w:iCs/>
          <w:color w:val="000000"/>
          <w:szCs w:val="22"/>
          <w:lang w:eastAsia="en-NZ"/>
        </w:rPr>
        <w:t>Published the Family Violence Assessment and Intervention Guideline. This is the foundation document for the Ministry</w:t>
      </w:r>
      <w:r w:rsidR="00DF4B9A" w:rsidRPr="00887E69">
        <w:rPr>
          <w:rFonts w:cs="Arial"/>
          <w:iCs/>
          <w:color w:val="000000"/>
          <w:szCs w:val="22"/>
          <w:lang w:eastAsia="en-NZ"/>
        </w:rPr>
        <w:t>’</w:t>
      </w:r>
      <w:r w:rsidRPr="00887E69">
        <w:rPr>
          <w:rFonts w:cs="Arial"/>
          <w:iCs/>
          <w:color w:val="000000"/>
          <w:szCs w:val="22"/>
          <w:lang w:eastAsia="en-NZ"/>
        </w:rPr>
        <w:t>s response to intimate partner violence and child abuse and neglect, and in particular the Violence Intervention Programme. The Guideline was published in 2002 and has now been updated and was launched by the Minister of Health on 16 June 2016.</w:t>
      </w:r>
    </w:p>
    <w:p w14:paraId="3EF71127" w14:textId="1AAA5553" w:rsidR="00AD72CC" w:rsidRPr="00BC0D1F" w:rsidRDefault="00AD72CC" w:rsidP="00BE59A9">
      <w:pPr>
        <w:pStyle w:val="Heading5"/>
        <w:rPr>
          <w:rFonts w:eastAsia="Arial"/>
        </w:rPr>
      </w:pPr>
      <w:r w:rsidRPr="00BC0D1F">
        <w:rPr>
          <w:rFonts w:eastAsia="Arial"/>
        </w:rPr>
        <w:t>Personal health information is readily available to patients and clinicians, no matter where care is delivered</w:t>
      </w:r>
      <w:r w:rsidRPr="00BC0D1F">
        <w:rPr>
          <w:rStyle w:val="FootnoteReference"/>
        </w:rPr>
        <w:footnoteReference w:id="34"/>
      </w:r>
    </w:p>
    <w:p w14:paraId="3BEFF6DE" w14:textId="77777777" w:rsidR="00AD72CC" w:rsidRPr="00BC0D1F" w:rsidRDefault="00AD72CC" w:rsidP="009679C3">
      <w:r w:rsidRPr="00BC0D1F">
        <w:t>The Digital Health Work Programme aims to ensure that personal health information is available to patients and clinicians, no matter where care is delivered, through smart use of digital health solutions.</w:t>
      </w:r>
    </w:p>
    <w:p w14:paraId="7FDE7597" w14:textId="77777777" w:rsidR="00AD72CC" w:rsidRPr="00BC0D1F" w:rsidRDefault="00AD72CC" w:rsidP="009679C3"/>
    <w:p w14:paraId="145224FC" w14:textId="77777777" w:rsidR="00DF4B9A" w:rsidRPr="00BC0D1F" w:rsidRDefault="00AD72CC" w:rsidP="009679C3">
      <w:r w:rsidRPr="00BC0D1F">
        <w:t>DHBs are implementing regional IT systems that enable clinicians to access clinical information at the point of care. DHB systems have been benchmarked against an international methodology to assess and increase acute hospitals</w:t>
      </w:r>
      <w:r w:rsidR="00DF4B9A" w:rsidRPr="00BC0D1F">
        <w:t>’</w:t>
      </w:r>
      <w:r w:rsidRPr="00BC0D1F">
        <w:t xml:space="preserve"> digital maturity, which, when fully achieved, will greatly </w:t>
      </w:r>
      <w:r w:rsidRPr="00BC0D1F">
        <w:lastRenderedPageBreak/>
        <w:t>increase their ability to record and share clinical information electronically. This includes compliance with common standards needed to share information.</w:t>
      </w:r>
    </w:p>
    <w:p w14:paraId="2E61863B" w14:textId="77777777" w:rsidR="00AD72CC" w:rsidRPr="00BC0D1F" w:rsidRDefault="00AD72CC" w:rsidP="009679C3"/>
    <w:p w14:paraId="6E673F20" w14:textId="77777777" w:rsidR="00AD72CC" w:rsidRPr="00BC0D1F" w:rsidRDefault="00AD72CC" w:rsidP="009679C3">
      <w:r w:rsidRPr="00BC0D1F">
        <w:t xml:space="preserve">All regions have implemented </w:t>
      </w:r>
      <w:proofErr w:type="spellStart"/>
      <w:r w:rsidRPr="00BC0D1F">
        <w:t>eReferrals</w:t>
      </w:r>
      <w:proofErr w:type="spellEnd"/>
      <w:r w:rsidRPr="00BC0D1F">
        <w:t xml:space="preserve">, </w:t>
      </w:r>
      <w:proofErr w:type="spellStart"/>
      <w:r w:rsidRPr="00BC0D1F">
        <w:t>eDischarges</w:t>
      </w:r>
      <w:proofErr w:type="spellEnd"/>
      <w:r w:rsidRPr="00BC0D1F">
        <w:t>, clinical pathways and GP2GP, which allows the sending of patient notes from one GP to another when a patient moves to another practice. More and more patients are also accessing their own health information via patient portals, and this is enabling them to manage their own health care. The establishment of a single electronic health record (EHR) will also significantly support the sharing of health information.</w:t>
      </w:r>
    </w:p>
    <w:p w14:paraId="09EDA996" w14:textId="77777777" w:rsidR="00AD72CC" w:rsidRPr="00BC0D1F" w:rsidRDefault="00AD72CC" w:rsidP="009679C3"/>
    <w:p w14:paraId="7D8F95D0" w14:textId="13980D2C" w:rsidR="00AD72CC" w:rsidRPr="00BC0D1F" w:rsidRDefault="00AD72CC" w:rsidP="009679C3">
      <w:pPr>
        <w:pStyle w:val="Heading3"/>
      </w:pPr>
      <w:bookmarkStart w:id="68" w:name="_Toc456707083"/>
      <w:bookmarkStart w:id="69" w:name="_Toc459730015"/>
      <w:r w:rsidRPr="00BC0D1F">
        <w:t>The future sustainability of the health and disability system is assured</w:t>
      </w:r>
      <w:bookmarkEnd w:id="68"/>
      <w:bookmarkEnd w:id="69"/>
    </w:p>
    <w:p w14:paraId="087340DB" w14:textId="5071D1DC" w:rsidR="00AD72CC" w:rsidRPr="00BC0D1F" w:rsidRDefault="00B23CCE" w:rsidP="00D74409">
      <w:pPr>
        <w:keepLines/>
      </w:pPr>
      <w:r>
        <w:t>W</w:t>
      </w:r>
      <w:r w:rsidR="00AD72CC" w:rsidRPr="00BC0D1F">
        <w:t>e are seeking to achieve a health and disability system that provides the necessary care and services in an economically sustainable way over the long term such that the rate of growth of health spending is managed to deliver the best services in an affordable way. We are doing this so that the health and disability system ensures effective financial management, fosters improvements in productivity, puts in place regional and national planning where appropriate, and ensures the development of our workforce and IT infrastructure is coordinated and rationalised across the country.</w:t>
      </w:r>
    </w:p>
    <w:p w14:paraId="488BC170" w14:textId="77777777" w:rsidR="00AD72CC" w:rsidRPr="00BC0D1F" w:rsidRDefault="00AD72CC" w:rsidP="00D74409"/>
    <w:p w14:paraId="3488C226" w14:textId="398CC535" w:rsidR="00DF4B9A" w:rsidRPr="00BC0D1F" w:rsidRDefault="00AD72CC" w:rsidP="00D74409">
      <w:pPr>
        <w:pStyle w:val="Heading4"/>
      </w:pPr>
      <w:bookmarkStart w:id="70" w:name="_Toc456707084"/>
      <w:r w:rsidRPr="00BC0D1F">
        <w:t>The health and disability system is supported by suitable infrastructure, workforce and regulatory settings</w:t>
      </w:r>
      <w:bookmarkEnd w:id="70"/>
    </w:p>
    <w:p w14:paraId="7D8D0B2F" w14:textId="77E2BFCC" w:rsidR="00AD72CC" w:rsidRPr="00BC0D1F" w:rsidRDefault="00976E58" w:rsidP="00BE59A9">
      <w:pPr>
        <w:pStyle w:val="Heading5"/>
        <w:rPr>
          <w:rFonts w:eastAsia="Arial"/>
        </w:rPr>
      </w:pPr>
      <w:r>
        <w:rPr>
          <w:rFonts w:eastAsia="Arial"/>
        </w:rPr>
        <w:t>A</w:t>
      </w:r>
      <w:r w:rsidR="00AD72CC" w:rsidRPr="00BC0D1F">
        <w:rPr>
          <w:rFonts w:eastAsia="Arial"/>
        </w:rPr>
        <w:t>nnual number of postgraduate trainees is 5000 trainees and 1900 training units</w:t>
      </w:r>
    </w:p>
    <w:p w14:paraId="513615F4" w14:textId="45BF8AA3" w:rsidR="00DE1D74" w:rsidRDefault="00AD72CC" w:rsidP="00047BE0">
      <w:pPr>
        <w:rPr>
          <w:color w:val="000000"/>
        </w:rPr>
      </w:pPr>
      <w:r w:rsidRPr="00BC0D1F">
        <w:t xml:space="preserve">The number of postgraduate trainees trained in 2015/16 was </w:t>
      </w:r>
      <w:r w:rsidR="00DE1D74">
        <w:t>558</w:t>
      </w:r>
      <w:r w:rsidR="00404B5D">
        <w:t>7</w:t>
      </w:r>
      <w:r w:rsidR="00B94DE0" w:rsidRPr="00BC0D1F">
        <w:t xml:space="preserve"> </w:t>
      </w:r>
      <w:r w:rsidRPr="00BC0D1F">
        <w:t xml:space="preserve">trainees and </w:t>
      </w:r>
      <w:r w:rsidR="00B94DE0" w:rsidRPr="00BC0D1F">
        <w:t>1</w:t>
      </w:r>
      <w:r w:rsidR="00B94DE0">
        <w:t>888</w:t>
      </w:r>
      <w:r w:rsidR="00B94DE0" w:rsidRPr="00BC0D1F">
        <w:t xml:space="preserve"> </w:t>
      </w:r>
      <w:r w:rsidRPr="00BC0D1F">
        <w:t>training units</w:t>
      </w:r>
      <w:r w:rsidR="00B94DE0">
        <w:t>. This compares with 5369</w:t>
      </w:r>
      <w:r w:rsidR="00B94DE0" w:rsidRPr="00BC0D1F">
        <w:t xml:space="preserve"> trainees and 1</w:t>
      </w:r>
      <w:r w:rsidR="00B94DE0">
        <w:t>826</w:t>
      </w:r>
      <w:r w:rsidR="00B94DE0" w:rsidRPr="00BC0D1F">
        <w:t xml:space="preserve"> training units</w:t>
      </w:r>
      <w:r w:rsidR="00B94DE0" w:rsidRPr="00B94DE0">
        <w:t xml:space="preserve"> </w:t>
      </w:r>
      <w:r w:rsidR="00B94DE0" w:rsidRPr="00BC0D1F">
        <w:t>in 2015/16</w:t>
      </w:r>
      <w:r w:rsidR="00DE1D74">
        <w:t>.</w:t>
      </w:r>
    </w:p>
    <w:p w14:paraId="1FBD4330" w14:textId="77777777" w:rsidR="00B94DE0" w:rsidRDefault="00B94DE0" w:rsidP="00047BE0">
      <w:pPr>
        <w:rPr>
          <w:rFonts w:eastAsia="Arial"/>
        </w:rPr>
      </w:pPr>
    </w:p>
    <w:tbl>
      <w:tblPr>
        <w:tblW w:w="3677" w:type="pct"/>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109"/>
        <w:gridCol w:w="4710"/>
        <w:gridCol w:w="1145"/>
      </w:tblGrid>
      <w:tr w:rsidR="00DE1D74" w:rsidRPr="006845C7" w14:paraId="20E952D6" w14:textId="77777777" w:rsidTr="00047BE0">
        <w:trPr>
          <w:cantSplit/>
        </w:trPr>
        <w:tc>
          <w:tcPr>
            <w:tcW w:w="796" w:type="pct"/>
            <w:tcBorders>
              <w:top w:val="single" w:sz="4" w:space="0" w:color="auto"/>
              <w:bottom w:val="single" w:sz="4" w:space="0" w:color="auto"/>
            </w:tcBorders>
          </w:tcPr>
          <w:p w14:paraId="15A88A14" w14:textId="77777777" w:rsidR="00DE1D74" w:rsidRPr="006845C7" w:rsidRDefault="00DE1D74" w:rsidP="0065005F">
            <w:pPr>
              <w:pStyle w:val="TableText"/>
              <w:ind w:right="142"/>
              <w:jc w:val="right"/>
              <w:rPr>
                <w:b/>
              </w:rPr>
            </w:pPr>
            <w:r w:rsidRPr="006845C7">
              <w:rPr>
                <w:b/>
              </w:rPr>
              <w:t xml:space="preserve">Actual </w:t>
            </w:r>
            <w:r>
              <w:rPr>
                <w:b/>
              </w:rPr>
              <w:t>2014/15</w:t>
            </w:r>
          </w:p>
        </w:tc>
        <w:tc>
          <w:tcPr>
            <w:tcW w:w="3382" w:type="pct"/>
            <w:tcBorders>
              <w:top w:val="single" w:sz="4" w:space="0" w:color="auto"/>
              <w:bottom w:val="single" w:sz="4" w:space="0" w:color="auto"/>
            </w:tcBorders>
          </w:tcPr>
          <w:p w14:paraId="7DC5E659" w14:textId="3B3D21D2" w:rsidR="00DE1D74" w:rsidRPr="006845C7" w:rsidRDefault="00DE1D74" w:rsidP="0065005F">
            <w:pPr>
              <w:pStyle w:val="TableText"/>
              <w:rPr>
                <w:b/>
              </w:rPr>
            </w:pPr>
            <w:r>
              <w:rPr>
                <w:b/>
              </w:rPr>
              <w:t>Type of Training</w:t>
            </w:r>
          </w:p>
        </w:tc>
        <w:tc>
          <w:tcPr>
            <w:tcW w:w="822" w:type="pct"/>
            <w:tcBorders>
              <w:top w:val="single" w:sz="4" w:space="0" w:color="auto"/>
              <w:bottom w:val="single" w:sz="4" w:space="0" w:color="auto"/>
            </w:tcBorders>
            <w:shd w:val="clear" w:color="auto" w:fill="D9D9D9"/>
          </w:tcPr>
          <w:p w14:paraId="4E9E106F" w14:textId="77777777" w:rsidR="00DE1D74" w:rsidRPr="006845C7" w:rsidRDefault="00DE1D74" w:rsidP="0065005F">
            <w:pPr>
              <w:pStyle w:val="TableText"/>
              <w:ind w:right="57"/>
              <w:jc w:val="right"/>
              <w:rPr>
                <w:b/>
              </w:rPr>
            </w:pPr>
            <w:r w:rsidRPr="006845C7">
              <w:rPr>
                <w:b/>
              </w:rPr>
              <w:t>Actual</w:t>
            </w:r>
            <w:r w:rsidRPr="006845C7">
              <w:rPr>
                <w:b/>
              </w:rPr>
              <w:br/>
            </w:r>
            <w:r>
              <w:rPr>
                <w:b/>
              </w:rPr>
              <w:t>2015/16</w:t>
            </w:r>
          </w:p>
        </w:tc>
      </w:tr>
      <w:tr w:rsidR="00DE1D74" w:rsidRPr="0031110B" w14:paraId="28A2C6CC" w14:textId="77777777" w:rsidTr="00047BE0">
        <w:trPr>
          <w:cantSplit/>
        </w:trPr>
        <w:tc>
          <w:tcPr>
            <w:tcW w:w="796" w:type="pct"/>
          </w:tcPr>
          <w:p w14:paraId="7752EFBC" w14:textId="77777777" w:rsidR="00DE1D74" w:rsidRPr="0031110B" w:rsidRDefault="00DE1D74" w:rsidP="0065005F">
            <w:pPr>
              <w:pStyle w:val="TableText"/>
              <w:ind w:right="57"/>
              <w:jc w:val="right"/>
            </w:pPr>
          </w:p>
        </w:tc>
        <w:tc>
          <w:tcPr>
            <w:tcW w:w="3382" w:type="pct"/>
          </w:tcPr>
          <w:p w14:paraId="43C3E6FF" w14:textId="1EBFF958" w:rsidR="00DE1D74" w:rsidRPr="006845C7" w:rsidRDefault="00DE1D74" w:rsidP="00047BE0">
            <w:pPr>
              <w:pStyle w:val="TableText"/>
              <w:rPr>
                <w:b/>
              </w:rPr>
            </w:pPr>
            <w:r>
              <w:rPr>
                <w:b/>
              </w:rPr>
              <w:t>P</w:t>
            </w:r>
            <w:r w:rsidRPr="00C525A4">
              <w:rPr>
                <w:b/>
              </w:rPr>
              <w:t xml:space="preserve">ost-entry clinical trainees </w:t>
            </w:r>
            <w:r w:rsidRPr="006845C7">
              <w:rPr>
                <w:b/>
              </w:rPr>
              <w:t>funded</w:t>
            </w:r>
          </w:p>
        </w:tc>
        <w:tc>
          <w:tcPr>
            <w:tcW w:w="822" w:type="pct"/>
            <w:shd w:val="clear" w:color="auto" w:fill="D9D9D9"/>
          </w:tcPr>
          <w:p w14:paraId="02E86622" w14:textId="77777777" w:rsidR="00DE1D74" w:rsidRPr="0031110B" w:rsidRDefault="00DE1D74" w:rsidP="0065005F">
            <w:pPr>
              <w:pStyle w:val="TableText"/>
              <w:ind w:right="57"/>
              <w:jc w:val="right"/>
            </w:pPr>
          </w:p>
        </w:tc>
      </w:tr>
      <w:tr w:rsidR="00DE1D74" w:rsidRPr="0031110B" w14:paraId="153D1A49" w14:textId="77777777" w:rsidTr="00047BE0">
        <w:trPr>
          <w:cantSplit/>
        </w:trPr>
        <w:tc>
          <w:tcPr>
            <w:tcW w:w="796" w:type="pct"/>
          </w:tcPr>
          <w:p w14:paraId="07B14C8B" w14:textId="77777777" w:rsidR="00DE1D74" w:rsidRPr="00D90FB0" w:rsidRDefault="00DE1D74" w:rsidP="0065005F">
            <w:pPr>
              <w:pStyle w:val="TableText"/>
              <w:spacing w:before="0"/>
              <w:ind w:right="57"/>
              <w:jc w:val="right"/>
            </w:pPr>
            <w:r w:rsidRPr="00D90FB0">
              <w:t>7</w:t>
            </w:r>
            <w:r>
              <w:t>52</w:t>
            </w:r>
          </w:p>
        </w:tc>
        <w:tc>
          <w:tcPr>
            <w:tcW w:w="3382" w:type="pct"/>
          </w:tcPr>
          <w:p w14:paraId="37D21F1A" w14:textId="77777777" w:rsidR="00DE1D74" w:rsidRPr="000F4460" w:rsidRDefault="00DE1D74" w:rsidP="0065005F">
            <w:pPr>
              <w:pStyle w:val="TableBullet"/>
            </w:pPr>
            <w:r w:rsidRPr="000F4460">
              <w:t>Non-vocational medical</w:t>
            </w:r>
          </w:p>
        </w:tc>
        <w:tc>
          <w:tcPr>
            <w:tcW w:w="822" w:type="pct"/>
            <w:shd w:val="clear" w:color="auto" w:fill="D9D9D9"/>
          </w:tcPr>
          <w:p w14:paraId="0247BD7D" w14:textId="77777777" w:rsidR="00DE1D74" w:rsidRPr="00D90FB0" w:rsidRDefault="00DE1D74" w:rsidP="0065005F">
            <w:pPr>
              <w:pStyle w:val="TableText"/>
              <w:spacing w:before="0"/>
              <w:ind w:right="57"/>
              <w:jc w:val="right"/>
            </w:pPr>
            <w:r>
              <w:t>780</w:t>
            </w:r>
          </w:p>
        </w:tc>
      </w:tr>
      <w:tr w:rsidR="00DE1D74" w:rsidRPr="0031110B" w14:paraId="450C516A" w14:textId="77777777" w:rsidTr="00047BE0">
        <w:trPr>
          <w:cantSplit/>
        </w:trPr>
        <w:tc>
          <w:tcPr>
            <w:tcW w:w="796" w:type="pct"/>
          </w:tcPr>
          <w:p w14:paraId="64262D00" w14:textId="77777777" w:rsidR="00DE1D74" w:rsidRPr="00D90FB0" w:rsidRDefault="00DE1D74" w:rsidP="0065005F">
            <w:pPr>
              <w:pStyle w:val="TableText"/>
              <w:spacing w:before="0"/>
              <w:ind w:right="57"/>
              <w:jc w:val="right"/>
            </w:pPr>
            <w:r>
              <w:t>1,269</w:t>
            </w:r>
          </w:p>
        </w:tc>
        <w:tc>
          <w:tcPr>
            <w:tcW w:w="3382" w:type="pct"/>
          </w:tcPr>
          <w:p w14:paraId="2799389C" w14:textId="77777777" w:rsidR="00DE1D74" w:rsidRPr="000F4460" w:rsidRDefault="00DE1D74" w:rsidP="0065005F">
            <w:pPr>
              <w:pStyle w:val="TableBullet"/>
            </w:pPr>
            <w:r w:rsidRPr="000F4460">
              <w:t>Vocational medical</w:t>
            </w:r>
          </w:p>
        </w:tc>
        <w:tc>
          <w:tcPr>
            <w:tcW w:w="822" w:type="pct"/>
            <w:shd w:val="clear" w:color="auto" w:fill="D9D9D9"/>
          </w:tcPr>
          <w:p w14:paraId="543D0C43" w14:textId="77777777" w:rsidR="00DE1D74" w:rsidRPr="00D90FB0" w:rsidRDefault="00DE1D74" w:rsidP="0065005F">
            <w:pPr>
              <w:pStyle w:val="TableText"/>
              <w:spacing w:before="0"/>
              <w:ind w:right="57"/>
              <w:jc w:val="right"/>
            </w:pPr>
            <w:r>
              <w:t>1,146</w:t>
            </w:r>
          </w:p>
        </w:tc>
      </w:tr>
      <w:tr w:rsidR="00DE1D74" w:rsidRPr="0031110B" w14:paraId="21FF03D1" w14:textId="77777777" w:rsidTr="00047BE0">
        <w:trPr>
          <w:cantSplit/>
        </w:trPr>
        <w:tc>
          <w:tcPr>
            <w:tcW w:w="796" w:type="pct"/>
          </w:tcPr>
          <w:p w14:paraId="049C18A4" w14:textId="77777777" w:rsidR="00DE1D74" w:rsidRPr="00D90FB0" w:rsidRDefault="00DE1D74" w:rsidP="0065005F">
            <w:pPr>
              <w:pStyle w:val="TableText"/>
              <w:spacing w:before="0"/>
              <w:ind w:right="57"/>
              <w:jc w:val="right"/>
            </w:pPr>
            <w:r w:rsidRPr="00D90FB0">
              <w:t>17</w:t>
            </w:r>
            <w:r>
              <w:t>8</w:t>
            </w:r>
          </w:p>
        </w:tc>
        <w:tc>
          <w:tcPr>
            <w:tcW w:w="3382" w:type="pct"/>
          </w:tcPr>
          <w:p w14:paraId="736A09D7" w14:textId="77777777" w:rsidR="00DE1D74" w:rsidRPr="000F4460" w:rsidRDefault="00DE1D74" w:rsidP="0065005F">
            <w:pPr>
              <w:pStyle w:val="TableBullet"/>
            </w:pPr>
            <w:r w:rsidRPr="000F4460">
              <w:t>Technician medical</w:t>
            </w:r>
          </w:p>
        </w:tc>
        <w:tc>
          <w:tcPr>
            <w:tcW w:w="822" w:type="pct"/>
            <w:shd w:val="clear" w:color="auto" w:fill="D9D9D9"/>
          </w:tcPr>
          <w:p w14:paraId="4E68B545" w14:textId="77777777" w:rsidR="00DE1D74" w:rsidRPr="00D90FB0" w:rsidRDefault="00DE1D74" w:rsidP="0065005F">
            <w:pPr>
              <w:pStyle w:val="TableText"/>
              <w:spacing w:before="0"/>
              <w:ind w:right="57"/>
              <w:jc w:val="right"/>
            </w:pPr>
            <w:r>
              <w:t>148</w:t>
            </w:r>
          </w:p>
        </w:tc>
      </w:tr>
      <w:tr w:rsidR="00DE1D74" w:rsidRPr="0031110B" w14:paraId="7B30BF6C" w14:textId="77777777" w:rsidTr="00047BE0">
        <w:trPr>
          <w:cantSplit/>
        </w:trPr>
        <w:tc>
          <w:tcPr>
            <w:tcW w:w="796" w:type="pct"/>
          </w:tcPr>
          <w:p w14:paraId="4F42240B" w14:textId="77777777" w:rsidR="00DE1D74" w:rsidRPr="00D90FB0" w:rsidRDefault="00DE1D74" w:rsidP="0065005F">
            <w:pPr>
              <w:pStyle w:val="TableText"/>
              <w:spacing w:before="0"/>
              <w:ind w:right="57"/>
              <w:jc w:val="right"/>
            </w:pPr>
            <w:r w:rsidRPr="00D90FB0">
              <w:t>2</w:t>
            </w:r>
            <w:r>
              <w:t>83</w:t>
            </w:r>
          </w:p>
        </w:tc>
        <w:tc>
          <w:tcPr>
            <w:tcW w:w="3382" w:type="pct"/>
          </w:tcPr>
          <w:p w14:paraId="376D9FE6" w14:textId="77777777" w:rsidR="00DE1D74" w:rsidRPr="000F4460" w:rsidRDefault="00DE1D74" w:rsidP="0065005F">
            <w:pPr>
              <w:pStyle w:val="TableBullet"/>
            </w:pPr>
            <w:r w:rsidRPr="000F4460">
              <w:t>General practice</w:t>
            </w:r>
          </w:p>
        </w:tc>
        <w:tc>
          <w:tcPr>
            <w:tcW w:w="822" w:type="pct"/>
            <w:shd w:val="clear" w:color="auto" w:fill="D9D9D9"/>
          </w:tcPr>
          <w:p w14:paraId="15F5364C" w14:textId="77777777" w:rsidR="00DE1D74" w:rsidRPr="00D90FB0" w:rsidRDefault="00DE1D74" w:rsidP="0065005F">
            <w:pPr>
              <w:pStyle w:val="TableText"/>
              <w:spacing w:before="0"/>
              <w:ind w:right="57"/>
              <w:jc w:val="right"/>
            </w:pPr>
            <w:r>
              <w:t>305</w:t>
            </w:r>
          </w:p>
        </w:tc>
      </w:tr>
      <w:tr w:rsidR="00DE1D74" w:rsidRPr="0031110B" w14:paraId="6083E1D8" w14:textId="77777777" w:rsidTr="00047BE0">
        <w:trPr>
          <w:cantSplit/>
        </w:trPr>
        <w:tc>
          <w:tcPr>
            <w:tcW w:w="796" w:type="pct"/>
          </w:tcPr>
          <w:p w14:paraId="182C8CD2" w14:textId="77777777" w:rsidR="00DE1D74" w:rsidRPr="00D90FB0" w:rsidRDefault="00DE1D74" w:rsidP="0065005F">
            <w:pPr>
              <w:pStyle w:val="TableText"/>
              <w:spacing w:before="0"/>
              <w:ind w:right="57"/>
              <w:jc w:val="right"/>
            </w:pPr>
            <w:r w:rsidRPr="00D90FB0">
              <w:t>1</w:t>
            </w:r>
            <w:r>
              <w:t>4</w:t>
            </w:r>
          </w:p>
        </w:tc>
        <w:tc>
          <w:tcPr>
            <w:tcW w:w="3382" w:type="pct"/>
          </w:tcPr>
          <w:p w14:paraId="00230E10" w14:textId="77777777" w:rsidR="00DE1D74" w:rsidRPr="000F4460" w:rsidRDefault="00DE1D74" w:rsidP="0065005F">
            <w:pPr>
              <w:pStyle w:val="TableBullet"/>
            </w:pPr>
            <w:r w:rsidRPr="000F4460">
              <w:t>Clinical Rehabilitation Certificate</w:t>
            </w:r>
          </w:p>
        </w:tc>
        <w:tc>
          <w:tcPr>
            <w:tcW w:w="822" w:type="pct"/>
            <w:shd w:val="clear" w:color="auto" w:fill="D9D9D9"/>
          </w:tcPr>
          <w:p w14:paraId="1C681896" w14:textId="77777777" w:rsidR="00DE1D74" w:rsidRPr="00D90FB0" w:rsidRDefault="00DE1D74" w:rsidP="0065005F">
            <w:pPr>
              <w:pStyle w:val="TableText"/>
              <w:spacing w:before="0"/>
              <w:ind w:right="57"/>
              <w:jc w:val="right"/>
            </w:pPr>
            <w:r>
              <w:t>27</w:t>
            </w:r>
          </w:p>
        </w:tc>
      </w:tr>
      <w:tr w:rsidR="00DE1D74" w:rsidRPr="0031110B" w14:paraId="4CF19BBE" w14:textId="77777777" w:rsidTr="00047BE0">
        <w:trPr>
          <w:cantSplit/>
        </w:trPr>
        <w:tc>
          <w:tcPr>
            <w:tcW w:w="796" w:type="pct"/>
          </w:tcPr>
          <w:p w14:paraId="3E7C13E1" w14:textId="77777777" w:rsidR="00DE1D74" w:rsidRPr="00D90FB0" w:rsidRDefault="00DE1D74" w:rsidP="0065005F">
            <w:pPr>
              <w:pStyle w:val="TableText"/>
              <w:spacing w:before="0"/>
              <w:ind w:right="57"/>
              <w:jc w:val="right"/>
            </w:pPr>
            <w:r w:rsidRPr="00D90FB0">
              <w:t>1</w:t>
            </w:r>
            <w:r>
              <w:t>,</w:t>
            </w:r>
            <w:r w:rsidRPr="00D90FB0">
              <w:t>1</w:t>
            </w:r>
            <w:r>
              <w:t>61</w:t>
            </w:r>
          </w:p>
        </w:tc>
        <w:tc>
          <w:tcPr>
            <w:tcW w:w="3382" w:type="pct"/>
          </w:tcPr>
          <w:p w14:paraId="3913749B" w14:textId="77777777" w:rsidR="00DE1D74" w:rsidRPr="000F4460" w:rsidRDefault="00DE1D74" w:rsidP="0065005F">
            <w:pPr>
              <w:pStyle w:val="TableBullet"/>
            </w:pPr>
            <w:r w:rsidRPr="000F4460">
              <w:t>Nursing entry to practise</w:t>
            </w:r>
          </w:p>
        </w:tc>
        <w:tc>
          <w:tcPr>
            <w:tcW w:w="822" w:type="pct"/>
            <w:shd w:val="clear" w:color="auto" w:fill="D9D9D9"/>
          </w:tcPr>
          <w:p w14:paraId="0BFB90E0" w14:textId="77777777" w:rsidR="00DE1D74" w:rsidRPr="00D90FB0" w:rsidRDefault="00DE1D74" w:rsidP="0065005F">
            <w:pPr>
              <w:pStyle w:val="TableText"/>
              <w:spacing w:before="0"/>
              <w:ind w:right="57"/>
              <w:jc w:val="right"/>
            </w:pPr>
            <w:r>
              <w:t>1,151</w:t>
            </w:r>
          </w:p>
        </w:tc>
      </w:tr>
      <w:tr w:rsidR="00DE1D74" w:rsidRPr="0031110B" w14:paraId="7B85501B" w14:textId="77777777" w:rsidTr="00047BE0">
        <w:trPr>
          <w:cantSplit/>
        </w:trPr>
        <w:tc>
          <w:tcPr>
            <w:tcW w:w="796" w:type="pct"/>
          </w:tcPr>
          <w:p w14:paraId="6BF0B4F8" w14:textId="77777777" w:rsidR="00DE1D74" w:rsidRPr="00D90FB0" w:rsidRDefault="00DE1D74" w:rsidP="0065005F">
            <w:pPr>
              <w:pStyle w:val="TableText"/>
              <w:spacing w:before="0"/>
              <w:ind w:right="57"/>
              <w:jc w:val="right"/>
            </w:pPr>
            <w:r>
              <w:t>161</w:t>
            </w:r>
          </w:p>
        </w:tc>
        <w:tc>
          <w:tcPr>
            <w:tcW w:w="3382" w:type="pct"/>
          </w:tcPr>
          <w:p w14:paraId="0C5B6BFB" w14:textId="77777777" w:rsidR="00DE1D74" w:rsidRPr="000F4460" w:rsidRDefault="00DE1D74" w:rsidP="0065005F">
            <w:pPr>
              <w:pStyle w:val="TableBullet"/>
            </w:pPr>
            <w:r w:rsidRPr="000F4460">
              <w:t>Midwifery</w:t>
            </w:r>
          </w:p>
        </w:tc>
        <w:tc>
          <w:tcPr>
            <w:tcW w:w="822" w:type="pct"/>
            <w:shd w:val="clear" w:color="auto" w:fill="D9D9D9"/>
          </w:tcPr>
          <w:p w14:paraId="7E82D07D" w14:textId="77777777" w:rsidR="00DE1D74" w:rsidRPr="00D90FB0" w:rsidRDefault="00DE1D74" w:rsidP="0065005F">
            <w:pPr>
              <w:pStyle w:val="TableText"/>
              <w:spacing w:before="0"/>
              <w:ind w:right="57"/>
              <w:jc w:val="right"/>
            </w:pPr>
            <w:r>
              <w:t>280</w:t>
            </w:r>
          </w:p>
        </w:tc>
      </w:tr>
      <w:tr w:rsidR="00DE1D74" w:rsidRPr="0031110B" w14:paraId="5EE5174F" w14:textId="77777777" w:rsidTr="00047BE0">
        <w:trPr>
          <w:cantSplit/>
        </w:trPr>
        <w:tc>
          <w:tcPr>
            <w:tcW w:w="796" w:type="pct"/>
          </w:tcPr>
          <w:p w14:paraId="445F1006" w14:textId="77777777" w:rsidR="00DE1D74" w:rsidRPr="00D90FB0" w:rsidRDefault="00DE1D74" w:rsidP="0065005F">
            <w:pPr>
              <w:pStyle w:val="TableText"/>
              <w:spacing w:before="0"/>
              <w:ind w:right="57"/>
              <w:jc w:val="right"/>
            </w:pPr>
            <w:r>
              <w:t>269</w:t>
            </w:r>
          </w:p>
        </w:tc>
        <w:tc>
          <w:tcPr>
            <w:tcW w:w="3382" w:type="pct"/>
          </w:tcPr>
          <w:p w14:paraId="0DF68588" w14:textId="77777777" w:rsidR="00DE1D74" w:rsidRPr="000F4460" w:rsidRDefault="00DE1D74" w:rsidP="0065005F">
            <w:pPr>
              <w:pStyle w:val="TableBullet"/>
            </w:pPr>
            <w:proofErr w:type="spellStart"/>
            <w:r w:rsidRPr="000F4460">
              <w:t>Hauora</w:t>
            </w:r>
            <w:proofErr w:type="spellEnd"/>
            <w:r w:rsidRPr="000F4460">
              <w:t xml:space="preserve"> Māori</w:t>
            </w:r>
          </w:p>
        </w:tc>
        <w:tc>
          <w:tcPr>
            <w:tcW w:w="822" w:type="pct"/>
            <w:shd w:val="clear" w:color="auto" w:fill="D9D9D9"/>
          </w:tcPr>
          <w:p w14:paraId="12F8691C" w14:textId="77777777" w:rsidR="00DE1D74" w:rsidRPr="00D90FB0" w:rsidRDefault="00DE1D74" w:rsidP="0065005F">
            <w:pPr>
              <w:pStyle w:val="TableText"/>
              <w:spacing w:before="0"/>
              <w:ind w:right="57"/>
              <w:jc w:val="right"/>
            </w:pPr>
            <w:r>
              <w:t>249</w:t>
            </w:r>
          </w:p>
        </w:tc>
      </w:tr>
      <w:tr w:rsidR="00DE1D74" w:rsidRPr="0031110B" w14:paraId="1991C3BF" w14:textId="77777777" w:rsidTr="00047BE0">
        <w:trPr>
          <w:cantSplit/>
        </w:trPr>
        <w:tc>
          <w:tcPr>
            <w:tcW w:w="796" w:type="pct"/>
          </w:tcPr>
          <w:p w14:paraId="15BC1E20" w14:textId="77777777" w:rsidR="00DE1D74" w:rsidRPr="00D90FB0" w:rsidRDefault="00DE1D74" w:rsidP="0065005F">
            <w:pPr>
              <w:pStyle w:val="TableText"/>
              <w:spacing w:before="0"/>
              <w:ind w:right="57"/>
              <w:jc w:val="right"/>
            </w:pPr>
            <w:r w:rsidRPr="00D90FB0">
              <w:t>180</w:t>
            </w:r>
          </w:p>
        </w:tc>
        <w:tc>
          <w:tcPr>
            <w:tcW w:w="3382" w:type="pct"/>
          </w:tcPr>
          <w:p w14:paraId="6CDC5EBB" w14:textId="77777777" w:rsidR="00DE1D74" w:rsidRPr="000F4460" w:rsidRDefault="00DE1D74" w:rsidP="0065005F">
            <w:pPr>
              <w:pStyle w:val="TableBullet"/>
            </w:pPr>
            <w:r w:rsidRPr="000F4460">
              <w:t>Pharmacy internship</w:t>
            </w:r>
          </w:p>
        </w:tc>
        <w:tc>
          <w:tcPr>
            <w:tcW w:w="822" w:type="pct"/>
            <w:shd w:val="clear" w:color="auto" w:fill="D9D9D9"/>
          </w:tcPr>
          <w:p w14:paraId="5888F7A8" w14:textId="77777777" w:rsidR="00DE1D74" w:rsidRPr="00D90FB0" w:rsidRDefault="00DE1D74" w:rsidP="0065005F">
            <w:pPr>
              <w:pStyle w:val="TableText"/>
              <w:spacing w:before="0"/>
              <w:ind w:right="57"/>
              <w:jc w:val="right"/>
            </w:pPr>
            <w:r>
              <w:t>180</w:t>
            </w:r>
          </w:p>
        </w:tc>
      </w:tr>
      <w:tr w:rsidR="00DE1D74" w:rsidRPr="0031110B" w14:paraId="0A3ABD1E" w14:textId="77777777" w:rsidTr="00047BE0">
        <w:trPr>
          <w:cantSplit/>
        </w:trPr>
        <w:tc>
          <w:tcPr>
            <w:tcW w:w="796" w:type="pct"/>
          </w:tcPr>
          <w:p w14:paraId="080F3674" w14:textId="77777777" w:rsidR="00DE1D74" w:rsidRPr="00D90FB0" w:rsidRDefault="00DE1D74" w:rsidP="0065005F">
            <w:pPr>
              <w:pStyle w:val="TableText"/>
              <w:spacing w:before="0"/>
              <w:ind w:right="57"/>
              <w:jc w:val="right"/>
            </w:pPr>
            <w:r>
              <w:t>298</w:t>
            </w:r>
          </w:p>
        </w:tc>
        <w:tc>
          <w:tcPr>
            <w:tcW w:w="3382" w:type="pct"/>
            <w:shd w:val="clear" w:color="auto" w:fill="auto"/>
          </w:tcPr>
          <w:p w14:paraId="4AA8BF3B" w14:textId="77777777" w:rsidR="00DE1D74" w:rsidRPr="000F4460" w:rsidRDefault="00DE1D74" w:rsidP="0065005F">
            <w:pPr>
              <w:pStyle w:val="TableBullet"/>
            </w:pPr>
            <w:r w:rsidRPr="000F4460">
              <w:t xml:space="preserve">Mental </w:t>
            </w:r>
            <w:r>
              <w:t>h</w:t>
            </w:r>
            <w:r w:rsidRPr="000F4460">
              <w:t xml:space="preserve">ealth </w:t>
            </w:r>
            <w:r>
              <w:t>w</w:t>
            </w:r>
            <w:r w:rsidRPr="000F4460">
              <w:t xml:space="preserve">orkforce </w:t>
            </w:r>
            <w:r>
              <w:t>d</w:t>
            </w:r>
            <w:r w:rsidRPr="000F4460">
              <w:t>evelopment</w:t>
            </w:r>
          </w:p>
        </w:tc>
        <w:tc>
          <w:tcPr>
            <w:tcW w:w="822" w:type="pct"/>
            <w:shd w:val="clear" w:color="auto" w:fill="D9D9D9"/>
          </w:tcPr>
          <w:p w14:paraId="5E6956FB" w14:textId="77777777" w:rsidR="00DE1D74" w:rsidRPr="00D90FB0" w:rsidRDefault="00DE1D74" w:rsidP="0065005F">
            <w:pPr>
              <w:pStyle w:val="TableText"/>
              <w:spacing w:before="0"/>
              <w:ind w:right="57"/>
              <w:jc w:val="right"/>
            </w:pPr>
            <w:r>
              <w:t>538</w:t>
            </w:r>
          </w:p>
        </w:tc>
      </w:tr>
      <w:tr w:rsidR="00DE1D74" w:rsidRPr="0031110B" w14:paraId="0DDE2D75" w14:textId="77777777" w:rsidTr="00047BE0">
        <w:trPr>
          <w:cantSplit/>
        </w:trPr>
        <w:tc>
          <w:tcPr>
            <w:tcW w:w="796" w:type="pct"/>
          </w:tcPr>
          <w:p w14:paraId="0A75EAE3" w14:textId="77777777" w:rsidR="00DE1D74" w:rsidRPr="00D90FB0" w:rsidRDefault="00DE1D74" w:rsidP="0065005F">
            <w:pPr>
              <w:pStyle w:val="TableText"/>
              <w:spacing w:before="0"/>
              <w:ind w:right="57"/>
              <w:jc w:val="right"/>
            </w:pPr>
            <w:r w:rsidRPr="00D90FB0">
              <w:t>1</w:t>
            </w:r>
            <w:r>
              <w:t>75</w:t>
            </w:r>
          </w:p>
        </w:tc>
        <w:tc>
          <w:tcPr>
            <w:tcW w:w="3382" w:type="pct"/>
            <w:shd w:val="clear" w:color="auto" w:fill="auto"/>
          </w:tcPr>
          <w:p w14:paraId="68C0C8C6" w14:textId="77777777" w:rsidR="00DE1D74" w:rsidRPr="000F4460" w:rsidRDefault="00DE1D74" w:rsidP="0065005F">
            <w:pPr>
              <w:pStyle w:val="TableBullet"/>
            </w:pPr>
            <w:r w:rsidRPr="000F4460">
              <w:t xml:space="preserve">Mental </w:t>
            </w:r>
            <w:r>
              <w:t>h</w:t>
            </w:r>
            <w:r w:rsidRPr="000F4460">
              <w:t xml:space="preserve">ealth </w:t>
            </w:r>
            <w:proofErr w:type="spellStart"/>
            <w:r w:rsidRPr="000F4460">
              <w:t>MeHD</w:t>
            </w:r>
            <w:proofErr w:type="spellEnd"/>
            <w:r w:rsidRPr="000F4460">
              <w:t xml:space="preserve"> </w:t>
            </w:r>
            <w:r>
              <w:t>t</w:t>
            </w:r>
            <w:r w:rsidRPr="000F4460">
              <w:t>raining</w:t>
            </w:r>
          </w:p>
        </w:tc>
        <w:tc>
          <w:tcPr>
            <w:tcW w:w="822" w:type="pct"/>
            <w:shd w:val="clear" w:color="auto" w:fill="D9D9D9"/>
          </w:tcPr>
          <w:p w14:paraId="18B25E73" w14:textId="77777777" w:rsidR="00DE1D74" w:rsidRPr="00D90FB0" w:rsidRDefault="00DE1D74" w:rsidP="0065005F">
            <w:pPr>
              <w:pStyle w:val="TableText"/>
              <w:spacing w:before="0"/>
              <w:ind w:right="57"/>
              <w:jc w:val="right"/>
            </w:pPr>
            <w:r>
              <w:t>163</w:t>
            </w:r>
          </w:p>
        </w:tc>
      </w:tr>
      <w:tr w:rsidR="00DE1D74" w:rsidRPr="009E472C" w14:paraId="67E749D9" w14:textId="77777777" w:rsidTr="0065005F">
        <w:trPr>
          <w:cantSplit/>
        </w:trPr>
        <w:tc>
          <w:tcPr>
            <w:tcW w:w="796" w:type="pct"/>
          </w:tcPr>
          <w:p w14:paraId="209EAAA0" w14:textId="455A09A1" w:rsidR="00DE1D74" w:rsidRPr="009E472C" w:rsidRDefault="00DE1D74" w:rsidP="0065005F">
            <w:pPr>
              <w:pStyle w:val="TableText"/>
              <w:ind w:right="57"/>
              <w:jc w:val="right"/>
            </w:pPr>
            <w:r w:rsidRPr="009E472C">
              <w:t xml:space="preserve"> </w:t>
            </w:r>
            <w:r>
              <w:t>629</w:t>
            </w:r>
          </w:p>
        </w:tc>
        <w:tc>
          <w:tcPr>
            <w:tcW w:w="3382" w:type="pct"/>
          </w:tcPr>
          <w:p w14:paraId="02046D82" w14:textId="77777777" w:rsidR="00DE1D74" w:rsidRPr="009E472C" w:rsidRDefault="00DE1D74" w:rsidP="0065005F">
            <w:pPr>
              <w:pStyle w:val="TableText"/>
            </w:pPr>
            <w:r w:rsidRPr="00C525A4">
              <w:t xml:space="preserve">Voluntary Bonding Scheme </w:t>
            </w:r>
            <w:r>
              <w:t>r</w:t>
            </w:r>
            <w:r w:rsidRPr="009E472C">
              <w:t>egistrants who have successfully made a claim for payment</w:t>
            </w:r>
          </w:p>
        </w:tc>
        <w:tc>
          <w:tcPr>
            <w:tcW w:w="822" w:type="pct"/>
            <w:shd w:val="clear" w:color="auto" w:fill="D9D9D9"/>
          </w:tcPr>
          <w:p w14:paraId="7EE9BC3C" w14:textId="64A41F07" w:rsidR="00DE1D74" w:rsidRPr="009E472C" w:rsidRDefault="004B5436" w:rsidP="004B5436">
            <w:pPr>
              <w:pStyle w:val="TableText"/>
              <w:ind w:right="57"/>
              <w:jc w:val="right"/>
            </w:pPr>
            <w:r>
              <w:t>620</w:t>
            </w:r>
          </w:p>
        </w:tc>
      </w:tr>
      <w:tr w:rsidR="00DE1D74" w:rsidRPr="00DE1D74" w14:paraId="257BD5D5" w14:textId="77777777" w:rsidTr="0065005F">
        <w:trPr>
          <w:cantSplit/>
        </w:trPr>
        <w:tc>
          <w:tcPr>
            <w:tcW w:w="796" w:type="pct"/>
          </w:tcPr>
          <w:p w14:paraId="2B11A47A" w14:textId="0BF2D61D" w:rsidR="00DE1D74" w:rsidRPr="00047BE0" w:rsidRDefault="00DE1D74" w:rsidP="00047BE0">
            <w:pPr>
              <w:pStyle w:val="TableText"/>
              <w:ind w:right="57"/>
              <w:jc w:val="right"/>
              <w:rPr>
                <w:b/>
                <w:i/>
              </w:rPr>
            </w:pPr>
            <w:r w:rsidRPr="00047BE0">
              <w:rPr>
                <w:b/>
                <w:i/>
              </w:rPr>
              <w:t xml:space="preserve">5,369 </w:t>
            </w:r>
          </w:p>
        </w:tc>
        <w:tc>
          <w:tcPr>
            <w:tcW w:w="3382" w:type="pct"/>
          </w:tcPr>
          <w:p w14:paraId="5EDF9989" w14:textId="2287773A" w:rsidR="00DE1D74" w:rsidRPr="00047BE0" w:rsidRDefault="00DE1D74" w:rsidP="00047BE0">
            <w:pPr>
              <w:pStyle w:val="TableText"/>
              <w:rPr>
                <w:b/>
                <w:i/>
              </w:rPr>
            </w:pPr>
            <w:r w:rsidRPr="00047BE0">
              <w:rPr>
                <w:b/>
                <w:i/>
              </w:rPr>
              <w:t>Total post-entry clinical trainees funded</w:t>
            </w:r>
          </w:p>
        </w:tc>
        <w:tc>
          <w:tcPr>
            <w:tcW w:w="822" w:type="pct"/>
            <w:shd w:val="clear" w:color="auto" w:fill="D9D9D9"/>
          </w:tcPr>
          <w:p w14:paraId="431205F8" w14:textId="22AD39A9" w:rsidR="00DE1D74" w:rsidRPr="00047BE0" w:rsidRDefault="00DE1D74" w:rsidP="004B5436">
            <w:pPr>
              <w:pStyle w:val="TableText"/>
              <w:ind w:right="57"/>
              <w:jc w:val="right"/>
              <w:rPr>
                <w:b/>
                <w:i/>
              </w:rPr>
            </w:pPr>
            <w:r w:rsidRPr="00047BE0">
              <w:rPr>
                <w:b/>
                <w:i/>
              </w:rPr>
              <w:t>5,58</w:t>
            </w:r>
            <w:r w:rsidR="004B5436">
              <w:rPr>
                <w:b/>
                <w:i/>
              </w:rPr>
              <w:t>7</w:t>
            </w:r>
            <w:r w:rsidRPr="00047BE0">
              <w:rPr>
                <w:b/>
                <w:i/>
              </w:rPr>
              <w:t xml:space="preserve">  </w:t>
            </w:r>
          </w:p>
        </w:tc>
      </w:tr>
      <w:tr w:rsidR="00DE1D74" w:rsidRPr="0031110B" w14:paraId="17C8A8D6" w14:textId="77777777" w:rsidTr="00047BE0">
        <w:trPr>
          <w:cantSplit/>
        </w:trPr>
        <w:tc>
          <w:tcPr>
            <w:tcW w:w="796" w:type="pct"/>
          </w:tcPr>
          <w:p w14:paraId="1F82A684" w14:textId="77777777" w:rsidR="00DE1D74" w:rsidRPr="0031110B" w:rsidRDefault="00DE1D74" w:rsidP="0065005F">
            <w:pPr>
              <w:pStyle w:val="TableText"/>
              <w:spacing w:before="120"/>
              <w:ind w:right="57"/>
              <w:jc w:val="right"/>
            </w:pPr>
          </w:p>
        </w:tc>
        <w:tc>
          <w:tcPr>
            <w:tcW w:w="3382" w:type="pct"/>
          </w:tcPr>
          <w:p w14:paraId="723AD497" w14:textId="763C0BBE" w:rsidR="00DE1D74" w:rsidRPr="006845C7" w:rsidRDefault="00DE1D74" w:rsidP="0065005F">
            <w:pPr>
              <w:pStyle w:val="TableText"/>
              <w:spacing w:before="120"/>
              <w:rPr>
                <w:b/>
              </w:rPr>
            </w:pPr>
            <w:r>
              <w:rPr>
                <w:b/>
              </w:rPr>
              <w:t>F</w:t>
            </w:r>
            <w:r w:rsidRPr="006845C7">
              <w:rPr>
                <w:b/>
              </w:rPr>
              <w:t>unded training units delivered:</w:t>
            </w:r>
          </w:p>
        </w:tc>
        <w:tc>
          <w:tcPr>
            <w:tcW w:w="822" w:type="pct"/>
            <w:shd w:val="clear" w:color="auto" w:fill="D9D9D9"/>
          </w:tcPr>
          <w:p w14:paraId="0AC08C07" w14:textId="77777777" w:rsidR="00DE1D74" w:rsidRPr="0031110B" w:rsidRDefault="00DE1D74" w:rsidP="0065005F">
            <w:pPr>
              <w:pStyle w:val="TableText"/>
              <w:spacing w:before="120"/>
              <w:ind w:right="57"/>
              <w:jc w:val="right"/>
            </w:pPr>
          </w:p>
        </w:tc>
      </w:tr>
      <w:tr w:rsidR="00DE1D74" w:rsidRPr="0031110B" w14:paraId="615CC2A2" w14:textId="77777777" w:rsidTr="00047BE0">
        <w:trPr>
          <w:cantSplit/>
        </w:trPr>
        <w:tc>
          <w:tcPr>
            <w:tcW w:w="796" w:type="pct"/>
          </w:tcPr>
          <w:p w14:paraId="0801C761" w14:textId="77777777" w:rsidR="00DE1D74" w:rsidRPr="00D90FB0" w:rsidRDefault="00DE1D74" w:rsidP="0065005F">
            <w:pPr>
              <w:pStyle w:val="TableText"/>
              <w:spacing w:before="0"/>
              <w:ind w:right="57"/>
              <w:jc w:val="right"/>
            </w:pPr>
            <w:r w:rsidRPr="00D90FB0">
              <w:t>1</w:t>
            </w:r>
            <w:r>
              <w:t>,526</w:t>
            </w:r>
          </w:p>
        </w:tc>
        <w:tc>
          <w:tcPr>
            <w:tcW w:w="3382" w:type="pct"/>
          </w:tcPr>
          <w:p w14:paraId="474A791A" w14:textId="77777777" w:rsidR="00DE1D74" w:rsidRPr="000F4460" w:rsidRDefault="00DE1D74" w:rsidP="0065005F">
            <w:pPr>
              <w:pStyle w:val="TableBullet"/>
            </w:pPr>
            <w:r>
              <w:t>Postgraduate n</w:t>
            </w:r>
            <w:r w:rsidRPr="000F4460">
              <w:t>ursing</w:t>
            </w:r>
          </w:p>
        </w:tc>
        <w:tc>
          <w:tcPr>
            <w:tcW w:w="822" w:type="pct"/>
            <w:shd w:val="clear" w:color="auto" w:fill="D9D9D9"/>
          </w:tcPr>
          <w:p w14:paraId="2A718DE1" w14:textId="77777777" w:rsidR="00DE1D74" w:rsidRPr="00D90FB0" w:rsidRDefault="00DE1D74" w:rsidP="0065005F">
            <w:pPr>
              <w:pStyle w:val="TableText"/>
              <w:spacing w:before="0"/>
              <w:ind w:right="57"/>
              <w:jc w:val="right"/>
            </w:pPr>
            <w:r>
              <w:t>1,588</w:t>
            </w:r>
          </w:p>
        </w:tc>
      </w:tr>
      <w:tr w:rsidR="00DE1D74" w:rsidRPr="0031110B" w14:paraId="6F487BEF" w14:textId="77777777" w:rsidTr="00047BE0">
        <w:trPr>
          <w:cantSplit/>
        </w:trPr>
        <w:tc>
          <w:tcPr>
            <w:tcW w:w="796" w:type="pct"/>
          </w:tcPr>
          <w:p w14:paraId="3EA3AF25" w14:textId="77777777" w:rsidR="00DE1D74" w:rsidRPr="00D90FB0" w:rsidRDefault="00DE1D74" w:rsidP="0065005F">
            <w:pPr>
              <w:pStyle w:val="TableText"/>
              <w:spacing w:before="0"/>
              <w:ind w:right="57"/>
              <w:jc w:val="right"/>
            </w:pPr>
            <w:r w:rsidRPr="00D90FB0">
              <w:t>300</w:t>
            </w:r>
          </w:p>
        </w:tc>
        <w:tc>
          <w:tcPr>
            <w:tcW w:w="3382" w:type="pct"/>
          </w:tcPr>
          <w:p w14:paraId="288306AB" w14:textId="77777777" w:rsidR="00DE1D74" w:rsidRPr="00CB52DB" w:rsidRDefault="00DE1D74" w:rsidP="0065005F">
            <w:pPr>
              <w:pStyle w:val="TableBullet"/>
            </w:pPr>
            <w:r w:rsidRPr="000F4460">
              <w:t>Māori and Pacific peoples support</w:t>
            </w:r>
          </w:p>
        </w:tc>
        <w:tc>
          <w:tcPr>
            <w:tcW w:w="822" w:type="pct"/>
            <w:shd w:val="clear" w:color="auto" w:fill="D9D9D9"/>
          </w:tcPr>
          <w:p w14:paraId="307E106A" w14:textId="77777777" w:rsidR="00DE1D74" w:rsidRPr="00D90FB0" w:rsidRDefault="00DE1D74" w:rsidP="0065005F">
            <w:pPr>
              <w:pStyle w:val="TableText"/>
              <w:spacing w:before="0"/>
              <w:ind w:right="57"/>
              <w:jc w:val="right"/>
            </w:pPr>
            <w:r>
              <w:t>300</w:t>
            </w:r>
          </w:p>
        </w:tc>
      </w:tr>
      <w:tr w:rsidR="00DE1D74" w:rsidRPr="00DE1D74" w14:paraId="16A6CFB2" w14:textId="77777777" w:rsidTr="0065005F">
        <w:trPr>
          <w:cantSplit/>
        </w:trPr>
        <w:tc>
          <w:tcPr>
            <w:tcW w:w="796" w:type="pct"/>
          </w:tcPr>
          <w:p w14:paraId="542FCCC4" w14:textId="7C0C0420" w:rsidR="00DE1D74" w:rsidRPr="00047BE0" w:rsidRDefault="00DE1D74" w:rsidP="00047BE0">
            <w:pPr>
              <w:pStyle w:val="TableText"/>
              <w:ind w:right="57"/>
              <w:jc w:val="right"/>
              <w:rPr>
                <w:b/>
                <w:i/>
              </w:rPr>
            </w:pPr>
            <w:r w:rsidRPr="00047BE0">
              <w:rPr>
                <w:b/>
                <w:i/>
              </w:rPr>
              <w:t xml:space="preserve">1,826 </w:t>
            </w:r>
          </w:p>
        </w:tc>
        <w:tc>
          <w:tcPr>
            <w:tcW w:w="3382" w:type="pct"/>
          </w:tcPr>
          <w:p w14:paraId="48CF6AD9" w14:textId="7A431F13" w:rsidR="00DE1D74" w:rsidRPr="00047BE0" w:rsidRDefault="00DE1D74" w:rsidP="0065005F">
            <w:pPr>
              <w:pStyle w:val="TableText"/>
              <w:rPr>
                <w:b/>
                <w:i/>
              </w:rPr>
            </w:pPr>
            <w:r w:rsidRPr="00047BE0">
              <w:rPr>
                <w:b/>
                <w:i/>
              </w:rPr>
              <w:t>Total training units delivered and funded:</w:t>
            </w:r>
          </w:p>
        </w:tc>
        <w:tc>
          <w:tcPr>
            <w:tcW w:w="822" w:type="pct"/>
            <w:shd w:val="clear" w:color="auto" w:fill="D9D9D9"/>
          </w:tcPr>
          <w:p w14:paraId="5842D308" w14:textId="56247F57" w:rsidR="00DE1D74" w:rsidRPr="00047BE0" w:rsidRDefault="00DE1D74" w:rsidP="00047BE0">
            <w:pPr>
              <w:pStyle w:val="TableText"/>
              <w:ind w:right="57"/>
              <w:jc w:val="right"/>
              <w:rPr>
                <w:b/>
                <w:i/>
              </w:rPr>
            </w:pPr>
            <w:r w:rsidRPr="00047BE0">
              <w:rPr>
                <w:b/>
                <w:i/>
              </w:rPr>
              <w:t xml:space="preserve">1,888 </w:t>
            </w:r>
          </w:p>
        </w:tc>
      </w:tr>
    </w:tbl>
    <w:p w14:paraId="5EBBAC3B" w14:textId="2ABA265B" w:rsidR="00B94DE0" w:rsidRPr="00047BE0" w:rsidRDefault="00DE1D74" w:rsidP="00BE59A9">
      <w:pPr>
        <w:pStyle w:val="Heading5"/>
        <w:rPr>
          <w:b w:val="0"/>
        </w:rPr>
      </w:pPr>
      <w:r w:rsidRPr="00047BE0">
        <w:rPr>
          <w:b w:val="0"/>
        </w:rPr>
        <w:lastRenderedPageBreak/>
        <w:t>More detail on the po</w:t>
      </w:r>
      <w:r w:rsidR="00047BE0">
        <w:rPr>
          <w:b w:val="0"/>
        </w:rPr>
        <w:t xml:space="preserve">st-entry training will be shown in the </w:t>
      </w:r>
      <w:r w:rsidRPr="00047BE0">
        <w:rPr>
          <w:b w:val="0"/>
        </w:rPr>
        <w:t>Minister of Health</w:t>
      </w:r>
      <w:r w:rsidR="00047BE0">
        <w:rPr>
          <w:b w:val="0"/>
        </w:rPr>
        <w:t xml:space="preserve">’s </w:t>
      </w:r>
      <w:r w:rsidRPr="00047BE0">
        <w:rPr>
          <w:b w:val="0"/>
          <w:i/>
        </w:rPr>
        <w:t>Vote Health: Report in relation to selected non</w:t>
      </w:r>
      <w:r w:rsidRPr="00047BE0">
        <w:rPr>
          <w:b w:val="0"/>
          <w:i/>
        </w:rPr>
        <w:noBreakHyphen/>
        <w:t>departmental appropriations for the year ended 30 June 2016</w:t>
      </w:r>
      <w:r w:rsidRPr="00047BE0">
        <w:rPr>
          <w:b w:val="0"/>
        </w:rPr>
        <w:t>.</w:t>
      </w:r>
    </w:p>
    <w:p w14:paraId="47598EB6" w14:textId="78E4DAA1" w:rsidR="00AD72CC" w:rsidRPr="00BC0D1F" w:rsidRDefault="00AD72CC" w:rsidP="00BE59A9">
      <w:pPr>
        <w:pStyle w:val="Heading5"/>
        <w:rPr>
          <w:rFonts w:eastAsia="Arial"/>
        </w:rPr>
      </w:pPr>
      <w:r w:rsidRPr="00BC0D1F">
        <w:rPr>
          <w:rFonts w:eastAsia="Arial"/>
        </w:rPr>
        <w:t>Health-related legislation is reviewed and updated as required</w:t>
      </w:r>
    </w:p>
    <w:p w14:paraId="01E730CB" w14:textId="77777777" w:rsidR="00DF4B9A" w:rsidRPr="00BC0D1F" w:rsidRDefault="00AD72CC" w:rsidP="00D74409">
      <w:r w:rsidRPr="00BC0D1F">
        <w:t>After an extensive policy development process, public consultation, two rounds of consideration by Cabinet and a thorough parliamentary process, New Zealand</w:t>
      </w:r>
      <w:r w:rsidR="00DF4B9A" w:rsidRPr="00BC0D1F">
        <w:t>’</w:t>
      </w:r>
      <w:r w:rsidRPr="00BC0D1F">
        <w:t>s 1965 legislative framework for radiation was bought into the 21st century in March 2016 with the passage of the Radiation Safety Act 2016. The new Act, which enters fully into force in March 2017, aims to protect the health and safety of people and the environment from the harmful effects of ionising radiation while allowing the safe and beneficial use of radiation sources. Although the majority of use occurs in the health sector, where radiation is used for both diagnosis and treatment, it is also used in commercial/industrial, research and veterinary applications.</w:t>
      </w:r>
    </w:p>
    <w:p w14:paraId="1D478B41" w14:textId="77777777" w:rsidR="00AD72CC" w:rsidRPr="00BC0D1F" w:rsidRDefault="00AD72CC" w:rsidP="00D74409"/>
    <w:p w14:paraId="5CB5F63C" w14:textId="77777777" w:rsidR="00DF4B9A" w:rsidRPr="00BC0D1F" w:rsidRDefault="00AD72CC" w:rsidP="00D74409">
      <w:r w:rsidRPr="00BC0D1F">
        <w:t>The new Act introduces a comprehensive licensing framework as well as establishing a series of fundamental requirements with which all those involved with radiation sources will need to comply. The Act also allows New Zealand to meet its international obligations on radiation security and nuclear non-proliferation.</w:t>
      </w:r>
    </w:p>
    <w:p w14:paraId="4BB4406D" w14:textId="77777777" w:rsidR="00AD72CC" w:rsidRPr="00BC0D1F" w:rsidRDefault="00AD72CC" w:rsidP="00D74409"/>
    <w:p w14:paraId="5D186D43" w14:textId="77777777" w:rsidR="00AD72CC" w:rsidRPr="00BC0D1F" w:rsidRDefault="00AD72CC" w:rsidP="00D74409">
      <w:r w:rsidRPr="00BC0D1F">
        <w:t>Following policy approval in 2013, important amendments to the Health Act 1956 were passed in June 2016 through the Health (Protection) Amendment Bill. These amendments update the Act</w:t>
      </w:r>
      <w:r w:rsidR="00DF4B9A" w:rsidRPr="00BC0D1F">
        <w:t>’</w:t>
      </w:r>
      <w:r w:rsidRPr="00BC0D1F">
        <w:t>s provisions for the surveillance and control of infectious diseases, and include provisions to support the internationally recognised practice of contact tracing. In addition, the amendments will introduce a ban on the provision of artificial UV tanning services (sunbeds) to persons aged under 18 years of age. These amendments will enter into force in January 2017.</w:t>
      </w:r>
    </w:p>
    <w:p w14:paraId="0D24911D" w14:textId="77777777" w:rsidR="00AD72CC" w:rsidRPr="00BC0D1F" w:rsidRDefault="00AD72CC" w:rsidP="00D74409"/>
    <w:p w14:paraId="4EDFBCFB" w14:textId="7DD7A692" w:rsidR="00AD72CC" w:rsidRPr="00BC0D1F" w:rsidRDefault="00AD72CC" w:rsidP="00BE59A9">
      <w:pPr>
        <w:pStyle w:val="Heading5"/>
        <w:rPr>
          <w:rFonts w:eastAsia="Arial"/>
        </w:rPr>
      </w:pPr>
      <w:r w:rsidRPr="00BC0D1F">
        <w:rPr>
          <w:rFonts w:eastAsia="Arial"/>
        </w:rPr>
        <w:t>Integrated IT and security programmes are delivered</w:t>
      </w:r>
      <w:r w:rsidRPr="00BC0D1F">
        <w:rPr>
          <w:rStyle w:val="FootnoteReference"/>
          <w:rFonts w:eastAsia="Arial"/>
        </w:rPr>
        <w:footnoteReference w:id="35"/>
      </w:r>
    </w:p>
    <w:p w14:paraId="5BE4F36F" w14:textId="77777777" w:rsidR="00DF4B9A" w:rsidRPr="00BC0D1F" w:rsidRDefault="00AD72CC" w:rsidP="00D74409">
      <w:pPr>
        <w:keepLines/>
      </w:pPr>
      <w:r w:rsidRPr="00BC0D1F">
        <w:t>Integrated national and regional systems are being implemented across the hospital, primary health care and community sectors. DHBs are implementing regional clinical information systems that allow clinicians to access trusted information at the point of care. Primary care recording of health information is largely electronic, and more practices are</w:t>
      </w:r>
      <w:r w:rsidRPr="00BC0D1F">
        <w:rPr>
          <w:color w:val="000000"/>
          <w:szCs w:val="22"/>
        </w:rPr>
        <w:t xml:space="preserve"> </w:t>
      </w:r>
      <w:r w:rsidRPr="00BC0D1F">
        <w:t>implementing portals that allow consumers to access their own health information. The transfer of information across the sector is enhanced with the use of electronic referrals from general practice to hospitals and electronic discharge summaries from hospitals to general practice.</w:t>
      </w:r>
    </w:p>
    <w:p w14:paraId="795BCB8D" w14:textId="77777777" w:rsidR="00D74409" w:rsidRPr="00BC0D1F" w:rsidRDefault="00D74409" w:rsidP="00D74409"/>
    <w:p w14:paraId="519CE572" w14:textId="77777777" w:rsidR="00AD72CC" w:rsidRPr="00BC0D1F" w:rsidRDefault="00AD72CC" w:rsidP="00D74409">
      <w:r w:rsidRPr="00BC0D1F">
        <w:t>Security and audit controls are built into systems. The sector is required to comply with the Health Information Security Framework (HISF) to ensure health data are adequately protected. Vendors are required to develop systems to standards approved by the Health Information Standards Organisation (HISO).</w:t>
      </w:r>
    </w:p>
    <w:p w14:paraId="0B1B1EC2" w14:textId="77777777" w:rsidR="00AD72CC" w:rsidRPr="00BC0D1F" w:rsidRDefault="00AD72CC" w:rsidP="00D74409"/>
    <w:p w14:paraId="2A77B1E0" w14:textId="551E17DD" w:rsidR="00AD72CC" w:rsidRPr="00BC0D1F" w:rsidRDefault="00AD72CC" w:rsidP="00D74409">
      <w:pPr>
        <w:pStyle w:val="Heading4"/>
      </w:pPr>
      <w:bookmarkStart w:id="71" w:name="_Toc456707085"/>
      <w:r w:rsidRPr="00BC0D1F">
        <w:t>Quality, efficiency and value-for-money improvements are enhanced</w:t>
      </w:r>
      <w:bookmarkEnd w:id="71"/>
    </w:p>
    <w:p w14:paraId="4CEF9718" w14:textId="4465E023" w:rsidR="00AD72CC" w:rsidRPr="00BC0D1F" w:rsidRDefault="00B23CCE" w:rsidP="00D74409">
      <w:r>
        <w:t>This</w:t>
      </w:r>
      <w:r w:rsidR="00AD72CC" w:rsidRPr="00BC0D1F">
        <w:t xml:space="preserve"> will be achieved when service efficiencies are identified and ways are found to increase value and manage overall cost growth. DHBs will be supporting system integration and creating efficiencies by working together in an intentional, collaborative way. Services will be planned, funded and provided to ensure the clinical and financial viability of a safe, high-quality public health and disability service. A cost-effective, sustainable health sector will focus on quality improvement and safety, providing value for money and effective health interventions to improve New Zealanders</w:t>
      </w:r>
      <w:r w:rsidR="00DF4B9A" w:rsidRPr="00BC0D1F">
        <w:t>’</w:t>
      </w:r>
      <w:r w:rsidR="00AD72CC" w:rsidRPr="00BC0D1F">
        <w:t xml:space="preserve"> health status. The following measures show how well we are </w:t>
      </w:r>
      <w:r w:rsidR="00656B5D">
        <w:t>doing.</w:t>
      </w:r>
    </w:p>
    <w:p w14:paraId="1E8460D1" w14:textId="77777777" w:rsidR="00AD72CC" w:rsidRPr="00BC0D1F" w:rsidRDefault="00AD72CC" w:rsidP="00D74409"/>
    <w:p w14:paraId="5782F762" w14:textId="77C3EA79" w:rsidR="00AD72CC" w:rsidRPr="00BC0D1F" w:rsidRDefault="00191DB8" w:rsidP="00BE59A9">
      <w:pPr>
        <w:pStyle w:val="Heading5"/>
        <w:rPr>
          <w:rFonts w:eastAsia="Arial"/>
        </w:rPr>
      </w:pPr>
      <w:r>
        <w:rPr>
          <w:rFonts w:eastAsia="Arial"/>
        </w:rPr>
        <w:lastRenderedPageBreak/>
        <w:t xml:space="preserve">Target for </w:t>
      </w:r>
      <w:r w:rsidR="00B23CCE">
        <w:rPr>
          <w:rFonts w:eastAsia="Arial"/>
        </w:rPr>
        <w:t>D</w:t>
      </w:r>
      <w:r w:rsidR="00AD72CC" w:rsidRPr="00BC0D1F">
        <w:rPr>
          <w:rFonts w:eastAsia="Arial"/>
        </w:rPr>
        <w:t>HBs</w:t>
      </w:r>
      <w:r w:rsidR="00DF4B9A" w:rsidRPr="00BC0D1F">
        <w:rPr>
          <w:rFonts w:eastAsia="Arial"/>
        </w:rPr>
        <w:t>’</w:t>
      </w:r>
      <w:r w:rsidR="00AD72CC" w:rsidRPr="00BC0D1F">
        <w:rPr>
          <w:rFonts w:eastAsia="Arial"/>
        </w:rPr>
        <w:t xml:space="preserve"> forecast deficits </w:t>
      </w:r>
      <w:r>
        <w:rPr>
          <w:rFonts w:eastAsia="Arial"/>
        </w:rPr>
        <w:t xml:space="preserve">to </w:t>
      </w:r>
      <w:r w:rsidR="00AD72CC" w:rsidRPr="00BC0D1F">
        <w:rPr>
          <w:rFonts w:eastAsia="Arial"/>
        </w:rPr>
        <w:t xml:space="preserve">reduce from a baseline of $23.4 million </w:t>
      </w:r>
      <w:r>
        <w:rPr>
          <w:rFonts w:eastAsia="Arial"/>
        </w:rPr>
        <w:t xml:space="preserve">(set in </w:t>
      </w:r>
      <w:r w:rsidR="00AD72CC" w:rsidRPr="00BC0D1F">
        <w:rPr>
          <w:rFonts w:eastAsia="Arial"/>
        </w:rPr>
        <w:t>2011/12</w:t>
      </w:r>
      <w:r>
        <w:rPr>
          <w:rFonts w:eastAsia="Arial"/>
        </w:rPr>
        <w:t>)</w:t>
      </w:r>
    </w:p>
    <w:p w14:paraId="3BD3FB81" w14:textId="77777777" w:rsidR="00DF4B9A" w:rsidRPr="00BC0D1F" w:rsidRDefault="00AD72CC" w:rsidP="00D74409">
      <w:r w:rsidRPr="00BC0D1F">
        <w:t>The overall performance result was a net deficit of $55 million, which was $35 million above budget. In 2014/15 the overall performance result was a net deficit of $68 million, which was $32</w:t>
      </w:r>
      <w:r w:rsidR="00D74409" w:rsidRPr="00BC0D1F">
        <w:t> </w:t>
      </w:r>
      <w:r w:rsidRPr="00BC0D1F">
        <w:t>million above budget.</w:t>
      </w:r>
    </w:p>
    <w:p w14:paraId="4E645F46" w14:textId="77777777" w:rsidR="00AD72CC" w:rsidRPr="00BC0D1F" w:rsidRDefault="00AD72CC" w:rsidP="00D74409"/>
    <w:p w14:paraId="7BA7F158" w14:textId="1C82EAEF" w:rsidR="00AD72CC" w:rsidRPr="00BC0D1F" w:rsidRDefault="00191DB8" w:rsidP="00BE59A9">
      <w:pPr>
        <w:pStyle w:val="Heading5"/>
        <w:rPr>
          <w:rFonts w:eastAsia="Arial"/>
        </w:rPr>
      </w:pPr>
      <w:r>
        <w:rPr>
          <w:rFonts w:eastAsia="Arial"/>
        </w:rPr>
        <w:t xml:space="preserve">Target for </w:t>
      </w:r>
      <w:r w:rsidR="00AD72CC" w:rsidRPr="00BC0D1F">
        <w:rPr>
          <w:rFonts w:eastAsia="Arial"/>
        </w:rPr>
        <w:t xml:space="preserve">DHBs </w:t>
      </w:r>
      <w:r>
        <w:rPr>
          <w:rFonts w:eastAsia="Arial"/>
        </w:rPr>
        <w:t xml:space="preserve">to </w:t>
      </w:r>
      <w:r w:rsidR="00AD72CC" w:rsidRPr="00BC0D1F">
        <w:rPr>
          <w:rFonts w:eastAsia="Arial"/>
        </w:rPr>
        <w:t>manage within their budgets, collectively</w:t>
      </w:r>
    </w:p>
    <w:p w14:paraId="37F64486" w14:textId="79843D15" w:rsidR="00AD72CC" w:rsidRPr="00BC0D1F" w:rsidRDefault="00D74409" w:rsidP="00D74409">
      <w:r w:rsidRPr="00BC0D1F">
        <w:t>E</w:t>
      </w:r>
      <w:r w:rsidR="00AD72CC" w:rsidRPr="00BC0D1F">
        <w:t xml:space="preserve">leven DHBs were unfavourable to plan: Bay of Plenty, Canterbury, Capital &amp; Coast, Hutt Valley, Lakes, </w:t>
      </w:r>
      <w:proofErr w:type="spellStart"/>
      <w:r w:rsidR="00AD72CC" w:rsidRPr="00BC0D1F">
        <w:t>MidCentral</w:t>
      </w:r>
      <w:proofErr w:type="spellEnd"/>
      <w:r w:rsidR="00AD72CC" w:rsidRPr="00BC0D1F">
        <w:t xml:space="preserve">, Nelson Marlborough, South Canterbury, </w:t>
      </w:r>
      <w:proofErr w:type="spellStart"/>
      <w:r w:rsidR="00AD72CC" w:rsidRPr="00BC0D1F">
        <w:t>Tair</w:t>
      </w:r>
      <w:r w:rsidR="00AF1712">
        <w:t>ā</w:t>
      </w:r>
      <w:r w:rsidR="00AD72CC" w:rsidRPr="00BC0D1F">
        <w:t>whiti</w:t>
      </w:r>
      <w:proofErr w:type="spellEnd"/>
      <w:r w:rsidR="00AD72CC" w:rsidRPr="00BC0D1F">
        <w:t xml:space="preserve">, </w:t>
      </w:r>
      <w:proofErr w:type="spellStart"/>
      <w:r w:rsidR="00AD72CC" w:rsidRPr="00BC0D1F">
        <w:t>Taranaki</w:t>
      </w:r>
      <w:proofErr w:type="spellEnd"/>
      <w:r w:rsidR="00AD72CC" w:rsidRPr="00BC0D1F">
        <w:t xml:space="preserve"> and </w:t>
      </w:r>
      <w:proofErr w:type="spellStart"/>
      <w:r w:rsidR="00AD72CC" w:rsidRPr="00BC0D1F">
        <w:t>Wairarapa</w:t>
      </w:r>
      <w:proofErr w:type="spellEnd"/>
      <w:r w:rsidR="00AD72CC" w:rsidRPr="00BC0D1F">
        <w:t>. Ministry has used its monitoring and intervention framework to work with DHBs identified as having performance issues, including deficits. These DHBs are being regularly monitored.</w:t>
      </w:r>
    </w:p>
    <w:p w14:paraId="7DAFA536" w14:textId="6EBC1251" w:rsidR="00AD72CC" w:rsidRPr="00BC0D1F" w:rsidRDefault="00AD72CC" w:rsidP="00D74409"/>
    <w:p w14:paraId="56621555" w14:textId="32A8B812" w:rsidR="00AD72CC" w:rsidRPr="00BC0D1F" w:rsidRDefault="00AD72CC" w:rsidP="00BE59A9">
      <w:pPr>
        <w:pStyle w:val="Heading5"/>
        <w:rPr>
          <w:rFonts w:eastAsia="Arial"/>
        </w:rPr>
      </w:pPr>
      <w:r w:rsidRPr="00BC0D1F">
        <w:rPr>
          <w:rFonts w:eastAsia="Arial"/>
        </w:rPr>
        <w:t>NZ Health Partnerships Limited (HPL) established</w:t>
      </w:r>
    </w:p>
    <w:p w14:paraId="27F3573E" w14:textId="77777777" w:rsidR="00AD72CC" w:rsidRPr="00BC0D1F" w:rsidRDefault="00AD72CC" w:rsidP="00D74409">
      <w:r w:rsidRPr="00BC0D1F">
        <w:t>HPL was established on 1 July 2015 with the aim of enabling DHBs to collectively maximise shared service opportunities for the national good.</w:t>
      </w:r>
    </w:p>
    <w:p w14:paraId="3D669D58" w14:textId="77777777" w:rsidR="00AD72CC" w:rsidRPr="00BC0D1F" w:rsidRDefault="00AD72CC" w:rsidP="00D74409"/>
    <w:p w14:paraId="24AF1F2C" w14:textId="76BAE53C" w:rsidR="00AD72CC" w:rsidRPr="00BC0D1F" w:rsidRDefault="00AD72CC" w:rsidP="00BE59A9">
      <w:pPr>
        <w:pStyle w:val="Heading5"/>
        <w:rPr>
          <w:rFonts w:eastAsia="Arial"/>
        </w:rPr>
      </w:pPr>
      <w:r w:rsidRPr="00BC0D1F">
        <w:rPr>
          <w:rFonts w:eastAsia="Arial"/>
        </w:rPr>
        <w:t>Ministerial advisory committees are supported</w:t>
      </w:r>
    </w:p>
    <w:p w14:paraId="0275211B" w14:textId="0C54A680" w:rsidR="00FD1153" w:rsidRPr="008753CB" w:rsidRDefault="00FD1153" w:rsidP="00FD1153">
      <w:pPr>
        <w:pStyle w:val="Default"/>
        <w:rPr>
          <w:rFonts w:ascii="Georgia" w:hAnsi="Georgia" w:cs="Times New Roman"/>
          <w:color w:val="auto"/>
          <w:sz w:val="22"/>
          <w:szCs w:val="20"/>
          <w:lang w:eastAsia="en-GB"/>
        </w:rPr>
      </w:pPr>
      <w:r>
        <w:rPr>
          <w:rFonts w:ascii="Georgia" w:hAnsi="Georgia" w:cs="Times New Roman"/>
          <w:color w:val="auto"/>
          <w:sz w:val="22"/>
          <w:szCs w:val="20"/>
          <w:lang w:eastAsia="en-GB"/>
        </w:rPr>
        <w:t>The r</w:t>
      </w:r>
      <w:r w:rsidRPr="00C525A4">
        <w:rPr>
          <w:rFonts w:ascii="Georgia" w:hAnsi="Georgia" w:cs="Times New Roman"/>
          <w:color w:val="auto"/>
          <w:sz w:val="22"/>
          <w:szCs w:val="20"/>
          <w:lang w:eastAsia="en-GB"/>
        </w:rPr>
        <w:t>esults from the July 2016 Survey of Chairs and Deputy Chair</w:t>
      </w:r>
      <w:r>
        <w:rPr>
          <w:rFonts w:ascii="Georgia" w:hAnsi="Georgia" w:cs="Times New Roman"/>
          <w:color w:val="auto"/>
          <w:sz w:val="22"/>
          <w:szCs w:val="20"/>
          <w:lang w:eastAsia="en-GB"/>
        </w:rPr>
        <w:t xml:space="preserve">s, </w:t>
      </w:r>
      <w:r w:rsidRPr="008753CB">
        <w:rPr>
          <w:rFonts w:ascii="Georgia" w:hAnsi="Georgia" w:cs="Times New Roman"/>
          <w:color w:val="auto"/>
          <w:sz w:val="22"/>
          <w:szCs w:val="20"/>
          <w:lang w:eastAsia="en-GB"/>
        </w:rPr>
        <w:t>measuring satisfaction with the support provided to committees by the Ministry</w:t>
      </w:r>
      <w:r>
        <w:rPr>
          <w:rFonts w:ascii="Georgia" w:hAnsi="Georgia" w:cs="Times New Roman"/>
          <w:color w:val="auto"/>
          <w:sz w:val="22"/>
          <w:szCs w:val="20"/>
          <w:lang w:eastAsia="en-GB"/>
        </w:rPr>
        <w:t>, are shown below</w:t>
      </w:r>
      <w:r w:rsidRPr="008753CB">
        <w:rPr>
          <w:rFonts w:ascii="Georgia" w:hAnsi="Georgia" w:cs="Times New Roman"/>
          <w:color w:val="auto"/>
          <w:sz w:val="22"/>
          <w:szCs w:val="20"/>
          <w:lang w:eastAsia="en-GB"/>
        </w:rPr>
        <w:t xml:space="preserve">. </w:t>
      </w:r>
      <w:r>
        <w:rPr>
          <w:rFonts w:ascii="Georgia" w:hAnsi="Georgia" w:cs="Times New Roman"/>
          <w:color w:val="auto"/>
          <w:sz w:val="22"/>
          <w:szCs w:val="20"/>
          <w:lang w:eastAsia="en-GB"/>
        </w:rPr>
        <w:t xml:space="preserve">The </w:t>
      </w:r>
      <w:r w:rsidR="008753CB">
        <w:rPr>
          <w:rFonts w:ascii="Georgia" w:hAnsi="Georgia" w:cs="Times New Roman"/>
          <w:color w:val="auto"/>
          <w:sz w:val="22"/>
          <w:szCs w:val="20"/>
          <w:lang w:eastAsia="en-GB"/>
        </w:rPr>
        <w:t xml:space="preserve">overall </w:t>
      </w:r>
      <w:r w:rsidRPr="008753CB">
        <w:rPr>
          <w:rFonts w:ascii="Georgia" w:hAnsi="Georgia" w:cs="Times New Roman"/>
          <w:color w:val="auto"/>
          <w:sz w:val="22"/>
          <w:szCs w:val="20"/>
          <w:lang w:eastAsia="en-GB"/>
        </w:rPr>
        <w:t xml:space="preserve">satisfaction with the support provided to committees by the Ministry in the past 12 </w:t>
      </w:r>
      <w:r w:rsidR="00782696" w:rsidRPr="008753CB">
        <w:rPr>
          <w:rFonts w:ascii="Georgia" w:hAnsi="Georgia" w:cs="Times New Roman"/>
          <w:color w:val="auto"/>
          <w:sz w:val="22"/>
          <w:szCs w:val="20"/>
          <w:lang w:eastAsia="en-GB"/>
        </w:rPr>
        <w:t>months was 3.9</w:t>
      </w:r>
      <w:r w:rsidRPr="008753CB">
        <w:rPr>
          <w:rFonts w:ascii="Georgia" w:hAnsi="Georgia" w:cs="Times New Roman"/>
          <w:color w:val="auto"/>
          <w:sz w:val="22"/>
          <w:szCs w:val="20"/>
          <w:lang w:eastAsia="en-GB"/>
        </w:rPr>
        <w:t xml:space="preserve">. </w:t>
      </w:r>
    </w:p>
    <w:p w14:paraId="29170340" w14:textId="77777777" w:rsidR="00D74409" w:rsidRPr="008753CB" w:rsidRDefault="00D74409" w:rsidP="008753CB">
      <w:pPr>
        <w:pStyle w:val="Default"/>
        <w:rPr>
          <w:rFonts w:ascii="Georgia" w:hAnsi="Georgia" w:cs="Times New Roman"/>
          <w:color w:val="auto"/>
          <w:sz w:val="22"/>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95"/>
        <w:gridCol w:w="1595"/>
        <w:gridCol w:w="1595"/>
        <w:gridCol w:w="1595"/>
        <w:gridCol w:w="1595"/>
        <w:gridCol w:w="1381"/>
      </w:tblGrid>
      <w:tr w:rsidR="00810942" w:rsidRPr="00BC0D1F" w14:paraId="1C0D0DF8" w14:textId="77777777" w:rsidTr="00F06348">
        <w:trPr>
          <w:cantSplit/>
        </w:trPr>
        <w:tc>
          <w:tcPr>
            <w:tcW w:w="1595" w:type="dxa"/>
            <w:shd w:val="clear" w:color="auto" w:fill="auto"/>
          </w:tcPr>
          <w:p w14:paraId="65FB19F7" w14:textId="77777777" w:rsidR="00D74409" w:rsidRDefault="00D74409" w:rsidP="00191DB8">
            <w:pPr>
              <w:pStyle w:val="TableText"/>
              <w:spacing w:after="0"/>
              <w:jc w:val="center"/>
            </w:pPr>
            <w:r w:rsidRPr="00BC0D1F">
              <w:t>Very satisfied</w:t>
            </w:r>
          </w:p>
          <w:p w14:paraId="7635475D" w14:textId="77777777" w:rsidR="00191DB8" w:rsidRDefault="00191DB8" w:rsidP="00191DB8">
            <w:pPr>
              <w:pStyle w:val="TableText"/>
              <w:spacing w:before="0" w:after="0"/>
              <w:jc w:val="center"/>
            </w:pPr>
          </w:p>
          <w:p w14:paraId="72E48251" w14:textId="511EF5FD" w:rsidR="00FD1153" w:rsidRPr="00BC0D1F" w:rsidRDefault="00FD1153" w:rsidP="00191DB8">
            <w:pPr>
              <w:pStyle w:val="TableText"/>
              <w:spacing w:before="0" w:after="0"/>
              <w:jc w:val="center"/>
            </w:pPr>
            <w:r>
              <w:t>(5)</w:t>
            </w:r>
          </w:p>
        </w:tc>
        <w:tc>
          <w:tcPr>
            <w:tcW w:w="1595" w:type="dxa"/>
            <w:shd w:val="clear" w:color="auto" w:fill="auto"/>
          </w:tcPr>
          <w:p w14:paraId="7FADE67A" w14:textId="4D6FD001" w:rsidR="006B71EB" w:rsidRDefault="00D74409" w:rsidP="00191DB8">
            <w:pPr>
              <w:pStyle w:val="TableText"/>
              <w:spacing w:after="0"/>
              <w:jc w:val="center"/>
            </w:pPr>
            <w:r w:rsidRPr="00BC0D1F">
              <w:t>Satisfied</w:t>
            </w:r>
          </w:p>
          <w:p w14:paraId="55921C2A" w14:textId="77777777" w:rsidR="00EB08E3" w:rsidRDefault="00EB08E3" w:rsidP="00191DB8">
            <w:pPr>
              <w:pStyle w:val="TableText"/>
              <w:spacing w:before="0" w:after="0"/>
              <w:jc w:val="center"/>
            </w:pPr>
          </w:p>
          <w:p w14:paraId="436855FC" w14:textId="1F53DCEE" w:rsidR="00FD1153" w:rsidRPr="00BC0D1F" w:rsidRDefault="00FD1153" w:rsidP="00191DB8">
            <w:pPr>
              <w:pStyle w:val="TableText"/>
              <w:spacing w:before="0" w:after="0"/>
              <w:jc w:val="center"/>
            </w:pPr>
            <w:r>
              <w:t>(4)</w:t>
            </w:r>
          </w:p>
        </w:tc>
        <w:tc>
          <w:tcPr>
            <w:tcW w:w="1595" w:type="dxa"/>
            <w:shd w:val="clear" w:color="auto" w:fill="auto"/>
          </w:tcPr>
          <w:p w14:paraId="14B7886E" w14:textId="4E01FCB7" w:rsidR="00FD1153" w:rsidRPr="00BC0D1F" w:rsidRDefault="00D74409" w:rsidP="00191DB8">
            <w:pPr>
              <w:pStyle w:val="TableText"/>
              <w:spacing w:after="0"/>
              <w:jc w:val="center"/>
            </w:pPr>
            <w:r w:rsidRPr="00BC0D1F">
              <w:t>Neither satisfied nor dissatisfied</w:t>
            </w:r>
            <w:r w:rsidR="00FD1153">
              <w:t xml:space="preserve"> (3)</w:t>
            </w:r>
          </w:p>
        </w:tc>
        <w:tc>
          <w:tcPr>
            <w:tcW w:w="1595" w:type="dxa"/>
            <w:shd w:val="clear" w:color="auto" w:fill="auto"/>
          </w:tcPr>
          <w:p w14:paraId="3D48CEB9" w14:textId="77777777" w:rsidR="00D74409" w:rsidRDefault="00D74409" w:rsidP="00191DB8">
            <w:pPr>
              <w:pStyle w:val="TableText"/>
              <w:spacing w:after="0"/>
              <w:jc w:val="center"/>
            </w:pPr>
            <w:r w:rsidRPr="00BC0D1F">
              <w:t>Dissatisfied</w:t>
            </w:r>
          </w:p>
          <w:p w14:paraId="74FFACC0" w14:textId="77777777" w:rsidR="00191DB8" w:rsidRDefault="00191DB8" w:rsidP="00191DB8">
            <w:pPr>
              <w:pStyle w:val="TableText"/>
              <w:spacing w:before="0" w:after="0"/>
              <w:jc w:val="center"/>
            </w:pPr>
          </w:p>
          <w:p w14:paraId="5FF99C4E" w14:textId="2D2F6BAC" w:rsidR="00FD1153" w:rsidRPr="00BC0D1F" w:rsidRDefault="00FD1153" w:rsidP="00191DB8">
            <w:pPr>
              <w:pStyle w:val="TableText"/>
              <w:spacing w:before="0" w:after="0"/>
              <w:jc w:val="center"/>
            </w:pPr>
            <w:r>
              <w:t>(2)</w:t>
            </w:r>
          </w:p>
        </w:tc>
        <w:tc>
          <w:tcPr>
            <w:tcW w:w="1595" w:type="dxa"/>
            <w:shd w:val="clear" w:color="auto" w:fill="auto"/>
          </w:tcPr>
          <w:p w14:paraId="46CA5769" w14:textId="77777777" w:rsidR="00FD1153" w:rsidRDefault="00D74409" w:rsidP="00191DB8">
            <w:pPr>
              <w:pStyle w:val="TableText"/>
              <w:spacing w:after="0"/>
              <w:jc w:val="center"/>
            </w:pPr>
            <w:r w:rsidRPr="00BC0D1F">
              <w:t>Very dissatisfied</w:t>
            </w:r>
          </w:p>
          <w:p w14:paraId="0F93263B" w14:textId="77777777" w:rsidR="00191DB8" w:rsidRDefault="00191DB8" w:rsidP="00191DB8">
            <w:pPr>
              <w:pStyle w:val="TableText"/>
              <w:spacing w:before="0" w:after="0"/>
              <w:jc w:val="center"/>
            </w:pPr>
          </w:p>
          <w:p w14:paraId="05EE4CF5" w14:textId="5B883939" w:rsidR="00FD1153" w:rsidRPr="00BC0D1F" w:rsidRDefault="00FD1153" w:rsidP="00191DB8">
            <w:pPr>
              <w:pStyle w:val="TableText"/>
              <w:spacing w:before="0" w:after="0"/>
              <w:jc w:val="center"/>
            </w:pPr>
            <w:r>
              <w:t>(1)</w:t>
            </w:r>
          </w:p>
        </w:tc>
        <w:tc>
          <w:tcPr>
            <w:tcW w:w="1381" w:type="dxa"/>
            <w:shd w:val="clear" w:color="auto" w:fill="auto"/>
          </w:tcPr>
          <w:p w14:paraId="220B06B5" w14:textId="3904D0D8" w:rsidR="00D74409" w:rsidRPr="008753CB" w:rsidRDefault="00FD1153" w:rsidP="00191DB8">
            <w:pPr>
              <w:pStyle w:val="TableText"/>
              <w:spacing w:after="0"/>
              <w:jc w:val="center"/>
              <w:rPr>
                <w:b/>
                <w:i/>
              </w:rPr>
            </w:pPr>
            <w:r w:rsidRPr="008753CB">
              <w:rPr>
                <w:b/>
                <w:i/>
              </w:rPr>
              <w:t>Average Score</w:t>
            </w:r>
          </w:p>
        </w:tc>
      </w:tr>
      <w:tr w:rsidR="00D74409" w:rsidRPr="00BC0D1F" w14:paraId="42BA649C" w14:textId="77777777" w:rsidTr="00F06348">
        <w:trPr>
          <w:cantSplit/>
        </w:trPr>
        <w:tc>
          <w:tcPr>
            <w:tcW w:w="9356" w:type="dxa"/>
            <w:gridSpan w:val="6"/>
            <w:shd w:val="clear" w:color="auto" w:fill="auto"/>
          </w:tcPr>
          <w:p w14:paraId="3BDDB01F" w14:textId="3277DA94" w:rsidR="00D74409" w:rsidRPr="00BC0D1F" w:rsidRDefault="00D74409" w:rsidP="00D74409">
            <w:pPr>
              <w:pStyle w:val="TableText"/>
            </w:pPr>
            <w:r w:rsidRPr="00BC0D1F">
              <w:rPr>
                <w:lang w:eastAsia="en-NZ"/>
              </w:rPr>
              <w:t>How satisfied are you with the quality of analysis, information, advice, committee papers and reports (</w:t>
            </w:r>
            <w:proofErr w:type="spellStart"/>
            <w:r w:rsidRPr="00BC0D1F">
              <w:rPr>
                <w:lang w:eastAsia="en-NZ"/>
              </w:rPr>
              <w:t>ie</w:t>
            </w:r>
            <w:proofErr w:type="spellEnd"/>
            <w:r w:rsidRPr="00BC0D1F">
              <w:rPr>
                <w:lang w:eastAsia="en-NZ"/>
              </w:rPr>
              <w:t>, non-administrative support) provided over the past 12 months?</w:t>
            </w:r>
          </w:p>
        </w:tc>
      </w:tr>
      <w:tr w:rsidR="00810942" w:rsidRPr="00BC0D1F" w14:paraId="05F1BF4F" w14:textId="77777777" w:rsidTr="00F06348">
        <w:trPr>
          <w:cantSplit/>
        </w:trPr>
        <w:tc>
          <w:tcPr>
            <w:tcW w:w="1595" w:type="dxa"/>
            <w:shd w:val="clear" w:color="auto" w:fill="auto"/>
          </w:tcPr>
          <w:p w14:paraId="03B29C3A" w14:textId="77777777" w:rsidR="00D74409" w:rsidRPr="00BC0D1F" w:rsidRDefault="00D74409" w:rsidP="00F06348">
            <w:pPr>
              <w:pStyle w:val="TableText"/>
              <w:jc w:val="center"/>
            </w:pPr>
            <w:r w:rsidRPr="00BC0D1F">
              <w:t>9</w:t>
            </w:r>
          </w:p>
        </w:tc>
        <w:tc>
          <w:tcPr>
            <w:tcW w:w="1595" w:type="dxa"/>
            <w:shd w:val="clear" w:color="auto" w:fill="auto"/>
          </w:tcPr>
          <w:p w14:paraId="76201198" w14:textId="77777777" w:rsidR="00D74409" w:rsidRPr="00BC0D1F" w:rsidRDefault="00D74409" w:rsidP="00F06348">
            <w:pPr>
              <w:pStyle w:val="TableText"/>
              <w:jc w:val="center"/>
            </w:pPr>
            <w:r w:rsidRPr="00BC0D1F">
              <w:t>4</w:t>
            </w:r>
          </w:p>
        </w:tc>
        <w:tc>
          <w:tcPr>
            <w:tcW w:w="1595" w:type="dxa"/>
            <w:shd w:val="clear" w:color="auto" w:fill="auto"/>
          </w:tcPr>
          <w:p w14:paraId="474FDAB8" w14:textId="77777777" w:rsidR="00D74409" w:rsidRPr="00BC0D1F" w:rsidRDefault="00D74409" w:rsidP="00F06348">
            <w:pPr>
              <w:pStyle w:val="TableText"/>
              <w:jc w:val="center"/>
            </w:pPr>
            <w:r w:rsidRPr="00BC0D1F">
              <w:t>0</w:t>
            </w:r>
          </w:p>
        </w:tc>
        <w:tc>
          <w:tcPr>
            <w:tcW w:w="1595" w:type="dxa"/>
            <w:shd w:val="clear" w:color="auto" w:fill="auto"/>
          </w:tcPr>
          <w:p w14:paraId="5D86B143" w14:textId="77777777" w:rsidR="00D74409" w:rsidRPr="00BC0D1F" w:rsidRDefault="00D74409" w:rsidP="00F06348">
            <w:pPr>
              <w:pStyle w:val="TableText"/>
              <w:jc w:val="center"/>
            </w:pPr>
            <w:r w:rsidRPr="00BC0D1F">
              <w:t>1</w:t>
            </w:r>
          </w:p>
        </w:tc>
        <w:tc>
          <w:tcPr>
            <w:tcW w:w="1595" w:type="dxa"/>
            <w:shd w:val="clear" w:color="auto" w:fill="auto"/>
          </w:tcPr>
          <w:p w14:paraId="134B512D" w14:textId="77777777" w:rsidR="00D74409" w:rsidRPr="00BC0D1F" w:rsidRDefault="00D74409" w:rsidP="00F06348">
            <w:pPr>
              <w:pStyle w:val="TableText"/>
              <w:jc w:val="center"/>
            </w:pPr>
            <w:r w:rsidRPr="00BC0D1F">
              <w:t>0</w:t>
            </w:r>
          </w:p>
        </w:tc>
        <w:tc>
          <w:tcPr>
            <w:tcW w:w="1381" w:type="dxa"/>
            <w:shd w:val="clear" w:color="auto" w:fill="auto"/>
          </w:tcPr>
          <w:p w14:paraId="4B75EC29" w14:textId="08CCC923" w:rsidR="00D74409" w:rsidRPr="008753CB" w:rsidRDefault="00D74409" w:rsidP="00F06348">
            <w:pPr>
              <w:pStyle w:val="TableText"/>
              <w:jc w:val="center"/>
              <w:rPr>
                <w:b/>
                <w:i/>
              </w:rPr>
            </w:pPr>
            <w:r w:rsidRPr="008753CB">
              <w:rPr>
                <w:b/>
                <w:i/>
              </w:rPr>
              <w:t>4</w:t>
            </w:r>
            <w:r w:rsidR="00FD1153" w:rsidRPr="008753CB">
              <w:rPr>
                <w:b/>
                <w:i/>
              </w:rPr>
              <w:t>.5</w:t>
            </w:r>
          </w:p>
        </w:tc>
      </w:tr>
      <w:tr w:rsidR="00D74409" w:rsidRPr="00BC0D1F" w14:paraId="3C8831D0" w14:textId="77777777" w:rsidTr="00F06348">
        <w:trPr>
          <w:cantSplit/>
        </w:trPr>
        <w:tc>
          <w:tcPr>
            <w:tcW w:w="9356" w:type="dxa"/>
            <w:gridSpan w:val="6"/>
            <w:shd w:val="clear" w:color="auto" w:fill="auto"/>
          </w:tcPr>
          <w:p w14:paraId="2644E815" w14:textId="77777777" w:rsidR="00D74409" w:rsidRPr="00BC0D1F" w:rsidRDefault="00D74409" w:rsidP="00D74409">
            <w:pPr>
              <w:pStyle w:val="TableText"/>
            </w:pPr>
            <w:r w:rsidRPr="00BC0D1F">
              <w:rPr>
                <w:lang w:eastAsia="en-NZ"/>
              </w:rPr>
              <w:t>How satisfied are you with the administrative support provided to you over the past 12 months, including meeting arrangements and timeliness/quality of papers?</w:t>
            </w:r>
          </w:p>
        </w:tc>
      </w:tr>
      <w:tr w:rsidR="00810942" w:rsidRPr="00BC0D1F" w14:paraId="1679DB7A" w14:textId="77777777" w:rsidTr="00F06348">
        <w:trPr>
          <w:cantSplit/>
        </w:trPr>
        <w:tc>
          <w:tcPr>
            <w:tcW w:w="1595" w:type="dxa"/>
            <w:shd w:val="clear" w:color="auto" w:fill="auto"/>
          </w:tcPr>
          <w:p w14:paraId="4FEBDDA4" w14:textId="77777777" w:rsidR="00D74409" w:rsidRPr="00BC0D1F" w:rsidRDefault="00D74409" w:rsidP="00F06348">
            <w:pPr>
              <w:pStyle w:val="TableText"/>
              <w:jc w:val="center"/>
            </w:pPr>
            <w:r w:rsidRPr="00BC0D1F">
              <w:t>6</w:t>
            </w:r>
          </w:p>
        </w:tc>
        <w:tc>
          <w:tcPr>
            <w:tcW w:w="1595" w:type="dxa"/>
            <w:shd w:val="clear" w:color="auto" w:fill="auto"/>
          </w:tcPr>
          <w:p w14:paraId="26A2B7B1" w14:textId="77777777" w:rsidR="00D74409" w:rsidRPr="00BC0D1F" w:rsidRDefault="00D74409" w:rsidP="00F06348">
            <w:pPr>
              <w:pStyle w:val="TableText"/>
              <w:jc w:val="center"/>
            </w:pPr>
            <w:r w:rsidRPr="00BC0D1F">
              <w:t>4</w:t>
            </w:r>
          </w:p>
        </w:tc>
        <w:tc>
          <w:tcPr>
            <w:tcW w:w="1595" w:type="dxa"/>
            <w:shd w:val="clear" w:color="auto" w:fill="auto"/>
          </w:tcPr>
          <w:p w14:paraId="4B6DD658" w14:textId="77777777" w:rsidR="00D74409" w:rsidRPr="00BC0D1F" w:rsidRDefault="00D74409" w:rsidP="00F06348">
            <w:pPr>
              <w:pStyle w:val="TableText"/>
              <w:jc w:val="center"/>
            </w:pPr>
            <w:r w:rsidRPr="00BC0D1F">
              <w:t>3</w:t>
            </w:r>
          </w:p>
        </w:tc>
        <w:tc>
          <w:tcPr>
            <w:tcW w:w="1595" w:type="dxa"/>
            <w:shd w:val="clear" w:color="auto" w:fill="auto"/>
          </w:tcPr>
          <w:p w14:paraId="4FC4CE07" w14:textId="77777777" w:rsidR="00D74409" w:rsidRPr="00BC0D1F" w:rsidRDefault="00D74409" w:rsidP="00F06348">
            <w:pPr>
              <w:pStyle w:val="TableText"/>
              <w:jc w:val="center"/>
            </w:pPr>
            <w:r w:rsidRPr="00BC0D1F">
              <w:t>1</w:t>
            </w:r>
          </w:p>
        </w:tc>
        <w:tc>
          <w:tcPr>
            <w:tcW w:w="1595" w:type="dxa"/>
            <w:shd w:val="clear" w:color="auto" w:fill="auto"/>
          </w:tcPr>
          <w:p w14:paraId="4C20B723" w14:textId="77777777" w:rsidR="00D74409" w:rsidRPr="00BC0D1F" w:rsidRDefault="00D74409" w:rsidP="00F06348">
            <w:pPr>
              <w:pStyle w:val="TableText"/>
              <w:jc w:val="center"/>
            </w:pPr>
            <w:r w:rsidRPr="00BC0D1F">
              <w:t>0</w:t>
            </w:r>
          </w:p>
        </w:tc>
        <w:tc>
          <w:tcPr>
            <w:tcW w:w="1381" w:type="dxa"/>
            <w:shd w:val="clear" w:color="auto" w:fill="auto"/>
          </w:tcPr>
          <w:p w14:paraId="1E1E9654" w14:textId="334CEEF3" w:rsidR="00D74409" w:rsidRPr="008753CB" w:rsidRDefault="00D74409" w:rsidP="00F06348">
            <w:pPr>
              <w:pStyle w:val="TableText"/>
              <w:jc w:val="center"/>
              <w:rPr>
                <w:b/>
                <w:i/>
              </w:rPr>
            </w:pPr>
            <w:r w:rsidRPr="008753CB">
              <w:rPr>
                <w:b/>
                <w:i/>
              </w:rPr>
              <w:t>4</w:t>
            </w:r>
            <w:r w:rsidR="00FD1153" w:rsidRPr="008753CB">
              <w:rPr>
                <w:b/>
                <w:i/>
              </w:rPr>
              <w:t>.1</w:t>
            </w:r>
          </w:p>
        </w:tc>
      </w:tr>
      <w:tr w:rsidR="00D74409" w:rsidRPr="00BC0D1F" w14:paraId="101EA4E1" w14:textId="77777777" w:rsidTr="00F06348">
        <w:trPr>
          <w:cantSplit/>
        </w:trPr>
        <w:tc>
          <w:tcPr>
            <w:tcW w:w="9356" w:type="dxa"/>
            <w:gridSpan w:val="6"/>
            <w:shd w:val="clear" w:color="auto" w:fill="auto"/>
          </w:tcPr>
          <w:p w14:paraId="5BE58B52" w14:textId="77777777" w:rsidR="00D74409" w:rsidRPr="00BC0D1F" w:rsidRDefault="00D74409" w:rsidP="00D74409">
            <w:pPr>
              <w:pStyle w:val="TableText"/>
            </w:pPr>
            <w:r w:rsidRPr="00BC0D1F">
              <w:rPr>
                <w:lang w:eastAsia="en-NZ"/>
              </w:rPr>
              <w:t xml:space="preserve">Overall, how satisfied are you with the overall support provided to your committee by the Ministry in the past 12 months? </w:t>
            </w:r>
          </w:p>
        </w:tc>
      </w:tr>
      <w:tr w:rsidR="00810942" w:rsidRPr="00BC0D1F" w14:paraId="192C8F32" w14:textId="77777777" w:rsidTr="00F06348">
        <w:trPr>
          <w:cantSplit/>
        </w:trPr>
        <w:tc>
          <w:tcPr>
            <w:tcW w:w="1595" w:type="dxa"/>
            <w:shd w:val="clear" w:color="auto" w:fill="auto"/>
          </w:tcPr>
          <w:p w14:paraId="02A80849" w14:textId="77777777" w:rsidR="00D74409" w:rsidRPr="00BC0D1F" w:rsidRDefault="00D74409" w:rsidP="00F06348">
            <w:pPr>
              <w:pStyle w:val="TableText"/>
              <w:jc w:val="center"/>
            </w:pPr>
            <w:r w:rsidRPr="00BC0D1F">
              <w:t>6</w:t>
            </w:r>
          </w:p>
        </w:tc>
        <w:tc>
          <w:tcPr>
            <w:tcW w:w="1595" w:type="dxa"/>
            <w:shd w:val="clear" w:color="auto" w:fill="auto"/>
          </w:tcPr>
          <w:p w14:paraId="03528302" w14:textId="77777777" w:rsidR="00D74409" w:rsidRPr="00BC0D1F" w:rsidRDefault="00D74409" w:rsidP="00F06348">
            <w:pPr>
              <w:pStyle w:val="TableText"/>
              <w:jc w:val="center"/>
            </w:pPr>
            <w:r w:rsidRPr="00BC0D1F">
              <w:t>4</w:t>
            </w:r>
          </w:p>
        </w:tc>
        <w:tc>
          <w:tcPr>
            <w:tcW w:w="1595" w:type="dxa"/>
            <w:shd w:val="clear" w:color="auto" w:fill="auto"/>
          </w:tcPr>
          <w:p w14:paraId="0F7896D5" w14:textId="77777777" w:rsidR="00D74409" w:rsidRPr="00BC0D1F" w:rsidRDefault="00D74409" w:rsidP="00F06348">
            <w:pPr>
              <w:pStyle w:val="TableText"/>
              <w:jc w:val="center"/>
            </w:pPr>
            <w:r w:rsidRPr="00BC0D1F">
              <w:t>1</w:t>
            </w:r>
          </w:p>
        </w:tc>
        <w:tc>
          <w:tcPr>
            <w:tcW w:w="1595" w:type="dxa"/>
            <w:shd w:val="clear" w:color="auto" w:fill="auto"/>
          </w:tcPr>
          <w:p w14:paraId="203F2F36" w14:textId="77777777" w:rsidR="00D74409" w:rsidRPr="00BC0D1F" w:rsidRDefault="00D74409" w:rsidP="00F06348">
            <w:pPr>
              <w:pStyle w:val="TableText"/>
              <w:jc w:val="center"/>
            </w:pPr>
            <w:r w:rsidRPr="00BC0D1F">
              <w:t>2</w:t>
            </w:r>
          </w:p>
        </w:tc>
        <w:tc>
          <w:tcPr>
            <w:tcW w:w="1595" w:type="dxa"/>
            <w:shd w:val="clear" w:color="auto" w:fill="auto"/>
          </w:tcPr>
          <w:p w14:paraId="3302E18F" w14:textId="77777777" w:rsidR="00D74409" w:rsidRPr="00BC0D1F" w:rsidRDefault="00D74409" w:rsidP="00F06348">
            <w:pPr>
              <w:pStyle w:val="TableText"/>
              <w:jc w:val="center"/>
            </w:pPr>
            <w:r w:rsidRPr="00BC0D1F">
              <w:t>1</w:t>
            </w:r>
          </w:p>
        </w:tc>
        <w:tc>
          <w:tcPr>
            <w:tcW w:w="1381" w:type="dxa"/>
            <w:shd w:val="clear" w:color="auto" w:fill="auto"/>
          </w:tcPr>
          <w:p w14:paraId="10940265" w14:textId="2977B2B3" w:rsidR="00D74409" w:rsidRPr="008753CB" w:rsidRDefault="00FD1153" w:rsidP="00F06348">
            <w:pPr>
              <w:pStyle w:val="TableText"/>
              <w:jc w:val="center"/>
              <w:rPr>
                <w:b/>
                <w:i/>
              </w:rPr>
            </w:pPr>
            <w:r w:rsidRPr="008753CB">
              <w:rPr>
                <w:b/>
                <w:i/>
              </w:rPr>
              <w:t>3.9</w:t>
            </w:r>
          </w:p>
        </w:tc>
      </w:tr>
    </w:tbl>
    <w:p w14:paraId="3A94DC67" w14:textId="77777777" w:rsidR="00FD1153" w:rsidRPr="00BC0D1F" w:rsidRDefault="00FD1153" w:rsidP="00A32F04"/>
    <w:p w14:paraId="4DC31D0E" w14:textId="77777777" w:rsidR="00DF4B9A" w:rsidRPr="00BC0D1F" w:rsidRDefault="00AD72CC" w:rsidP="00482FD3">
      <w:pPr>
        <w:pStyle w:val="Heading1"/>
      </w:pPr>
      <w:bookmarkStart w:id="72" w:name="_Toc334024785"/>
      <w:bookmarkStart w:id="73" w:name="_Toc336344017"/>
      <w:bookmarkStart w:id="74" w:name="_Toc337209188"/>
      <w:bookmarkStart w:id="75" w:name="_Toc368320022"/>
      <w:bookmarkStart w:id="76" w:name="_Toc398730610"/>
      <w:bookmarkStart w:id="77" w:name="_Toc388007463"/>
      <w:bookmarkStart w:id="78" w:name="_Toc388008156"/>
      <w:bookmarkStart w:id="79" w:name="_Toc419977153"/>
      <w:bookmarkStart w:id="80" w:name="_Toc430768827"/>
      <w:bookmarkStart w:id="81" w:name="_Toc459730016"/>
      <w:bookmarkStart w:id="82" w:name="_Toc461544289"/>
      <w:bookmarkStart w:id="83" w:name="_Toc463507919"/>
      <w:r w:rsidRPr="00BC0D1F">
        <w:lastRenderedPageBreak/>
        <w:t>Statement of performance</w:t>
      </w:r>
      <w:bookmarkEnd w:id="72"/>
      <w:bookmarkEnd w:id="73"/>
      <w:bookmarkEnd w:id="74"/>
      <w:bookmarkEnd w:id="75"/>
      <w:bookmarkEnd w:id="76"/>
      <w:bookmarkEnd w:id="77"/>
      <w:bookmarkEnd w:id="78"/>
      <w:bookmarkEnd w:id="79"/>
      <w:bookmarkEnd w:id="80"/>
      <w:bookmarkEnd w:id="81"/>
      <w:bookmarkEnd w:id="82"/>
      <w:bookmarkEnd w:id="83"/>
    </w:p>
    <w:p w14:paraId="513E91CE" w14:textId="77777777" w:rsidR="00AD72CC" w:rsidRPr="00BC0D1F" w:rsidRDefault="00AD72CC" w:rsidP="00BE59A9">
      <w:pPr>
        <w:pStyle w:val="Heading2"/>
      </w:pPr>
      <w:bookmarkStart w:id="84" w:name="_Toc390694259"/>
      <w:bookmarkStart w:id="85" w:name="_Toc394930517"/>
      <w:bookmarkStart w:id="86" w:name="_Toc398730611"/>
      <w:bookmarkStart w:id="87" w:name="_Toc419977154"/>
      <w:bookmarkStart w:id="88" w:name="_Toc430768828"/>
      <w:bookmarkStart w:id="89" w:name="_Toc459730017"/>
      <w:bookmarkStart w:id="90" w:name="_Toc461544290"/>
      <w:bookmarkStart w:id="91" w:name="_Toc463507920"/>
      <w:bookmarkStart w:id="92" w:name="_Toc334024786"/>
      <w:bookmarkStart w:id="93" w:name="_Toc336344018"/>
      <w:bookmarkStart w:id="94" w:name="_Toc337209189"/>
      <w:bookmarkStart w:id="95" w:name="_Toc368320023"/>
      <w:bookmarkStart w:id="96" w:name="_Toc388007464"/>
      <w:bookmarkStart w:id="97" w:name="_Toc388008157"/>
      <w:r w:rsidRPr="00BC0D1F">
        <w:t>Introduction</w:t>
      </w:r>
      <w:bookmarkEnd w:id="84"/>
      <w:bookmarkEnd w:id="85"/>
      <w:bookmarkEnd w:id="86"/>
      <w:bookmarkEnd w:id="87"/>
      <w:bookmarkEnd w:id="88"/>
      <w:bookmarkEnd w:id="89"/>
      <w:bookmarkEnd w:id="90"/>
      <w:bookmarkEnd w:id="91"/>
    </w:p>
    <w:p w14:paraId="686C5F01" w14:textId="700F4F5F" w:rsidR="00AD72CC" w:rsidRPr="00BC0D1F" w:rsidRDefault="00AD72CC" w:rsidP="001157A2">
      <w:r w:rsidRPr="00BC0D1F">
        <w:t>This section outlines the Ministry</w:t>
      </w:r>
      <w:r w:rsidR="00DF4B9A" w:rsidRPr="00BC0D1F">
        <w:t>’</w:t>
      </w:r>
      <w:r w:rsidRPr="00BC0D1F">
        <w:t>s performance and meets the requirements of the Public Finance Act 1989. Performance measures enable the reporting of the quantity, quality, timeliness and cost-effectiveness of the Ministry</w:t>
      </w:r>
      <w:r w:rsidR="00DF4B9A" w:rsidRPr="00BC0D1F">
        <w:t>’</w:t>
      </w:r>
      <w:r w:rsidRPr="00BC0D1F">
        <w:t>s outputs. The measures also provide key information about the Ministry</w:t>
      </w:r>
      <w:r w:rsidR="00DF4B9A" w:rsidRPr="00BC0D1F">
        <w:t>’</w:t>
      </w:r>
      <w:r w:rsidRPr="00BC0D1F">
        <w:t xml:space="preserve">s overall performance and role. The </w:t>
      </w:r>
      <w:r w:rsidRPr="00BC0D1F">
        <w:rPr>
          <w:noProof/>
        </w:rPr>
        <w:t xml:space="preserve">performance </w:t>
      </w:r>
      <w:r w:rsidRPr="00BC0D1F">
        <w:t>measures show the Ministry</w:t>
      </w:r>
      <w:r w:rsidR="00DF4B9A" w:rsidRPr="00BC0D1F">
        <w:t>’</w:t>
      </w:r>
      <w:r w:rsidRPr="00BC0D1F">
        <w:t>s outputs against the performance measures from the Estimates.</w:t>
      </w:r>
    </w:p>
    <w:p w14:paraId="20859B08" w14:textId="77777777" w:rsidR="00AD72CC" w:rsidRPr="00BC0D1F" w:rsidRDefault="00AD72CC" w:rsidP="001157A2"/>
    <w:p w14:paraId="40994A70" w14:textId="77777777" w:rsidR="00AD72CC" w:rsidRPr="00BC0D1F" w:rsidRDefault="00AD72CC" w:rsidP="001157A2">
      <w:r w:rsidRPr="00BC0D1F">
        <w:t>This section groups and presents the Ministry</w:t>
      </w:r>
      <w:r w:rsidR="00DF4B9A" w:rsidRPr="00BC0D1F">
        <w:t>’</w:t>
      </w:r>
      <w:r w:rsidRPr="00BC0D1F">
        <w:t>s performance measure results by appropriation within Vote Health. The Ministry has met or exceeded most of its targets; explanations are provided if the variance is greater, or less than, 10 percent. A number of the targets not achieved were demand-driven results.</w:t>
      </w:r>
    </w:p>
    <w:p w14:paraId="53C97DEF" w14:textId="77777777" w:rsidR="00AD72CC" w:rsidRPr="00BC0D1F" w:rsidRDefault="00AD72CC" w:rsidP="001157A2"/>
    <w:p w14:paraId="73F10C18" w14:textId="77777777" w:rsidR="00AD72CC" w:rsidRPr="00BC0D1F" w:rsidRDefault="00AD72CC" w:rsidP="00AD72CC">
      <w:pPr>
        <w:pStyle w:val="Table"/>
      </w:pPr>
      <w:bookmarkStart w:id="98" w:name="_Toc337209260"/>
      <w:bookmarkStart w:id="99" w:name="_Toc398730643"/>
      <w:bookmarkStart w:id="100" w:name="_Toc418686687"/>
      <w:bookmarkStart w:id="101" w:name="_Toc430768616"/>
      <w:bookmarkStart w:id="102" w:name="_Toc452123754"/>
      <w:bookmarkStart w:id="103" w:name="_Toc462926709"/>
      <w:r w:rsidRPr="00BC0D1F">
        <w:t>Table 4: Summary of service performance measures, by departmental expense appropriation</w:t>
      </w:r>
      <w:bookmarkEnd w:id="98"/>
      <w:bookmarkEnd w:id="99"/>
      <w:bookmarkEnd w:id="100"/>
      <w:bookmarkEnd w:id="101"/>
      <w:bookmarkEnd w:id="102"/>
      <w:bookmarkEnd w:id="103"/>
    </w:p>
    <w:tbl>
      <w:tblPr>
        <w:tblW w:w="4940" w:type="pct"/>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4109"/>
        <w:gridCol w:w="1748"/>
        <w:gridCol w:w="1749"/>
        <w:gridCol w:w="1749"/>
      </w:tblGrid>
      <w:tr w:rsidR="00AD72CC" w:rsidRPr="00BC0D1F" w14:paraId="3A33B841" w14:textId="77777777" w:rsidTr="00493A42">
        <w:trPr>
          <w:cantSplit/>
        </w:trPr>
        <w:tc>
          <w:tcPr>
            <w:tcW w:w="2196" w:type="pct"/>
            <w:tcBorders>
              <w:top w:val="single" w:sz="4" w:space="0" w:color="auto"/>
              <w:bottom w:val="single" w:sz="4" w:space="0" w:color="auto"/>
            </w:tcBorders>
          </w:tcPr>
          <w:p w14:paraId="0169DF7F" w14:textId="77777777" w:rsidR="00AD72CC" w:rsidRPr="00BC0D1F" w:rsidRDefault="00AD72CC" w:rsidP="00493A42">
            <w:pPr>
              <w:pStyle w:val="TableText"/>
              <w:rPr>
                <w:b/>
                <w:color w:val="000000"/>
              </w:rPr>
            </w:pPr>
          </w:p>
        </w:tc>
        <w:tc>
          <w:tcPr>
            <w:tcW w:w="934" w:type="pct"/>
            <w:tcBorders>
              <w:top w:val="single" w:sz="4" w:space="0" w:color="auto"/>
              <w:bottom w:val="single" w:sz="4" w:space="0" w:color="auto"/>
            </w:tcBorders>
          </w:tcPr>
          <w:p w14:paraId="55AFB878" w14:textId="77777777" w:rsidR="00AD72CC" w:rsidRPr="00BC0D1F" w:rsidRDefault="00AD72CC" w:rsidP="00493A42">
            <w:pPr>
              <w:pStyle w:val="TableText"/>
              <w:jc w:val="center"/>
              <w:rPr>
                <w:b/>
                <w:color w:val="000000"/>
              </w:rPr>
            </w:pPr>
            <w:r w:rsidRPr="00BC0D1F">
              <w:rPr>
                <w:b/>
                <w:color w:val="000000"/>
              </w:rPr>
              <w:t>Total</w:t>
            </w:r>
            <w:r w:rsidRPr="00BC0D1F">
              <w:rPr>
                <w:b/>
                <w:color w:val="000000"/>
              </w:rPr>
              <w:br/>
              <w:t>measures</w:t>
            </w:r>
          </w:p>
        </w:tc>
        <w:tc>
          <w:tcPr>
            <w:tcW w:w="935" w:type="pct"/>
            <w:tcBorders>
              <w:top w:val="single" w:sz="4" w:space="0" w:color="auto"/>
              <w:bottom w:val="single" w:sz="4" w:space="0" w:color="auto"/>
            </w:tcBorders>
          </w:tcPr>
          <w:p w14:paraId="5144A950" w14:textId="77777777" w:rsidR="00AD72CC" w:rsidRPr="00BC0D1F" w:rsidRDefault="00AD72CC" w:rsidP="00493A42">
            <w:pPr>
              <w:pStyle w:val="TableText"/>
              <w:jc w:val="center"/>
              <w:rPr>
                <w:b/>
                <w:color w:val="000000"/>
              </w:rPr>
            </w:pPr>
            <w:r w:rsidRPr="00BC0D1F">
              <w:rPr>
                <w:b/>
                <w:color w:val="000000"/>
              </w:rPr>
              <w:t>Targets</w:t>
            </w:r>
            <w:r w:rsidRPr="00BC0D1F">
              <w:rPr>
                <w:b/>
                <w:color w:val="000000"/>
              </w:rPr>
              <w:br/>
              <w:t>achieved</w:t>
            </w:r>
          </w:p>
        </w:tc>
        <w:tc>
          <w:tcPr>
            <w:tcW w:w="935" w:type="pct"/>
            <w:tcBorders>
              <w:top w:val="single" w:sz="4" w:space="0" w:color="auto"/>
              <w:bottom w:val="single" w:sz="4" w:space="0" w:color="auto"/>
            </w:tcBorders>
          </w:tcPr>
          <w:p w14:paraId="52203F92" w14:textId="77777777" w:rsidR="00AD72CC" w:rsidRPr="00BC0D1F" w:rsidRDefault="00AD72CC" w:rsidP="00493A42">
            <w:pPr>
              <w:pStyle w:val="TableText"/>
              <w:jc w:val="center"/>
              <w:rPr>
                <w:b/>
                <w:color w:val="000000"/>
              </w:rPr>
            </w:pPr>
            <w:r w:rsidRPr="00BC0D1F">
              <w:rPr>
                <w:b/>
                <w:color w:val="000000"/>
              </w:rPr>
              <w:t>Targets not achieved</w:t>
            </w:r>
          </w:p>
        </w:tc>
      </w:tr>
      <w:tr w:rsidR="00AD72CC" w:rsidRPr="00BC0D1F" w14:paraId="11E9A324" w14:textId="77777777" w:rsidTr="00301EBE">
        <w:trPr>
          <w:cantSplit/>
        </w:trPr>
        <w:tc>
          <w:tcPr>
            <w:tcW w:w="2196" w:type="pct"/>
            <w:tcBorders>
              <w:top w:val="single" w:sz="4" w:space="0" w:color="auto"/>
              <w:bottom w:val="nil"/>
            </w:tcBorders>
          </w:tcPr>
          <w:p w14:paraId="6D3064E3" w14:textId="77777777" w:rsidR="00AD72CC" w:rsidRPr="00BC0D1F" w:rsidRDefault="00AD72CC" w:rsidP="00493A42">
            <w:pPr>
              <w:pStyle w:val="TableText"/>
              <w:rPr>
                <w:color w:val="000000"/>
              </w:rPr>
            </w:pPr>
            <w:r w:rsidRPr="00BC0D1F">
              <w:rPr>
                <w:color w:val="000000"/>
              </w:rPr>
              <w:t>Health sector information systems</w:t>
            </w:r>
          </w:p>
        </w:tc>
        <w:tc>
          <w:tcPr>
            <w:tcW w:w="934" w:type="pct"/>
            <w:tcBorders>
              <w:top w:val="single" w:sz="4" w:space="0" w:color="auto"/>
              <w:bottom w:val="nil"/>
            </w:tcBorders>
          </w:tcPr>
          <w:p w14:paraId="749B390B" w14:textId="77777777" w:rsidR="00AD72CC" w:rsidRPr="00BC0D1F" w:rsidRDefault="00AD72CC" w:rsidP="00493A42">
            <w:pPr>
              <w:pStyle w:val="TableText"/>
              <w:tabs>
                <w:tab w:val="decimal" w:pos="937"/>
              </w:tabs>
              <w:rPr>
                <w:color w:val="000000"/>
              </w:rPr>
            </w:pPr>
            <w:r w:rsidRPr="00BC0D1F">
              <w:rPr>
                <w:color w:val="000000"/>
              </w:rPr>
              <w:t>5</w:t>
            </w:r>
          </w:p>
        </w:tc>
        <w:tc>
          <w:tcPr>
            <w:tcW w:w="935" w:type="pct"/>
            <w:tcBorders>
              <w:top w:val="single" w:sz="4" w:space="0" w:color="auto"/>
              <w:bottom w:val="nil"/>
            </w:tcBorders>
          </w:tcPr>
          <w:p w14:paraId="01E86073" w14:textId="77777777" w:rsidR="00AD72CC" w:rsidRPr="00BC0D1F" w:rsidRDefault="00AD72CC" w:rsidP="00493A42">
            <w:pPr>
              <w:pStyle w:val="TableText"/>
              <w:tabs>
                <w:tab w:val="decimal" w:pos="937"/>
              </w:tabs>
              <w:rPr>
                <w:color w:val="000000"/>
              </w:rPr>
            </w:pPr>
            <w:r w:rsidRPr="00BC0D1F">
              <w:rPr>
                <w:color w:val="000000"/>
              </w:rPr>
              <w:t>5</w:t>
            </w:r>
          </w:p>
        </w:tc>
        <w:tc>
          <w:tcPr>
            <w:tcW w:w="935" w:type="pct"/>
            <w:tcBorders>
              <w:top w:val="single" w:sz="4" w:space="0" w:color="auto"/>
              <w:bottom w:val="nil"/>
            </w:tcBorders>
          </w:tcPr>
          <w:p w14:paraId="4AC8BC39" w14:textId="77777777" w:rsidR="00AD72CC" w:rsidRPr="00BC0D1F" w:rsidRDefault="00AD72CC" w:rsidP="00493A42">
            <w:pPr>
              <w:pStyle w:val="TableText"/>
              <w:tabs>
                <w:tab w:val="decimal" w:pos="842"/>
              </w:tabs>
              <w:rPr>
                <w:color w:val="000000"/>
              </w:rPr>
            </w:pPr>
            <w:r w:rsidRPr="00BC0D1F">
              <w:rPr>
                <w:color w:val="000000"/>
              </w:rPr>
              <w:t>0</w:t>
            </w:r>
          </w:p>
        </w:tc>
      </w:tr>
      <w:tr w:rsidR="00AD72CC" w:rsidRPr="00BC0D1F" w14:paraId="6EE4B4A4" w14:textId="77777777" w:rsidTr="00301EBE">
        <w:trPr>
          <w:cantSplit/>
        </w:trPr>
        <w:tc>
          <w:tcPr>
            <w:tcW w:w="2196" w:type="pct"/>
            <w:tcBorders>
              <w:top w:val="nil"/>
              <w:bottom w:val="nil"/>
            </w:tcBorders>
          </w:tcPr>
          <w:p w14:paraId="4B244AAF" w14:textId="77777777" w:rsidR="00AD72CC" w:rsidRPr="00BC0D1F" w:rsidRDefault="00AD72CC" w:rsidP="00493A42">
            <w:pPr>
              <w:pStyle w:val="TableText"/>
              <w:rPr>
                <w:color w:val="000000"/>
              </w:rPr>
            </w:pPr>
            <w:r w:rsidRPr="00BC0D1F">
              <w:rPr>
                <w:color w:val="000000"/>
              </w:rPr>
              <w:t>Managing the purchase of services</w:t>
            </w:r>
          </w:p>
        </w:tc>
        <w:tc>
          <w:tcPr>
            <w:tcW w:w="934" w:type="pct"/>
            <w:tcBorders>
              <w:top w:val="nil"/>
              <w:bottom w:val="nil"/>
            </w:tcBorders>
          </w:tcPr>
          <w:p w14:paraId="4A51F4AA" w14:textId="77777777" w:rsidR="00AD72CC" w:rsidRPr="00BC0D1F" w:rsidRDefault="00AD72CC" w:rsidP="00493A42">
            <w:pPr>
              <w:pStyle w:val="TableText"/>
              <w:tabs>
                <w:tab w:val="decimal" w:pos="937"/>
              </w:tabs>
              <w:rPr>
                <w:color w:val="000000"/>
              </w:rPr>
            </w:pPr>
            <w:r w:rsidRPr="00BC0D1F">
              <w:rPr>
                <w:color w:val="000000"/>
              </w:rPr>
              <w:t>6</w:t>
            </w:r>
          </w:p>
        </w:tc>
        <w:tc>
          <w:tcPr>
            <w:tcW w:w="935" w:type="pct"/>
            <w:tcBorders>
              <w:top w:val="nil"/>
              <w:bottom w:val="nil"/>
            </w:tcBorders>
          </w:tcPr>
          <w:p w14:paraId="4523F679" w14:textId="77777777" w:rsidR="00AD72CC" w:rsidRPr="00BC0D1F" w:rsidRDefault="00AD72CC" w:rsidP="00493A42">
            <w:pPr>
              <w:pStyle w:val="TableText"/>
              <w:tabs>
                <w:tab w:val="decimal" w:pos="937"/>
              </w:tabs>
              <w:rPr>
                <w:color w:val="000000"/>
              </w:rPr>
            </w:pPr>
            <w:r w:rsidRPr="00BC0D1F">
              <w:rPr>
                <w:color w:val="000000"/>
              </w:rPr>
              <w:t>5</w:t>
            </w:r>
          </w:p>
        </w:tc>
        <w:tc>
          <w:tcPr>
            <w:tcW w:w="935" w:type="pct"/>
            <w:tcBorders>
              <w:top w:val="nil"/>
              <w:bottom w:val="nil"/>
            </w:tcBorders>
          </w:tcPr>
          <w:p w14:paraId="0FB35C32" w14:textId="77777777" w:rsidR="00AD72CC" w:rsidRPr="00BC0D1F" w:rsidRDefault="00AD72CC" w:rsidP="00493A42">
            <w:pPr>
              <w:pStyle w:val="TableText"/>
              <w:tabs>
                <w:tab w:val="decimal" w:pos="842"/>
              </w:tabs>
              <w:rPr>
                <w:color w:val="000000"/>
              </w:rPr>
            </w:pPr>
            <w:r w:rsidRPr="00BC0D1F">
              <w:rPr>
                <w:color w:val="000000"/>
              </w:rPr>
              <w:t>1</w:t>
            </w:r>
          </w:p>
        </w:tc>
      </w:tr>
      <w:tr w:rsidR="00AD72CC" w:rsidRPr="00BC0D1F" w14:paraId="0A2CE251" w14:textId="77777777" w:rsidTr="00301EBE">
        <w:trPr>
          <w:cantSplit/>
        </w:trPr>
        <w:tc>
          <w:tcPr>
            <w:tcW w:w="2196" w:type="pct"/>
            <w:tcBorders>
              <w:top w:val="nil"/>
              <w:bottom w:val="nil"/>
            </w:tcBorders>
          </w:tcPr>
          <w:p w14:paraId="56F2E68C" w14:textId="77777777" w:rsidR="00AD72CC" w:rsidRPr="00BC0D1F" w:rsidRDefault="00AD72CC" w:rsidP="00493A42">
            <w:pPr>
              <w:pStyle w:val="TableText"/>
              <w:rPr>
                <w:color w:val="000000"/>
              </w:rPr>
            </w:pPr>
            <w:r w:rsidRPr="00BC0D1F">
              <w:rPr>
                <w:color w:val="000000"/>
              </w:rPr>
              <w:t>Payment services</w:t>
            </w:r>
          </w:p>
        </w:tc>
        <w:tc>
          <w:tcPr>
            <w:tcW w:w="934" w:type="pct"/>
            <w:tcBorders>
              <w:top w:val="nil"/>
              <w:bottom w:val="nil"/>
            </w:tcBorders>
          </w:tcPr>
          <w:p w14:paraId="3F836326" w14:textId="77777777" w:rsidR="00AD72CC" w:rsidRPr="00BC0D1F" w:rsidRDefault="00AD72CC" w:rsidP="00493A42">
            <w:pPr>
              <w:pStyle w:val="TableText"/>
              <w:tabs>
                <w:tab w:val="decimal" w:pos="937"/>
              </w:tabs>
              <w:rPr>
                <w:color w:val="000000"/>
              </w:rPr>
            </w:pPr>
            <w:r w:rsidRPr="00BC0D1F">
              <w:rPr>
                <w:color w:val="000000"/>
              </w:rPr>
              <w:t>15</w:t>
            </w:r>
          </w:p>
        </w:tc>
        <w:tc>
          <w:tcPr>
            <w:tcW w:w="935" w:type="pct"/>
            <w:tcBorders>
              <w:top w:val="nil"/>
              <w:bottom w:val="nil"/>
            </w:tcBorders>
          </w:tcPr>
          <w:p w14:paraId="2E7F7DED" w14:textId="77777777" w:rsidR="00AD72CC" w:rsidRPr="00BC0D1F" w:rsidRDefault="00AD72CC" w:rsidP="00493A42">
            <w:pPr>
              <w:pStyle w:val="TableText"/>
              <w:tabs>
                <w:tab w:val="decimal" w:pos="937"/>
              </w:tabs>
              <w:rPr>
                <w:color w:val="000000"/>
              </w:rPr>
            </w:pPr>
            <w:r w:rsidRPr="00BC0D1F">
              <w:rPr>
                <w:color w:val="000000"/>
              </w:rPr>
              <w:t>10</w:t>
            </w:r>
          </w:p>
        </w:tc>
        <w:tc>
          <w:tcPr>
            <w:tcW w:w="935" w:type="pct"/>
            <w:tcBorders>
              <w:top w:val="nil"/>
              <w:bottom w:val="nil"/>
            </w:tcBorders>
          </w:tcPr>
          <w:p w14:paraId="6C0EADC2" w14:textId="77777777" w:rsidR="00AD72CC" w:rsidRPr="00BC0D1F" w:rsidRDefault="00AD72CC" w:rsidP="00493A42">
            <w:pPr>
              <w:pStyle w:val="TableText"/>
              <w:tabs>
                <w:tab w:val="decimal" w:pos="842"/>
              </w:tabs>
              <w:rPr>
                <w:color w:val="000000"/>
              </w:rPr>
            </w:pPr>
            <w:r w:rsidRPr="00BC0D1F">
              <w:rPr>
                <w:color w:val="000000"/>
              </w:rPr>
              <w:t>5</w:t>
            </w:r>
          </w:p>
        </w:tc>
      </w:tr>
      <w:tr w:rsidR="00AD72CC" w:rsidRPr="00BC0D1F" w14:paraId="3429C44E" w14:textId="77777777" w:rsidTr="00301EBE">
        <w:trPr>
          <w:cantSplit/>
        </w:trPr>
        <w:tc>
          <w:tcPr>
            <w:tcW w:w="2196" w:type="pct"/>
            <w:tcBorders>
              <w:top w:val="nil"/>
              <w:bottom w:val="nil"/>
            </w:tcBorders>
          </w:tcPr>
          <w:p w14:paraId="76F2F432" w14:textId="77777777" w:rsidR="00AD72CC" w:rsidRPr="00BC0D1F" w:rsidRDefault="00AD72CC" w:rsidP="00493A42">
            <w:pPr>
              <w:pStyle w:val="TableText"/>
              <w:rPr>
                <w:color w:val="000000"/>
              </w:rPr>
            </w:pPr>
            <w:r w:rsidRPr="00BC0D1F">
              <w:rPr>
                <w:color w:val="000000"/>
              </w:rPr>
              <w:t>Regulatory and enforcement services</w:t>
            </w:r>
          </w:p>
        </w:tc>
        <w:tc>
          <w:tcPr>
            <w:tcW w:w="934" w:type="pct"/>
            <w:tcBorders>
              <w:top w:val="nil"/>
              <w:bottom w:val="nil"/>
            </w:tcBorders>
          </w:tcPr>
          <w:p w14:paraId="618F19E6" w14:textId="77777777" w:rsidR="00AD72CC" w:rsidRPr="00BC0D1F" w:rsidRDefault="00AD72CC" w:rsidP="00493A42">
            <w:pPr>
              <w:pStyle w:val="TableText"/>
              <w:tabs>
                <w:tab w:val="decimal" w:pos="937"/>
              </w:tabs>
              <w:rPr>
                <w:color w:val="000000"/>
              </w:rPr>
            </w:pPr>
            <w:r w:rsidRPr="00BC0D1F">
              <w:rPr>
                <w:color w:val="000000"/>
              </w:rPr>
              <w:t>14</w:t>
            </w:r>
          </w:p>
        </w:tc>
        <w:tc>
          <w:tcPr>
            <w:tcW w:w="935" w:type="pct"/>
            <w:tcBorders>
              <w:top w:val="nil"/>
              <w:bottom w:val="nil"/>
            </w:tcBorders>
          </w:tcPr>
          <w:p w14:paraId="49E17095" w14:textId="77777777" w:rsidR="00AD72CC" w:rsidRPr="00BC0D1F" w:rsidRDefault="00AD72CC" w:rsidP="00493A42">
            <w:pPr>
              <w:pStyle w:val="TableText"/>
              <w:tabs>
                <w:tab w:val="decimal" w:pos="937"/>
              </w:tabs>
              <w:rPr>
                <w:color w:val="000000"/>
              </w:rPr>
            </w:pPr>
            <w:r w:rsidRPr="00BC0D1F">
              <w:rPr>
                <w:color w:val="000000"/>
              </w:rPr>
              <w:t>11</w:t>
            </w:r>
          </w:p>
        </w:tc>
        <w:tc>
          <w:tcPr>
            <w:tcW w:w="935" w:type="pct"/>
            <w:tcBorders>
              <w:top w:val="nil"/>
              <w:bottom w:val="nil"/>
            </w:tcBorders>
          </w:tcPr>
          <w:p w14:paraId="68A8F0C6" w14:textId="77777777" w:rsidR="00AD72CC" w:rsidRPr="00BC0D1F" w:rsidRDefault="00AD72CC" w:rsidP="00493A42">
            <w:pPr>
              <w:pStyle w:val="TableText"/>
              <w:tabs>
                <w:tab w:val="decimal" w:pos="842"/>
              </w:tabs>
              <w:rPr>
                <w:color w:val="000000"/>
              </w:rPr>
            </w:pPr>
            <w:r w:rsidRPr="00BC0D1F">
              <w:rPr>
                <w:color w:val="000000"/>
              </w:rPr>
              <w:t>3</w:t>
            </w:r>
          </w:p>
        </w:tc>
      </w:tr>
      <w:tr w:rsidR="00AD72CC" w:rsidRPr="00BC0D1F" w14:paraId="37DA9C4F" w14:textId="77777777" w:rsidTr="00301EBE">
        <w:trPr>
          <w:cantSplit/>
        </w:trPr>
        <w:tc>
          <w:tcPr>
            <w:tcW w:w="2196" w:type="pct"/>
            <w:tcBorders>
              <w:top w:val="nil"/>
              <w:bottom w:val="nil"/>
            </w:tcBorders>
          </w:tcPr>
          <w:p w14:paraId="415CBF26" w14:textId="77777777" w:rsidR="00AD72CC" w:rsidRPr="00BC0D1F" w:rsidRDefault="00AD72CC" w:rsidP="00493A42">
            <w:pPr>
              <w:pStyle w:val="TableText"/>
              <w:rPr>
                <w:color w:val="000000"/>
              </w:rPr>
            </w:pPr>
            <w:r w:rsidRPr="00BC0D1F">
              <w:rPr>
                <w:color w:val="000000"/>
              </w:rPr>
              <w:t>Sector planning and performance</w:t>
            </w:r>
          </w:p>
        </w:tc>
        <w:tc>
          <w:tcPr>
            <w:tcW w:w="934" w:type="pct"/>
            <w:tcBorders>
              <w:top w:val="nil"/>
              <w:bottom w:val="nil"/>
            </w:tcBorders>
          </w:tcPr>
          <w:p w14:paraId="1E1DF457" w14:textId="77777777" w:rsidR="00AD72CC" w:rsidRPr="00BC0D1F" w:rsidRDefault="00AD72CC" w:rsidP="00493A42">
            <w:pPr>
              <w:pStyle w:val="TableText"/>
              <w:tabs>
                <w:tab w:val="decimal" w:pos="937"/>
              </w:tabs>
              <w:rPr>
                <w:color w:val="000000"/>
              </w:rPr>
            </w:pPr>
            <w:r w:rsidRPr="00BC0D1F">
              <w:rPr>
                <w:color w:val="000000"/>
              </w:rPr>
              <w:t>11</w:t>
            </w:r>
          </w:p>
        </w:tc>
        <w:tc>
          <w:tcPr>
            <w:tcW w:w="935" w:type="pct"/>
            <w:tcBorders>
              <w:top w:val="nil"/>
              <w:bottom w:val="nil"/>
            </w:tcBorders>
          </w:tcPr>
          <w:p w14:paraId="7E3377C8" w14:textId="77777777" w:rsidR="00AD72CC" w:rsidRPr="00BC0D1F" w:rsidRDefault="00AD72CC" w:rsidP="00493A42">
            <w:pPr>
              <w:pStyle w:val="TableText"/>
              <w:tabs>
                <w:tab w:val="decimal" w:pos="937"/>
              </w:tabs>
              <w:rPr>
                <w:color w:val="000000"/>
              </w:rPr>
            </w:pPr>
            <w:r w:rsidRPr="00BC0D1F">
              <w:rPr>
                <w:color w:val="000000"/>
              </w:rPr>
              <w:t>9</w:t>
            </w:r>
          </w:p>
        </w:tc>
        <w:tc>
          <w:tcPr>
            <w:tcW w:w="935" w:type="pct"/>
            <w:tcBorders>
              <w:top w:val="nil"/>
              <w:bottom w:val="nil"/>
            </w:tcBorders>
          </w:tcPr>
          <w:p w14:paraId="17872D1E" w14:textId="77777777" w:rsidR="00AD72CC" w:rsidRPr="00BC0D1F" w:rsidRDefault="00AD72CC" w:rsidP="00493A42">
            <w:pPr>
              <w:pStyle w:val="TableText"/>
              <w:tabs>
                <w:tab w:val="decimal" w:pos="842"/>
              </w:tabs>
              <w:rPr>
                <w:color w:val="000000"/>
              </w:rPr>
            </w:pPr>
            <w:r w:rsidRPr="00BC0D1F">
              <w:rPr>
                <w:color w:val="000000"/>
              </w:rPr>
              <w:t>2</w:t>
            </w:r>
          </w:p>
        </w:tc>
      </w:tr>
      <w:tr w:rsidR="00AD72CC" w:rsidRPr="00BC0D1F" w14:paraId="16908DD0" w14:textId="77777777" w:rsidTr="00301EBE">
        <w:trPr>
          <w:cantSplit/>
        </w:trPr>
        <w:tc>
          <w:tcPr>
            <w:tcW w:w="2196" w:type="pct"/>
            <w:tcBorders>
              <w:top w:val="nil"/>
              <w:bottom w:val="nil"/>
            </w:tcBorders>
          </w:tcPr>
          <w:p w14:paraId="58AB5651" w14:textId="77777777" w:rsidR="00AD72CC" w:rsidRPr="00BC0D1F" w:rsidRDefault="00AD72CC" w:rsidP="00493A42">
            <w:pPr>
              <w:pStyle w:val="TableText"/>
              <w:rPr>
                <w:color w:val="000000"/>
              </w:rPr>
            </w:pPr>
            <w:r w:rsidRPr="00BC0D1F">
              <w:rPr>
                <w:color w:val="000000"/>
              </w:rPr>
              <w:t>Policy advice and ministerial servicing (MCA)</w:t>
            </w:r>
          </w:p>
        </w:tc>
        <w:tc>
          <w:tcPr>
            <w:tcW w:w="934" w:type="pct"/>
            <w:tcBorders>
              <w:top w:val="nil"/>
              <w:bottom w:val="nil"/>
            </w:tcBorders>
          </w:tcPr>
          <w:p w14:paraId="401B568A" w14:textId="77777777" w:rsidR="00AD72CC" w:rsidRPr="00BC0D1F" w:rsidRDefault="00AD72CC" w:rsidP="00493A42">
            <w:pPr>
              <w:pStyle w:val="TableText"/>
              <w:tabs>
                <w:tab w:val="decimal" w:pos="937"/>
              </w:tabs>
              <w:rPr>
                <w:color w:val="000000"/>
              </w:rPr>
            </w:pPr>
            <w:r w:rsidRPr="00BC0D1F">
              <w:rPr>
                <w:color w:val="000000"/>
              </w:rPr>
              <w:t>7</w:t>
            </w:r>
          </w:p>
        </w:tc>
        <w:tc>
          <w:tcPr>
            <w:tcW w:w="935" w:type="pct"/>
            <w:tcBorders>
              <w:top w:val="nil"/>
              <w:bottom w:val="nil"/>
            </w:tcBorders>
          </w:tcPr>
          <w:p w14:paraId="73D3C24C" w14:textId="77777777" w:rsidR="00AD72CC" w:rsidRPr="00BC0D1F" w:rsidRDefault="00AD72CC" w:rsidP="00493A42">
            <w:pPr>
              <w:pStyle w:val="TableText"/>
              <w:tabs>
                <w:tab w:val="decimal" w:pos="937"/>
              </w:tabs>
              <w:rPr>
                <w:color w:val="000000"/>
              </w:rPr>
            </w:pPr>
            <w:r w:rsidRPr="00BC0D1F">
              <w:rPr>
                <w:color w:val="000000"/>
              </w:rPr>
              <w:t>5</w:t>
            </w:r>
          </w:p>
        </w:tc>
        <w:tc>
          <w:tcPr>
            <w:tcW w:w="935" w:type="pct"/>
            <w:tcBorders>
              <w:top w:val="nil"/>
              <w:bottom w:val="nil"/>
            </w:tcBorders>
          </w:tcPr>
          <w:p w14:paraId="1DD1D978" w14:textId="77777777" w:rsidR="00AD72CC" w:rsidRPr="00BC0D1F" w:rsidRDefault="00AD72CC" w:rsidP="00493A42">
            <w:pPr>
              <w:pStyle w:val="TableText"/>
              <w:tabs>
                <w:tab w:val="decimal" w:pos="842"/>
              </w:tabs>
              <w:rPr>
                <w:color w:val="000000"/>
              </w:rPr>
            </w:pPr>
            <w:r w:rsidRPr="00BC0D1F">
              <w:rPr>
                <w:color w:val="000000"/>
              </w:rPr>
              <w:t>2</w:t>
            </w:r>
          </w:p>
        </w:tc>
      </w:tr>
      <w:tr w:rsidR="00AD72CC" w:rsidRPr="00BC0D1F" w14:paraId="7C4D6B81" w14:textId="77777777" w:rsidTr="00301EBE">
        <w:trPr>
          <w:cantSplit/>
        </w:trPr>
        <w:tc>
          <w:tcPr>
            <w:tcW w:w="2196" w:type="pct"/>
            <w:tcBorders>
              <w:top w:val="nil"/>
              <w:bottom w:val="single" w:sz="4" w:space="0" w:color="auto"/>
            </w:tcBorders>
          </w:tcPr>
          <w:p w14:paraId="429D2766" w14:textId="77777777" w:rsidR="00AD72CC" w:rsidRPr="00BC0D1F" w:rsidRDefault="00AD72CC" w:rsidP="00493A42">
            <w:pPr>
              <w:pStyle w:val="TableText"/>
              <w:rPr>
                <w:b/>
                <w:color w:val="000000"/>
              </w:rPr>
            </w:pPr>
            <w:r w:rsidRPr="00BC0D1F">
              <w:rPr>
                <w:b/>
                <w:color w:val="000000"/>
              </w:rPr>
              <w:t>Total</w:t>
            </w:r>
          </w:p>
        </w:tc>
        <w:tc>
          <w:tcPr>
            <w:tcW w:w="934" w:type="pct"/>
            <w:tcBorders>
              <w:top w:val="nil"/>
              <w:bottom w:val="single" w:sz="4" w:space="0" w:color="auto"/>
            </w:tcBorders>
          </w:tcPr>
          <w:p w14:paraId="21FD4ECC" w14:textId="77777777" w:rsidR="00AD72CC" w:rsidRPr="00BC0D1F" w:rsidRDefault="00AD72CC" w:rsidP="00493A42">
            <w:pPr>
              <w:pStyle w:val="TableText"/>
              <w:tabs>
                <w:tab w:val="decimal" w:pos="937"/>
              </w:tabs>
              <w:rPr>
                <w:b/>
                <w:color w:val="000000"/>
              </w:rPr>
            </w:pPr>
            <w:r w:rsidRPr="00BC0D1F">
              <w:rPr>
                <w:b/>
                <w:color w:val="000000"/>
              </w:rPr>
              <w:t>58</w:t>
            </w:r>
          </w:p>
        </w:tc>
        <w:tc>
          <w:tcPr>
            <w:tcW w:w="935" w:type="pct"/>
            <w:tcBorders>
              <w:top w:val="nil"/>
              <w:bottom w:val="single" w:sz="4" w:space="0" w:color="auto"/>
            </w:tcBorders>
            <w:vAlign w:val="center"/>
          </w:tcPr>
          <w:p w14:paraId="0DC49A51" w14:textId="77777777" w:rsidR="00AD72CC" w:rsidRPr="00BC0D1F" w:rsidRDefault="00AD72CC" w:rsidP="00493A42">
            <w:pPr>
              <w:pStyle w:val="TableText"/>
              <w:tabs>
                <w:tab w:val="decimal" w:pos="937"/>
              </w:tabs>
              <w:rPr>
                <w:b/>
                <w:color w:val="000000"/>
              </w:rPr>
            </w:pPr>
            <w:r w:rsidRPr="00BC0D1F">
              <w:rPr>
                <w:b/>
                <w:color w:val="000000"/>
              </w:rPr>
              <w:t>45</w:t>
            </w:r>
          </w:p>
        </w:tc>
        <w:tc>
          <w:tcPr>
            <w:tcW w:w="935" w:type="pct"/>
            <w:tcBorders>
              <w:top w:val="nil"/>
              <w:bottom w:val="single" w:sz="4" w:space="0" w:color="auto"/>
            </w:tcBorders>
            <w:vAlign w:val="center"/>
          </w:tcPr>
          <w:p w14:paraId="4A60BD5D" w14:textId="77777777" w:rsidR="00AD72CC" w:rsidRPr="00BC0D1F" w:rsidRDefault="00AD72CC" w:rsidP="00493A42">
            <w:pPr>
              <w:pStyle w:val="TableText"/>
              <w:tabs>
                <w:tab w:val="decimal" w:pos="842"/>
              </w:tabs>
              <w:rPr>
                <w:b/>
                <w:color w:val="000000"/>
              </w:rPr>
            </w:pPr>
            <w:r w:rsidRPr="00BC0D1F">
              <w:rPr>
                <w:b/>
                <w:color w:val="000000"/>
              </w:rPr>
              <w:t>13</w:t>
            </w:r>
          </w:p>
        </w:tc>
      </w:tr>
    </w:tbl>
    <w:p w14:paraId="41222215" w14:textId="77777777" w:rsidR="00AD72CC" w:rsidRPr="00BC0D1F" w:rsidRDefault="00AD72CC" w:rsidP="00301EBE"/>
    <w:p w14:paraId="558260F6" w14:textId="77777777" w:rsidR="00301EBE" w:rsidRPr="00BC0D1F" w:rsidRDefault="00301EBE" w:rsidP="00301EBE">
      <w:bookmarkStart w:id="104" w:name="_Toc456619188"/>
      <w:bookmarkStart w:id="105" w:name="_Toc459730018"/>
      <w:bookmarkStart w:id="106" w:name="_Toc461544291"/>
      <w:bookmarkStart w:id="107" w:name="_Toc390694260"/>
      <w:r w:rsidRPr="00BC0D1F">
        <w:br w:type="page"/>
      </w:r>
    </w:p>
    <w:p w14:paraId="05CE9556" w14:textId="77777777" w:rsidR="00DF4B9A" w:rsidRPr="00BC0D1F" w:rsidRDefault="00AD72CC" w:rsidP="00301EBE">
      <w:pPr>
        <w:pStyle w:val="Heading2"/>
        <w:spacing w:before="0"/>
      </w:pPr>
      <w:bookmarkStart w:id="108" w:name="_Toc463507921"/>
      <w:r w:rsidRPr="00BC0D1F">
        <w:lastRenderedPageBreak/>
        <w:t>Health sector information systems</w:t>
      </w:r>
      <w:bookmarkEnd w:id="104"/>
      <w:bookmarkEnd w:id="105"/>
      <w:bookmarkEnd w:id="106"/>
      <w:bookmarkEnd w:id="108"/>
    </w:p>
    <w:p w14:paraId="6143C128" w14:textId="77777777" w:rsidR="00AD72CC" w:rsidRPr="00BC0D1F" w:rsidRDefault="00AD72CC" w:rsidP="00301EBE">
      <w:r w:rsidRPr="00BC0D1F">
        <w:t>The Ministry operates and manages IT infrastructure that underpins national data collections and systems used in service delivery. As part of this the Ministry manages the national collections that provide access to information and coded data. This enables the health and disability system to undertake local, regional and national planning of resources for current and future service demand.</w:t>
      </w:r>
    </w:p>
    <w:p w14:paraId="7F560F38" w14:textId="77777777" w:rsidR="00AD72CC" w:rsidRPr="00BC0D1F" w:rsidRDefault="00AD72CC" w:rsidP="00301EBE"/>
    <w:p w14:paraId="2392C291" w14:textId="77777777" w:rsidR="00AD72CC" w:rsidRPr="00BC0D1F" w:rsidRDefault="00AD72CC" w:rsidP="00301EBE">
      <w:r w:rsidRPr="00BC0D1F">
        <w:t>In addition, frontline health-sector staff use systems such as the NHI to identify patients in real time and make sure they get appropriate services and support.</w:t>
      </w:r>
    </w:p>
    <w:p w14:paraId="503F0BD1" w14:textId="77777777" w:rsidR="00AD72CC" w:rsidRPr="00BC0D1F" w:rsidRDefault="00AD72CC" w:rsidP="00301EBE"/>
    <w:p w14:paraId="1DB53448" w14:textId="77777777" w:rsidR="00AD72CC" w:rsidRPr="00BC0D1F" w:rsidRDefault="00AD72CC" w:rsidP="00301EBE">
      <w:pPr>
        <w:pStyle w:val="Table"/>
      </w:pPr>
      <w:bookmarkStart w:id="109" w:name="_Toc462926710"/>
      <w:r w:rsidRPr="00BC0D1F">
        <w:t>Table 5: Summary of output performance measures and standards for health sector information systems</w:t>
      </w:r>
      <w:bookmarkEnd w:id="109"/>
    </w:p>
    <w:tbl>
      <w:tblPr>
        <w:tblW w:w="4956" w:type="pct"/>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1149"/>
        <w:gridCol w:w="5656"/>
        <w:gridCol w:w="1293"/>
        <w:gridCol w:w="1288"/>
      </w:tblGrid>
      <w:tr w:rsidR="00AD72CC" w:rsidRPr="00BC0D1F" w14:paraId="296FAD94" w14:textId="77777777" w:rsidTr="00493A42">
        <w:trPr>
          <w:cantSplit/>
        </w:trPr>
        <w:tc>
          <w:tcPr>
            <w:tcW w:w="612" w:type="pct"/>
            <w:tcBorders>
              <w:top w:val="single" w:sz="4" w:space="0" w:color="auto"/>
              <w:bottom w:val="single" w:sz="4" w:space="0" w:color="auto"/>
            </w:tcBorders>
          </w:tcPr>
          <w:p w14:paraId="4BA38273" w14:textId="77777777" w:rsidR="00AD72CC" w:rsidRPr="00BC0D1F" w:rsidRDefault="00AD72CC" w:rsidP="00493A42">
            <w:pPr>
              <w:pStyle w:val="TableText"/>
              <w:ind w:right="284"/>
              <w:jc w:val="right"/>
              <w:rPr>
                <w:b/>
              </w:rPr>
            </w:pPr>
            <w:r w:rsidRPr="00BC0D1F">
              <w:rPr>
                <w:b/>
              </w:rPr>
              <w:t>Actual 2014/15</w:t>
            </w:r>
          </w:p>
        </w:tc>
        <w:tc>
          <w:tcPr>
            <w:tcW w:w="3012" w:type="pct"/>
            <w:tcBorders>
              <w:top w:val="single" w:sz="4" w:space="0" w:color="auto"/>
              <w:bottom w:val="single" w:sz="4" w:space="0" w:color="auto"/>
            </w:tcBorders>
          </w:tcPr>
          <w:p w14:paraId="5AD05CE1" w14:textId="77777777" w:rsidR="00AD72CC" w:rsidRPr="00BC0D1F" w:rsidRDefault="00AD72CC" w:rsidP="00493A42">
            <w:pPr>
              <w:pStyle w:val="TableText"/>
              <w:rPr>
                <w:b/>
              </w:rPr>
            </w:pPr>
            <w:r w:rsidRPr="00BC0D1F">
              <w:rPr>
                <w:b/>
              </w:rPr>
              <w:t>Performance measure</w:t>
            </w:r>
          </w:p>
        </w:tc>
        <w:tc>
          <w:tcPr>
            <w:tcW w:w="689" w:type="pct"/>
            <w:tcBorders>
              <w:top w:val="single" w:sz="4" w:space="0" w:color="auto"/>
              <w:bottom w:val="single" w:sz="4" w:space="0" w:color="auto"/>
            </w:tcBorders>
          </w:tcPr>
          <w:p w14:paraId="0687FB2F" w14:textId="77777777" w:rsidR="00AD72CC" w:rsidRPr="00BC0D1F" w:rsidRDefault="00AD72CC" w:rsidP="00493A42">
            <w:pPr>
              <w:pStyle w:val="TableText"/>
              <w:ind w:right="142"/>
              <w:jc w:val="right"/>
              <w:rPr>
                <w:b/>
              </w:rPr>
            </w:pPr>
            <w:r w:rsidRPr="00BC0D1F">
              <w:rPr>
                <w:b/>
              </w:rPr>
              <w:t>Standard</w:t>
            </w:r>
          </w:p>
        </w:tc>
        <w:tc>
          <w:tcPr>
            <w:tcW w:w="686" w:type="pct"/>
            <w:tcBorders>
              <w:top w:val="single" w:sz="4" w:space="0" w:color="auto"/>
              <w:bottom w:val="single" w:sz="4" w:space="0" w:color="auto"/>
            </w:tcBorders>
            <w:shd w:val="clear" w:color="auto" w:fill="D9D9D9"/>
          </w:tcPr>
          <w:p w14:paraId="29BBEC94" w14:textId="77777777" w:rsidR="00AD72CC" w:rsidRPr="00BC0D1F" w:rsidRDefault="00AD72CC" w:rsidP="00493A42">
            <w:pPr>
              <w:pStyle w:val="TableText"/>
              <w:jc w:val="right"/>
              <w:rPr>
                <w:b/>
              </w:rPr>
            </w:pPr>
            <w:r w:rsidRPr="00BC0D1F">
              <w:rPr>
                <w:b/>
              </w:rPr>
              <w:t>Actual</w:t>
            </w:r>
            <w:r w:rsidRPr="00BC0D1F">
              <w:rPr>
                <w:b/>
              </w:rPr>
              <w:br/>
              <w:t>2015/16</w:t>
            </w:r>
          </w:p>
        </w:tc>
      </w:tr>
      <w:tr w:rsidR="00AD72CC" w:rsidRPr="00BC0D1F" w14:paraId="76630901" w14:textId="77777777" w:rsidTr="00493A42">
        <w:trPr>
          <w:cantSplit/>
        </w:trPr>
        <w:tc>
          <w:tcPr>
            <w:tcW w:w="612" w:type="pct"/>
          </w:tcPr>
          <w:p w14:paraId="3C62C901" w14:textId="77777777" w:rsidR="00AD72CC" w:rsidRPr="00BC0D1F" w:rsidRDefault="00AD72CC" w:rsidP="00493A42">
            <w:pPr>
              <w:pStyle w:val="TableText"/>
              <w:spacing w:before="120"/>
              <w:ind w:right="284"/>
              <w:jc w:val="right"/>
            </w:pPr>
          </w:p>
        </w:tc>
        <w:tc>
          <w:tcPr>
            <w:tcW w:w="3012" w:type="pct"/>
          </w:tcPr>
          <w:p w14:paraId="34C5F4B8" w14:textId="77777777" w:rsidR="00AD72CC" w:rsidRPr="00BC0D1F" w:rsidRDefault="00AD72CC" w:rsidP="00493A42">
            <w:pPr>
              <w:pStyle w:val="TableText"/>
              <w:spacing w:before="120"/>
              <w:rPr>
                <w:rFonts w:cs="Arial"/>
                <w:szCs w:val="18"/>
              </w:rPr>
            </w:pPr>
            <w:r w:rsidRPr="00BC0D1F">
              <w:rPr>
                <w:b/>
              </w:rPr>
              <w:t>National infrastructure and systems</w:t>
            </w:r>
          </w:p>
        </w:tc>
        <w:tc>
          <w:tcPr>
            <w:tcW w:w="689" w:type="pct"/>
          </w:tcPr>
          <w:p w14:paraId="294A0A04" w14:textId="77777777" w:rsidR="00AD72CC" w:rsidRPr="00BC0D1F" w:rsidRDefault="00AD72CC" w:rsidP="00493A42">
            <w:pPr>
              <w:pStyle w:val="TableText"/>
              <w:spacing w:before="120"/>
              <w:ind w:right="142"/>
              <w:jc w:val="right"/>
            </w:pPr>
          </w:p>
        </w:tc>
        <w:tc>
          <w:tcPr>
            <w:tcW w:w="686" w:type="pct"/>
            <w:shd w:val="clear" w:color="auto" w:fill="D9D9D9"/>
          </w:tcPr>
          <w:p w14:paraId="186F06C2" w14:textId="77777777" w:rsidR="00AD72CC" w:rsidRPr="00BC0D1F" w:rsidRDefault="00AD72CC" w:rsidP="00493A42">
            <w:pPr>
              <w:pStyle w:val="TableText"/>
              <w:spacing w:before="120"/>
              <w:jc w:val="right"/>
            </w:pPr>
          </w:p>
        </w:tc>
      </w:tr>
      <w:tr w:rsidR="00AD72CC" w:rsidRPr="00BC0D1F" w14:paraId="6182BECE" w14:textId="77777777" w:rsidTr="00493A42">
        <w:trPr>
          <w:cantSplit/>
        </w:trPr>
        <w:tc>
          <w:tcPr>
            <w:tcW w:w="612" w:type="pct"/>
          </w:tcPr>
          <w:p w14:paraId="505D64F9" w14:textId="77777777" w:rsidR="00AD72CC" w:rsidRPr="00BC0D1F" w:rsidRDefault="00AD72CC" w:rsidP="00493A42">
            <w:pPr>
              <w:pStyle w:val="TableText"/>
              <w:ind w:right="284"/>
              <w:jc w:val="right"/>
            </w:pPr>
            <w:r w:rsidRPr="00BC0D1F">
              <w:t>99.5%</w:t>
            </w:r>
          </w:p>
        </w:tc>
        <w:tc>
          <w:tcPr>
            <w:tcW w:w="3012" w:type="pct"/>
          </w:tcPr>
          <w:p w14:paraId="29F776CE" w14:textId="77777777" w:rsidR="00AD72CC" w:rsidRPr="00BC0D1F" w:rsidRDefault="00AD72CC" w:rsidP="00493A42">
            <w:pPr>
              <w:pStyle w:val="TableText"/>
            </w:pPr>
            <w:r w:rsidRPr="00BC0D1F">
              <w:t>The percentage of time for which key sector- and public-facing systems are available</w:t>
            </w:r>
          </w:p>
        </w:tc>
        <w:tc>
          <w:tcPr>
            <w:tcW w:w="689" w:type="pct"/>
          </w:tcPr>
          <w:p w14:paraId="15958837" w14:textId="77777777" w:rsidR="00AD72CC" w:rsidRPr="00BC0D1F" w:rsidRDefault="00AD72CC" w:rsidP="00493A42">
            <w:pPr>
              <w:pStyle w:val="TableText"/>
              <w:ind w:right="142"/>
              <w:jc w:val="right"/>
            </w:pPr>
            <w:r w:rsidRPr="00BC0D1F">
              <w:t>99%</w:t>
            </w:r>
          </w:p>
        </w:tc>
        <w:tc>
          <w:tcPr>
            <w:tcW w:w="686" w:type="pct"/>
            <w:shd w:val="clear" w:color="auto" w:fill="D9D9D9"/>
          </w:tcPr>
          <w:p w14:paraId="2497757B" w14:textId="77777777" w:rsidR="00AD72CC" w:rsidRPr="00BC0D1F" w:rsidRDefault="00AD72CC" w:rsidP="00493A42">
            <w:pPr>
              <w:pStyle w:val="TableText"/>
              <w:jc w:val="right"/>
            </w:pPr>
            <w:r w:rsidRPr="00BC0D1F">
              <w:t>99.9%</w:t>
            </w:r>
          </w:p>
        </w:tc>
      </w:tr>
      <w:tr w:rsidR="00AD72CC" w:rsidRPr="00BC0D1F" w14:paraId="19F0625F" w14:textId="77777777" w:rsidTr="00493A42">
        <w:trPr>
          <w:cantSplit/>
        </w:trPr>
        <w:tc>
          <w:tcPr>
            <w:tcW w:w="612" w:type="pct"/>
          </w:tcPr>
          <w:p w14:paraId="6FDEDDD8" w14:textId="77777777" w:rsidR="00AD72CC" w:rsidRPr="00BC0D1F" w:rsidRDefault="00AD72CC" w:rsidP="00493A42">
            <w:pPr>
              <w:pStyle w:val="TableText"/>
              <w:ind w:right="284"/>
              <w:jc w:val="right"/>
            </w:pPr>
            <w:r w:rsidRPr="00BC0D1F">
              <w:t>15,500</w:t>
            </w:r>
          </w:p>
        </w:tc>
        <w:tc>
          <w:tcPr>
            <w:tcW w:w="3012" w:type="pct"/>
          </w:tcPr>
          <w:p w14:paraId="53F18EB8" w14:textId="77777777" w:rsidR="00AD72CC" w:rsidRPr="00BC0D1F" w:rsidRDefault="00AD72CC" w:rsidP="00493A42">
            <w:pPr>
              <w:pStyle w:val="TableText"/>
            </w:pPr>
            <w:r w:rsidRPr="00BC0D1F">
              <w:t>The number of active user logins to national systems</w:t>
            </w:r>
          </w:p>
        </w:tc>
        <w:tc>
          <w:tcPr>
            <w:tcW w:w="689" w:type="pct"/>
          </w:tcPr>
          <w:p w14:paraId="74FD0E5E" w14:textId="77777777" w:rsidR="00AD72CC" w:rsidRPr="00BC0D1F" w:rsidRDefault="00AD72CC" w:rsidP="00493A42">
            <w:pPr>
              <w:pStyle w:val="TableText"/>
              <w:ind w:right="142"/>
              <w:jc w:val="right"/>
            </w:pPr>
            <w:r w:rsidRPr="00BC0D1F">
              <w:t>10,000</w:t>
            </w:r>
          </w:p>
        </w:tc>
        <w:tc>
          <w:tcPr>
            <w:tcW w:w="686" w:type="pct"/>
            <w:shd w:val="clear" w:color="auto" w:fill="D9D9D9"/>
          </w:tcPr>
          <w:p w14:paraId="2B1D3113" w14:textId="77777777" w:rsidR="00AD72CC" w:rsidRPr="00BC0D1F" w:rsidRDefault="00AD72CC" w:rsidP="00493A42">
            <w:pPr>
              <w:pStyle w:val="TableText"/>
              <w:jc w:val="right"/>
            </w:pPr>
            <w:r w:rsidRPr="00BC0D1F">
              <w:t>14,990</w:t>
            </w:r>
            <w:r w:rsidRPr="00BC0D1F">
              <w:br/>
              <w:t>(see Note A)</w:t>
            </w:r>
          </w:p>
        </w:tc>
      </w:tr>
      <w:tr w:rsidR="00AD72CC" w:rsidRPr="00BC0D1F" w14:paraId="335F4C94" w14:textId="77777777" w:rsidTr="00493A42">
        <w:trPr>
          <w:cantSplit/>
        </w:trPr>
        <w:tc>
          <w:tcPr>
            <w:tcW w:w="612" w:type="pct"/>
          </w:tcPr>
          <w:p w14:paraId="35FAA064" w14:textId="77777777" w:rsidR="00AD72CC" w:rsidRPr="00BC0D1F" w:rsidRDefault="00AD72CC" w:rsidP="00493A42">
            <w:pPr>
              <w:pStyle w:val="TableText"/>
              <w:ind w:right="284"/>
              <w:jc w:val="right"/>
            </w:pPr>
          </w:p>
        </w:tc>
        <w:tc>
          <w:tcPr>
            <w:tcW w:w="3012" w:type="pct"/>
          </w:tcPr>
          <w:p w14:paraId="6AE7F9E9" w14:textId="77777777" w:rsidR="00AD72CC" w:rsidRPr="00BC0D1F" w:rsidRDefault="00AD72CC" w:rsidP="00493A42">
            <w:pPr>
              <w:pStyle w:val="TableText"/>
            </w:pPr>
            <w:r w:rsidRPr="00BC0D1F">
              <w:rPr>
                <w:b/>
              </w:rPr>
              <w:t>National collections</w:t>
            </w:r>
          </w:p>
        </w:tc>
        <w:tc>
          <w:tcPr>
            <w:tcW w:w="689" w:type="pct"/>
          </w:tcPr>
          <w:p w14:paraId="606B5AD3" w14:textId="77777777" w:rsidR="00AD72CC" w:rsidRPr="00BC0D1F" w:rsidRDefault="00AD72CC" w:rsidP="00493A42">
            <w:pPr>
              <w:pStyle w:val="TableText"/>
              <w:ind w:right="142"/>
              <w:jc w:val="right"/>
            </w:pPr>
          </w:p>
        </w:tc>
        <w:tc>
          <w:tcPr>
            <w:tcW w:w="686" w:type="pct"/>
            <w:shd w:val="clear" w:color="auto" w:fill="D9D9D9"/>
          </w:tcPr>
          <w:p w14:paraId="1188422C" w14:textId="77777777" w:rsidR="00AD72CC" w:rsidRPr="00BC0D1F" w:rsidRDefault="00AD72CC" w:rsidP="00493A42">
            <w:pPr>
              <w:pStyle w:val="TableText"/>
              <w:jc w:val="right"/>
            </w:pPr>
          </w:p>
        </w:tc>
      </w:tr>
      <w:tr w:rsidR="00AD72CC" w:rsidRPr="00BC0D1F" w14:paraId="6DB8BF5B" w14:textId="77777777" w:rsidTr="00493A42">
        <w:trPr>
          <w:cantSplit/>
        </w:trPr>
        <w:tc>
          <w:tcPr>
            <w:tcW w:w="612" w:type="pct"/>
            <w:tcBorders>
              <w:top w:val="nil"/>
            </w:tcBorders>
          </w:tcPr>
          <w:p w14:paraId="6A09A540" w14:textId="77777777" w:rsidR="00AD72CC" w:rsidRPr="00BC0D1F" w:rsidRDefault="00AD72CC" w:rsidP="00493A42">
            <w:pPr>
              <w:pStyle w:val="TableText"/>
              <w:ind w:right="284"/>
              <w:jc w:val="right"/>
            </w:pPr>
            <w:r w:rsidRPr="00BC0D1F">
              <w:t>16</w:t>
            </w:r>
          </w:p>
        </w:tc>
        <w:tc>
          <w:tcPr>
            <w:tcW w:w="3012" w:type="pct"/>
            <w:tcBorders>
              <w:top w:val="nil"/>
            </w:tcBorders>
          </w:tcPr>
          <w:p w14:paraId="0F158023" w14:textId="77777777" w:rsidR="00AD72CC" w:rsidRPr="00BC0D1F" w:rsidRDefault="00AD72CC" w:rsidP="00493A42">
            <w:pPr>
              <w:pStyle w:val="TableText"/>
            </w:pPr>
            <w:r w:rsidRPr="00BC0D1F">
              <w:t>The number of national collection reports produced annually</w:t>
            </w:r>
          </w:p>
        </w:tc>
        <w:tc>
          <w:tcPr>
            <w:tcW w:w="689" w:type="pct"/>
            <w:tcBorders>
              <w:top w:val="nil"/>
            </w:tcBorders>
          </w:tcPr>
          <w:p w14:paraId="46E18A2B" w14:textId="77777777" w:rsidR="00AD72CC" w:rsidRPr="00BC0D1F" w:rsidRDefault="00AD72CC" w:rsidP="00493A42">
            <w:pPr>
              <w:pStyle w:val="TableText"/>
              <w:ind w:right="142"/>
              <w:jc w:val="right"/>
            </w:pPr>
            <w:r w:rsidRPr="00BC0D1F">
              <w:t>10</w:t>
            </w:r>
          </w:p>
        </w:tc>
        <w:tc>
          <w:tcPr>
            <w:tcW w:w="686" w:type="pct"/>
            <w:tcBorders>
              <w:top w:val="nil"/>
            </w:tcBorders>
            <w:shd w:val="clear" w:color="auto" w:fill="D9D9D9"/>
          </w:tcPr>
          <w:p w14:paraId="557E6A16" w14:textId="77777777" w:rsidR="00AD72CC" w:rsidRPr="00BC0D1F" w:rsidRDefault="00AD72CC" w:rsidP="00493A42">
            <w:pPr>
              <w:pStyle w:val="TableText"/>
              <w:jc w:val="right"/>
            </w:pPr>
            <w:r w:rsidRPr="00BC0D1F">
              <w:t>13</w:t>
            </w:r>
          </w:p>
        </w:tc>
      </w:tr>
      <w:tr w:rsidR="00AD72CC" w:rsidRPr="00BC0D1F" w14:paraId="01C99190" w14:textId="77777777" w:rsidTr="00493A42">
        <w:trPr>
          <w:cantSplit/>
        </w:trPr>
        <w:tc>
          <w:tcPr>
            <w:tcW w:w="612" w:type="pct"/>
          </w:tcPr>
          <w:p w14:paraId="6391FF71" w14:textId="77777777" w:rsidR="00AD72CC" w:rsidRPr="00BC0D1F" w:rsidRDefault="00AD72CC" w:rsidP="00493A42">
            <w:pPr>
              <w:pStyle w:val="TableText"/>
              <w:ind w:right="284"/>
              <w:jc w:val="right"/>
            </w:pPr>
            <w:r w:rsidRPr="00BC0D1F">
              <w:t>100%</w:t>
            </w:r>
          </w:p>
        </w:tc>
        <w:tc>
          <w:tcPr>
            <w:tcW w:w="3012" w:type="pct"/>
          </w:tcPr>
          <w:p w14:paraId="730175C7" w14:textId="77777777" w:rsidR="00AD72CC" w:rsidRPr="00BC0D1F" w:rsidRDefault="00AD72CC" w:rsidP="00493A42">
            <w:pPr>
              <w:pStyle w:val="TableText"/>
            </w:pPr>
            <w:r w:rsidRPr="00BC0D1F">
              <w:t>The percentage of data submitted by DHBs that is processed within two working days</w:t>
            </w:r>
          </w:p>
        </w:tc>
        <w:tc>
          <w:tcPr>
            <w:tcW w:w="689" w:type="pct"/>
          </w:tcPr>
          <w:p w14:paraId="1A104A6E" w14:textId="77777777" w:rsidR="00AD72CC" w:rsidRPr="00BC0D1F" w:rsidRDefault="00AD72CC" w:rsidP="00493A42">
            <w:pPr>
              <w:pStyle w:val="TableText"/>
              <w:ind w:right="142"/>
              <w:jc w:val="right"/>
            </w:pPr>
            <w:r w:rsidRPr="00BC0D1F">
              <w:t>97%</w:t>
            </w:r>
          </w:p>
        </w:tc>
        <w:tc>
          <w:tcPr>
            <w:tcW w:w="686" w:type="pct"/>
            <w:shd w:val="clear" w:color="auto" w:fill="D9D9D9"/>
          </w:tcPr>
          <w:p w14:paraId="7E04309A" w14:textId="77777777" w:rsidR="00AD72CC" w:rsidRPr="00BC0D1F" w:rsidRDefault="00AD72CC" w:rsidP="00493A42">
            <w:pPr>
              <w:pStyle w:val="TableText"/>
              <w:jc w:val="right"/>
              <w:rPr>
                <w:highlight w:val="yellow"/>
              </w:rPr>
            </w:pPr>
            <w:r w:rsidRPr="00BC0D1F">
              <w:t>99.7%</w:t>
            </w:r>
          </w:p>
        </w:tc>
      </w:tr>
      <w:tr w:rsidR="00AD72CC" w:rsidRPr="00BC0D1F" w14:paraId="64FEA79B" w14:textId="77777777" w:rsidTr="00493A42">
        <w:trPr>
          <w:cantSplit/>
        </w:trPr>
        <w:tc>
          <w:tcPr>
            <w:tcW w:w="612" w:type="pct"/>
          </w:tcPr>
          <w:p w14:paraId="2CE2007B" w14:textId="1354654D" w:rsidR="00AD72CC" w:rsidRPr="00BC0D1F" w:rsidRDefault="00AD72CC">
            <w:pPr>
              <w:pStyle w:val="TableText"/>
              <w:ind w:right="284"/>
              <w:jc w:val="right"/>
            </w:pPr>
            <w:r w:rsidRPr="00BC0D1F">
              <w:t>3082</w:t>
            </w:r>
          </w:p>
        </w:tc>
        <w:tc>
          <w:tcPr>
            <w:tcW w:w="3012" w:type="pct"/>
          </w:tcPr>
          <w:p w14:paraId="753926E1" w14:textId="77777777" w:rsidR="00AD72CC" w:rsidRPr="00BC0D1F" w:rsidRDefault="00AD72CC" w:rsidP="00493A42">
            <w:pPr>
              <w:pStyle w:val="TableText"/>
            </w:pPr>
            <w:r w:rsidRPr="00BC0D1F">
              <w:t xml:space="preserve">Number of requests, for data and/or analysis, responded to in respect of information held within the national collections datasets </w:t>
            </w:r>
          </w:p>
        </w:tc>
        <w:tc>
          <w:tcPr>
            <w:tcW w:w="689" w:type="pct"/>
          </w:tcPr>
          <w:p w14:paraId="2C957F6C" w14:textId="77777777" w:rsidR="00AD72CC" w:rsidRPr="00BC0D1F" w:rsidRDefault="00AD72CC" w:rsidP="00493A42">
            <w:pPr>
              <w:pStyle w:val="TableText"/>
              <w:ind w:right="142"/>
              <w:jc w:val="right"/>
            </w:pPr>
            <w:r w:rsidRPr="00BC0D1F">
              <w:t>2900</w:t>
            </w:r>
          </w:p>
        </w:tc>
        <w:tc>
          <w:tcPr>
            <w:tcW w:w="686" w:type="pct"/>
            <w:shd w:val="clear" w:color="auto" w:fill="D9D9D9"/>
          </w:tcPr>
          <w:p w14:paraId="7E462B78" w14:textId="77777777" w:rsidR="00AD72CC" w:rsidRPr="00BC0D1F" w:rsidRDefault="00AD72CC" w:rsidP="00493A42">
            <w:pPr>
              <w:pStyle w:val="TableText"/>
              <w:jc w:val="right"/>
            </w:pPr>
            <w:r w:rsidRPr="00BC0D1F">
              <w:t>3109</w:t>
            </w:r>
          </w:p>
        </w:tc>
      </w:tr>
    </w:tbl>
    <w:p w14:paraId="1870DFD2" w14:textId="77777777" w:rsidR="00AD72CC" w:rsidRPr="00BC0D1F" w:rsidRDefault="00AD72CC" w:rsidP="00301EBE">
      <w:pPr>
        <w:rPr>
          <w:highlight w:val="yellow"/>
        </w:rPr>
      </w:pPr>
    </w:p>
    <w:p w14:paraId="3D472E17" w14:textId="77777777" w:rsidR="00AD72CC" w:rsidRPr="00BC0D1F" w:rsidRDefault="00AD72CC" w:rsidP="00301EBE">
      <w:pPr>
        <w:pStyle w:val="Heading4"/>
      </w:pPr>
      <w:r w:rsidRPr="00BC0D1F">
        <w:t>National infrastructure and systems</w:t>
      </w:r>
    </w:p>
    <w:p w14:paraId="6EC00809" w14:textId="77777777" w:rsidR="00AD72CC" w:rsidRPr="00BC0D1F" w:rsidRDefault="00AD72CC" w:rsidP="00301EBE">
      <w:r w:rsidRPr="00BC0D1F">
        <w:t>Six key systems are used widely across the health sector. These are:</w:t>
      </w:r>
    </w:p>
    <w:p w14:paraId="58013FBF" w14:textId="77777777" w:rsidR="00AD72CC" w:rsidRPr="00BC0D1F" w:rsidRDefault="00AD72CC" w:rsidP="00301EBE">
      <w:pPr>
        <w:pStyle w:val="Bullet"/>
      </w:pPr>
      <w:r w:rsidRPr="00BC0D1F">
        <w:t>the National Health Index (NHI)</w:t>
      </w:r>
    </w:p>
    <w:p w14:paraId="42F7739A" w14:textId="77777777" w:rsidR="00AD72CC" w:rsidRPr="00BC0D1F" w:rsidRDefault="00AD72CC" w:rsidP="00301EBE">
      <w:pPr>
        <w:pStyle w:val="Bullet"/>
      </w:pPr>
      <w:r w:rsidRPr="00BC0D1F">
        <w:t>the National Immunisation Register (NIR)</w:t>
      </w:r>
    </w:p>
    <w:p w14:paraId="2A1AC665" w14:textId="77777777" w:rsidR="00AD72CC" w:rsidRPr="00BC0D1F" w:rsidRDefault="00AD72CC" w:rsidP="00301EBE">
      <w:pPr>
        <w:pStyle w:val="Bullet"/>
      </w:pPr>
      <w:r w:rsidRPr="00BC0D1F">
        <w:t>online pharmacy claiming</w:t>
      </w:r>
    </w:p>
    <w:p w14:paraId="6039D64C" w14:textId="77777777" w:rsidR="00AD72CC" w:rsidRPr="00BC0D1F" w:rsidRDefault="00AD72CC" w:rsidP="00301EBE">
      <w:pPr>
        <w:pStyle w:val="Bullet"/>
      </w:pPr>
      <w:r w:rsidRPr="00BC0D1F">
        <w:t>special authorities</w:t>
      </w:r>
    </w:p>
    <w:p w14:paraId="25DF17FF" w14:textId="77777777" w:rsidR="00AD72CC" w:rsidRPr="00BC0D1F" w:rsidRDefault="00AD72CC" w:rsidP="00301EBE">
      <w:pPr>
        <w:pStyle w:val="Bullet"/>
      </w:pPr>
      <w:r w:rsidRPr="00BC0D1F">
        <w:t>the Oracle financial system</w:t>
      </w:r>
    </w:p>
    <w:p w14:paraId="7AA86B2C" w14:textId="77777777" w:rsidR="00AD72CC" w:rsidRPr="00BC0D1F" w:rsidRDefault="00AD72CC" w:rsidP="00301EBE">
      <w:pPr>
        <w:pStyle w:val="Bullet"/>
      </w:pPr>
      <w:proofErr w:type="gramStart"/>
      <w:r w:rsidRPr="00BC0D1F">
        <w:t>the</w:t>
      </w:r>
      <w:proofErr w:type="gramEnd"/>
      <w:r w:rsidRPr="00BC0D1F">
        <w:t xml:space="preserve"> Ministry</w:t>
      </w:r>
      <w:r w:rsidR="00DF4B9A" w:rsidRPr="00BC0D1F">
        <w:t>’</w:t>
      </w:r>
      <w:r w:rsidRPr="00BC0D1F">
        <w:t>s website.</w:t>
      </w:r>
    </w:p>
    <w:p w14:paraId="2A247983" w14:textId="77777777" w:rsidR="00AD72CC" w:rsidRPr="00BC0D1F" w:rsidRDefault="00AD72CC" w:rsidP="00301EBE"/>
    <w:p w14:paraId="54565A40" w14:textId="77777777" w:rsidR="00AD72CC" w:rsidRPr="00BC0D1F" w:rsidRDefault="00AD72CC" w:rsidP="00301EBE">
      <w:r w:rsidRPr="00BC0D1F">
        <w:t>Disruptions in service are unproductive and would damage the Ministry</w:t>
      </w:r>
      <w:r w:rsidR="00DF4B9A" w:rsidRPr="00BC0D1F">
        <w:t>’</w:t>
      </w:r>
      <w:r w:rsidRPr="00BC0D1F">
        <w:t>s reputation. In 2015/16 all systems were available for almost 100 percent of the time.</w:t>
      </w:r>
    </w:p>
    <w:p w14:paraId="0FD123EB" w14:textId="77777777" w:rsidR="00AD72CC" w:rsidRPr="00BC0D1F" w:rsidRDefault="00AD72CC" w:rsidP="00301EBE"/>
    <w:p w14:paraId="655B999A" w14:textId="77777777" w:rsidR="00AD72CC" w:rsidRPr="00BC0D1F" w:rsidRDefault="00AD72CC" w:rsidP="00301EBE">
      <w:r w:rsidRPr="00BC0D1F">
        <w:t>Note A: Information from national systems was available to almost 15,000 external user accounts with log-in access to the systems. An active user is either an individual user or an organisation. The number of active user log-ins has continued to grow over the last few years, so the budget standard for 2016/17 has been increased to 15,000.</w:t>
      </w:r>
    </w:p>
    <w:p w14:paraId="0620A1BC" w14:textId="77777777" w:rsidR="00AD72CC" w:rsidRPr="00BC0D1F" w:rsidRDefault="00AD72CC" w:rsidP="00301EBE"/>
    <w:p w14:paraId="2CE95548" w14:textId="77777777" w:rsidR="00AD72CC" w:rsidRPr="00BC0D1F" w:rsidRDefault="00AD72CC" w:rsidP="00301EBE">
      <w:pPr>
        <w:pStyle w:val="Heading4"/>
      </w:pPr>
      <w:r w:rsidRPr="00BC0D1F">
        <w:lastRenderedPageBreak/>
        <w:t>National collections</w:t>
      </w:r>
    </w:p>
    <w:p w14:paraId="0E79768A" w14:textId="77777777" w:rsidR="00AD72CC" w:rsidRPr="00BC0D1F" w:rsidRDefault="00AD72CC" w:rsidP="00301EBE">
      <w:pPr>
        <w:keepLines/>
      </w:pPr>
      <w:r w:rsidRPr="00BC0D1F">
        <w:t xml:space="preserve">The national collections provide valuable health information to support decision-making in policy development, funding, monitoring and research. This information contributes to improving the health outcomes of New Zealanders. Information from the national collections was used to publish 13 reports (available at </w:t>
      </w:r>
      <w:hyperlink r:id="rId31" w:history="1">
        <w:r w:rsidRPr="00BC0D1F">
          <w:t>www.health.govt.nz/publications</w:t>
        </w:r>
      </w:hyperlink>
      <w:r w:rsidRPr="00BC0D1F">
        <w:t>).</w:t>
      </w:r>
    </w:p>
    <w:p w14:paraId="64C53544" w14:textId="77777777" w:rsidR="00AD72CC" w:rsidRPr="00BC0D1F" w:rsidRDefault="00AD72CC" w:rsidP="00301EBE"/>
    <w:p w14:paraId="7C996730" w14:textId="77777777" w:rsidR="00AD72CC" w:rsidRPr="00BC0D1F" w:rsidRDefault="00AD72CC" w:rsidP="00301EBE">
      <w:r w:rsidRPr="00BC0D1F">
        <w:t>In 2015/16, 99.7 percent of the data submitted by DHBs relating to the National Minimum Dataset (NMDS) (hospital events) and the National Booking and Reporting System (NBRS) (patients waiting for elective surgery) was processed within two working days of receipt. The Ministry is committed to the efficient and accurate processing of data. The Ministry also provides information services to the public.</w:t>
      </w:r>
    </w:p>
    <w:p w14:paraId="24189573" w14:textId="77777777" w:rsidR="00AD72CC" w:rsidRPr="00BC0D1F" w:rsidRDefault="00AD72CC" w:rsidP="00301EBE"/>
    <w:p w14:paraId="5E2A1DBD" w14:textId="77777777" w:rsidR="00AD72CC" w:rsidRPr="00BC0D1F" w:rsidRDefault="00AD72CC" w:rsidP="00301EBE">
      <w:pPr>
        <w:pStyle w:val="Table"/>
      </w:pPr>
      <w:bookmarkStart w:id="110" w:name="_Toc462926711"/>
      <w:r w:rsidRPr="00BC0D1F">
        <w:t>Table 6: Financial performance for health sector information systems</w:t>
      </w:r>
      <w:bookmarkEnd w:id="110"/>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418"/>
        <w:gridCol w:w="3686"/>
        <w:gridCol w:w="1417"/>
        <w:gridCol w:w="1488"/>
        <w:gridCol w:w="1347"/>
      </w:tblGrid>
      <w:tr w:rsidR="00AD72CC" w:rsidRPr="00BC0D1F" w14:paraId="537F8A65" w14:textId="77777777" w:rsidTr="00493A42">
        <w:trPr>
          <w:cantSplit/>
        </w:trPr>
        <w:tc>
          <w:tcPr>
            <w:tcW w:w="1418" w:type="dxa"/>
            <w:tcBorders>
              <w:top w:val="single" w:sz="4" w:space="0" w:color="auto"/>
              <w:bottom w:val="single" w:sz="4" w:space="0" w:color="auto"/>
              <w:right w:val="nil"/>
            </w:tcBorders>
            <w:shd w:val="solid" w:color="FFFFFF" w:fill="auto"/>
          </w:tcPr>
          <w:p w14:paraId="10C3C802" w14:textId="77777777" w:rsidR="00AD72CC" w:rsidRPr="00BC0D1F" w:rsidRDefault="00AD72CC" w:rsidP="00493A42">
            <w:pPr>
              <w:pStyle w:val="TableText"/>
              <w:ind w:right="284"/>
              <w:jc w:val="right"/>
              <w:rPr>
                <w:b/>
                <w:lang w:eastAsia="en-NZ"/>
              </w:rPr>
            </w:pPr>
            <w:r w:rsidRPr="00BC0D1F">
              <w:rPr>
                <w:b/>
              </w:rPr>
              <w:t>Actual</w:t>
            </w:r>
            <w:r w:rsidRPr="00BC0D1F">
              <w:br/>
            </w:r>
            <w:r w:rsidRPr="00BC0D1F">
              <w:rPr>
                <w:b/>
                <w:lang w:eastAsia="en-NZ"/>
              </w:rPr>
              <w:t>30/06/2015</w:t>
            </w:r>
            <w:r w:rsidRPr="00BC0D1F">
              <w:rPr>
                <w:b/>
                <w:lang w:eastAsia="en-NZ"/>
              </w:rPr>
              <w:br/>
              <w:t>$000</w:t>
            </w:r>
          </w:p>
        </w:tc>
        <w:tc>
          <w:tcPr>
            <w:tcW w:w="3686" w:type="dxa"/>
            <w:tcBorders>
              <w:top w:val="single" w:sz="4" w:space="0" w:color="auto"/>
              <w:left w:val="nil"/>
              <w:bottom w:val="single" w:sz="4" w:space="0" w:color="auto"/>
            </w:tcBorders>
            <w:shd w:val="solid" w:color="FFFFFF" w:fill="auto"/>
          </w:tcPr>
          <w:p w14:paraId="41DCC13B" w14:textId="77777777" w:rsidR="00AD72CC" w:rsidRPr="00BC0D1F" w:rsidRDefault="00AD72CC" w:rsidP="00493A42">
            <w:pPr>
              <w:pStyle w:val="TableText"/>
              <w:rPr>
                <w:lang w:eastAsia="en-NZ"/>
              </w:rPr>
            </w:pPr>
          </w:p>
        </w:tc>
        <w:tc>
          <w:tcPr>
            <w:tcW w:w="1417" w:type="dxa"/>
            <w:tcBorders>
              <w:top w:val="single" w:sz="4" w:space="0" w:color="auto"/>
              <w:bottom w:val="single" w:sz="4" w:space="0" w:color="auto"/>
            </w:tcBorders>
            <w:shd w:val="clear" w:color="E3E3E3" w:fill="D9D9D9"/>
          </w:tcPr>
          <w:p w14:paraId="4CEDB95E" w14:textId="77777777" w:rsidR="00AD72CC" w:rsidRPr="00BC0D1F" w:rsidRDefault="00AD72CC" w:rsidP="00493A42">
            <w:pPr>
              <w:pStyle w:val="TableText"/>
              <w:ind w:right="57"/>
              <w:jc w:val="right"/>
              <w:rPr>
                <w:b/>
                <w:lang w:eastAsia="en-NZ"/>
              </w:rPr>
            </w:pPr>
            <w:r w:rsidRPr="00BC0D1F">
              <w:rPr>
                <w:b/>
                <w:lang w:eastAsia="en-NZ"/>
              </w:rPr>
              <w:t>Actual</w:t>
            </w:r>
            <w:r w:rsidRPr="00BC0D1F">
              <w:rPr>
                <w:b/>
                <w:lang w:eastAsia="en-NZ"/>
              </w:rPr>
              <w:br/>
            </w:r>
            <w:r w:rsidRPr="00BC0D1F">
              <w:rPr>
                <w:b/>
                <w:lang w:eastAsia="en-NZ"/>
              </w:rPr>
              <w:br/>
              <w:t>30/06/2016</w:t>
            </w:r>
            <w:r w:rsidRPr="00BC0D1F">
              <w:rPr>
                <w:b/>
                <w:lang w:eastAsia="en-NZ"/>
              </w:rPr>
              <w:br/>
              <w:t>$000</w:t>
            </w:r>
          </w:p>
        </w:tc>
        <w:tc>
          <w:tcPr>
            <w:tcW w:w="1488" w:type="dxa"/>
            <w:tcBorders>
              <w:top w:val="single" w:sz="4" w:space="0" w:color="auto"/>
              <w:bottom w:val="single" w:sz="4" w:space="0" w:color="auto"/>
            </w:tcBorders>
            <w:shd w:val="solid" w:color="FFFFFF" w:fill="auto"/>
          </w:tcPr>
          <w:p w14:paraId="56ED292F"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30/06/2016</w:t>
            </w:r>
            <w:r w:rsidRPr="00BC0D1F">
              <w:rPr>
                <w:b/>
                <w:lang w:eastAsia="en-NZ"/>
              </w:rPr>
              <w:br/>
              <w:t>$000</w:t>
            </w:r>
          </w:p>
        </w:tc>
        <w:tc>
          <w:tcPr>
            <w:tcW w:w="1347" w:type="dxa"/>
            <w:tcBorders>
              <w:top w:val="single" w:sz="4" w:space="0" w:color="auto"/>
              <w:bottom w:val="single" w:sz="4" w:space="0" w:color="auto"/>
            </w:tcBorders>
            <w:shd w:val="solid" w:color="FFFFFF" w:fill="auto"/>
          </w:tcPr>
          <w:p w14:paraId="6351C857"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30/06/2016</w:t>
            </w:r>
            <w:r w:rsidRPr="00BC0D1F">
              <w:rPr>
                <w:b/>
                <w:lang w:eastAsia="en-NZ"/>
              </w:rPr>
              <w:br/>
              <w:t>$000</w:t>
            </w:r>
          </w:p>
        </w:tc>
      </w:tr>
      <w:tr w:rsidR="00AD72CC" w:rsidRPr="00BC0D1F" w14:paraId="03ABC438" w14:textId="77777777" w:rsidTr="00301EBE">
        <w:trPr>
          <w:cantSplit/>
        </w:trPr>
        <w:tc>
          <w:tcPr>
            <w:tcW w:w="1418" w:type="dxa"/>
            <w:tcBorders>
              <w:top w:val="single" w:sz="4" w:space="0" w:color="auto"/>
              <w:right w:val="nil"/>
            </w:tcBorders>
            <w:shd w:val="solid" w:color="FFFFFF" w:fill="auto"/>
          </w:tcPr>
          <w:p w14:paraId="5EED27E5" w14:textId="77777777" w:rsidR="00AD72CC" w:rsidRPr="00BC0D1F" w:rsidRDefault="00AD72CC" w:rsidP="00301EBE">
            <w:pPr>
              <w:pStyle w:val="TableText"/>
              <w:ind w:right="284"/>
              <w:jc w:val="right"/>
            </w:pPr>
            <w:r w:rsidRPr="00BC0D1F">
              <w:t>50,673</w:t>
            </w:r>
          </w:p>
        </w:tc>
        <w:tc>
          <w:tcPr>
            <w:tcW w:w="3686" w:type="dxa"/>
            <w:tcBorders>
              <w:top w:val="single" w:sz="4" w:space="0" w:color="auto"/>
              <w:left w:val="nil"/>
            </w:tcBorders>
            <w:shd w:val="solid" w:color="FFFFFF" w:fill="auto"/>
          </w:tcPr>
          <w:p w14:paraId="4B2068E9" w14:textId="1664E141" w:rsidR="00AD72CC" w:rsidRPr="00BC0D1F" w:rsidRDefault="00726113" w:rsidP="00301EBE">
            <w:pPr>
              <w:pStyle w:val="TableText"/>
            </w:pPr>
            <w:r>
              <w:rPr>
                <w:rFonts w:cs="Arial"/>
                <w:szCs w:val="18"/>
              </w:rPr>
              <w:t>Revenue Crown</w:t>
            </w:r>
          </w:p>
        </w:tc>
        <w:tc>
          <w:tcPr>
            <w:tcW w:w="1417" w:type="dxa"/>
            <w:tcBorders>
              <w:top w:val="single" w:sz="4" w:space="0" w:color="auto"/>
            </w:tcBorders>
            <w:shd w:val="clear" w:color="E3E3E3" w:fill="D9D9D9"/>
          </w:tcPr>
          <w:p w14:paraId="3565A1FD" w14:textId="77777777" w:rsidR="00AD72CC" w:rsidRPr="00BC0D1F" w:rsidRDefault="00AD72CC" w:rsidP="00301EBE">
            <w:pPr>
              <w:pStyle w:val="TableText"/>
              <w:ind w:right="57"/>
              <w:jc w:val="right"/>
            </w:pPr>
            <w:r w:rsidRPr="00BC0D1F">
              <w:t>50,661</w:t>
            </w:r>
          </w:p>
        </w:tc>
        <w:tc>
          <w:tcPr>
            <w:tcW w:w="1488" w:type="dxa"/>
            <w:tcBorders>
              <w:top w:val="single" w:sz="4" w:space="0" w:color="auto"/>
            </w:tcBorders>
          </w:tcPr>
          <w:p w14:paraId="17043D9B" w14:textId="77777777" w:rsidR="00AD72CC" w:rsidRPr="00BC0D1F" w:rsidRDefault="00AD72CC" w:rsidP="00301EBE">
            <w:pPr>
              <w:pStyle w:val="TableText"/>
              <w:jc w:val="right"/>
            </w:pPr>
            <w:r w:rsidRPr="00BC0D1F">
              <w:t>50,201</w:t>
            </w:r>
          </w:p>
        </w:tc>
        <w:tc>
          <w:tcPr>
            <w:tcW w:w="1347" w:type="dxa"/>
            <w:tcBorders>
              <w:top w:val="single" w:sz="4" w:space="0" w:color="auto"/>
            </w:tcBorders>
          </w:tcPr>
          <w:p w14:paraId="18BC1CDB" w14:textId="77777777" w:rsidR="00AD72CC" w:rsidRPr="00BC0D1F" w:rsidRDefault="00AD72CC" w:rsidP="00301EBE">
            <w:pPr>
              <w:pStyle w:val="TableText"/>
              <w:jc w:val="right"/>
            </w:pPr>
            <w:r w:rsidRPr="00BC0D1F">
              <w:t>50,661</w:t>
            </w:r>
          </w:p>
        </w:tc>
      </w:tr>
      <w:tr w:rsidR="00AD72CC" w:rsidRPr="00BC0D1F" w14:paraId="489A922A" w14:textId="77777777" w:rsidTr="00301EBE">
        <w:trPr>
          <w:cantSplit/>
        </w:trPr>
        <w:tc>
          <w:tcPr>
            <w:tcW w:w="1418" w:type="dxa"/>
            <w:tcBorders>
              <w:right w:val="nil"/>
            </w:tcBorders>
            <w:shd w:val="solid" w:color="FFFFFF" w:fill="auto"/>
          </w:tcPr>
          <w:p w14:paraId="6F9356D5" w14:textId="77777777" w:rsidR="00AD72CC" w:rsidRPr="00BC0D1F" w:rsidRDefault="00AD72CC" w:rsidP="00301EBE">
            <w:pPr>
              <w:pStyle w:val="TableText"/>
              <w:ind w:right="284"/>
              <w:jc w:val="right"/>
            </w:pPr>
            <w:r w:rsidRPr="00BC0D1F">
              <w:t>31</w:t>
            </w:r>
          </w:p>
        </w:tc>
        <w:tc>
          <w:tcPr>
            <w:tcW w:w="3686" w:type="dxa"/>
            <w:tcBorders>
              <w:left w:val="nil"/>
            </w:tcBorders>
            <w:shd w:val="solid" w:color="FFFFFF" w:fill="auto"/>
          </w:tcPr>
          <w:p w14:paraId="027715F4" w14:textId="77777777" w:rsidR="00AD72CC" w:rsidRPr="00BC0D1F" w:rsidRDefault="00AD72CC" w:rsidP="00301EBE">
            <w:pPr>
              <w:pStyle w:val="TableText"/>
            </w:pPr>
            <w:r w:rsidRPr="00BC0D1F">
              <w:rPr>
                <w:rFonts w:cs="Arial"/>
                <w:szCs w:val="18"/>
              </w:rPr>
              <w:t>Third-party revenue</w:t>
            </w:r>
          </w:p>
        </w:tc>
        <w:tc>
          <w:tcPr>
            <w:tcW w:w="1417" w:type="dxa"/>
            <w:shd w:val="clear" w:color="E3E3E3" w:fill="D9D9D9"/>
          </w:tcPr>
          <w:p w14:paraId="2D91ECC3" w14:textId="77777777" w:rsidR="00AD72CC" w:rsidRPr="00BC0D1F" w:rsidRDefault="00AD72CC" w:rsidP="00301EBE">
            <w:pPr>
              <w:pStyle w:val="TableText"/>
              <w:ind w:right="57"/>
              <w:jc w:val="right"/>
            </w:pPr>
            <w:r w:rsidRPr="00BC0D1F">
              <w:t>0</w:t>
            </w:r>
          </w:p>
        </w:tc>
        <w:tc>
          <w:tcPr>
            <w:tcW w:w="1488" w:type="dxa"/>
          </w:tcPr>
          <w:p w14:paraId="5234B461" w14:textId="77777777" w:rsidR="00AD72CC" w:rsidRPr="00BC0D1F" w:rsidRDefault="00AD72CC" w:rsidP="00301EBE">
            <w:pPr>
              <w:pStyle w:val="TableText"/>
              <w:jc w:val="right"/>
            </w:pPr>
            <w:r w:rsidRPr="00BC0D1F">
              <w:t>0</w:t>
            </w:r>
          </w:p>
        </w:tc>
        <w:tc>
          <w:tcPr>
            <w:tcW w:w="1347" w:type="dxa"/>
          </w:tcPr>
          <w:p w14:paraId="4AF8DF47" w14:textId="77777777" w:rsidR="00AD72CC" w:rsidRPr="00BC0D1F" w:rsidRDefault="00AD72CC" w:rsidP="00301EBE">
            <w:pPr>
              <w:pStyle w:val="TableText"/>
              <w:jc w:val="right"/>
            </w:pPr>
            <w:r w:rsidRPr="00BC0D1F">
              <w:t>0</w:t>
            </w:r>
          </w:p>
        </w:tc>
      </w:tr>
      <w:tr w:rsidR="00AD72CC" w:rsidRPr="00BC0D1F" w14:paraId="3BDB2C6A" w14:textId="77777777" w:rsidTr="00301EBE">
        <w:trPr>
          <w:cantSplit/>
        </w:trPr>
        <w:tc>
          <w:tcPr>
            <w:tcW w:w="1418" w:type="dxa"/>
            <w:tcBorders>
              <w:right w:val="nil"/>
            </w:tcBorders>
            <w:shd w:val="solid" w:color="FFFFFF" w:fill="auto"/>
          </w:tcPr>
          <w:p w14:paraId="6CE63A42" w14:textId="77777777" w:rsidR="00AD72CC" w:rsidRPr="00BC0D1F" w:rsidRDefault="00AD72CC" w:rsidP="00301EBE">
            <w:pPr>
              <w:pStyle w:val="TableText"/>
              <w:ind w:right="284"/>
              <w:jc w:val="right"/>
              <w:rPr>
                <w:b/>
              </w:rPr>
            </w:pPr>
            <w:r w:rsidRPr="00BC0D1F">
              <w:rPr>
                <w:b/>
                <w:bCs/>
              </w:rPr>
              <w:t>50,704</w:t>
            </w:r>
          </w:p>
        </w:tc>
        <w:tc>
          <w:tcPr>
            <w:tcW w:w="3686" w:type="dxa"/>
            <w:tcBorders>
              <w:left w:val="nil"/>
            </w:tcBorders>
            <w:shd w:val="solid" w:color="FFFFFF" w:fill="auto"/>
          </w:tcPr>
          <w:p w14:paraId="5755F07C" w14:textId="77777777" w:rsidR="00AD72CC" w:rsidRPr="00BC0D1F" w:rsidRDefault="00AD72CC" w:rsidP="00301EBE">
            <w:pPr>
              <w:pStyle w:val="TableText"/>
              <w:rPr>
                <w:b/>
              </w:rPr>
            </w:pPr>
            <w:r w:rsidRPr="00BC0D1F">
              <w:rPr>
                <w:rFonts w:cs="Arial"/>
                <w:b/>
                <w:szCs w:val="18"/>
              </w:rPr>
              <w:t>Total revenue</w:t>
            </w:r>
          </w:p>
        </w:tc>
        <w:tc>
          <w:tcPr>
            <w:tcW w:w="1417" w:type="dxa"/>
            <w:shd w:val="clear" w:color="E3E3E3" w:fill="D9D9D9"/>
          </w:tcPr>
          <w:p w14:paraId="16F79E4A" w14:textId="77777777" w:rsidR="00AD72CC" w:rsidRPr="00BC0D1F" w:rsidRDefault="00AD72CC" w:rsidP="00301EBE">
            <w:pPr>
              <w:pStyle w:val="TableText"/>
              <w:ind w:right="57"/>
              <w:jc w:val="right"/>
              <w:rPr>
                <w:b/>
              </w:rPr>
            </w:pPr>
            <w:r w:rsidRPr="00BC0D1F">
              <w:rPr>
                <w:b/>
                <w:bCs/>
              </w:rPr>
              <w:t>50,661</w:t>
            </w:r>
          </w:p>
        </w:tc>
        <w:tc>
          <w:tcPr>
            <w:tcW w:w="1488" w:type="dxa"/>
          </w:tcPr>
          <w:p w14:paraId="34803D2C" w14:textId="77777777" w:rsidR="00AD72CC" w:rsidRPr="00BC0D1F" w:rsidRDefault="00AD72CC" w:rsidP="00301EBE">
            <w:pPr>
              <w:pStyle w:val="TableText"/>
              <w:jc w:val="right"/>
              <w:rPr>
                <w:b/>
              </w:rPr>
            </w:pPr>
            <w:r w:rsidRPr="00BC0D1F">
              <w:rPr>
                <w:b/>
                <w:bCs/>
              </w:rPr>
              <w:t>50,201</w:t>
            </w:r>
          </w:p>
        </w:tc>
        <w:tc>
          <w:tcPr>
            <w:tcW w:w="1347" w:type="dxa"/>
          </w:tcPr>
          <w:p w14:paraId="36B794FB" w14:textId="77777777" w:rsidR="00AD72CC" w:rsidRPr="00BC0D1F" w:rsidRDefault="00AD72CC" w:rsidP="00301EBE">
            <w:pPr>
              <w:pStyle w:val="TableText"/>
              <w:jc w:val="right"/>
              <w:rPr>
                <w:b/>
              </w:rPr>
            </w:pPr>
            <w:r w:rsidRPr="00BC0D1F">
              <w:rPr>
                <w:b/>
                <w:bCs/>
              </w:rPr>
              <w:t>50,661</w:t>
            </w:r>
          </w:p>
        </w:tc>
      </w:tr>
      <w:tr w:rsidR="00AD72CC" w:rsidRPr="00BC0D1F" w14:paraId="55804DB6" w14:textId="77777777" w:rsidTr="00301EBE">
        <w:trPr>
          <w:cantSplit/>
        </w:trPr>
        <w:tc>
          <w:tcPr>
            <w:tcW w:w="1418" w:type="dxa"/>
            <w:tcBorders>
              <w:right w:val="nil"/>
            </w:tcBorders>
          </w:tcPr>
          <w:p w14:paraId="6243A011" w14:textId="77777777" w:rsidR="00AD72CC" w:rsidRPr="00BC0D1F" w:rsidRDefault="00AD72CC" w:rsidP="00301EBE">
            <w:pPr>
              <w:pStyle w:val="TableText"/>
              <w:ind w:right="284"/>
              <w:jc w:val="right"/>
            </w:pPr>
            <w:r w:rsidRPr="00BC0D1F">
              <w:t>50,338</w:t>
            </w:r>
          </w:p>
        </w:tc>
        <w:tc>
          <w:tcPr>
            <w:tcW w:w="3686" w:type="dxa"/>
            <w:tcBorders>
              <w:left w:val="nil"/>
            </w:tcBorders>
            <w:shd w:val="solid" w:color="FFFFFF" w:fill="auto"/>
          </w:tcPr>
          <w:p w14:paraId="5760A9E8" w14:textId="77777777" w:rsidR="00AD72CC" w:rsidRPr="00BC0D1F" w:rsidRDefault="00AD72CC" w:rsidP="00301EBE">
            <w:pPr>
              <w:pStyle w:val="TableText"/>
            </w:pPr>
            <w:r w:rsidRPr="00BC0D1F">
              <w:rPr>
                <w:rFonts w:cs="Arial"/>
                <w:szCs w:val="18"/>
              </w:rPr>
              <w:t>Total expenditure</w:t>
            </w:r>
          </w:p>
        </w:tc>
        <w:tc>
          <w:tcPr>
            <w:tcW w:w="1417" w:type="dxa"/>
            <w:shd w:val="clear" w:color="E3E3E3" w:fill="D9D9D9"/>
          </w:tcPr>
          <w:p w14:paraId="3262FB2E" w14:textId="77777777" w:rsidR="00AD72CC" w:rsidRPr="00BC0D1F" w:rsidRDefault="00AD72CC" w:rsidP="00301EBE">
            <w:pPr>
              <w:pStyle w:val="TableText"/>
              <w:ind w:right="57"/>
              <w:jc w:val="right"/>
            </w:pPr>
            <w:r w:rsidRPr="00BC0D1F">
              <w:t>50,109</w:t>
            </w:r>
          </w:p>
        </w:tc>
        <w:tc>
          <w:tcPr>
            <w:tcW w:w="1488" w:type="dxa"/>
          </w:tcPr>
          <w:p w14:paraId="1A4ADBA5" w14:textId="77777777" w:rsidR="00AD72CC" w:rsidRPr="00BC0D1F" w:rsidRDefault="00AD72CC" w:rsidP="00301EBE">
            <w:pPr>
              <w:pStyle w:val="TableText"/>
              <w:jc w:val="right"/>
            </w:pPr>
            <w:r w:rsidRPr="00BC0D1F">
              <w:t>50,201</w:t>
            </w:r>
          </w:p>
        </w:tc>
        <w:tc>
          <w:tcPr>
            <w:tcW w:w="1347" w:type="dxa"/>
          </w:tcPr>
          <w:p w14:paraId="44D90ACE" w14:textId="77777777" w:rsidR="00AD72CC" w:rsidRPr="00BC0D1F" w:rsidRDefault="00AD72CC" w:rsidP="00301EBE">
            <w:pPr>
              <w:pStyle w:val="TableText"/>
              <w:jc w:val="right"/>
            </w:pPr>
            <w:r w:rsidRPr="00BC0D1F">
              <w:t>50,661</w:t>
            </w:r>
          </w:p>
        </w:tc>
      </w:tr>
      <w:tr w:rsidR="00AD72CC" w:rsidRPr="00BC0D1F" w14:paraId="19E3987F" w14:textId="77777777" w:rsidTr="00301EBE">
        <w:trPr>
          <w:cantSplit/>
        </w:trPr>
        <w:tc>
          <w:tcPr>
            <w:tcW w:w="1418" w:type="dxa"/>
            <w:tcBorders>
              <w:bottom w:val="single" w:sz="4" w:space="0" w:color="auto"/>
              <w:right w:val="nil"/>
            </w:tcBorders>
            <w:shd w:val="solid" w:color="FFFFFF" w:fill="auto"/>
          </w:tcPr>
          <w:p w14:paraId="363226E5" w14:textId="77777777" w:rsidR="00AD72CC" w:rsidRPr="00BC0D1F" w:rsidRDefault="00AD72CC" w:rsidP="00301EBE">
            <w:pPr>
              <w:pStyle w:val="TableText"/>
              <w:ind w:right="284"/>
              <w:jc w:val="right"/>
              <w:rPr>
                <w:b/>
              </w:rPr>
            </w:pPr>
            <w:r w:rsidRPr="00BC0D1F">
              <w:rPr>
                <w:b/>
                <w:bCs/>
              </w:rPr>
              <w:t>366</w:t>
            </w:r>
          </w:p>
        </w:tc>
        <w:tc>
          <w:tcPr>
            <w:tcW w:w="3686" w:type="dxa"/>
            <w:tcBorders>
              <w:left w:val="nil"/>
              <w:bottom w:val="single" w:sz="4" w:space="0" w:color="auto"/>
            </w:tcBorders>
            <w:shd w:val="solid" w:color="FFFFFF" w:fill="auto"/>
          </w:tcPr>
          <w:p w14:paraId="3D0AE89F" w14:textId="77777777" w:rsidR="00AD72CC" w:rsidRPr="00BC0D1F" w:rsidRDefault="00AD72CC" w:rsidP="00301EBE">
            <w:pPr>
              <w:pStyle w:val="TableText"/>
              <w:rPr>
                <w:b/>
              </w:rPr>
            </w:pPr>
            <w:r w:rsidRPr="00BC0D1F">
              <w:rPr>
                <w:rFonts w:cs="Arial"/>
                <w:b/>
                <w:szCs w:val="18"/>
              </w:rPr>
              <w:t>Net surplus</w:t>
            </w:r>
          </w:p>
        </w:tc>
        <w:tc>
          <w:tcPr>
            <w:tcW w:w="1417" w:type="dxa"/>
            <w:tcBorders>
              <w:bottom w:val="single" w:sz="4" w:space="0" w:color="auto"/>
            </w:tcBorders>
            <w:shd w:val="clear" w:color="E3E3E3" w:fill="D9D9D9"/>
          </w:tcPr>
          <w:p w14:paraId="668AF5E6" w14:textId="77777777" w:rsidR="00AD72CC" w:rsidRPr="00BC0D1F" w:rsidRDefault="00AD72CC" w:rsidP="00301EBE">
            <w:pPr>
              <w:pStyle w:val="TableText"/>
              <w:ind w:right="57"/>
              <w:jc w:val="right"/>
              <w:rPr>
                <w:b/>
              </w:rPr>
            </w:pPr>
            <w:r w:rsidRPr="00BC0D1F">
              <w:rPr>
                <w:b/>
                <w:bCs/>
              </w:rPr>
              <w:t>552</w:t>
            </w:r>
          </w:p>
        </w:tc>
        <w:tc>
          <w:tcPr>
            <w:tcW w:w="1488" w:type="dxa"/>
            <w:tcBorders>
              <w:bottom w:val="single" w:sz="4" w:space="0" w:color="auto"/>
            </w:tcBorders>
          </w:tcPr>
          <w:p w14:paraId="7C086619" w14:textId="77777777" w:rsidR="00AD72CC" w:rsidRPr="00BC0D1F" w:rsidRDefault="00AD72CC" w:rsidP="00301EBE">
            <w:pPr>
              <w:pStyle w:val="TableText"/>
              <w:jc w:val="right"/>
              <w:rPr>
                <w:b/>
              </w:rPr>
            </w:pPr>
            <w:r w:rsidRPr="00BC0D1F">
              <w:rPr>
                <w:b/>
                <w:bCs/>
              </w:rPr>
              <w:t>0</w:t>
            </w:r>
          </w:p>
        </w:tc>
        <w:tc>
          <w:tcPr>
            <w:tcW w:w="1347" w:type="dxa"/>
            <w:tcBorders>
              <w:bottom w:val="single" w:sz="4" w:space="0" w:color="auto"/>
            </w:tcBorders>
          </w:tcPr>
          <w:p w14:paraId="6941BC59" w14:textId="77777777" w:rsidR="00AD72CC" w:rsidRPr="00BC0D1F" w:rsidRDefault="00AD72CC" w:rsidP="00301EBE">
            <w:pPr>
              <w:pStyle w:val="TableText"/>
              <w:jc w:val="right"/>
              <w:rPr>
                <w:b/>
              </w:rPr>
            </w:pPr>
            <w:r w:rsidRPr="00BC0D1F">
              <w:rPr>
                <w:b/>
                <w:bCs/>
              </w:rPr>
              <w:t>0</w:t>
            </w:r>
          </w:p>
        </w:tc>
      </w:tr>
    </w:tbl>
    <w:p w14:paraId="4B5E04C5" w14:textId="77777777" w:rsidR="00AD72CC" w:rsidRPr="00BC0D1F" w:rsidRDefault="00AD72CC" w:rsidP="00AD72CC">
      <w:pPr>
        <w:rPr>
          <w:highlight w:val="yellow"/>
        </w:rPr>
      </w:pPr>
    </w:p>
    <w:p w14:paraId="70E9E217" w14:textId="77777777" w:rsidR="00301EBE" w:rsidRPr="00BC0D1F" w:rsidRDefault="00301EBE" w:rsidP="00301EBE">
      <w:bookmarkStart w:id="111" w:name="_Toc456619189"/>
      <w:bookmarkStart w:id="112" w:name="_Toc459730019"/>
      <w:bookmarkStart w:id="113" w:name="_Toc461544292"/>
      <w:r w:rsidRPr="00BC0D1F">
        <w:br w:type="page"/>
      </w:r>
    </w:p>
    <w:p w14:paraId="5793751B" w14:textId="77777777" w:rsidR="00AD72CC" w:rsidRPr="00BC0D1F" w:rsidRDefault="00AD72CC" w:rsidP="00301EBE">
      <w:pPr>
        <w:pStyle w:val="Heading2"/>
        <w:spacing w:before="0"/>
      </w:pPr>
      <w:bookmarkStart w:id="114" w:name="_Toc463507922"/>
      <w:r w:rsidRPr="00BC0D1F">
        <w:lastRenderedPageBreak/>
        <w:t>Managing the purchase of services</w:t>
      </w:r>
      <w:bookmarkEnd w:id="111"/>
      <w:bookmarkEnd w:id="112"/>
      <w:bookmarkEnd w:id="113"/>
      <w:bookmarkEnd w:id="114"/>
    </w:p>
    <w:p w14:paraId="4F006440" w14:textId="77777777" w:rsidR="00AD72CC" w:rsidRPr="00BC0D1F" w:rsidRDefault="00AD72CC" w:rsidP="00301EBE">
      <w:r w:rsidRPr="00BC0D1F">
        <w:t>The Ministry has a significant responsibility for purchasing health and disability services on behalf of the Crown. A total of $11.861 billion of funding was provided to DHBs and health-related Crown entities in 2015/16, and the Ministry purchased $2.681 billion worth of services directly through non-departmental funding.</w:t>
      </w:r>
    </w:p>
    <w:p w14:paraId="5D12C41D" w14:textId="77777777" w:rsidR="00AD72CC" w:rsidRPr="00BC0D1F" w:rsidRDefault="00AD72CC" w:rsidP="00301EBE"/>
    <w:p w14:paraId="33FA76B6" w14:textId="77777777" w:rsidR="00AD72CC" w:rsidRPr="00BC0D1F" w:rsidRDefault="00AD72CC" w:rsidP="00301EBE">
      <w:r w:rsidRPr="00BC0D1F">
        <w:t>This output class assesses how well the Ministry negotiates and manages a portfolio of contracts within its purchasing and pricing frameworks to deliver consumer-focused services while ensuring value for money. The output also ensures there is a consistent national approach to providing support services to people in need.</w:t>
      </w:r>
    </w:p>
    <w:p w14:paraId="2AA8E65B" w14:textId="77777777" w:rsidR="00AD72CC" w:rsidRPr="00BC0D1F" w:rsidRDefault="00AD72CC" w:rsidP="00301EBE"/>
    <w:p w14:paraId="2C99FA6A" w14:textId="77777777" w:rsidR="00AD72CC" w:rsidRPr="00BC0D1F" w:rsidRDefault="00AD72CC" w:rsidP="00301EBE">
      <w:pPr>
        <w:pStyle w:val="Table"/>
      </w:pPr>
      <w:bookmarkStart w:id="115" w:name="_Toc462926712"/>
      <w:r w:rsidRPr="00BC0D1F">
        <w:t>Table 7: Summary of output performance measures and standards for managing the purchase of services</w:t>
      </w:r>
      <w:bookmarkEnd w:id="115"/>
    </w:p>
    <w:tbl>
      <w:tblPr>
        <w:tblW w:w="4940" w:type="pct"/>
        <w:tblInd w:w="57" w:type="dxa"/>
        <w:tblBorders>
          <w:top w:val="single" w:sz="4" w:space="0" w:color="auto"/>
          <w:bottom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5463"/>
        <w:gridCol w:w="1270"/>
        <w:gridCol w:w="1342"/>
      </w:tblGrid>
      <w:tr w:rsidR="00AD72CC" w:rsidRPr="00BC0D1F" w14:paraId="5E6B7497" w14:textId="77777777" w:rsidTr="00493A42">
        <w:trPr>
          <w:cantSplit/>
        </w:trPr>
        <w:tc>
          <w:tcPr>
            <w:tcW w:w="684" w:type="pct"/>
            <w:tcBorders>
              <w:top w:val="single" w:sz="4" w:space="0" w:color="auto"/>
              <w:bottom w:val="single" w:sz="4" w:space="0" w:color="auto"/>
              <w:right w:val="nil"/>
            </w:tcBorders>
          </w:tcPr>
          <w:p w14:paraId="2A2887AE" w14:textId="77777777" w:rsidR="00AD72CC" w:rsidRPr="00BC0D1F" w:rsidRDefault="00AD72CC" w:rsidP="00493A42">
            <w:pPr>
              <w:pStyle w:val="TableText"/>
              <w:ind w:right="284"/>
              <w:jc w:val="right"/>
              <w:rPr>
                <w:b/>
              </w:rPr>
            </w:pPr>
            <w:r w:rsidRPr="00BC0D1F">
              <w:rPr>
                <w:b/>
              </w:rPr>
              <w:t>Actual 2014/15</w:t>
            </w:r>
          </w:p>
        </w:tc>
        <w:tc>
          <w:tcPr>
            <w:tcW w:w="2920" w:type="pct"/>
            <w:tcBorders>
              <w:top w:val="single" w:sz="4" w:space="0" w:color="auto"/>
              <w:left w:val="nil"/>
              <w:bottom w:val="single" w:sz="4" w:space="0" w:color="auto"/>
              <w:right w:val="nil"/>
            </w:tcBorders>
          </w:tcPr>
          <w:p w14:paraId="6FE9E983" w14:textId="77777777" w:rsidR="00AD72CC" w:rsidRPr="00BC0D1F" w:rsidRDefault="00AD72CC" w:rsidP="00493A42">
            <w:pPr>
              <w:pStyle w:val="TableText"/>
              <w:rPr>
                <w:b/>
              </w:rPr>
            </w:pPr>
            <w:r w:rsidRPr="00BC0D1F">
              <w:rPr>
                <w:b/>
              </w:rPr>
              <w:t>Performance measure</w:t>
            </w:r>
          </w:p>
        </w:tc>
        <w:tc>
          <w:tcPr>
            <w:tcW w:w="679" w:type="pct"/>
            <w:tcBorders>
              <w:top w:val="single" w:sz="4" w:space="0" w:color="auto"/>
              <w:left w:val="nil"/>
              <w:bottom w:val="single" w:sz="4" w:space="0" w:color="auto"/>
              <w:right w:val="nil"/>
            </w:tcBorders>
          </w:tcPr>
          <w:p w14:paraId="7BB0357B" w14:textId="77777777" w:rsidR="00AD72CC" w:rsidRPr="00BC0D1F" w:rsidRDefault="00AD72CC" w:rsidP="00493A42">
            <w:pPr>
              <w:pStyle w:val="TableText"/>
              <w:ind w:right="113"/>
              <w:jc w:val="right"/>
              <w:rPr>
                <w:b/>
              </w:rPr>
            </w:pPr>
            <w:r w:rsidRPr="00BC0D1F">
              <w:rPr>
                <w:b/>
              </w:rPr>
              <w:t>Standard</w:t>
            </w:r>
          </w:p>
        </w:tc>
        <w:tc>
          <w:tcPr>
            <w:tcW w:w="717" w:type="pct"/>
            <w:tcBorders>
              <w:top w:val="single" w:sz="4" w:space="0" w:color="auto"/>
              <w:left w:val="nil"/>
              <w:bottom w:val="single" w:sz="4" w:space="0" w:color="auto"/>
            </w:tcBorders>
            <w:shd w:val="clear" w:color="auto" w:fill="D9D9D9"/>
          </w:tcPr>
          <w:p w14:paraId="3200A94B" w14:textId="77777777" w:rsidR="00AD72CC" w:rsidRPr="00BC0D1F" w:rsidRDefault="00AD72CC" w:rsidP="00301EBE">
            <w:pPr>
              <w:pStyle w:val="TableText"/>
              <w:ind w:right="57"/>
              <w:jc w:val="right"/>
              <w:rPr>
                <w:b/>
              </w:rPr>
            </w:pPr>
            <w:r w:rsidRPr="00BC0D1F">
              <w:rPr>
                <w:b/>
              </w:rPr>
              <w:t>Actual</w:t>
            </w:r>
            <w:r w:rsidRPr="00BC0D1F">
              <w:rPr>
                <w:b/>
              </w:rPr>
              <w:br/>
              <w:t>2015/16</w:t>
            </w:r>
          </w:p>
        </w:tc>
      </w:tr>
      <w:tr w:rsidR="00AD72CC" w:rsidRPr="00BC0D1F" w14:paraId="5AFFDABA" w14:textId="77777777" w:rsidTr="00493A42">
        <w:trPr>
          <w:cantSplit/>
        </w:trPr>
        <w:tc>
          <w:tcPr>
            <w:tcW w:w="684" w:type="pct"/>
            <w:tcBorders>
              <w:top w:val="single" w:sz="4" w:space="0" w:color="auto"/>
              <w:bottom w:val="nil"/>
              <w:right w:val="nil"/>
            </w:tcBorders>
          </w:tcPr>
          <w:p w14:paraId="5B64B698" w14:textId="77777777" w:rsidR="00AD72CC" w:rsidRPr="00BC0D1F" w:rsidRDefault="00AD72CC" w:rsidP="00493A42">
            <w:pPr>
              <w:pStyle w:val="TableText"/>
              <w:spacing w:before="120"/>
              <w:ind w:right="284"/>
              <w:jc w:val="right"/>
            </w:pPr>
          </w:p>
        </w:tc>
        <w:tc>
          <w:tcPr>
            <w:tcW w:w="2920" w:type="pct"/>
            <w:tcBorders>
              <w:top w:val="single" w:sz="4" w:space="0" w:color="auto"/>
              <w:left w:val="nil"/>
              <w:bottom w:val="nil"/>
              <w:right w:val="nil"/>
            </w:tcBorders>
          </w:tcPr>
          <w:p w14:paraId="41BDDB15" w14:textId="77777777" w:rsidR="00AD72CC" w:rsidRPr="00BC0D1F" w:rsidRDefault="00AD72CC" w:rsidP="00493A42">
            <w:pPr>
              <w:pStyle w:val="TableText"/>
              <w:spacing w:before="120"/>
              <w:rPr>
                <w:b/>
              </w:rPr>
            </w:pPr>
            <w:r w:rsidRPr="00BC0D1F">
              <w:rPr>
                <w:b/>
              </w:rPr>
              <w:t>Contracting</w:t>
            </w:r>
          </w:p>
        </w:tc>
        <w:tc>
          <w:tcPr>
            <w:tcW w:w="679" w:type="pct"/>
            <w:tcBorders>
              <w:top w:val="single" w:sz="4" w:space="0" w:color="auto"/>
              <w:left w:val="nil"/>
              <w:bottom w:val="nil"/>
              <w:right w:val="nil"/>
            </w:tcBorders>
          </w:tcPr>
          <w:p w14:paraId="2B8A83C1" w14:textId="77777777" w:rsidR="00AD72CC" w:rsidRPr="00BC0D1F" w:rsidRDefault="00AD72CC" w:rsidP="00493A42">
            <w:pPr>
              <w:pStyle w:val="TableText"/>
              <w:spacing w:before="120"/>
              <w:ind w:right="113"/>
              <w:jc w:val="right"/>
            </w:pPr>
          </w:p>
        </w:tc>
        <w:tc>
          <w:tcPr>
            <w:tcW w:w="717" w:type="pct"/>
            <w:tcBorders>
              <w:top w:val="single" w:sz="4" w:space="0" w:color="auto"/>
              <w:left w:val="nil"/>
              <w:bottom w:val="nil"/>
            </w:tcBorders>
            <w:shd w:val="clear" w:color="auto" w:fill="D9D9D9"/>
          </w:tcPr>
          <w:p w14:paraId="7BED55C1" w14:textId="77777777" w:rsidR="00AD72CC" w:rsidRPr="00BC0D1F" w:rsidRDefault="00AD72CC" w:rsidP="00301EBE">
            <w:pPr>
              <w:pStyle w:val="TableText"/>
              <w:spacing w:before="120"/>
              <w:ind w:right="57"/>
              <w:jc w:val="right"/>
            </w:pPr>
          </w:p>
        </w:tc>
      </w:tr>
      <w:tr w:rsidR="00AD72CC" w:rsidRPr="00BC0D1F" w14:paraId="41C512FD" w14:textId="77777777" w:rsidTr="00493A42">
        <w:trPr>
          <w:cantSplit/>
        </w:trPr>
        <w:tc>
          <w:tcPr>
            <w:tcW w:w="684" w:type="pct"/>
            <w:tcBorders>
              <w:top w:val="nil"/>
              <w:bottom w:val="nil"/>
              <w:right w:val="nil"/>
            </w:tcBorders>
          </w:tcPr>
          <w:p w14:paraId="2476F71A" w14:textId="77777777" w:rsidR="00AD72CC" w:rsidRPr="00BC0D1F" w:rsidRDefault="00AD72CC" w:rsidP="00493A42">
            <w:pPr>
              <w:pStyle w:val="TableText"/>
              <w:ind w:right="284"/>
              <w:jc w:val="right"/>
            </w:pPr>
            <w:r w:rsidRPr="00BC0D1F">
              <w:t>4061</w:t>
            </w:r>
          </w:p>
        </w:tc>
        <w:tc>
          <w:tcPr>
            <w:tcW w:w="2920" w:type="pct"/>
            <w:tcBorders>
              <w:top w:val="nil"/>
              <w:left w:val="nil"/>
              <w:bottom w:val="nil"/>
              <w:right w:val="nil"/>
            </w:tcBorders>
          </w:tcPr>
          <w:p w14:paraId="02F258A5" w14:textId="77777777" w:rsidR="00AD72CC" w:rsidRPr="00BC0D1F" w:rsidRDefault="00AD72CC" w:rsidP="00493A42">
            <w:pPr>
              <w:pStyle w:val="TableText"/>
            </w:pPr>
            <w:r w:rsidRPr="00BC0D1F">
              <w:t>Total number of contracts held by the Ministry for the purpose of purchasing goods and services on behalf of the Crown</w:t>
            </w:r>
          </w:p>
        </w:tc>
        <w:tc>
          <w:tcPr>
            <w:tcW w:w="679" w:type="pct"/>
            <w:tcBorders>
              <w:top w:val="nil"/>
              <w:left w:val="nil"/>
              <w:bottom w:val="nil"/>
              <w:right w:val="nil"/>
            </w:tcBorders>
          </w:tcPr>
          <w:p w14:paraId="263F6E43" w14:textId="77777777" w:rsidR="00AD72CC" w:rsidRPr="00BC0D1F" w:rsidRDefault="00AD72CC" w:rsidP="00493A42">
            <w:pPr>
              <w:pStyle w:val="TableText"/>
              <w:ind w:right="113"/>
              <w:jc w:val="right"/>
            </w:pPr>
            <w:r w:rsidRPr="00BC0D1F">
              <w:t>4300</w:t>
            </w:r>
          </w:p>
        </w:tc>
        <w:tc>
          <w:tcPr>
            <w:tcW w:w="717" w:type="pct"/>
            <w:tcBorders>
              <w:top w:val="nil"/>
              <w:left w:val="nil"/>
              <w:bottom w:val="nil"/>
            </w:tcBorders>
            <w:shd w:val="clear" w:color="auto" w:fill="D9D9D9"/>
          </w:tcPr>
          <w:p w14:paraId="6A75BC48" w14:textId="77777777" w:rsidR="00AD72CC" w:rsidRPr="00BC0D1F" w:rsidRDefault="00AD72CC" w:rsidP="00301EBE">
            <w:pPr>
              <w:pStyle w:val="TableText"/>
              <w:ind w:right="57"/>
              <w:jc w:val="right"/>
            </w:pPr>
            <w:r w:rsidRPr="00BC0D1F">
              <w:t>4018</w:t>
            </w:r>
          </w:p>
        </w:tc>
      </w:tr>
      <w:tr w:rsidR="00AD72CC" w:rsidRPr="00BC0D1F" w14:paraId="51CB7563" w14:textId="77777777" w:rsidTr="00493A42">
        <w:trPr>
          <w:cantSplit/>
        </w:trPr>
        <w:tc>
          <w:tcPr>
            <w:tcW w:w="684" w:type="pct"/>
            <w:tcBorders>
              <w:top w:val="nil"/>
              <w:bottom w:val="nil"/>
              <w:right w:val="nil"/>
            </w:tcBorders>
          </w:tcPr>
          <w:p w14:paraId="40763EEA" w14:textId="77777777" w:rsidR="00AD72CC" w:rsidRPr="00BC0D1F" w:rsidRDefault="00AD72CC" w:rsidP="00493A42">
            <w:pPr>
              <w:pStyle w:val="TableText"/>
              <w:ind w:right="284"/>
              <w:jc w:val="right"/>
            </w:pPr>
            <w:r w:rsidRPr="00BC0D1F">
              <w:t>Achieved</w:t>
            </w:r>
          </w:p>
        </w:tc>
        <w:tc>
          <w:tcPr>
            <w:tcW w:w="2920" w:type="pct"/>
            <w:tcBorders>
              <w:top w:val="nil"/>
              <w:left w:val="nil"/>
              <w:bottom w:val="nil"/>
              <w:right w:val="nil"/>
            </w:tcBorders>
          </w:tcPr>
          <w:p w14:paraId="13586A08" w14:textId="77777777" w:rsidR="00AD72CC" w:rsidRPr="00BC0D1F" w:rsidRDefault="00AD72CC" w:rsidP="00493A42">
            <w:pPr>
              <w:pStyle w:val="TableText"/>
            </w:pPr>
            <w:r w:rsidRPr="00BC0D1F">
              <w:t>The Ministry Procurement Policy is assessed and confirmed to be in line with government standards</w:t>
            </w:r>
          </w:p>
        </w:tc>
        <w:tc>
          <w:tcPr>
            <w:tcW w:w="679" w:type="pct"/>
            <w:tcBorders>
              <w:top w:val="nil"/>
              <w:left w:val="nil"/>
              <w:bottom w:val="nil"/>
              <w:right w:val="nil"/>
            </w:tcBorders>
          </w:tcPr>
          <w:p w14:paraId="41E87246" w14:textId="77777777" w:rsidR="00AD72CC" w:rsidRPr="00BC0D1F" w:rsidRDefault="00AD72CC" w:rsidP="00493A42">
            <w:pPr>
              <w:pStyle w:val="TableText"/>
              <w:ind w:right="113"/>
              <w:jc w:val="right"/>
            </w:pPr>
            <w:r w:rsidRPr="00BC0D1F">
              <w:t>Achieved</w:t>
            </w:r>
          </w:p>
        </w:tc>
        <w:tc>
          <w:tcPr>
            <w:tcW w:w="717" w:type="pct"/>
            <w:tcBorders>
              <w:top w:val="nil"/>
              <w:left w:val="nil"/>
              <w:bottom w:val="nil"/>
            </w:tcBorders>
            <w:shd w:val="clear" w:color="auto" w:fill="D9D9D9"/>
          </w:tcPr>
          <w:p w14:paraId="0D74B835" w14:textId="77777777" w:rsidR="00AD72CC" w:rsidRPr="00BC0D1F" w:rsidRDefault="00AD72CC" w:rsidP="00301EBE">
            <w:pPr>
              <w:pStyle w:val="TableText"/>
              <w:ind w:right="57"/>
              <w:jc w:val="right"/>
            </w:pPr>
            <w:r w:rsidRPr="00BC0D1F">
              <w:t>Achieved</w:t>
            </w:r>
          </w:p>
        </w:tc>
      </w:tr>
      <w:tr w:rsidR="00AD72CC" w:rsidRPr="00BC0D1F" w14:paraId="114C254C" w14:textId="77777777" w:rsidTr="00493A42">
        <w:trPr>
          <w:cantSplit/>
        </w:trPr>
        <w:tc>
          <w:tcPr>
            <w:tcW w:w="684" w:type="pct"/>
            <w:tcBorders>
              <w:top w:val="nil"/>
              <w:bottom w:val="nil"/>
              <w:right w:val="nil"/>
            </w:tcBorders>
          </w:tcPr>
          <w:p w14:paraId="05633049" w14:textId="77777777" w:rsidR="00AD72CC" w:rsidRPr="00BC0D1F" w:rsidRDefault="00AD72CC" w:rsidP="00493A42">
            <w:pPr>
              <w:pStyle w:val="TableText"/>
              <w:ind w:right="284"/>
              <w:jc w:val="right"/>
            </w:pPr>
            <w:r w:rsidRPr="00BC0D1F">
              <w:t>1:75</w:t>
            </w:r>
          </w:p>
        </w:tc>
        <w:tc>
          <w:tcPr>
            <w:tcW w:w="2920" w:type="pct"/>
            <w:tcBorders>
              <w:top w:val="nil"/>
              <w:left w:val="nil"/>
              <w:bottom w:val="nil"/>
              <w:right w:val="nil"/>
            </w:tcBorders>
          </w:tcPr>
          <w:p w14:paraId="4940016A" w14:textId="77777777" w:rsidR="00AD72CC" w:rsidRPr="00BC0D1F" w:rsidRDefault="00AD72CC" w:rsidP="00493A42">
            <w:pPr>
              <w:pStyle w:val="TableText"/>
            </w:pPr>
            <w:r w:rsidRPr="00BC0D1F">
              <w:t>The ratio of departmental expenditure for the output class against relevant non-departmental expenditure</w:t>
            </w:r>
          </w:p>
        </w:tc>
        <w:tc>
          <w:tcPr>
            <w:tcW w:w="679" w:type="pct"/>
            <w:tcBorders>
              <w:top w:val="nil"/>
              <w:left w:val="nil"/>
              <w:bottom w:val="nil"/>
              <w:right w:val="nil"/>
            </w:tcBorders>
          </w:tcPr>
          <w:p w14:paraId="37830F62" w14:textId="77777777" w:rsidR="00AD72CC" w:rsidRPr="00BC0D1F" w:rsidRDefault="00AD72CC" w:rsidP="00493A42">
            <w:pPr>
              <w:pStyle w:val="TableText"/>
              <w:ind w:right="113"/>
              <w:jc w:val="right"/>
            </w:pPr>
            <w:r w:rsidRPr="00BC0D1F">
              <w:t>1:80</w:t>
            </w:r>
          </w:p>
        </w:tc>
        <w:tc>
          <w:tcPr>
            <w:tcW w:w="717" w:type="pct"/>
            <w:tcBorders>
              <w:top w:val="nil"/>
              <w:left w:val="nil"/>
              <w:bottom w:val="nil"/>
            </w:tcBorders>
            <w:shd w:val="clear" w:color="auto" w:fill="D9D9D9"/>
          </w:tcPr>
          <w:p w14:paraId="39F1EE34" w14:textId="37224A43" w:rsidR="00AD72CC" w:rsidRPr="00BC0D1F" w:rsidRDefault="00AD72CC" w:rsidP="002A549D">
            <w:pPr>
              <w:pStyle w:val="TableText"/>
              <w:ind w:right="57"/>
              <w:jc w:val="right"/>
            </w:pPr>
            <w:r w:rsidRPr="00BC0D1F">
              <w:t>1:</w:t>
            </w:r>
            <w:r w:rsidR="002A549D" w:rsidRPr="00BC0D1F">
              <w:t>10</w:t>
            </w:r>
            <w:r w:rsidR="002A549D">
              <w:t>5</w:t>
            </w:r>
            <w:r w:rsidR="00301EBE" w:rsidRPr="00BC0D1F">
              <w:br/>
            </w:r>
            <w:r w:rsidRPr="00BC0D1F">
              <w:t>(see Note A)</w:t>
            </w:r>
          </w:p>
        </w:tc>
      </w:tr>
      <w:tr w:rsidR="00AD72CC" w:rsidRPr="00BC0D1F" w14:paraId="4AE1C1CE" w14:textId="77777777" w:rsidTr="00493A42">
        <w:trPr>
          <w:cantSplit/>
        </w:trPr>
        <w:tc>
          <w:tcPr>
            <w:tcW w:w="684" w:type="pct"/>
            <w:tcBorders>
              <w:top w:val="nil"/>
              <w:bottom w:val="nil"/>
              <w:right w:val="nil"/>
            </w:tcBorders>
          </w:tcPr>
          <w:p w14:paraId="313F975F" w14:textId="77777777" w:rsidR="00AD72CC" w:rsidRPr="00BC0D1F" w:rsidRDefault="00AD72CC" w:rsidP="00493A42">
            <w:pPr>
              <w:pStyle w:val="TableText"/>
              <w:spacing w:before="120"/>
              <w:ind w:right="284"/>
              <w:jc w:val="right"/>
            </w:pPr>
          </w:p>
        </w:tc>
        <w:tc>
          <w:tcPr>
            <w:tcW w:w="2920" w:type="pct"/>
            <w:tcBorders>
              <w:top w:val="nil"/>
              <w:left w:val="nil"/>
              <w:bottom w:val="nil"/>
              <w:right w:val="nil"/>
            </w:tcBorders>
          </w:tcPr>
          <w:p w14:paraId="6F9EEB47" w14:textId="77777777" w:rsidR="00AD72CC" w:rsidRPr="00BC0D1F" w:rsidRDefault="00AD72CC" w:rsidP="00493A42">
            <w:pPr>
              <w:pStyle w:val="TableText"/>
              <w:spacing w:before="120"/>
              <w:rPr>
                <w:b/>
              </w:rPr>
            </w:pPr>
            <w:r w:rsidRPr="00BC0D1F">
              <w:rPr>
                <w:b/>
              </w:rPr>
              <w:t>Contract management</w:t>
            </w:r>
          </w:p>
        </w:tc>
        <w:tc>
          <w:tcPr>
            <w:tcW w:w="679" w:type="pct"/>
            <w:tcBorders>
              <w:top w:val="nil"/>
              <w:left w:val="nil"/>
              <w:bottom w:val="nil"/>
              <w:right w:val="nil"/>
            </w:tcBorders>
          </w:tcPr>
          <w:p w14:paraId="3EB505D8" w14:textId="77777777" w:rsidR="00AD72CC" w:rsidRPr="00BC0D1F" w:rsidRDefault="00AD72CC" w:rsidP="00493A42">
            <w:pPr>
              <w:pStyle w:val="TableText"/>
              <w:spacing w:before="120"/>
              <w:ind w:right="113"/>
              <w:jc w:val="right"/>
            </w:pPr>
          </w:p>
        </w:tc>
        <w:tc>
          <w:tcPr>
            <w:tcW w:w="717" w:type="pct"/>
            <w:tcBorders>
              <w:top w:val="nil"/>
              <w:left w:val="nil"/>
              <w:bottom w:val="nil"/>
            </w:tcBorders>
            <w:shd w:val="clear" w:color="auto" w:fill="D9D9D9"/>
          </w:tcPr>
          <w:p w14:paraId="41ADFD78" w14:textId="77777777" w:rsidR="00AD72CC" w:rsidRPr="00BC0D1F" w:rsidRDefault="00AD72CC" w:rsidP="00301EBE">
            <w:pPr>
              <w:pStyle w:val="TableText"/>
              <w:spacing w:before="120"/>
              <w:ind w:right="57"/>
              <w:jc w:val="right"/>
            </w:pPr>
          </w:p>
        </w:tc>
      </w:tr>
      <w:tr w:rsidR="00AD72CC" w:rsidRPr="00BC0D1F" w14:paraId="50A1686D" w14:textId="77777777" w:rsidTr="00493A42">
        <w:trPr>
          <w:cantSplit/>
        </w:trPr>
        <w:tc>
          <w:tcPr>
            <w:tcW w:w="684" w:type="pct"/>
            <w:tcBorders>
              <w:top w:val="nil"/>
              <w:bottom w:val="nil"/>
              <w:right w:val="nil"/>
            </w:tcBorders>
          </w:tcPr>
          <w:p w14:paraId="51D4D42D" w14:textId="77777777" w:rsidR="00AD72CC" w:rsidRPr="00BC0D1F" w:rsidRDefault="00AD72CC" w:rsidP="00493A42">
            <w:pPr>
              <w:pStyle w:val="TableText"/>
              <w:ind w:right="284"/>
              <w:jc w:val="right"/>
            </w:pPr>
            <w:r w:rsidRPr="00BC0D1F">
              <w:t>New</w:t>
            </w:r>
          </w:p>
        </w:tc>
        <w:tc>
          <w:tcPr>
            <w:tcW w:w="2920" w:type="pct"/>
            <w:tcBorders>
              <w:top w:val="nil"/>
              <w:left w:val="nil"/>
              <w:bottom w:val="nil"/>
              <w:right w:val="nil"/>
            </w:tcBorders>
          </w:tcPr>
          <w:p w14:paraId="6CDCA21B" w14:textId="77777777" w:rsidR="00AD72CC" w:rsidRPr="00BC0D1F" w:rsidRDefault="00AD72CC" w:rsidP="00493A42">
            <w:pPr>
              <w:pStyle w:val="TableText"/>
            </w:pPr>
            <w:r w:rsidRPr="00BC0D1F">
              <w:t>Social agencies are required to move contracts with NGOs to the streamlined contract framework as they are renewed. The Ministry will move the following numbers of contracts by 30 June 2016</w:t>
            </w:r>
          </w:p>
        </w:tc>
        <w:tc>
          <w:tcPr>
            <w:tcW w:w="679" w:type="pct"/>
            <w:tcBorders>
              <w:top w:val="nil"/>
              <w:left w:val="nil"/>
              <w:bottom w:val="nil"/>
              <w:right w:val="nil"/>
            </w:tcBorders>
          </w:tcPr>
          <w:p w14:paraId="6743C4E4" w14:textId="77777777" w:rsidR="00AD72CC" w:rsidRPr="00BC0D1F" w:rsidRDefault="00AD72CC" w:rsidP="00493A42">
            <w:pPr>
              <w:pStyle w:val="TableText"/>
              <w:ind w:right="113"/>
              <w:jc w:val="right"/>
            </w:pPr>
            <w:r w:rsidRPr="00BC0D1F">
              <w:t>320</w:t>
            </w:r>
          </w:p>
        </w:tc>
        <w:tc>
          <w:tcPr>
            <w:tcW w:w="717" w:type="pct"/>
            <w:tcBorders>
              <w:top w:val="nil"/>
              <w:left w:val="nil"/>
              <w:bottom w:val="nil"/>
            </w:tcBorders>
            <w:shd w:val="clear" w:color="auto" w:fill="D9D9D9"/>
          </w:tcPr>
          <w:p w14:paraId="2DE54C00" w14:textId="77777777" w:rsidR="00AD72CC" w:rsidRPr="00BC0D1F" w:rsidRDefault="00AD72CC" w:rsidP="00301EBE">
            <w:pPr>
              <w:pStyle w:val="TableText"/>
              <w:ind w:right="57"/>
              <w:jc w:val="right"/>
            </w:pPr>
            <w:r w:rsidRPr="00BC0D1F">
              <w:t>333</w:t>
            </w:r>
          </w:p>
        </w:tc>
      </w:tr>
      <w:tr w:rsidR="00AD72CC" w:rsidRPr="00BC0D1F" w14:paraId="250128CC" w14:textId="77777777" w:rsidTr="00493A42">
        <w:trPr>
          <w:cantSplit/>
        </w:trPr>
        <w:tc>
          <w:tcPr>
            <w:tcW w:w="684" w:type="pct"/>
            <w:tcBorders>
              <w:top w:val="nil"/>
              <w:bottom w:val="nil"/>
              <w:right w:val="nil"/>
            </w:tcBorders>
          </w:tcPr>
          <w:p w14:paraId="5B3001ED" w14:textId="77777777" w:rsidR="00AD72CC" w:rsidRPr="00BC0D1F" w:rsidRDefault="00AD72CC" w:rsidP="00493A42">
            <w:pPr>
              <w:pStyle w:val="TableText"/>
              <w:ind w:right="284"/>
              <w:jc w:val="right"/>
            </w:pPr>
            <w:r w:rsidRPr="00BC0D1F">
              <w:t>92%</w:t>
            </w:r>
          </w:p>
        </w:tc>
        <w:tc>
          <w:tcPr>
            <w:tcW w:w="2920" w:type="pct"/>
            <w:tcBorders>
              <w:top w:val="nil"/>
              <w:left w:val="nil"/>
              <w:bottom w:val="nil"/>
              <w:right w:val="nil"/>
            </w:tcBorders>
          </w:tcPr>
          <w:p w14:paraId="5BC6C341" w14:textId="77777777" w:rsidR="00AD72CC" w:rsidRPr="00BC0D1F" w:rsidRDefault="00AD72CC" w:rsidP="00493A42">
            <w:pPr>
              <w:pStyle w:val="TableText"/>
            </w:pPr>
            <w:r w:rsidRPr="00BC0D1F">
              <w:t>The percentage of Ministry feedback to Crown Funding Agreement Variation (CFAV) monitoring reports that are supplied to DHBs within agreed timeframes</w:t>
            </w:r>
          </w:p>
        </w:tc>
        <w:tc>
          <w:tcPr>
            <w:tcW w:w="679" w:type="pct"/>
            <w:tcBorders>
              <w:top w:val="nil"/>
              <w:left w:val="nil"/>
              <w:bottom w:val="nil"/>
              <w:right w:val="nil"/>
            </w:tcBorders>
          </w:tcPr>
          <w:p w14:paraId="733D6C80" w14:textId="77777777" w:rsidR="00AD72CC" w:rsidRPr="00BC0D1F" w:rsidRDefault="00AD72CC" w:rsidP="00493A42">
            <w:pPr>
              <w:pStyle w:val="TableText"/>
              <w:ind w:right="113"/>
              <w:jc w:val="right"/>
            </w:pPr>
            <w:r w:rsidRPr="00BC0D1F">
              <w:t>90%</w:t>
            </w:r>
          </w:p>
        </w:tc>
        <w:tc>
          <w:tcPr>
            <w:tcW w:w="717" w:type="pct"/>
            <w:tcBorders>
              <w:top w:val="nil"/>
              <w:left w:val="nil"/>
              <w:bottom w:val="nil"/>
            </w:tcBorders>
            <w:shd w:val="clear" w:color="auto" w:fill="D9D9D9"/>
          </w:tcPr>
          <w:p w14:paraId="16786D2E" w14:textId="77777777" w:rsidR="00AD72CC" w:rsidRPr="00BC0D1F" w:rsidRDefault="00AD72CC" w:rsidP="00301EBE">
            <w:pPr>
              <w:pStyle w:val="TableText"/>
              <w:ind w:right="57"/>
              <w:jc w:val="right"/>
            </w:pPr>
            <w:r w:rsidRPr="00BC0D1F">
              <w:t>100%</w:t>
            </w:r>
          </w:p>
        </w:tc>
      </w:tr>
      <w:tr w:rsidR="00AD72CC" w:rsidRPr="00BC0D1F" w14:paraId="717878EB" w14:textId="77777777" w:rsidTr="00493A42">
        <w:trPr>
          <w:cantSplit/>
        </w:trPr>
        <w:tc>
          <w:tcPr>
            <w:tcW w:w="684" w:type="pct"/>
            <w:tcBorders>
              <w:top w:val="nil"/>
              <w:bottom w:val="single" w:sz="4" w:space="0" w:color="auto"/>
              <w:right w:val="nil"/>
            </w:tcBorders>
          </w:tcPr>
          <w:p w14:paraId="3886DE98" w14:textId="77777777" w:rsidR="00AD72CC" w:rsidRPr="00BC0D1F" w:rsidRDefault="00AD72CC" w:rsidP="00493A42">
            <w:pPr>
              <w:pStyle w:val="TableText"/>
              <w:ind w:right="284"/>
              <w:jc w:val="right"/>
            </w:pPr>
            <w:r w:rsidRPr="00BC0D1F">
              <w:t>100%</w:t>
            </w:r>
          </w:p>
        </w:tc>
        <w:tc>
          <w:tcPr>
            <w:tcW w:w="2920" w:type="pct"/>
            <w:tcBorders>
              <w:top w:val="nil"/>
              <w:left w:val="nil"/>
              <w:bottom w:val="single" w:sz="4" w:space="0" w:color="auto"/>
              <w:right w:val="nil"/>
            </w:tcBorders>
          </w:tcPr>
          <w:p w14:paraId="291647CF" w14:textId="77777777" w:rsidR="00AD72CC" w:rsidRPr="00BC0D1F" w:rsidRDefault="00AD72CC" w:rsidP="00493A42">
            <w:pPr>
              <w:pStyle w:val="TableText"/>
            </w:pPr>
            <w:r w:rsidRPr="00BC0D1F">
              <w:t>The percentage of complaints from service users received by the National Quality Group, National Services Purchasing and National Health Board that receive a timely initial response from the Ministry</w:t>
            </w:r>
          </w:p>
        </w:tc>
        <w:tc>
          <w:tcPr>
            <w:tcW w:w="679" w:type="pct"/>
            <w:tcBorders>
              <w:top w:val="nil"/>
              <w:left w:val="nil"/>
              <w:bottom w:val="single" w:sz="4" w:space="0" w:color="auto"/>
              <w:right w:val="nil"/>
            </w:tcBorders>
          </w:tcPr>
          <w:p w14:paraId="56CD9AD4" w14:textId="77777777" w:rsidR="00AD72CC" w:rsidRPr="00BC0D1F" w:rsidRDefault="00AD72CC" w:rsidP="00493A42">
            <w:pPr>
              <w:pStyle w:val="TableText"/>
              <w:ind w:right="113"/>
              <w:jc w:val="right"/>
            </w:pPr>
            <w:r w:rsidRPr="00BC0D1F">
              <w:t>95%</w:t>
            </w:r>
          </w:p>
        </w:tc>
        <w:tc>
          <w:tcPr>
            <w:tcW w:w="717" w:type="pct"/>
            <w:tcBorders>
              <w:top w:val="nil"/>
              <w:left w:val="nil"/>
              <w:bottom w:val="single" w:sz="4" w:space="0" w:color="auto"/>
            </w:tcBorders>
            <w:shd w:val="clear" w:color="auto" w:fill="D9D9D9"/>
          </w:tcPr>
          <w:p w14:paraId="28B98D8F" w14:textId="77777777" w:rsidR="00AD72CC" w:rsidRPr="00BC0D1F" w:rsidRDefault="00AD72CC" w:rsidP="00301EBE">
            <w:pPr>
              <w:pStyle w:val="TableText"/>
              <w:ind w:right="57"/>
              <w:jc w:val="right"/>
              <w:rPr>
                <w:highlight w:val="yellow"/>
              </w:rPr>
            </w:pPr>
            <w:r w:rsidRPr="00BC0D1F">
              <w:t>96.7%</w:t>
            </w:r>
          </w:p>
        </w:tc>
      </w:tr>
    </w:tbl>
    <w:p w14:paraId="35C3C4A3" w14:textId="77777777" w:rsidR="00AD72CC" w:rsidRPr="00BC0D1F" w:rsidRDefault="00AD72CC" w:rsidP="00301EBE"/>
    <w:p w14:paraId="325B5F08" w14:textId="77777777" w:rsidR="00AD72CC" w:rsidRPr="00BC0D1F" w:rsidRDefault="00AD72CC" w:rsidP="00301EBE">
      <w:pPr>
        <w:pStyle w:val="Heading4"/>
      </w:pPr>
      <w:r w:rsidRPr="00BC0D1F">
        <w:t>Contracting</w:t>
      </w:r>
    </w:p>
    <w:p w14:paraId="76598A1F" w14:textId="77777777" w:rsidR="00AD72CC" w:rsidRPr="00BC0D1F" w:rsidRDefault="00AD72CC" w:rsidP="00301EBE">
      <w:r w:rsidRPr="00BC0D1F">
        <w:t>These measures capture dimensions of the work being undertaken in actively purchasing services using non-departmental expenditure (NDE) on behalf of the Crown. The following are defined as contracts for the purpose of these measures:</w:t>
      </w:r>
    </w:p>
    <w:p w14:paraId="6414CDC2" w14:textId="77777777" w:rsidR="00AD72CC" w:rsidRPr="00BC0D1F" w:rsidRDefault="00AD72CC" w:rsidP="00301EBE">
      <w:pPr>
        <w:pStyle w:val="Bullet"/>
      </w:pPr>
      <w:r w:rsidRPr="00BC0D1F">
        <w:t>any contract that has any dollar value and is managed under the Ministry</w:t>
      </w:r>
      <w:r w:rsidR="00DF4B9A" w:rsidRPr="00BC0D1F">
        <w:t>’</w:t>
      </w:r>
      <w:r w:rsidRPr="00BC0D1F">
        <w:t>s Non-Departmental Contract Management System, or</w:t>
      </w:r>
    </w:p>
    <w:p w14:paraId="0D26671E" w14:textId="77777777" w:rsidR="00AD72CC" w:rsidRPr="00BC0D1F" w:rsidRDefault="00AD72CC" w:rsidP="00301EBE">
      <w:pPr>
        <w:pStyle w:val="Bullet"/>
      </w:pPr>
      <w:r w:rsidRPr="00BC0D1F">
        <w:t>payments made under section 88 of the New Zealand Public Health and Disability Act 2000, or</w:t>
      </w:r>
    </w:p>
    <w:p w14:paraId="154EA2FF" w14:textId="77777777" w:rsidR="00AD72CC" w:rsidRPr="00BC0D1F" w:rsidRDefault="00AD72CC" w:rsidP="00301EBE">
      <w:pPr>
        <w:pStyle w:val="Bullet"/>
      </w:pPr>
      <w:proofErr w:type="gramStart"/>
      <w:r w:rsidRPr="00BC0D1F">
        <w:t>payments</w:t>
      </w:r>
      <w:proofErr w:type="gramEnd"/>
      <w:r w:rsidRPr="00BC0D1F">
        <w:t xml:space="preserve"> managed by the Ministry</w:t>
      </w:r>
      <w:r w:rsidR="00DF4B9A" w:rsidRPr="00BC0D1F">
        <w:t>’</w:t>
      </w:r>
      <w:r w:rsidRPr="00BC0D1F">
        <w:t>s client claims processing system.</w:t>
      </w:r>
    </w:p>
    <w:p w14:paraId="04CFD3DA" w14:textId="77777777" w:rsidR="00AD72CC" w:rsidRPr="00BC0D1F" w:rsidRDefault="00AD72CC" w:rsidP="00301EBE"/>
    <w:p w14:paraId="33FF030D" w14:textId="77777777" w:rsidR="00AD72CC" w:rsidRPr="00BC0D1F" w:rsidRDefault="00AD72CC" w:rsidP="00301EBE">
      <w:r w:rsidRPr="00BC0D1F">
        <w:t>The measure does not include Crown Funding Agreements (CFAs) with the DHBs.</w:t>
      </w:r>
    </w:p>
    <w:p w14:paraId="5924CDAE" w14:textId="77777777" w:rsidR="00AD72CC" w:rsidRPr="00BC0D1F" w:rsidRDefault="00AD72CC" w:rsidP="00301EBE"/>
    <w:p w14:paraId="73F382BF" w14:textId="77777777" w:rsidR="00AD72CC" w:rsidRPr="00BC0D1F" w:rsidRDefault="00AD72CC" w:rsidP="00301EBE">
      <w:pPr>
        <w:keepNext/>
      </w:pPr>
      <w:r w:rsidRPr="00BC0D1F">
        <w:lastRenderedPageBreak/>
        <w:t>Contracts are held between the Ministry and other parties, on behalf of the Crown, for purchasing services for third parties. Such contracts are always paid from NDE appropriations. Included in the scope of these contracts are:</w:t>
      </w:r>
    </w:p>
    <w:p w14:paraId="5FEBC0DC" w14:textId="77777777" w:rsidR="00AD72CC" w:rsidRPr="00BC0D1F" w:rsidRDefault="00AD72CC" w:rsidP="00301EBE">
      <w:pPr>
        <w:pStyle w:val="Bullet"/>
      </w:pPr>
      <w:r w:rsidRPr="00BC0D1F">
        <w:t>new (or renewed) contracts supporting national service purchasing (</w:t>
      </w:r>
      <w:proofErr w:type="spellStart"/>
      <w:r w:rsidRPr="00BC0D1F">
        <w:t>eg</w:t>
      </w:r>
      <w:proofErr w:type="spellEnd"/>
      <w:r w:rsidRPr="00BC0D1F">
        <w:t>, the National Screening Unit, disability support services, ambulance services, maternity services and public health services)</w:t>
      </w:r>
    </w:p>
    <w:p w14:paraId="7252B247" w14:textId="77777777" w:rsidR="00AD72CC" w:rsidRPr="00BC0D1F" w:rsidRDefault="00AD72CC" w:rsidP="00301EBE">
      <w:pPr>
        <w:pStyle w:val="Bullet"/>
      </w:pPr>
      <w:proofErr w:type="gramStart"/>
      <w:r w:rsidRPr="00BC0D1F">
        <w:t>other</w:t>
      </w:r>
      <w:proofErr w:type="gramEnd"/>
      <w:r w:rsidRPr="00BC0D1F">
        <w:t xml:space="preserve"> new (or renewed) contracts entered into by the Ministry for providing services to external parties using NDE funding.</w:t>
      </w:r>
    </w:p>
    <w:p w14:paraId="698E3F62" w14:textId="77777777" w:rsidR="00AD72CC" w:rsidRPr="00BC0D1F" w:rsidRDefault="00AD72CC" w:rsidP="00301EBE"/>
    <w:p w14:paraId="11227A88" w14:textId="77777777" w:rsidR="00AD72CC" w:rsidRPr="00BC0D1F" w:rsidRDefault="00AD72CC" w:rsidP="00301EBE">
      <w:r w:rsidRPr="00BC0D1F">
        <w:t>The Ministry reviews its own procurement policy and standards to ensure compliance with government standards, as required.</w:t>
      </w:r>
    </w:p>
    <w:p w14:paraId="72C36468" w14:textId="77777777" w:rsidR="00AD72CC" w:rsidRPr="00BC0D1F" w:rsidRDefault="00AD72CC" w:rsidP="00301EBE"/>
    <w:p w14:paraId="4CEFE20A" w14:textId="60097291" w:rsidR="00AD72CC" w:rsidRPr="00BC0D1F" w:rsidRDefault="00AD72CC" w:rsidP="00301EBE">
      <w:r w:rsidRPr="00BC0D1F">
        <w:t>Note A: The ratio of departmental expenditure and relevant NDE measure assesses how efficiently the Ministry manages its contracted NDE of $2.</w:t>
      </w:r>
      <w:r w:rsidR="002A549D">
        <w:t>702</w:t>
      </w:r>
      <w:r w:rsidR="002A549D" w:rsidRPr="00BC0D1F">
        <w:t xml:space="preserve"> </w:t>
      </w:r>
      <w:r w:rsidRPr="00BC0D1F">
        <w:t>billion, which is a component of the total $2.</w:t>
      </w:r>
      <w:r w:rsidR="002A549D" w:rsidRPr="00BC0D1F">
        <w:t>7</w:t>
      </w:r>
      <w:r w:rsidR="002A549D">
        <w:t>86</w:t>
      </w:r>
      <w:r w:rsidR="002A549D" w:rsidRPr="00BC0D1F">
        <w:t xml:space="preserve"> </w:t>
      </w:r>
      <w:r w:rsidRPr="00BC0D1F">
        <w:t>billion Ministry-managed NDE. The target is to have the Ministry manage $80</w:t>
      </w:r>
      <w:r w:rsidR="00301EBE" w:rsidRPr="00BC0D1F">
        <w:t> </w:t>
      </w:r>
      <w:r w:rsidRPr="00BC0D1F">
        <w:t>worth of contracted NDE for every dollar of related departmental expenditure spent. In 2015/16 the Ministry exceeded the target by managing $</w:t>
      </w:r>
      <w:r w:rsidR="002A549D" w:rsidRPr="00BC0D1F">
        <w:t>10</w:t>
      </w:r>
      <w:r w:rsidR="002A549D">
        <w:t>5</w:t>
      </w:r>
      <w:r w:rsidR="002A549D" w:rsidRPr="00BC0D1F">
        <w:t xml:space="preserve"> </w:t>
      </w:r>
      <w:r w:rsidRPr="00BC0D1F">
        <w:t xml:space="preserve">contracted NDE for every dollar it spent ($75 in 2014/15). The </w:t>
      </w:r>
      <w:r w:rsidR="00014B00">
        <w:t>change in values from 2014/15</w:t>
      </w:r>
      <w:r w:rsidRPr="00BC0D1F">
        <w:t xml:space="preserve"> is because in previous years the disability service</w:t>
      </w:r>
      <w:r w:rsidR="00016CF5" w:rsidRPr="00191DB8">
        <w:t xml:space="preserve"> client claims were</w:t>
      </w:r>
      <w:r w:rsidRPr="00BC0D1F">
        <w:t xml:space="preserve"> not included in this measure</w:t>
      </w:r>
      <w:r w:rsidR="00014B00">
        <w:t>; if the figure was adjusted for 2014/15 it would have been 1:107.</w:t>
      </w:r>
    </w:p>
    <w:p w14:paraId="29BF8801" w14:textId="77777777" w:rsidR="00AD72CC" w:rsidRPr="00BC0D1F" w:rsidRDefault="00AD72CC" w:rsidP="00301EBE">
      <w:pPr>
        <w:rPr>
          <w:highlight w:val="yellow"/>
        </w:rPr>
      </w:pPr>
    </w:p>
    <w:p w14:paraId="33D15732" w14:textId="77777777" w:rsidR="00AD72CC" w:rsidRPr="00BC0D1F" w:rsidRDefault="00AD72CC" w:rsidP="00301EBE">
      <w:pPr>
        <w:pStyle w:val="Heading4"/>
      </w:pPr>
      <w:r w:rsidRPr="00BC0D1F">
        <w:t>Contract management</w:t>
      </w:r>
    </w:p>
    <w:p w14:paraId="010AE1EC" w14:textId="77777777" w:rsidR="00AD72CC" w:rsidRPr="00BC0D1F" w:rsidRDefault="00AD72CC" w:rsidP="00301EBE">
      <w:r w:rsidRPr="00BC0D1F">
        <w:t>The contract management performance measures assess how well the Ministry handles monitoring information. They act as a proxy for measuring the quality of contract performance management. Regular feedback to providers on contractual performance assists in both preventing poor performance and efficiently resolving existing performance issues. This measure applies to all monitoring reports sent to the Ministry by contracted service providers according to a regular reporting schedule, such as would normally be expected in a contracting arrangement. Reports may be sent monthly, quarterly or according to some other schedule.</w:t>
      </w:r>
    </w:p>
    <w:p w14:paraId="1989DC86" w14:textId="77777777" w:rsidR="00AD72CC" w:rsidRPr="00BC0D1F" w:rsidRDefault="00AD72CC" w:rsidP="00301EBE"/>
    <w:p w14:paraId="58DDC696" w14:textId="77777777" w:rsidR="00AD72CC" w:rsidRPr="00BC0D1F" w:rsidRDefault="00AD72CC" w:rsidP="00301EBE">
      <w:r w:rsidRPr="00BC0D1F">
        <w:t>The following reports are excluded from the measures:</w:t>
      </w:r>
    </w:p>
    <w:p w14:paraId="4F185FE4" w14:textId="77777777" w:rsidR="00AD72CC" w:rsidRPr="00BC0D1F" w:rsidRDefault="00AD72CC" w:rsidP="00301EBE">
      <w:pPr>
        <w:pStyle w:val="Bullet"/>
      </w:pPr>
      <w:r w:rsidRPr="00BC0D1F">
        <w:t>monitoring reports for contracts where the total value of the contract is below the financial threshold</w:t>
      </w:r>
    </w:p>
    <w:p w14:paraId="7523857E" w14:textId="77777777" w:rsidR="00AD72CC" w:rsidRPr="00BC0D1F" w:rsidRDefault="00AD72CC" w:rsidP="00301EBE">
      <w:pPr>
        <w:pStyle w:val="Bullet"/>
      </w:pPr>
      <w:r w:rsidRPr="00BC0D1F">
        <w:t>CFA variation monitoring reports</w:t>
      </w:r>
    </w:p>
    <w:p w14:paraId="6EC5208A" w14:textId="77777777" w:rsidR="00AD72CC" w:rsidRPr="00BC0D1F" w:rsidRDefault="00AD72CC" w:rsidP="00301EBE">
      <w:pPr>
        <w:pStyle w:val="Bullet"/>
      </w:pPr>
      <w:proofErr w:type="gramStart"/>
      <w:r w:rsidRPr="00BC0D1F">
        <w:t>extraordinary</w:t>
      </w:r>
      <w:proofErr w:type="gramEnd"/>
      <w:r w:rsidRPr="00BC0D1F">
        <w:t xml:space="preserve"> correspondence, issues management and other performance reporting outside the normal contractual schedules for reporting.</w:t>
      </w:r>
    </w:p>
    <w:p w14:paraId="1B7E5262" w14:textId="77777777" w:rsidR="00AD72CC" w:rsidRPr="00BC0D1F" w:rsidRDefault="00AD72CC" w:rsidP="00301EBE"/>
    <w:p w14:paraId="582B4401" w14:textId="77777777" w:rsidR="00AD72CC" w:rsidRPr="00BC0D1F" w:rsidRDefault="00DF4B9A" w:rsidP="00301EBE">
      <w:r w:rsidRPr="00BC0D1F">
        <w:t>‘</w:t>
      </w:r>
      <w:r w:rsidR="00AD72CC" w:rsidRPr="00BC0D1F">
        <w:t>Service providers</w:t>
      </w:r>
      <w:r w:rsidRPr="00BC0D1F">
        <w:t>’</w:t>
      </w:r>
      <w:r w:rsidR="00AD72CC" w:rsidRPr="00BC0D1F">
        <w:t xml:space="preserve"> include all organisations that have a contract with the Ministry to deliver services funded from the NDE budget.</w:t>
      </w:r>
    </w:p>
    <w:p w14:paraId="0EDCC25E" w14:textId="77777777" w:rsidR="00AD72CC" w:rsidRPr="00BC0D1F" w:rsidRDefault="00AD72CC" w:rsidP="00301EBE"/>
    <w:p w14:paraId="4619481F" w14:textId="77777777" w:rsidR="00AD72CC" w:rsidRPr="00BC0D1F" w:rsidRDefault="00AD72CC" w:rsidP="00301EBE">
      <w:r w:rsidRPr="00BC0D1F">
        <w:t xml:space="preserve">The measure </w:t>
      </w:r>
      <w:r w:rsidR="00DF4B9A" w:rsidRPr="00BC0D1F">
        <w:t>‘</w:t>
      </w:r>
      <w:r w:rsidRPr="00BC0D1F">
        <w:t>Social agencies are required to move contracts with NGOs to the streamlined contract framework</w:t>
      </w:r>
      <w:r w:rsidR="00DF4B9A" w:rsidRPr="00BC0D1F">
        <w:t>’</w:t>
      </w:r>
      <w:r w:rsidRPr="00BC0D1F">
        <w:rPr>
          <w:i/>
        </w:rPr>
        <w:t xml:space="preserve"> </w:t>
      </w:r>
      <w:r w:rsidRPr="00BC0D1F">
        <w:t>was new for 2015/16. Phase Three of this project is ongoing and includes the period 1 July to December 2016, with implementation continuing in accordance with the agreed time frames listed in the plan. Targets will be increased as follows: 2015/16: 320; 2016/17: 800; 2017/18: 840; 2018/19: 900.</w:t>
      </w:r>
    </w:p>
    <w:p w14:paraId="52F09B09" w14:textId="77777777" w:rsidR="00AD72CC" w:rsidRPr="00BC0D1F" w:rsidRDefault="00AD72CC" w:rsidP="00301EBE"/>
    <w:p w14:paraId="737896F0" w14:textId="77777777" w:rsidR="00AD72CC" w:rsidRPr="00BC0D1F" w:rsidRDefault="00AD72CC" w:rsidP="00301EBE">
      <w:pPr>
        <w:keepLines/>
      </w:pPr>
      <w:r w:rsidRPr="00BC0D1F">
        <w:lastRenderedPageBreak/>
        <w:t>Crown Funding Agreement variations (CFAVs) comprise a significant amount of contracting activity. The Ministry monitors these contracts in a different way, according to their own rules and tracking system. CFAV monitoring reports are typically short confirmations of the funding that has been spent, along with some associated measures, such as volume of a service delivered and number of people employed. These reports are usually due on the 20th day of the month following the end of the quarter. A key facet of this system is that monitoring reports from DHBs should receive feedback from the Ministry within a standard timeframe of 14 business days. This year, all feedback to DHBs in relation to CFA variation monitoring reports was delivered on time.</w:t>
      </w:r>
    </w:p>
    <w:p w14:paraId="744359E3" w14:textId="77777777" w:rsidR="00AD72CC" w:rsidRPr="00BC0D1F" w:rsidRDefault="00AD72CC" w:rsidP="00301EBE"/>
    <w:p w14:paraId="56DC5E76" w14:textId="77777777" w:rsidR="00AD72CC" w:rsidRPr="00BC0D1F" w:rsidRDefault="00AD72CC" w:rsidP="00301EBE">
      <w:pPr>
        <w:pStyle w:val="Table"/>
      </w:pPr>
      <w:bookmarkStart w:id="116" w:name="_Toc462926713"/>
      <w:r w:rsidRPr="00BC0D1F">
        <w:t>Table 8: Financial performance for managing the purchase of services</w:t>
      </w:r>
      <w:bookmarkEnd w:id="116"/>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60"/>
        <w:gridCol w:w="3685"/>
        <w:gridCol w:w="1418"/>
        <w:gridCol w:w="1346"/>
        <w:gridCol w:w="1347"/>
      </w:tblGrid>
      <w:tr w:rsidR="00AD72CC" w:rsidRPr="00BC0D1F" w14:paraId="17A006D0" w14:textId="77777777" w:rsidTr="00493A42">
        <w:trPr>
          <w:cantSplit/>
        </w:trPr>
        <w:tc>
          <w:tcPr>
            <w:tcW w:w="1560" w:type="dxa"/>
            <w:tcBorders>
              <w:top w:val="single" w:sz="4" w:space="0" w:color="auto"/>
              <w:bottom w:val="single" w:sz="4" w:space="0" w:color="auto"/>
              <w:right w:val="nil"/>
            </w:tcBorders>
            <w:shd w:val="solid" w:color="FFFFFF" w:fill="auto"/>
          </w:tcPr>
          <w:p w14:paraId="5F20BE97" w14:textId="77777777" w:rsidR="00AD72CC" w:rsidRPr="00BC0D1F" w:rsidRDefault="00AD72CC" w:rsidP="00493A4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30/06/2015</w:t>
            </w:r>
            <w:r w:rsidRPr="00BC0D1F">
              <w:rPr>
                <w:b/>
                <w:lang w:eastAsia="en-NZ"/>
              </w:rPr>
              <w:br/>
              <w:t>$000</w:t>
            </w:r>
          </w:p>
        </w:tc>
        <w:tc>
          <w:tcPr>
            <w:tcW w:w="3685" w:type="dxa"/>
            <w:tcBorders>
              <w:top w:val="single" w:sz="4" w:space="0" w:color="auto"/>
              <w:left w:val="nil"/>
              <w:bottom w:val="single" w:sz="4" w:space="0" w:color="auto"/>
            </w:tcBorders>
            <w:shd w:val="solid" w:color="FFFFFF" w:fill="auto"/>
          </w:tcPr>
          <w:p w14:paraId="063C8C03" w14:textId="77777777" w:rsidR="00AD72CC" w:rsidRPr="00BC0D1F" w:rsidRDefault="00AD72CC" w:rsidP="00493A42">
            <w:pPr>
              <w:pStyle w:val="TableText"/>
              <w:rPr>
                <w:b/>
                <w:lang w:eastAsia="en-NZ"/>
              </w:rPr>
            </w:pPr>
          </w:p>
        </w:tc>
        <w:tc>
          <w:tcPr>
            <w:tcW w:w="1418" w:type="dxa"/>
            <w:tcBorders>
              <w:top w:val="single" w:sz="4" w:space="0" w:color="auto"/>
              <w:bottom w:val="single" w:sz="4" w:space="0" w:color="auto"/>
            </w:tcBorders>
            <w:shd w:val="clear" w:color="E3E3E3" w:fill="D9D9D9"/>
          </w:tcPr>
          <w:p w14:paraId="5BD40ACE" w14:textId="77777777" w:rsidR="00AD72CC" w:rsidRPr="00BC0D1F" w:rsidRDefault="00AD72CC" w:rsidP="00493A4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30/06/2016</w:t>
            </w:r>
            <w:r w:rsidRPr="00BC0D1F">
              <w:rPr>
                <w:b/>
                <w:lang w:eastAsia="en-NZ"/>
              </w:rPr>
              <w:br/>
              <w:t>$000</w:t>
            </w:r>
          </w:p>
        </w:tc>
        <w:tc>
          <w:tcPr>
            <w:tcW w:w="1346" w:type="dxa"/>
            <w:tcBorders>
              <w:top w:val="single" w:sz="4" w:space="0" w:color="auto"/>
              <w:bottom w:val="single" w:sz="4" w:space="0" w:color="auto"/>
            </w:tcBorders>
            <w:shd w:val="solid" w:color="FFFFFF" w:fill="auto"/>
          </w:tcPr>
          <w:p w14:paraId="70AF781E"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30/06/2016</w:t>
            </w:r>
            <w:r w:rsidRPr="00BC0D1F">
              <w:rPr>
                <w:b/>
                <w:lang w:eastAsia="en-NZ"/>
              </w:rPr>
              <w:br/>
              <w:t>$000</w:t>
            </w:r>
          </w:p>
        </w:tc>
        <w:tc>
          <w:tcPr>
            <w:tcW w:w="1347" w:type="dxa"/>
            <w:tcBorders>
              <w:top w:val="single" w:sz="4" w:space="0" w:color="auto"/>
              <w:bottom w:val="single" w:sz="4" w:space="0" w:color="auto"/>
            </w:tcBorders>
            <w:shd w:val="solid" w:color="FFFFFF" w:fill="auto"/>
          </w:tcPr>
          <w:p w14:paraId="16A01DB3"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30/06/2016</w:t>
            </w:r>
            <w:r w:rsidRPr="00BC0D1F">
              <w:rPr>
                <w:b/>
                <w:lang w:eastAsia="en-NZ"/>
              </w:rPr>
              <w:br/>
              <w:t>$000</w:t>
            </w:r>
          </w:p>
        </w:tc>
      </w:tr>
      <w:tr w:rsidR="00AD72CC" w:rsidRPr="00BC0D1F" w14:paraId="1EF79A22" w14:textId="77777777" w:rsidTr="00301EBE">
        <w:trPr>
          <w:cantSplit/>
        </w:trPr>
        <w:tc>
          <w:tcPr>
            <w:tcW w:w="1560" w:type="dxa"/>
            <w:tcBorders>
              <w:top w:val="single" w:sz="4" w:space="0" w:color="auto"/>
              <w:right w:val="nil"/>
            </w:tcBorders>
            <w:shd w:val="solid" w:color="FFFFFF" w:fill="auto"/>
          </w:tcPr>
          <w:p w14:paraId="71322889" w14:textId="77777777" w:rsidR="00AD72CC" w:rsidRPr="00BC0D1F" w:rsidRDefault="00AD72CC" w:rsidP="00301EBE">
            <w:pPr>
              <w:pStyle w:val="TableText"/>
              <w:ind w:right="284"/>
              <w:jc w:val="right"/>
            </w:pPr>
            <w:r w:rsidRPr="00BC0D1F">
              <w:t>32,918</w:t>
            </w:r>
          </w:p>
        </w:tc>
        <w:tc>
          <w:tcPr>
            <w:tcW w:w="3685" w:type="dxa"/>
            <w:tcBorders>
              <w:top w:val="single" w:sz="4" w:space="0" w:color="auto"/>
              <w:left w:val="nil"/>
            </w:tcBorders>
            <w:shd w:val="solid" w:color="FFFFFF" w:fill="auto"/>
          </w:tcPr>
          <w:p w14:paraId="2C49FAD8" w14:textId="657D0961" w:rsidR="00AD72CC" w:rsidRPr="00BC0D1F" w:rsidRDefault="00726113" w:rsidP="00493A42">
            <w:pPr>
              <w:pStyle w:val="TableText"/>
            </w:pPr>
            <w:r>
              <w:t>Revenue Crown</w:t>
            </w:r>
          </w:p>
        </w:tc>
        <w:tc>
          <w:tcPr>
            <w:tcW w:w="1418" w:type="dxa"/>
            <w:tcBorders>
              <w:top w:val="single" w:sz="4" w:space="0" w:color="auto"/>
            </w:tcBorders>
            <w:shd w:val="clear" w:color="E3E3E3" w:fill="D9D9D9"/>
          </w:tcPr>
          <w:p w14:paraId="2D28F9AD" w14:textId="77777777" w:rsidR="00AD72CC" w:rsidRPr="00BC0D1F" w:rsidRDefault="00AD72CC" w:rsidP="00301EBE">
            <w:pPr>
              <w:pStyle w:val="TableText"/>
              <w:ind w:right="113"/>
              <w:jc w:val="right"/>
            </w:pPr>
            <w:r w:rsidRPr="00BC0D1F">
              <w:t>32,626</w:t>
            </w:r>
          </w:p>
        </w:tc>
        <w:tc>
          <w:tcPr>
            <w:tcW w:w="1346" w:type="dxa"/>
            <w:tcBorders>
              <w:top w:val="single" w:sz="4" w:space="0" w:color="auto"/>
            </w:tcBorders>
          </w:tcPr>
          <w:p w14:paraId="17FF2716" w14:textId="77777777" w:rsidR="00AD72CC" w:rsidRPr="00BC0D1F" w:rsidRDefault="00AD72CC" w:rsidP="00301EBE">
            <w:pPr>
              <w:pStyle w:val="TableText"/>
              <w:jc w:val="right"/>
            </w:pPr>
            <w:r w:rsidRPr="00BC0D1F">
              <w:t>30,807</w:t>
            </w:r>
          </w:p>
        </w:tc>
        <w:tc>
          <w:tcPr>
            <w:tcW w:w="1347" w:type="dxa"/>
            <w:tcBorders>
              <w:top w:val="single" w:sz="4" w:space="0" w:color="auto"/>
            </w:tcBorders>
          </w:tcPr>
          <w:p w14:paraId="328B242D" w14:textId="77777777" w:rsidR="00AD72CC" w:rsidRPr="00BC0D1F" w:rsidRDefault="00AD72CC" w:rsidP="00301EBE">
            <w:pPr>
              <w:pStyle w:val="TableText"/>
              <w:jc w:val="right"/>
            </w:pPr>
            <w:r w:rsidRPr="00BC0D1F">
              <w:t>32,626</w:t>
            </w:r>
          </w:p>
        </w:tc>
      </w:tr>
      <w:tr w:rsidR="00AD72CC" w:rsidRPr="00BC0D1F" w14:paraId="4451022C" w14:textId="77777777" w:rsidTr="00301EBE">
        <w:trPr>
          <w:cantSplit/>
        </w:trPr>
        <w:tc>
          <w:tcPr>
            <w:tcW w:w="1560" w:type="dxa"/>
            <w:tcBorders>
              <w:right w:val="nil"/>
            </w:tcBorders>
            <w:shd w:val="solid" w:color="FFFFFF" w:fill="auto"/>
          </w:tcPr>
          <w:p w14:paraId="1BE0BE48" w14:textId="77777777" w:rsidR="00AD72CC" w:rsidRPr="00BC0D1F" w:rsidRDefault="00AD72CC" w:rsidP="00301EBE">
            <w:pPr>
              <w:pStyle w:val="TableText"/>
              <w:ind w:right="284"/>
              <w:jc w:val="right"/>
            </w:pPr>
            <w:r w:rsidRPr="00BC0D1F">
              <w:t>0</w:t>
            </w:r>
          </w:p>
        </w:tc>
        <w:tc>
          <w:tcPr>
            <w:tcW w:w="3685" w:type="dxa"/>
            <w:tcBorders>
              <w:left w:val="nil"/>
            </w:tcBorders>
            <w:shd w:val="solid" w:color="FFFFFF" w:fill="auto"/>
          </w:tcPr>
          <w:p w14:paraId="17F07EEA" w14:textId="77777777" w:rsidR="00AD72CC" w:rsidRPr="00BC0D1F" w:rsidRDefault="00AD72CC" w:rsidP="00493A42">
            <w:pPr>
              <w:pStyle w:val="TableText"/>
            </w:pPr>
            <w:r w:rsidRPr="00BC0D1F">
              <w:t>Third-party revenue</w:t>
            </w:r>
          </w:p>
        </w:tc>
        <w:tc>
          <w:tcPr>
            <w:tcW w:w="1418" w:type="dxa"/>
            <w:shd w:val="clear" w:color="E3E3E3" w:fill="D9D9D9"/>
          </w:tcPr>
          <w:p w14:paraId="004197AD" w14:textId="77777777" w:rsidR="00AD72CC" w:rsidRPr="00BC0D1F" w:rsidRDefault="00AD72CC" w:rsidP="00301EBE">
            <w:pPr>
              <w:pStyle w:val="TableText"/>
              <w:ind w:right="113"/>
              <w:jc w:val="right"/>
            </w:pPr>
            <w:r w:rsidRPr="00BC0D1F">
              <w:t>0</w:t>
            </w:r>
          </w:p>
        </w:tc>
        <w:tc>
          <w:tcPr>
            <w:tcW w:w="1346" w:type="dxa"/>
          </w:tcPr>
          <w:p w14:paraId="6F6471F4" w14:textId="77777777" w:rsidR="00AD72CC" w:rsidRPr="00BC0D1F" w:rsidRDefault="00AD72CC" w:rsidP="00301EBE">
            <w:pPr>
              <w:pStyle w:val="TableText"/>
              <w:jc w:val="right"/>
            </w:pPr>
            <w:r w:rsidRPr="00BC0D1F">
              <w:t>0</w:t>
            </w:r>
          </w:p>
        </w:tc>
        <w:tc>
          <w:tcPr>
            <w:tcW w:w="1347" w:type="dxa"/>
          </w:tcPr>
          <w:p w14:paraId="7B74A0FD" w14:textId="77777777" w:rsidR="00AD72CC" w:rsidRPr="00BC0D1F" w:rsidRDefault="00AD72CC" w:rsidP="00301EBE">
            <w:pPr>
              <w:pStyle w:val="TableText"/>
              <w:jc w:val="right"/>
            </w:pPr>
            <w:r w:rsidRPr="00BC0D1F">
              <w:t>0</w:t>
            </w:r>
          </w:p>
        </w:tc>
      </w:tr>
      <w:tr w:rsidR="00AD72CC" w:rsidRPr="00BC0D1F" w14:paraId="5ED4479C" w14:textId="77777777" w:rsidTr="00301EBE">
        <w:trPr>
          <w:cantSplit/>
        </w:trPr>
        <w:tc>
          <w:tcPr>
            <w:tcW w:w="1560" w:type="dxa"/>
            <w:tcBorders>
              <w:right w:val="nil"/>
            </w:tcBorders>
            <w:shd w:val="solid" w:color="FFFFFF" w:fill="auto"/>
          </w:tcPr>
          <w:p w14:paraId="72CD19FD" w14:textId="77777777" w:rsidR="00AD72CC" w:rsidRPr="00BC0D1F" w:rsidRDefault="00AD72CC" w:rsidP="00301EBE">
            <w:pPr>
              <w:pStyle w:val="TableText"/>
              <w:ind w:right="284"/>
              <w:jc w:val="right"/>
              <w:rPr>
                <w:b/>
              </w:rPr>
            </w:pPr>
            <w:r w:rsidRPr="00BC0D1F">
              <w:rPr>
                <w:b/>
                <w:bCs/>
              </w:rPr>
              <w:t>32,918</w:t>
            </w:r>
          </w:p>
        </w:tc>
        <w:tc>
          <w:tcPr>
            <w:tcW w:w="3685" w:type="dxa"/>
            <w:tcBorders>
              <w:left w:val="nil"/>
            </w:tcBorders>
            <w:shd w:val="solid" w:color="FFFFFF" w:fill="auto"/>
          </w:tcPr>
          <w:p w14:paraId="416AEE1B" w14:textId="77777777" w:rsidR="00AD72CC" w:rsidRPr="00BC0D1F" w:rsidRDefault="00AD72CC" w:rsidP="00493A42">
            <w:pPr>
              <w:pStyle w:val="TableText"/>
              <w:rPr>
                <w:b/>
              </w:rPr>
            </w:pPr>
            <w:r w:rsidRPr="00BC0D1F">
              <w:rPr>
                <w:b/>
              </w:rPr>
              <w:t>Total revenue</w:t>
            </w:r>
          </w:p>
        </w:tc>
        <w:tc>
          <w:tcPr>
            <w:tcW w:w="1418" w:type="dxa"/>
            <w:shd w:val="clear" w:color="E3E3E3" w:fill="D9D9D9"/>
          </w:tcPr>
          <w:p w14:paraId="3E3D4A90" w14:textId="77777777" w:rsidR="00AD72CC" w:rsidRPr="00BC0D1F" w:rsidRDefault="00AD72CC" w:rsidP="00301EBE">
            <w:pPr>
              <w:pStyle w:val="TableText"/>
              <w:ind w:right="113"/>
              <w:jc w:val="right"/>
              <w:rPr>
                <w:b/>
              </w:rPr>
            </w:pPr>
            <w:r w:rsidRPr="00BC0D1F">
              <w:rPr>
                <w:b/>
                <w:bCs/>
              </w:rPr>
              <w:t>32,626</w:t>
            </w:r>
          </w:p>
        </w:tc>
        <w:tc>
          <w:tcPr>
            <w:tcW w:w="1346" w:type="dxa"/>
          </w:tcPr>
          <w:p w14:paraId="50625E76" w14:textId="77777777" w:rsidR="00AD72CC" w:rsidRPr="00BC0D1F" w:rsidRDefault="00AD72CC" w:rsidP="00301EBE">
            <w:pPr>
              <w:pStyle w:val="TableText"/>
              <w:jc w:val="right"/>
              <w:rPr>
                <w:b/>
              </w:rPr>
            </w:pPr>
            <w:r w:rsidRPr="00BC0D1F">
              <w:rPr>
                <w:b/>
                <w:bCs/>
              </w:rPr>
              <w:t>30,807</w:t>
            </w:r>
          </w:p>
        </w:tc>
        <w:tc>
          <w:tcPr>
            <w:tcW w:w="1347" w:type="dxa"/>
          </w:tcPr>
          <w:p w14:paraId="68CEC123" w14:textId="77777777" w:rsidR="00AD72CC" w:rsidRPr="00BC0D1F" w:rsidRDefault="00AD72CC" w:rsidP="00301EBE">
            <w:pPr>
              <w:pStyle w:val="TableText"/>
              <w:jc w:val="right"/>
              <w:rPr>
                <w:b/>
              </w:rPr>
            </w:pPr>
            <w:r w:rsidRPr="00BC0D1F">
              <w:rPr>
                <w:b/>
                <w:bCs/>
              </w:rPr>
              <w:t>32,626</w:t>
            </w:r>
          </w:p>
        </w:tc>
      </w:tr>
      <w:tr w:rsidR="00AD72CC" w:rsidRPr="00BC0D1F" w14:paraId="3516548D" w14:textId="77777777" w:rsidTr="00301EBE">
        <w:trPr>
          <w:cantSplit/>
        </w:trPr>
        <w:tc>
          <w:tcPr>
            <w:tcW w:w="1560" w:type="dxa"/>
            <w:tcBorders>
              <w:right w:val="nil"/>
            </w:tcBorders>
          </w:tcPr>
          <w:p w14:paraId="10CC1B18" w14:textId="77777777" w:rsidR="00AD72CC" w:rsidRPr="00BC0D1F" w:rsidRDefault="00AD72CC" w:rsidP="00301EBE">
            <w:pPr>
              <w:pStyle w:val="TableText"/>
              <w:ind w:right="284"/>
              <w:jc w:val="right"/>
            </w:pPr>
            <w:r w:rsidRPr="00BC0D1F">
              <w:t>31,252</w:t>
            </w:r>
          </w:p>
        </w:tc>
        <w:tc>
          <w:tcPr>
            <w:tcW w:w="3685" w:type="dxa"/>
            <w:tcBorders>
              <w:left w:val="nil"/>
            </w:tcBorders>
            <w:shd w:val="solid" w:color="FFFFFF" w:fill="auto"/>
          </w:tcPr>
          <w:p w14:paraId="01381F05" w14:textId="77777777" w:rsidR="00AD72CC" w:rsidRPr="00BC0D1F" w:rsidRDefault="00AD72CC" w:rsidP="00493A42">
            <w:pPr>
              <w:pStyle w:val="TableText"/>
            </w:pPr>
            <w:r w:rsidRPr="00BC0D1F">
              <w:t>Total expenditure</w:t>
            </w:r>
          </w:p>
        </w:tc>
        <w:tc>
          <w:tcPr>
            <w:tcW w:w="1418" w:type="dxa"/>
            <w:shd w:val="clear" w:color="E3E3E3" w:fill="D9D9D9"/>
          </w:tcPr>
          <w:p w14:paraId="610AB83D" w14:textId="77777777" w:rsidR="00AD72CC" w:rsidRPr="00BC0D1F" w:rsidRDefault="00AD72CC" w:rsidP="00301EBE">
            <w:pPr>
              <w:pStyle w:val="TableText"/>
              <w:ind w:right="113"/>
              <w:jc w:val="right"/>
            </w:pPr>
            <w:r w:rsidRPr="00BC0D1F">
              <w:t>31,790</w:t>
            </w:r>
          </w:p>
        </w:tc>
        <w:tc>
          <w:tcPr>
            <w:tcW w:w="1346" w:type="dxa"/>
          </w:tcPr>
          <w:p w14:paraId="734AE98E" w14:textId="77777777" w:rsidR="00AD72CC" w:rsidRPr="00BC0D1F" w:rsidRDefault="00AD72CC" w:rsidP="00301EBE">
            <w:pPr>
              <w:pStyle w:val="TableText"/>
              <w:jc w:val="right"/>
            </w:pPr>
            <w:r w:rsidRPr="00BC0D1F">
              <w:t>30,807</w:t>
            </w:r>
          </w:p>
        </w:tc>
        <w:tc>
          <w:tcPr>
            <w:tcW w:w="1347" w:type="dxa"/>
          </w:tcPr>
          <w:p w14:paraId="1BEED962" w14:textId="77777777" w:rsidR="00AD72CC" w:rsidRPr="00BC0D1F" w:rsidRDefault="00AD72CC" w:rsidP="00301EBE">
            <w:pPr>
              <w:pStyle w:val="TableText"/>
              <w:jc w:val="right"/>
            </w:pPr>
            <w:r w:rsidRPr="00BC0D1F">
              <w:t>32,626</w:t>
            </w:r>
          </w:p>
        </w:tc>
      </w:tr>
      <w:tr w:rsidR="00AD72CC" w:rsidRPr="00BC0D1F" w14:paraId="2DBFFCE5" w14:textId="77777777" w:rsidTr="00301EBE">
        <w:trPr>
          <w:cantSplit/>
        </w:trPr>
        <w:tc>
          <w:tcPr>
            <w:tcW w:w="1560" w:type="dxa"/>
            <w:tcBorders>
              <w:bottom w:val="single" w:sz="4" w:space="0" w:color="auto"/>
              <w:right w:val="nil"/>
            </w:tcBorders>
            <w:shd w:val="solid" w:color="FFFFFF" w:fill="auto"/>
          </w:tcPr>
          <w:p w14:paraId="34B677CB" w14:textId="77777777" w:rsidR="00AD72CC" w:rsidRPr="00BC0D1F" w:rsidRDefault="00AD72CC" w:rsidP="00301EBE">
            <w:pPr>
              <w:pStyle w:val="TableText"/>
              <w:ind w:right="284"/>
              <w:jc w:val="right"/>
              <w:rPr>
                <w:b/>
              </w:rPr>
            </w:pPr>
            <w:r w:rsidRPr="00BC0D1F">
              <w:rPr>
                <w:b/>
                <w:bCs/>
              </w:rPr>
              <w:t>1,666</w:t>
            </w:r>
          </w:p>
        </w:tc>
        <w:tc>
          <w:tcPr>
            <w:tcW w:w="3685" w:type="dxa"/>
            <w:tcBorders>
              <w:left w:val="nil"/>
              <w:bottom w:val="single" w:sz="4" w:space="0" w:color="auto"/>
            </w:tcBorders>
            <w:shd w:val="solid" w:color="FFFFFF" w:fill="auto"/>
          </w:tcPr>
          <w:p w14:paraId="571E8707" w14:textId="77777777" w:rsidR="00AD72CC" w:rsidRPr="00BC0D1F" w:rsidRDefault="00AD72CC" w:rsidP="00493A42">
            <w:pPr>
              <w:pStyle w:val="TableText"/>
              <w:rPr>
                <w:b/>
              </w:rPr>
            </w:pPr>
            <w:r w:rsidRPr="00BC0D1F">
              <w:rPr>
                <w:b/>
              </w:rPr>
              <w:t>Net surplus/(deficit)</w:t>
            </w:r>
          </w:p>
        </w:tc>
        <w:tc>
          <w:tcPr>
            <w:tcW w:w="1418" w:type="dxa"/>
            <w:tcBorders>
              <w:bottom w:val="single" w:sz="4" w:space="0" w:color="auto"/>
            </w:tcBorders>
            <w:shd w:val="clear" w:color="E3E3E3" w:fill="D9D9D9"/>
          </w:tcPr>
          <w:p w14:paraId="492F010B" w14:textId="77777777" w:rsidR="00AD72CC" w:rsidRPr="00BC0D1F" w:rsidRDefault="00AD72CC" w:rsidP="00301EBE">
            <w:pPr>
              <w:pStyle w:val="TableText"/>
              <w:ind w:right="113"/>
              <w:jc w:val="right"/>
              <w:rPr>
                <w:b/>
              </w:rPr>
            </w:pPr>
            <w:r w:rsidRPr="00BC0D1F">
              <w:rPr>
                <w:b/>
                <w:bCs/>
              </w:rPr>
              <w:t>836</w:t>
            </w:r>
          </w:p>
        </w:tc>
        <w:tc>
          <w:tcPr>
            <w:tcW w:w="1346" w:type="dxa"/>
            <w:tcBorders>
              <w:bottom w:val="single" w:sz="4" w:space="0" w:color="auto"/>
            </w:tcBorders>
          </w:tcPr>
          <w:p w14:paraId="2B47D33F" w14:textId="77777777" w:rsidR="00AD72CC" w:rsidRPr="00BC0D1F" w:rsidRDefault="00AD72CC" w:rsidP="00301EBE">
            <w:pPr>
              <w:pStyle w:val="TableText"/>
              <w:jc w:val="right"/>
              <w:rPr>
                <w:b/>
              </w:rPr>
            </w:pPr>
            <w:r w:rsidRPr="00BC0D1F">
              <w:rPr>
                <w:b/>
                <w:bCs/>
              </w:rPr>
              <w:t>0</w:t>
            </w:r>
          </w:p>
        </w:tc>
        <w:tc>
          <w:tcPr>
            <w:tcW w:w="1347" w:type="dxa"/>
            <w:tcBorders>
              <w:bottom w:val="single" w:sz="4" w:space="0" w:color="auto"/>
            </w:tcBorders>
          </w:tcPr>
          <w:p w14:paraId="7D7FDFF7" w14:textId="77777777" w:rsidR="00AD72CC" w:rsidRPr="00BC0D1F" w:rsidRDefault="00AD72CC" w:rsidP="00301EBE">
            <w:pPr>
              <w:pStyle w:val="TableText"/>
              <w:jc w:val="right"/>
              <w:rPr>
                <w:b/>
              </w:rPr>
            </w:pPr>
            <w:r w:rsidRPr="00BC0D1F">
              <w:rPr>
                <w:b/>
                <w:bCs/>
              </w:rPr>
              <w:t>0</w:t>
            </w:r>
          </w:p>
        </w:tc>
      </w:tr>
    </w:tbl>
    <w:p w14:paraId="3955A1E7" w14:textId="77777777" w:rsidR="00AD72CC" w:rsidRPr="00BC0D1F" w:rsidRDefault="00AD72CC" w:rsidP="00301EBE"/>
    <w:p w14:paraId="2530E40D" w14:textId="77777777" w:rsidR="00DF4B9A" w:rsidRPr="00BC0D1F" w:rsidRDefault="00AD72CC" w:rsidP="00301EBE">
      <w:pPr>
        <w:pStyle w:val="Heading2"/>
        <w:spacing w:before="0"/>
      </w:pPr>
      <w:r w:rsidRPr="00BC0D1F">
        <w:br w:type="page"/>
      </w:r>
      <w:bookmarkStart w:id="117" w:name="_Toc459730020"/>
      <w:bookmarkStart w:id="118" w:name="_Toc461544293"/>
      <w:bookmarkStart w:id="119" w:name="_Toc456619190"/>
      <w:bookmarkStart w:id="120" w:name="_Toc463507923"/>
      <w:r w:rsidRPr="00BC0D1F">
        <w:lastRenderedPageBreak/>
        <w:t>Payment services</w:t>
      </w:r>
      <w:bookmarkEnd w:id="117"/>
      <w:bookmarkEnd w:id="118"/>
      <w:bookmarkEnd w:id="119"/>
      <w:bookmarkEnd w:id="120"/>
    </w:p>
    <w:p w14:paraId="5FA984FD" w14:textId="77777777" w:rsidR="00AD72CC" w:rsidRPr="00BC0D1F" w:rsidRDefault="00AD72CC" w:rsidP="00301EBE">
      <w:r w:rsidRPr="00BC0D1F">
        <w:t>The Ministry is responsible for administering core health payment processes for the health and disability system, including administering agreements between health funding organisations and health providers, managing the subsequent payment of funds, and capturing and tracking health care users</w:t>
      </w:r>
      <w:r w:rsidR="00DF4B9A" w:rsidRPr="00BC0D1F">
        <w:t>’</w:t>
      </w:r>
      <w:r w:rsidRPr="00BC0D1F">
        <w:t xml:space="preserve"> entitlements and usage. The Ministry operates telephone contact centres that handle queries and service requests from funders, providers and health care users in support of the payment services function. The Ministry also carries out audit and investigation activities on payments made across the health and disability system.</w:t>
      </w:r>
    </w:p>
    <w:p w14:paraId="055FB595" w14:textId="77777777" w:rsidR="00AD72CC" w:rsidRPr="00BC0D1F" w:rsidRDefault="00AD72CC" w:rsidP="00301EBE"/>
    <w:p w14:paraId="43C5B62C" w14:textId="77777777" w:rsidR="00AD72CC" w:rsidRPr="00BC0D1F" w:rsidRDefault="00AD72CC" w:rsidP="00301EBE">
      <w:pPr>
        <w:pStyle w:val="Table"/>
      </w:pPr>
      <w:bookmarkStart w:id="121" w:name="_Toc462926714"/>
      <w:r w:rsidRPr="00BC0D1F">
        <w:t>Table 9: Summary of output performance measures and standards for payment services</w:t>
      </w:r>
      <w:bookmarkEnd w:id="121"/>
    </w:p>
    <w:tbl>
      <w:tblPr>
        <w:tblW w:w="4940" w:type="pct"/>
        <w:tblInd w:w="57" w:type="dxa"/>
        <w:tblBorders>
          <w:top w:val="single" w:sz="4" w:space="0" w:color="auto"/>
          <w:bottom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9"/>
        <w:gridCol w:w="5241"/>
        <w:gridCol w:w="1508"/>
        <w:gridCol w:w="1327"/>
      </w:tblGrid>
      <w:tr w:rsidR="00AD72CC" w:rsidRPr="00BC0D1F" w14:paraId="7CDE3583" w14:textId="77777777" w:rsidTr="00493A42">
        <w:trPr>
          <w:cantSplit/>
        </w:trPr>
        <w:tc>
          <w:tcPr>
            <w:tcW w:w="684" w:type="pct"/>
            <w:tcBorders>
              <w:top w:val="single" w:sz="4" w:space="0" w:color="auto"/>
              <w:bottom w:val="single" w:sz="4" w:space="0" w:color="auto"/>
              <w:right w:val="nil"/>
            </w:tcBorders>
          </w:tcPr>
          <w:p w14:paraId="12EA93CC" w14:textId="77777777" w:rsidR="00AD72CC" w:rsidRPr="00BC0D1F" w:rsidRDefault="00AD72CC" w:rsidP="00493A42">
            <w:pPr>
              <w:pStyle w:val="TableText"/>
              <w:ind w:right="284"/>
              <w:jc w:val="right"/>
              <w:rPr>
                <w:b/>
              </w:rPr>
            </w:pPr>
            <w:r w:rsidRPr="00BC0D1F">
              <w:rPr>
                <w:b/>
              </w:rPr>
              <w:t>Actual 2014/15</w:t>
            </w:r>
          </w:p>
        </w:tc>
        <w:tc>
          <w:tcPr>
            <w:tcW w:w="2800" w:type="pct"/>
            <w:tcBorders>
              <w:top w:val="single" w:sz="4" w:space="0" w:color="auto"/>
              <w:left w:val="nil"/>
              <w:bottom w:val="single" w:sz="4" w:space="0" w:color="auto"/>
              <w:right w:val="nil"/>
            </w:tcBorders>
          </w:tcPr>
          <w:p w14:paraId="4C34BC78" w14:textId="77777777" w:rsidR="00AD72CC" w:rsidRPr="00BC0D1F" w:rsidRDefault="00AD72CC" w:rsidP="00493A42">
            <w:pPr>
              <w:pStyle w:val="TableText"/>
              <w:rPr>
                <w:b/>
              </w:rPr>
            </w:pPr>
            <w:r w:rsidRPr="00BC0D1F">
              <w:rPr>
                <w:b/>
              </w:rPr>
              <w:t>Performance measure</w:t>
            </w:r>
          </w:p>
        </w:tc>
        <w:tc>
          <w:tcPr>
            <w:tcW w:w="806" w:type="pct"/>
            <w:tcBorders>
              <w:top w:val="single" w:sz="4" w:space="0" w:color="auto"/>
              <w:left w:val="nil"/>
              <w:bottom w:val="single" w:sz="4" w:space="0" w:color="auto"/>
              <w:right w:val="nil"/>
            </w:tcBorders>
          </w:tcPr>
          <w:p w14:paraId="1E2F2CC0" w14:textId="77777777" w:rsidR="00AD72CC" w:rsidRPr="00BC0D1F" w:rsidRDefault="00AD72CC" w:rsidP="00493A42">
            <w:pPr>
              <w:pStyle w:val="TableText"/>
              <w:ind w:right="113"/>
              <w:jc w:val="right"/>
              <w:rPr>
                <w:b/>
              </w:rPr>
            </w:pPr>
            <w:r w:rsidRPr="00BC0D1F">
              <w:rPr>
                <w:b/>
              </w:rPr>
              <w:t>Standard</w:t>
            </w:r>
          </w:p>
        </w:tc>
        <w:tc>
          <w:tcPr>
            <w:tcW w:w="709" w:type="pct"/>
            <w:tcBorders>
              <w:top w:val="single" w:sz="4" w:space="0" w:color="auto"/>
              <w:left w:val="nil"/>
              <w:bottom w:val="single" w:sz="4" w:space="0" w:color="auto"/>
            </w:tcBorders>
            <w:shd w:val="clear" w:color="auto" w:fill="D9D9D9"/>
          </w:tcPr>
          <w:p w14:paraId="12D47D79" w14:textId="77777777" w:rsidR="00AD72CC" w:rsidRPr="00BC0D1F" w:rsidRDefault="00AD72CC" w:rsidP="00493A42">
            <w:pPr>
              <w:pStyle w:val="TableText"/>
              <w:ind w:right="113"/>
              <w:jc w:val="right"/>
              <w:rPr>
                <w:b/>
                <w:highlight w:val="yellow"/>
              </w:rPr>
            </w:pPr>
            <w:r w:rsidRPr="00BC0D1F">
              <w:rPr>
                <w:b/>
              </w:rPr>
              <w:t>Actual</w:t>
            </w:r>
            <w:r w:rsidRPr="00BC0D1F">
              <w:rPr>
                <w:b/>
              </w:rPr>
              <w:br/>
              <w:t>2015/16</w:t>
            </w:r>
          </w:p>
        </w:tc>
      </w:tr>
      <w:tr w:rsidR="00AD72CC" w:rsidRPr="00BC0D1F" w14:paraId="1573C5DE" w14:textId="77777777" w:rsidTr="00493A42">
        <w:trPr>
          <w:cantSplit/>
        </w:trPr>
        <w:tc>
          <w:tcPr>
            <w:tcW w:w="684" w:type="pct"/>
            <w:tcBorders>
              <w:top w:val="single" w:sz="4" w:space="0" w:color="auto"/>
              <w:bottom w:val="nil"/>
              <w:right w:val="nil"/>
            </w:tcBorders>
          </w:tcPr>
          <w:p w14:paraId="73B7E962" w14:textId="77777777" w:rsidR="00AD72CC" w:rsidRPr="00BC0D1F" w:rsidRDefault="00AD72CC" w:rsidP="00493A42">
            <w:pPr>
              <w:pStyle w:val="TableText"/>
              <w:spacing w:before="120"/>
              <w:ind w:right="284"/>
              <w:jc w:val="right"/>
              <w:rPr>
                <w:b/>
              </w:rPr>
            </w:pPr>
          </w:p>
        </w:tc>
        <w:tc>
          <w:tcPr>
            <w:tcW w:w="2800" w:type="pct"/>
            <w:tcBorders>
              <w:top w:val="single" w:sz="4" w:space="0" w:color="auto"/>
              <w:left w:val="nil"/>
              <w:bottom w:val="nil"/>
              <w:right w:val="nil"/>
            </w:tcBorders>
          </w:tcPr>
          <w:p w14:paraId="71814C1C" w14:textId="77777777" w:rsidR="00AD72CC" w:rsidRPr="00BC0D1F" w:rsidRDefault="00AD72CC" w:rsidP="00493A42">
            <w:pPr>
              <w:pStyle w:val="TableText"/>
              <w:spacing w:before="120"/>
              <w:rPr>
                <w:b/>
              </w:rPr>
            </w:pPr>
            <w:r w:rsidRPr="00BC0D1F">
              <w:rPr>
                <w:b/>
              </w:rPr>
              <w:t>Claim transactions</w:t>
            </w:r>
          </w:p>
        </w:tc>
        <w:tc>
          <w:tcPr>
            <w:tcW w:w="806" w:type="pct"/>
            <w:tcBorders>
              <w:top w:val="single" w:sz="4" w:space="0" w:color="auto"/>
              <w:left w:val="nil"/>
              <w:bottom w:val="nil"/>
              <w:right w:val="nil"/>
            </w:tcBorders>
          </w:tcPr>
          <w:p w14:paraId="0851C397" w14:textId="77777777" w:rsidR="00AD72CC" w:rsidRPr="00BC0D1F" w:rsidRDefault="00AD72CC" w:rsidP="00493A42">
            <w:pPr>
              <w:pStyle w:val="TableText"/>
              <w:spacing w:before="120"/>
              <w:ind w:right="113"/>
              <w:jc w:val="right"/>
              <w:rPr>
                <w:b/>
              </w:rPr>
            </w:pPr>
          </w:p>
        </w:tc>
        <w:tc>
          <w:tcPr>
            <w:tcW w:w="709" w:type="pct"/>
            <w:tcBorders>
              <w:top w:val="single" w:sz="4" w:space="0" w:color="auto"/>
              <w:left w:val="nil"/>
              <w:bottom w:val="nil"/>
            </w:tcBorders>
            <w:shd w:val="clear" w:color="auto" w:fill="D9D9D9"/>
          </w:tcPr>
          <w:p w14:paraId="43C91D3F" w14:textId="77777777" w:rsidR="00AD72CC" w:rsidRPr="00BC0D1F" w:rsidRDefault="00AD72CC" w:rsidP="00493A42">
            <w:pPr>
              <w:pStyle w:val="TableText"/>
              <w:spacing w:before="120"/>
              <w:ind w:right="113"/>
              <w:jc w:val="right"/>
              <w:rPr>
                <w:b/>
              </w:rPr>
            </w:pPr>
          </w:p>
        </w:tc>
      </w:tr>
      <w:tr w:rsidR="00AD72CC" w:rsidRPr="00BC0D1F" w14:paraId="19993683" w14:textId="77777777" w:rsidTr="00493A42">
        <w:trPr>
          <w:cantSplit/>
        </w:trPr>
        <w:tc>
          <w:tcPr>
            <w:tcW w:w="684" w:type="pct"/>
            <w:tcBorders>
              <w:top w:val="nil"/>
              <w:bottom w:val="nil"/>
              <w:right w:val="nil"/>
            </w:tcBorders>
          </w:tcPr>
          <w:p w14:paraId="157A902C" w14:textId="77777777" w:rsidR="00AD72CC" w:rsidRPr="00BC0D1F" w:rsidRDefault="00AD72CC" w:rsidP="00493A42">
            <w:pPr>
              <w:pStyle w:val="TableText"/>
              <w:ind w:right="284"/>
              <w:jc w:val="right"/>
            </w:pPr>
            <w:r w:rsidRPr="00BC0D1F">
              <w:t>1,744,780</w:t>
            </w:r>
          </w:p>
        </w:tc>
        <w:tc>
          <w:tcPr>
            <w:tcW w:w="2800" w:type="pct"/>
            <w:tcBorders>
              <w:top w:val="nil"/>
              <w:left w:val="nil"/>
              <w:bottom w:val="nil"/>
              <w:right w:val="nil"/>
            </w:tcBorders>
          </w:tcPr>
          <w:p w14:paraId="19F99625" w14:textId="77777777" w:rsidR="00AD72CC" w:rsidRPr="00BC0D1F" w:rsidRDefault="00AD72CC" w:rsidP="00493A42">
            <w:pPr>
              <w:pStyle w:val="TableText"/>
            </w:pPr>
            <w:r w:rsidRPr="00BC0D1F">
              <w:t>The number of claims processed per annum</w:t>
            </w:r>
          </w:p>
        </w:tc>
        <w:tc>
          <w:tcPr>
            <w:tcW w:w="806" w:type="pct"/>
            <w:tcBorders>
              <w:top w:val="nil"/>
              <w:left w:val="nil"/>
              <w:bottom w:val="nil"/>
              <w:right w:val="nil"/>
            </w:tcBorders>
          </w:tcPr>
          <w:p w14:paraId="1701B8B9" w14:textId="77777777" w:rsidR="00AD72CC" w:rsidRPr="00BC0D1F" w:rsidRDefault="00AD72CC" w:rsidP="00493A42">
            <w:pPr>
              <w:pStyle w:val="TableText"/>
              <w:ind w:right="113"/>
              <w:jc w:val="right"/>
            </w:pPr>
            <w:r w:rsidRPr="00BC0D1F">
              <w:t>1,800,000</w:t>
            </w:r>
          </w:p>
        </w:tc>
        <w:tc>
          <w:tcPr>
            <w:tcW w:w="709" w:type="pct"/>
            <w:tcBorders>
              <w:top w:val="nil"/>
              <w:left w:val="nil"/>
              <w:bottom w:val="nil"/>
            </w:tcBorders>
            <w:shd w:val="clear" w:color="auto" w:fill="D9D9D9"/>
          </w:tcPr>
          <w:p w14:paraId="38185C49" w14:textId="77777777" w:rsidR="00AD72CC" w:rsidRPr="00BC0D1F" w:rsidRDefault="00AD72CC" w:rsidP="00493A42">
            <w:pPr>
              <w:pStyle w:val="TableText"/>
              <w:ind w:right="113"/>
              <w:jc w:val="right"/>
            </w:pPr>
            <w:r w:rsidRPr="00BC0D1F">
              <w:t>1,775,576</w:t>
            </w:r>
          </w:p>
        </w:tc>
      </w:tr>
      <w:tr w:rsidR="00AD72CC" w:rsidRPr="00BC0D1F" w14:paraId="73735DFD" w14:textId="77777777" w:rsidTr="00493A42">
        <w:trPr>
          <w:cantSplit/>
        </w:trPr>
        <w:tc>
          <w:tcPr>
            <w:tcW w:w="684" w:type="pct"/>
            <w:tcBorders>
              <w:top w:val="nil"/>
              <w:bottom w:val="nil"/>
              <w:right w:val="nil"/>
            </w:tcBorders>
          </w:tcPr>
          <w:p w14:paraId="25CCF8D6" w14:textId="77777777" w:rsidR="00AD72CC" w:rsidRPr="00BC0D1F" w:rsidRDefault="00AD72CC" w:rsidP="00493A42">
            <w:pPr>
              <w:pStyle w:val="TableText"/>
              <w:ind w:right="284"/>
              <w:jc w:val="right"/>
            </w:pPr>
            <w:r w:rsidRPr="00BC0D1F">
              <w:t>100%</w:t>
            </w:r>
          </w:p>
        </w:tc>
        <w:tc>
          <w:tcPr>
            <w:tcW w:w="2800" w:type="pct"/>
            <w:tcBorders>
              <w:top w:val="nil"/>
              <w:left w:val="nil"/>
              <w:bottom w:val="nil"/>
              <w:right w:val="nil"/>
            </w:tcBorders>
          </w:tcPr>
          <w:p w14:paraId="4372FAE4" w14:textId="77777777" w:rsidR="00AD72CC" w:rsidRPr="00BC0D1F" w:rsidRDefault="00AD72CC" w:rsidP="00493A42">
            <w:pPr>
              <w:pStyle w:val="TableText"/>
            </w:pPr>
            <w:r w:rsidRPr="00BC0D1F">
              <w:t>The percentage of claims paid on time</w:t>
            </w:r>
          </w:p>
        </w:tc>
        <w:tc>
          <w:tcPr>
            <w:tcW w:w="806" w:type="pct"/>
            <w:tcBorders>
              <w:top w:val="nil"/>
              <w:left w:val="nil"/>
              <w:bottom w:val="nil"/>
              <w:right w:val="nil"/>
            </w:tcBorders>
          </w:tcPr>
          <w:p w14:paraId="2D0FCBCE" w14:textId="77777777" w:rsidR="00AD72CC" w:rsidRPr="00BC0D1F" w:rsidRDefault="00AD72CC" w:rsidP="00493A42">
            <w:pPr>
              <w:pStyle w:val="TableText"/>
              <w:ind w:right="113"/>
              <w:jc w:val="right"/>
            </w:pPr>
            <w:r w:rsidRPr="00BC0D1F">
              <w:t>95%</w:t>
            </w:r>
          </w:p>
        </w:tc>
        <w:tc>
          <w:tcPr>
            <w:tcW w:w="709" w:type="pct"/>
            <w:tcBorders>
              <w:top w:val="nil"/>
              <w:left w:val="nil"/>
              <w:bottom w:val="nil"/>
            </w:tcBorders>
            <w:shd w:val="clear" w:color="auto" w:fill="D9D9D9"/>
          </w:tcPr>
          <w:p w14:paraId="520A628B" w14:textId="77777777" w:rsidR="00AD72CC" w:rsidRPr="00BC0D1F" w:rsidRDefault="00AD72CC" w:rsidP="00493A42">
            <w:pPr>
              <w:pStyle w:val="TableText"/>
              <w:ind w:right="113"/>
              <w:jc w:val="right"/>
            </w:pPr>
            <w:r w:rsidRPr="00BC0D1F">
              <w:t>99.8%</w:t>
            </w:r>
          </w:p>
        </w:tc>
      </w:tr>
      <w:tr w:rsidR="00AD72CC" w:rsidRPr="00BC0D1F" w14:paraId="2766ECCA" w14:textId="77777777" w:rsidTr="00493A42">
        <w:trPr>
          <w:cantSplit/>
        </w:trPr>
        <w:tc>
          <w:tcPr>
            <w:tcW w:w="684" w:type="pct"/>
            <w:tcBorders>
              <w:top w:val="nil"/>
              <w:bottom w:val="nil"/>
              <w:right w:val="nil"/>
            </w:tcBorders>
          </w:tcPr>
          <w:p w14:paraId="2BE9978A" w14:textId="77777777" w:rsidR="00AD72CC" w:rsidRPr="00BC0D1F" w:rsidRDefault="00AD72CC" w:rsidP="00493A42">
            <w:pPr>
              <w:pStyle w:val="TableText"/>
              <w:ind w:right="284"/>
              <w:jc w:val="right"/>
            </w:pPr>
            <w:r w:rsidRPr="00BC0D1F">
              <w:t>99%</w:t>
            </w:r>
          </w:p>
        </w:tc>
        <w:tc>
          <w:tcPr>
            <w:tcW w:w="2800" w:type="pct"/>
            <w:tcBorders>
              <w:top w:val="nil"/>
              <w:left w:val="nil"/>
              <w:bottom w:val="nil"/>
              <w:right w:val="nil"/>
            </w:tcBorders>
          </w:tcPr>
          <w:p w14:paraId="3B6760E0" w14:textId="77777777" w:rsidR="00AD72CC" w:rsidRPr="00BC0D1F" w:rsidRDefault="00AD72CC" w:rsidP="00493A42">
            <w:pPr>
              <w:pStyle w:val="TableText"/>
              <w:rPr>
                <w:highlight w:val="yellow"/>
              </w:rPr>
            </w:pPr>
            <w:r w:rsidRPr="00BC0D1F">
              <w:t>The percentage of claims processed accurately</w:t>
            </w:r>
          </w:p>
        </w:tc>
        <w:tc>
          <w:tcPr>
            <w:tcW w:w="806" w:type="pct"/>
            <w:tcBorders>
              <w:top w:val="nil"/>
              <w:left w:val="nil"/>
              <w:bottom w:val="nil"/>
              <w:right w:val="nil"/>
            </w:tcBorders>
          </w:tcPr>
          <w:p w14:paraId="07FC3FC1" w14:textId="77777777" w:rsidR="00AD72CC" w:rsidRPr="00BC0D1F" w:rsidRDefault="00AD72CC" w:rsidP="00493A42">
            <w:pPr>
              <w:pStyle w:val="TableText"/>
              <w:ind w:right="113"/>
              <w:jc w:val="right"/>
            </w:pPr>
            <w:r w:rsidRPr="00BC0D1F">
              <w:t>95%</w:t>
            </w:r>
          </w:p>
        </w:tc>
        <w:tc>
          <w:tcPr>
            <w:tcW w:w="709" w:type="pct"/>
            <w:tcBorders>
              <w:top w:val="nil"/>
              <w:left w:val="nil"/>
              <w:bottom w:val="nil"/>
            </w:tcBorders>
            <w:shd w:val="clear" w:color="auto" w:fill="D9D9D9"/>
          </w:tcPr>
          <w:p w14:paraId="73268270" w14:textId="77777777" w:rsidR="00AD72CC" w:rsidRPr="00BC0D1F" w:rsidRDefault="00AD72CC" w:rsidP="00493A42">
            <w:pPr>
              <w:pStyle w:val="TableText"/>
              <w:ind w:right="113"/>
              <w:jc w:val="right"/>
            </w:pPr>
            <w:r w:rsidRPr="00BC0D1F">
              <w:t>99.1%</w:t>
            </w:r>
          </w:p>
        </w:tc>
      </w:tr>
      <w:tr w:rsidR="00AD72CC" w:rsidRPr="00BC0D1F" w14:paraId="6AF9F8AE" w14:textId="77777777" w:rsidTr="00493A42">
        <w:trPr>
          <w:cantSplit/>
        </w:trPr>
        <w:tc>
          <w:tcPr>
            <w:tcW w:w="684" w:type="pct"/>
            <w:tcBorders>
              <w:top w:val="nil"/>
              <w:bottom w:val="nil"/>
              <w:right w:val="nil"/>
            </w:tcBorders>
          </w:tcPr>
          <w:p w14:paraId="3296BCA7" w14:textId="77777777" w:rsidR="00AD72CC" w:rsidRPr="00BC0D1F" w:rsidRDefault="00AD72CC" w:rsidP="00493A42">
            <w:pPr>
              <w:pStyle w:val="TableText"/>
              <w:ind w:right="284"/>
              <w:jc w:val="right"/>
            </w:pPr>
            <w:r w:rsidRPr="00BC0D1F">
              <w:t>$2.53</w:t>
            </w:r>
          </w:p>
        </w:tc>
        <w:tc>
          <w:tcPr>
            <w:tcW w:w="2800" w:type="pct"/>
            <w:tcBorders>
              <w:top w:val="nil"/>
              <w:left w:val="nil"/>
              <w:bottom w:val="nil"/>
              <w:right w:val="nil"/>
            </w:tcBorders>
          </w:tcPr>
          <w:p w14:paraId="5BD02024" w14:textId="77777777" w:rsidR="00AD72CC" w:rsidRPr="00BC0D1F" w:rsidRDefault="00AD72CC" w:rsidP="00493A42">
            <w:pPr>
              <w:pStyle w:val="TableText"/>
            </w:pPr>
            <w:r w:rsidRPr="00BC0D1F">
              <w:t>The direct cost per claim transaction processed</w:t>
            </w:r>
          </w:p>
        </w:tc>
        <w:tc>
          <w:tcPr>
            <w:tcW w:w="806" w:type="pct"/>
            <w:tcBorders>
              <w:top w:val="nil"/>
              <w:left w:val="nil"/>
              <w:bottom w:val="nil"/>
              <w:right w:val="nil"/>
            </w:tcBorders>
          </w:tcPr>
          <w:p w14:paraId="5A6DFE3C" w14:textId="77777777" w:rsidR="00AD72CC" w:rsidRPr="00BC0D1F" w:rsidRDefault="00AD72CC" w:rsidP="00493A42">
            <w:pPr>
              <w:pStyle w:val="TableText"/>
              <w:ind w:right="113"/>
              <w:jc w:val="right"/>
            </w:pPr>
            <w:r w:rsidRPr="00BC0D1F">
              <w:t>$2.70</w:t>
            </w:r>
          </w:p>
        </w:tc>
        <w:tc>
          <w:tcPr>
            <w:tcW w:w="709" w:type="pct"/>
            <w:tcBorders>
              <w:top w:val="nil"/>
              <w:left w:val="nil"/>
              <w:bottom w:val="nil"/>
            </w:tcBorders>
            <w:shd w:val="clear" w:color="auto" w:fill="D9D9D9"/>
          </w:tcPr>
          <w:p w14:paraId="48BF38FC" w14:textId="77777777" w:rsidR="00AD72CC" w:rsidRPr="00BC0D1F" w:rsidRDefault="00AD72CC" w:rsidP="00493A42">
            <w:pPr>
              <w:pStyle w:val="TableText"/>
              <w:ind w:right="113"/>
              <w:jc w:val="right"/>
            </w:pPr>
            <w:r w:rsidRPr="00BC0D1F">
              <w:t>$2.24</w:t>
            </w:r>
          </w:p>
        </w:tc>
      </w:tr>
      <w:tr w:rsidR="00AD72CC" w:rsidRPr="00BC0D1F" w14:paraId="5B6EF5F2" w14:textId="77777777" w:rsidTr="00493A42">
        <w:trPr>
          <w:cantSplit/>
        </w:trPr>
        <w:tc>
          <w:tcPr>
            <w:tcW w:w="684" w:type="pct"/>
            <w:tcBorders>
              <w:top w:val="nil"/>
              <w:bottom w:val="nil"/>
              <w:right w:val="nil"/>
            </w:tcBorders>
          </w:tcPr>
          <w:p w14:paraId="12C622F3" w14:textId="77777777" w:rsidR="00AD72CC" w:rsidRPr="00BC0D1F" w:rsidRDefault="00AD72CC" w:rsidP="00493A42">
            <w:pPr>
              <w:pStyle w:val="TableText"/>
              <w:spacing w:before="120"/>
              <w:ind w:right="284"/>
              <w:jc w:val="right"/>
              <w:rPr>
                <w:b/>
              </w:rPr>
            </w:pPr>
          </w:p>
        </w:tc>
        <w:tc>
          <w:tcPr>
            <w:tcW w:w="2800" w:type="pct"/>
            <w:tcBorders>
              <w:top w:val="nil"/>
              <w:left w:val="nil"/>
              <w:bottom w:val="nil"/>
              <w:right w:val="nil"/>
            </w:tcBorders>
          </w:tcPr>
          <w:p w14:paraId="563781F1" w14:textId="77777777" w:rsidR="00AD72CC" w:rsidRPr="00BC0D1F" w:rsidRDefault="00AD72CC" w:rsidP="00493A42">
            <w:pPr>
              <w:pStyle w:val="TableText"/>
              <w:spacing w:before="120"/>
              <w:rPr>
                <w:b/>
              </w:rPr>
            </w:pPr>
            <w:r w:rsidRPr="00BC0D1F">
              <w:rPr>
                <w:b/>
              </w:rPr>
              <w:t>Agreements</w:t>
            </w:r>
          </w:p>
        </w:tc>
        <w:tc>
          <w:tcPr>
            <w:tcW w:w="806" w:type="pct"/>
            <w:tcBorders>
              <w:top w:val="nil"/>
              <w:left w:val="nil"/>
              <w:bottom w:val="nil"/>
              <w:right w:val="nil"/>
            </w:tcBorders>
          </w:tcPr>
          <w:p w14:paraId="2A80E733" w14:textId="77777777" w:rsidR="00AD72CC" w:rsidRPr="00BC0D1F" w:rsidRDefault="00AD72CC" w:rsidP="00493A42">
            <w:pPr>
              <w:pStyle w:val="TableText"/>
              <w:spacing w:before="120"/>
              <w:ind w:right="113"/>
              <w:jc w:val="right"/>
              <w:rPr>
                <w:b/>
              </w:rPr>
            </w:pPr>
          </w:p>
        </w:tc>
        <w:tc>
          <w:tcPr>
            <w:tcW w:w="709" w:type="pct"/>
            <w:tcBorders>
              <w:top w:val="nil"/>
              <w:left w:val="nil"/>
              <w:bottom w:val="nil"/>
            </w:tcBorders>
            <w:shd w:val="clear" w:color="auto" w:fill="D9D9D9"/>
          </w:tcPr>
          <w:p w14:paraId="2E32518A" w14:textId="77777777" w:rsidR="00AD72CC" w:rsidRPr="00BC0D1F" w:rsidRDefault="00AD72CC" w:rsidP="00493A42">
            <w:pPr>
              <w:pStyle w:val="TableText"/>
              <w:spacing w:before="120"/>
              <w:ind w:right="113"/>
              <w:jc w:val="right"/>
              <w:rPr>
                <w:b/>
              </w:rPr>
            </w:pPr>
          </w:p>
        </w:tc>
      </w:tr>
      <w:tr w:rsidR="00AD72CC" w:rsidRPr="00BC0D1F" w14:paraId="666B014E" w14:textId="77777777" w:rsidTr="00493A42">
        <w:trPr>
          <w:cantSplit/>
        </w:trPr>
        <w:tc>
          <w:tcPr>
            <w:tcW w:w="684" w:type="pct"/>
            <w:tcBorders>
              <w:top w:val="nil"/>
              <w:bottom w:val="nil"/>
              <w:right w:val="nil"/>
            </w:tcBorders>
          </w:tcPr>
          <w:p w14:paraId="4ADE2473" w14:textId="77777777" w:rsidR="00AD72CC" w:rsidRPr="00BC0D1F" w:rsidRDefault="00AD72CC" w:rsidP="00493A42">
            <w:pPr>
              <w:pStyle w:val="TableText"/>
              <w:ind w:right="284"/>
              <w:jc w:val="right"/>
            </w:pPr>
            <w:r w:rsidRPr="00BC0D1F">
              <w:t>11,582</w:t>
            </w:r>
          </w:p>
        </w:tc>
        <w:tc>
          <w:tcPr>
            <w:tcW w:w="2800" w:type="pct"/>
            <w:tcBorders>
              <w:top w:val="nil"/>
              <w:left w:val="nil"/>
              <w:bottom w:val="nil"/>
              <w:right w:val="nil"/>
            </w:tcBorders>
          </w:tcPr>
          <w:p w14:paraId="472919F5" w14:textId="77777777" w:rsidR="00AD72CC" w:rsidRPr="00BC0D1F" w:rsidRDefault="00AD72CC" w:rsidP="00493A42">
            <w:pPr>
              <w:pStyle w:val="TableText"/>
            </w:pPr>
            <w:r w:rsidRPr="00BC0D1F">
              <w:t>The number of agreements processed per annum</w:t>
            </w:r>
          </w:p>
        </w:tc>
        <w:tc>
          <w:tcPr>
            <w:tcW w:w="806" w:type="pct"/>
            <w:tcBorders>
              <w:top w:val="nil"/>
              <w:left w:val="nil"/>
              <w:bottom w:val="nil"/>
              <w:right w:val="nil"/>
            </w:tcBorders>
          </w:tcPr>
          <w:p w14:paraId="0ED59F1A" w14:textId="77777777" w:rsidR="00AD72CC" w:rsidRPr="00BC0D1F" w:rsidRDefault="00AD72CC" w:rsidP="00493A42">
            <w:pPr>
              <w:pStyle w:val="TableText"/>
              <w:ind w:right="113"/>
              <w:jc w:val="right"/>
            </w:pPr>
            <w:r w:rsidRPr="00BC0D1F">
              <w:t>9400</w:t>
            </w:r>
          </w:p>
        </w:tc>
        <w:tc>
          <w:tcPr>
            <w:tcW w:w="709" w:type="pct"/>
            <w:tcBorders>
              <w:top w:val="nil"/>
              <w:left w:val="nil"/>
              <w:bottom w:val="nil"/>
            </w:tcBorders>
            <w:shd w:val="clear" w:color="auto" w:fill="D9D9D9"/>
          </w:tcPr>
          <w:p w14:paraId="34456CC8" w14:textId="77777777" w:rsidR="00AD72CC" w:rsidRPr="00BC0D1F" w:rsidRDefault="00AD72CC" w:rsidP="00493A42">
            <w:pPr>
              <w:pStyle w:val="TableText"/>
              <w:ind w:right="113"/>
              <w:jc w:val="right"/>
            </w:pPr>
            <w:r w:rsidRPr="00BC0D1F">
              <w:t>9123</w:t>
            </w:r>
          </w:p>
        </w:tc>
      </w:tr>
      <w:tr w:rsidR="00AD72CC" w:rsidRPr="00BC0D1F" w14:paraId="2021A50C" w14:textId="77777777" w:rsidTr="00493A42">
        <w:trPr>
          <w:cantSplit/>
        </w:trPr>
        <w:tc>
          <w:tcPr>
            <w:tcW w:w="684" w:type="pct"/>
            <w:tcBorders>
              <w:top w:val="nil"/>
              <w:bottom w:val="nil"/>
              <w:right w:val="nil"/>
            </w:tcBorders>
          </w:tcPr>
          <w:p w14:paraId="321E0692" w14:textId="77777777" w:rsidR="00AD72CC" w:rsidRPr="00BC0D1F" w:rsidRDefault="00AD72CC" w:rsidP="00493A42">
            <w:pPr>
              <w:pStyle w:val="TableText"/>
              <w:ind w:right="284"/>
              <w:jc w:val="right"/>
            </w:pPr>
            <w:r w:rsidRPr="00BC0D1F">
              <w:t>86.5%</w:t>
            </w:r>
          </w:p>
        </w:tc>
        <w:tc>
          <w:tcPr>
            <w:tcW w:w="2800" w:type="pct"/>
            <w:tcBorders>
              <w:top w:val="nil"/>
              <w:left w:val="nil"/>
              <w:bottom w:val="nil"/>
              <w:right w:val="nil"/>
            </w:tcBorders>
          </w:tcPr>
          <w:p w14:paraId="44EEE4D5" w14:textId="77777777" w:rsidR="00AD72CC" w:rsidRPr="00BC0D1F" w:rsidRDefault="00AD72CC" w:rsidP="00493A42">
            <w:pPr>
              <w:pStyle w:val="TableText"/>
            </w:pPr>
            <w:r w:rsidRPr="00BC0D1F">
              <w:t>The percentage of all draft agreements prepared for funders within target timeframes</w:t>
            </w:r>
          </w:p>
        </w:tc>
        <w:tc>
          <w:tcPr>
            <w:tcW w:w="806" w:type="pct"/>
            <w:tcBorders>
              <w:top w:val="nil"/>
              <w:left w:val="nil"/>
              <w:bottom w:val="nil"/>
              <w:right w:val="nil"/>
            </w:tcBorders>
          </w:tcPr>
          <w:p w14:paraId="1BCD9865" w14:textId="77777777" w:rsidR="00AD72CC" w:rsidRPr="00BC0D1F" w:rsidRDefault="00AD72CC" w:rsidP="00493A42">
            <w:pPr>
              <w:pStyle w:val="TableText"/>
              <w:ind w:right="113"/>
              <w:jc w:val="right"/>
            </w:pPr>
            <w:r w:rsidRPr="00BC0D1F">
              <w:t>95%</w:t>
            </w:r>
          </w:p>
        </w:tc>
        <w:tc>
          <w:tcPr>
            <w:tcW w:w="709" w:type="pct"/>
            <w:tcBorders>
              <w:top w:val="nil"/>
              <w:left w:val="nil"/>
              <w:bottom w:val="nil"/>
            </w:tcBorders>
            <w:shd w:val="clear" w:color="auto" w:fill="D9D9D9"/>
          </w:tcPr>
          <w:p w14:paraId="395C2C70" w14:textId="77777777" w:rsidR="00AD72CC" w:rsidRPr="00BC0D1F" w:rsidRDefault="00AD72CC" w:rsidP="00493A42">
            <w:pPr>
              <w:pStyle w:val="TableText"/>
              <w:ind w:right="113"/>
              <w:jc w:val="right"/>
            </w:pPr>
            <w:r w:rsidRPr="00BC0D1F">
              <w:t>80.1%</w:t>
            </w:r>
            <w:r w:rsidRPr="00BC0D1F">
              <w:br/>
              <w:t>(see Note A)</w:t>
            </w:r>
          </w:p>
        </w:tc>
      </w:tr>
      <w:tr w:rsidR="00AD72CC" w:rsidRPr="00BC0D1F" w14:paraId="6E6998D8" w14:textId="77777777" w:rsidTr="00493A42">
        <w:trPr>
          <w:cantSplit/>
        </w:trPr>
        <w:tc>
          <w:tcPr>
            <w:tcW w:w="684" w:type="pct"/>
            <w:tcBorders>
              <w:top w:val="nil"/>
              <w:bottom w:val="nil"/>
              <w:right w:val="nil"/>
            </w:tcBorders>
          </w:tcPr>
          <w:p w14:paraId="45C58777" w14:textId="77777777" w:rsidR="00AD72CC" w:rsidRPr="00BC0D1F" w:rsidRDefault="00AD72CC" w:rsidP="00493A42">
            <w:pPr>
              <w:pStyle w:val="TableText"/>
              <w:ind w:right="284"/>
              <w:jc w:val="right"/>
            </w:pPr>
            <w:r w:rsidRPr="00BC0D1F">
              <w:t>93.4%</w:t>
            </w:r>
          </w:p>
        </w:tc>
        <w:tc>
          <w:tcPr>
            <w:tcW w:w="2800" w:type="pct"/>
            <w:tcBorders>
              <w:top w:val="nil"/>
              <w:left w:val="nil"/>
              <w:bottom w:val="nil"/>
              <w:right w:val="nil"/>
            </w:tcBorders>
          </w:tcPr>
          <w:p w14:paraId="45EAAC5C" w14:textId="77777777" w:rsidR="00AD72CC" w:rsidRPr="00BC0D1F" w:rsidRDefault="00AD72CC" w:rsidP="00493A42">
            <w:pPr>
              <w:pStyle w:val="TableText"/>
            </w:pPr>
            <w:r w:rsidRPr="00BC0D1F">
              <w:t>The percentage of agreements prepared accurately</w:t>
            </w:r>
          </w:p>
        </w:tc>
        <w:tc>
          <w:tcPr>
            <w:tcW w:w="806" w:type="pct"/>
            <w:tcBorders>
              <w:top w:val="nil"/>
              <w:left w:val="nil"/>
              <w:bottom w:val="nil"/>
              <w:right w:val="nil"/>
            </w:tcBorders>
          </w:tcPr>
          <w:p w14:paraId="56E30DE0" w14:textId="77777777" w:rsidR="00AD72CC" w:rsidRPr="00BC0D1F" w:rsidRDefault="00AD72CC" w:rsidP="00493A42">
            <w:pPr>
              <w:pStyle w:val="TableText"/>
              <w:ind w:right="113"/>
              <w:jc w:val="right"/>
            </w:pPr>
            <w:r w:rsidRPr="00BC0D1F">
              <w:t>95%</w:t>
            </w:r>
          </w:p>
        </w:tc>
        <w:tc>
          <w:tcPr>
            <w:tcW w:w="709" w:type="pct"/>
            <w:tcBorders>
              <w:top w:val="nil"/>
              <w:left w:val="nil"/>
              <w:bottom w:val="nil"/>
            </w:tcBorders>
            <w:shd w:val="clear" w:color="auto" w:fill="D9D9D9"/>
          </w:tcPr>
          <w:p w14:paraId="5F983D04" w14:textId="77777777" w:rsidR="00AD72CC" w:rsidRPr="00BC0D1F" w:rsidRDefault="00AD72CC" w:rsidP="00493A42">
            <w:pPr>
              <w:pStyle w:val="TableText"/>
              <w:ind w:right="113"/>
              <w:jc w:val="right"/>
            </w:pPr>
            <w:r w:rsidRPr="00BC0D1F">
              <w:t>97.1%</w:t>
            </w:r>
          </w:p>
        </w:tc>
      </w:tr>
      <w:tr w:rsidR="00AD72CC" w:rsidRPr="00BC0D1F" w14:paraId="6782B4BD" w14:textId="77777777" w:rsidTr="00493A42">
        <w:trPr>
          <w:cantSplit/>
        </w:trPr>
        <w:tc>
          <w:tcPr>
            <w:tcW w:w="684" w:type="pct"/>
            <w:tcBorders>
              <w:top w:val="nil"/>
              <w:bottom w:val="nil"/>
              <w:right w:val="nil"/>
            </w:tcBorders>
          </w:tcPr>
          <w:p w14:paraId="641980DD" w14:textId="77777777" w:rsidR="00AD72CC" w:rsidRPr="00BC0D1F" w:rsidRDefault="00AD72CC" w:rsidP="00493A42">
            <w:pPr>
              <w:pStyle w:val="TableText"/>
              <w:ind w:right="284"/>
              <w:jc w:val="right"/>
            </w:pPr>
            <w:r w:rsidRPr="00BC0D1F">
              <w:t>$</w:t>
            </w:r>
            <w:r w:rsidRPr="00BC0D1F">
              <w:rPr>
                <w:color w:val="000000"/>
              </w:rPr>
              <w:t>83.23</w:t>
            </w:r>
          </w:p>
        </w:tc>
        <w:tc>
          <w:tcPr>
            <w:tcW w:w="2800" w:type="pct"/>
            <w:tcBorders>
              <w:top w:val="nil"/>
              <w:left w:val="nil"/>
              <w:bottom w:val="nil"/>
              <w:right w:val="nil"/>
            </w:tcBorders>
          </w:tcPr>
          <w:p w14:paraId="41719BCA" w14:textId="77777777" w:rsidR="00AD72CC" w:rsidRPr="00BC0D1F" w:rsidRDefault="00AD72CC" w:rsidP="00493A42">
            <w:pPr>
              <w:pStyle w:val="TableText"/>
            </w:pPr>
            <w:r w:rsidRPr="00BC0D1F">
              <w:t>The cost per agreement processed</w:t>
            </w:r>
          </w:p>
        </w:tc>
        <w:tc>
          <w:tcPr>
            <w:tcW w:w="806" w:type="pct"/>
            <w:tcBorders>
              <w:top w:val="nil"/>
              <w:left w:val="nil"/>
              <w:bottom w:val="nil"/>
              <w:right w:val="nil"/>
            </w:tcBorders>
          </w:tcPr>
          <w:p w14:paraId="3E7277BD" w14:textId="77777777" w:rsidR="00AD72CC" w:rsidRPr="00BC0D1F" w:rsidRDefault="00AD72CC" w:rsidP="00493A42">
            <w:pPr>
              <w:pStyle w:val="TableText"/>
              <w:ind w:right="113"/>
              <w:jc w:val="right"/>
              <w:rPr>
                <w:color w:val="000000"/>
              </w:rPr>
            </w:pPr>
            <w:r w:rsidRPr="00BC0D1F">
              <w:rPr>
                <w:color w:val="000000"/>
              </w:rPr>
              <w:t>$155.00</w:t>
            </w:r>
          </w:p>
        </w:tc>
        <w:tc>
          <w:tcPr>
            <w:tcW w:w="709" w:type="pct"/>
            <w:tcBorders>
              <w:top w:val="nil"/>
              <w:left w:val="nil"/>
              <w:bottom w:val="nil"/>
            </w:tcBorders>
            <w:shd w:val="clear" w:color="auto" w:fill="D9D9D9"/>
          </w:tcPr>
          <w:p w14:paraId="486861F4" w14:textId="77777777" w:rsidR="00AD72CC" w:rsidRPr="00BC0D1F" w:rsidRDefault="00AD72CC" w:rsidP="00493A42">
            <w:pPr>
              <w:pStyle w:val="TableText"/>
              <w:ind w:right="113"/>
              <w:jc w:val="right"/>
              <w:rPr>
                <w:color w:val="000000"/>
              </w:rPr>
            </w:pPr>
            <w:r w:rsidRPr="00BC0D1F">
              <w:rPr>
                <w:color w:val="000000"/>
              </w:rPr>
              <w:t>$104.87</w:t>
            </w:r>
            <w:r w:rsidRPr="00BC0D1F">
              <w:rPr>
                <w:color w:val="000000"/>
              </w:rPr>
              <w:br/>
              <w:t>(see Note B)</w:t>
            </w:r>
          </w:p>
        </w:tc>
      </w:tr>
      <w:tr w:rsidR="00AD72CC" w:rsidRPr="00BC0D1F" w14:paraId="439D9851" w14:textId="77777777" w:rsidTr="00493A42">
        <w:trPr>
          <w:cantSplit/>
        </w:trPr>
        <w:tc>
          <w:tcPr>
            <w:tcW w:w="684" w:type="pct"/>
            <w:tcBorders>
              <w:top w:val="nil"/>
              <w:bottom w:val="nil"/>
              <w:right w:val="nil"/>
            </w:tcBorders>
          </w:tcPr>
          <w:p w14:paraId="1C5CB478" w14:textId="77777777" w:rsidR="00AD72CC" w:rsidRPr="00BC0D1F" w:rsidRDefault="00AD72CC" w:rsidP="00493A42">
            <w:pPr>
              <w:pStyle w:val="TableText"/>
              <w:spacing w:before="120"/>
              <w:ind w:right="284"/>
              <w:jc w:val="right"/>
              <w:rPr>
                <w:b/>
              </w:rPr>
            </w:pPr>
          </w:p>
        </w:tc>
        <w:tc>
          <w:tcPr>
            <w:tcW w:w="2800" w:type="pct"/>
            <w:tcBorders>
              <w:top w:val="nil"/>
              <w:left w:val="nil"/>
              <w:bottom w:val="nil"/>
              <w:right w:val="nil"/>
            </w:tcBorders>
          </w:tcPr>
          <w:p w14:paraId="2B841219" w14:textId="77777777" w:rsidR="00AD72CC" w:rsidRPr="00BC0D1F" w:rsidRDefault="00AD72CC" w:rsidP="00493A42">
            <w:pPr>
              <w:pStyle w:val="TableText"/>
              <w:spacing w:before="120"/>
              <w:rPr>
                <w:b/>
              </w:rPr>
            </w:pPr>
            <w:r w:rsidRPr="00BC0D1F">
              <w:rPr>
                <w:b/>
              </w:rPr>
              <w:t>Contact centres</w:t>
            </w:r>
          </w:p>
        </w:tc>
        <w:tc>
          <w:tcPr>
            <w:tcW w:w="806" w:type="pct"/>
            <w:tcBorders>
              <w:top w:val="nil"/>
              <w:left w:val="nil"/>
              <w:bottom w:val="nil"/>
              <w:right w:val="nil"/>
            </w:tcBorders>
          </w:tcPr>
          <w:p w14:paraId="04B70CE5" w14:textId="77777777" w:rsidR="00AD72CC" w:rsidRPr="00BC0D1F" w:rsidRDefault="00AD72CC" w:rsidP="00493A42">
            <w:pPr>
              <w:pStyle w:val="TableText"/>
              <w:spacing w:before="120"/>
              <w:ind w:right="113"/>
              <w:jc w:val="right"/>
              <w:rPr>
                <w:b/>
              </w:rPr>
            </w:pPr>
          </w:p>
        </w:tc>
        <w:tc>
          <w:tcPr>
            <w:tcW w:w="709" w:type="pct"/>
            <w:tcBorders>
              <w:top w:val="nil"/>
              <w:left w:val="nil"/>
              <w:bottom w:val="nil"/>
            </w:tcBorders>
            <w:shd w:val="clear" w:color="auto" w:fill="D9D9D9"/>
          </w:tcPr>
          <w:p w14:paraId="7D766F6D" w14:textId="77777777" w:rsidR="00AD72CC" w:rsidRPr="00BC0D1F" w:rsidRDefault="00AD72CC" w:rsidP="00493A42">
            <w:pPr>
              <w:pStyle w:val="TableText"/>
              <w:spacing w:before="120"/>
              <w:ind w:right="113"/>
              <w:jc w:val="right"/>
              <w:rPr>
                <w:b/>
              </w:rPr>
            </w:pPr>
          </w:p>
        </w:tc>
      </w:tr>
      <w:tr w:rsidR="00AD72CC" w:rsidRPr="00BC0D1F" w14:paraId="555FFE9D" w14:textId="77777777" w:rsidTr="00493A42">
        <w:trPr>
          <w:cantSplit/>
        </w:trPr>
        <w:tc>
          <w:tcPr>
            <w:tcW w:w="684" w:type="pct"/>
            <w:tcBorders>
              <w:top w:val="nil"/>
              <w:bottom w:val="nil"/>
              <w:right w:val="nil"/>
            </w:tcBorders>
          </w:tcPr>
          <w:p w14:paraId="0FE92EAD" w14:textId="77777777" w:rsidR="00AD72CC" w:rsidRPr="00BC0D1F" w:rsidRDefault="00AD72CC" w:rsidP="00493A42">
            <w:pPr>
              <w:pStyle w:val="TableText"/>
              <w:ind w:right="284"/>
              <w:jc w:val="right"/>
            </w:pPr>
            <w:r w:rsidRPr="00BC0D1F">
              <w:t>501,528</w:t>
            </w:r>
          </w:p>
        </w:tc>
        <w:tc>
          <w:tcPr>
            <w:tcW w:w="2800" w:type="pct"/>
            <w:tcBorders>
              <w:top w:val="nil"/>
              <w:left w:val="nil"/>
              <w:bottom w:val="nil"/>
              <w:right w:val="nil"/>
            </w:tcBorders>
          </w:tcPr>
          <w:p w14:paraId="7FB04EC1" w14:textId="77777777" w:rsidR="00AD72CC" w:rsidRPr="00BC0D1F" w:rsidRDefault="00AD72CC" w:rsidP="00493A42">
            <w:pPr>
              <w:pStyle w:val="TableText"/>
            </w:pPr>
            <w:r w:rsidRPr="00BC0D1F">
              <w:t>Number of contact centre calls per annum</w:t>
            </w:r>
          </w:p>
        </w:tc>
        <w:tc>
          <w:tcPr>
            <w:tcW w:w="806" w:type="pct"/>
            <w:tcBorders>
              <w:top w:val="nil"/>
              <w:left w:val="nil"/>
              <w:bottom w:val="nil"/>
              <w:right w:val="nil"/>
            </w:tcBorders>
          </w:tcPr>
          <w:p w14:paraId="29CA2CE3" w14:textId="77777777" w:rsidR="00AD72CC" w:rsidRPr="00BC0D1F" w:rsidRDefault="00AD72CC" w:rsidP="00493A42">
            <w:pPr>
              <w:pStyle w:val="TableText"/>
              <w:ind w:right="113"/>
              <w:jc w:val="right"/>
            </w:pPr>
            <w:r w:rsidRPr="00BC0D1F">
              <w:t>500,000</w:t>
            </w:r>
          </w:p>
        </w:tc>
        <w:tc>
          <w:tcPr>
            <w:tcW w:w="709" w:type="pct"/>
            <w:tcBorders>
              <w:top w:val="nil"/>
              <w:left w:val="nil"/>
              <w:bottom w:val="nil"/>
            </w:tcBorders>
            <w:shd w:val="clear" w:color="auto" w:fill="D9D9D9"/>
          </w:tcPr>
          <w:p w14:paraId="4C28D429" w14:textId="77777777" w:rsidR="00AD72CC" w:rsidRPr="00BC0D1F" w:rsidRDefault="00AD72CC" w:rsidP="00301EBE">
            <w:pPr>
              <w:pStyle w:val="TableText"/>
              <w:ind w:right="113"/>
              <w:jc w:val="right"/>
            </w:pPr>
            <w:r w:rsidRPr="00BC0D1F">
              <w:t>454,444</w:t>
            </w:r>
            <w:r w:rsidR="00301EBE" w:rsidRPr="00BC0D1F">
              <w:br/>
            </w:r>
            <w:r w:rsidRPr="00BC0D1F">
              <w:rPr>
                <w:color w:val="000000"/>
              </w:rPr>
              <w:t>(see Note C)</w:t>
            </w:r>
          </w:p>
        </w:tc>
      </w:tr>
      <w:tr w:rsidR="00AD72CC" w:rsidRPr="00BC0D1F" w14:paraId="73102D32" w14:textId="77777777" w:rsidTr="00493A42">
        <w:trPr>
          <w:cantSplit/>
        </w:trPr>
        <w:tc>
          <w:tcPr>
            <w:tcW w:w="684" w:type="pct"/>
            <w:tcBorders>
              <w:top w:val="nil"/>
              <w:bottom w:val="nil"/>
              <w:right w:val="nil"/>
            </w:tcBorders>
          </w:tcPr>
          <w:p w14:paraId="5EB79F15" w14:textId="77777777" w:rsidR="00AD72CC" w:rsidRPr="00BC0D1F" w:rsidRDefault="00AD72CC" w:rsidP="00493A42">
            <w:pPr>
              <w:pStyle w:val="TableText"/>
              <w:ind w:right="284"/>
              <w:jc w:val="right"/>
            </w:pPr>
            <w:r w:rsidRPr="00BC0D1F">
              <w:t>68.8%</w:t>
            </w:r>
          </w:p>
        </w:tc>
        <w:tc>
          <w:tcPr>
            <w:tcW w:w="2800" w:type="pct"/>
            <w:tcBorders>
              <w:top w:val="nil"/>
              <w:left w:val="nil"/>
              <w:bottom w:val="nil"/>
              <w:right w:val="nil"/>
            </w:tcBorders>
          </w:tcPr>
          <w:p w14:paraId="455EBE7F" w14:textId="77777777" w:rsidR="00AD72CC" w:rsidRPr="00BC0D1F" w:rsidRDefault="00AD72CC" w:rsidP="00493A42">
            <w:pPr>
              <w:pStyle w:val="TableText"/>
            </w:pPr>
            <w:r w:rsidRPr="00BC0D1F">
              <w:t>The percentage of calls to contact centres answered within service specifications for timeliness (20 seconds currently)</w:t>
            </w:r>
          </w:p>
        </w:tc>
        <w:tc>
          <w:tcPr>
            <w:tcW w:w="806" w:type="pct"/>
            <w:tcBorders>
              <w:top w:val="nil"/>
              <w:left w:val="nil"/>
              <w:bottom w:val="nil"/>
              <w:right w:val="nil"/>
            </w:tcBorders>
          </w:tcPr>
          <w:p w14:paraId="5EBEEE1E" w14:textId="08DDC3E1" w:rsidR="00AD72CC" w:rsidRPr="00BC0D1F" w:rsidRDefault="00AD72CC">
            <w:pPr>
              <w:pStyle w:val="TableText"/>
              <w:ind w:right="113"/>
              <w:jc w:val="right"/>
            </w:pPr>
            <w:r w:rsidRPr="00BC0D1F">
              <w:t>80%</w:t>
            </w:r>
          </w:p>
        </w:tc>
        <w:tc>
          <w:tcPr>
            <w:tcW w:w="709" w:type="pct"/>
            <w:tcBorders>
              <w:top w:val="nil"/>
              <w:left w:val="nil"/>
              <w:bottom w:val="nil"/>
            </w:tcBorders>
            <w:shd w:val="clear" w:color="auto" w:fill="D9D9D9"/>
          </w:tcPr>
          <w:p w14:paraId="5DC1E8E3" w14:textId="77777777" w:rsidR="00AD72CC" w:rsidRPr="00BC0D1F" w:rsidRDefault="00AD72CC" w:rsidP="00493A42">
            <w:pPr>
              <w:pStyle w:val="TableText"/>
              <w:ind w:right="113"/>
              <w:jc w:val="right"/>
            </w:pPr>
            <w:r w:rsidRPr="00BC0D1F">
              <w:t>81%</w:t>
            </w:r>
          </w:p>
        </w:tc>
      </w:tr>
      <w:tr w:rsidR="00AD72CC" w:rsidRPr="00BC0D1F" w14:paraId="21CD5F04" w14:textId="77777777" w:rsidTr="00493A42">
        <w:trPr>
          <w:cantSplit/>
        </w:trPr>
        <w:tc>
          <w:tcPr>
            <w:tcW w:w="684" w:type="pct"/>
            <w:tcBorders>
              <w:top w:val="nil"/>
              <w:bottom w:val="nil"/>
              <w:right w:val="nil"/>
            </w:tcBorders>
          </w:tcPr>
          <w:p w14:paraId="4EA2C41C" w14:textId="77777777" w:rsidR="00AD72CC" w:rsidRPr="00BC0D1F" w:rsidRDefault="00AD72CC" w:rsidP="00493A42">
            <w:pPr>
              <w:pStyle w:val="TableText"/>
              <w:ind w:right="284"/>
              <w:jc w:val="right"/>
            </w:pPr>
            <w:r w:rsidRPr="00BC0D1F">
              <w:t>5%</w:t>
            </w:r>
          </w:p>
        </w:tc>
        <w:tc>
          <w:tcPr>
            <w:tcW w:w="2800" w:type="pct"/>
            <w:tcBorders>
              <w:top w:val="nil"/>
              <w:left w:val="nil"/>
              <w:bottom w:val="nil"/>
              <w:right w:val="nil"/>
            </w:tcBorders>
          </w:tcPr>
          <w:p w14:paraId="554A4435" w14:textId="77777777" w:rsidR="00AD72CC" w:rsidRPr="00BC0D1F" w:rsidRDefault="00AD72CC" w:rsidP="00493A42">
            <w:pPr>
              <w:pStyle w:val="TableText"/>
            </w:pPr>
            <w:r w:rsidRPr="00BC0D1F">
              <w:t>The percentage of calls abandoned by callers prior to being answered by the contact centre</w:t>
            </w:r>
          </w:p>
        </w:tc>
        <w:tc>
          <w:tcPr>
            <w:tcW w:w="806" w:type="pct"/>
            <w:tcBorders>
              <w:top w:val="nil"/>
              <w:left w:val="nil"/>
              <w:bottom w:val="nil"/>
              <w:right w:val="nil"/>
            </w:tcBorders>
          </w:tcPr>
          <w:p w14:paraId="1D277D86" w14:textId="6369BC77" w:rsidR="00AD72CC" w:rsidRPr="00BC0D1F" w:rsidRDefault="00AD72CC">
            <w:pPr>
              <w:pStyle w:val="TableText"/>
              <w:ind w:right="113"/>
              <w:jc w:val="right"/>
            </w:pPr>
            <w:r w:rsidRPr="00BC0D1F">
              <w:t>&lt;5%</w:t>
            </w:r>
          </w:p>
        </w:tc>
        <w:tc>
          <w:tcPr>
            <w:tcW w:w="709" w:type="pct"/>
            <w:tcBorders>
              <w:top w:val="nil"/>
              <w:left w:val="nil"/>
              <w:bottom w:val="nil"/>
            </w:tcBorders>
            <w:shd w:val="clear" w:color="auto" w:fill="D9D9D9"/>
          </w:tcPr>
          <w:p w14:paraId="0F07301C" w14:textId="77777777" w:rsidR="00AD72CC" w:rsidRPr="00BC0D1F" w:rsidRDefault="00AD72CC" w:rsidP="00493A42">
            <w:pPr>
              <w:pStyle w:val="TableText"/>
              <w:ind w:right="113"/>
              <w:jc w:val="right"/>
            </w:pPr>
            <w:r w:rsidRPr="00BC0D1F">
              <w:t>2.5%</w:t>
            </w:r>
          </w:p>
        </w:tc>
      </w:tr>
      <w:tr w:rsidR="00AD72CC" w:rsidRPr="00BC0D1F" w14:paraId="2A1FB2DD" w14:textId="77777777" w:rsidTr="00493A42">
        <w:trPr>
          <w:cantSplit/>
        </w:trPr>
        <w:tc>
          <w:tcPr>
            <w:tcW w:w="684" w:type="pct"/>
            <w:tcBorders>
              <w:top w:val="nil"/>
              <w:bottom w:val="nil"/>
              <w:right w:val="nil"/>
            </w:tcBorders>
          </w:tcPr>
          <w:p w14:paraId="5EC2E2CF" w14:textId="77777777" w:rsidR="00AD72CC" w:rsidRPr="00BC0D1F" w:rsidRDefault="00AD72CC" w:rsidP="00493A42">
            <w:pPr>
              <w:pStyle w:val="TableText"/>
              <w:ind w:right="284"/>
              <w:jc w:val="right"/>
            </w:pPr>
            <w:r w:rsidRPr="00BC0D1F">
              <w:t>$4.61</w:t>
            </w:r>
          </w:p>
        </w:tc>
        <w:tc>
          <w:tcPr>
            <w:tcW w:w="2800" w:type="pct"/>
            <w:tcBorders>
              <w:top w:val="nil"/>
              <w:left w:val="nil"/>
              <w:bottom w:val="nil"/>
              <w:right w:val="nil"/>
            </w:tcBorders>
          </w:tcPr>
          <w:p w14:paraId="75840E8A" w14:textId="77777777" w:rsidR="00AD72CC" w:rsidRPr="00BC0D1F" w:rsidRDefault="00AD72CC" w:rsidP="00493A42">
            <w:pPr>
              <w:pStyle w:val="TableText"/>
            </w:pPr>
            <w:r w:rsidRPr="00BC0D1F">
              <w:t>The cost per enquiry</w:t>
            </w:r>
          </w:p>
        </w:tc>
        <w:tc>
          <w:tcPr>
            <w:tcW w:w="806" w:type="pct"/>
            <w:tcBorders>
              <w:top w:val="nil"/>
              <w:left w:val="nil"/>
              <w:bottom w:val="nil"/>
              <w:right w:val="nil"/>
            </w:tcBorders>
          </w:tcPr>
          <w:p w14:paraId="662EC130" w14:textId="77777777" w:rsidR="00AD72CC" w:rsidRPr="00BC0D1F" w:rsidRDefault="00AD72CC" w:rsidP="00493A42">
            <w:pPr>
              <w:pStyle w:val="TableText"/>
              <w:ind w:right="113"/>
              <w:jc w:val="right"/>
            </w:pPr>
            <w:r w:rsidRPr="00BC0D1F">
              <w:t>$4.70</w:t>
            </w:r>
          </w:p>
        </w:tc>
        <w:tc>
          <w:tcPr>
            <w:tcW w:w="709" w:type="pct"/>
            <w:tcBorders>
              <w:top w:val="nil"/>
              <w:left w:val="nil"/>
              <w:bottom w:val="nil"/>
            </w:tcBorders>
            <w:shd w:val="clear" w:color="auto" w:fill="D9D9D9"/>
          </w:tcPr>
          <w:p w14:paraId="2AB62E6C" w14:textId="77777777" w:rsidR="00AD72CC" w:rsidRPr="00BC0D1F" w:rsidRDefault="00AD72CC" w:rsidP="00493A42">
            <w:pPr>
              <w:pStyle w:val="TableText"/>
              <w:ind w:right="113"/>
              <w:jc w:val="right"/>
            </w:pPr>
            <w:r w:rsidRPr="00BC0D1F">
              <w:t>$4.53</w:t>
            </w:r>
          </w:p>
        </w:tc>
      </w:tr>
      <w:tr w:rsidR="00AD72CC" w:rsidRPr="00BC0D1F" w14:paraId="45DF33D8" w14:textId="77777777" w:rsidTr="00493A42">
        <w:trPr>
          <w:cantSplit/>
        </w:trPr>
        <w:tc>
          <w:tcPr>
            <w:tcW w:w="684" w:type="pct"/>
            <w:tcBorders>
              <w:top w:val="nil"/>
              <w:bottom w:val="nil"/>
              <w:right w:val="nil"/>
            </w:tcBorders>
          </w:tcPr>
          <w:p w14:paraId="1D1D82A8" w14:textId="77777777" w:rsidR="00AD72CC" w:rsidRPr="00BC0D1F" w:rsidRDefault="00AD72CC" w:rsidP="00493A42">
            <w:pPr>
              <w:pStyle w:val="TableText"/>
              <w:ind w:right="284"/>
              <w:jc w:val="right"/>
            </w:pPr>
            <w:r w:rsidRPr="00BC0D1F">
              <w:t>89%</w:t>
            </w:r>
          </w:p>
        </w:tc>
        <w:tc>
          <w:tcPr>
            <w:tcW w:w="2800" w:type="pct"/>
            <w:tcBorders>
              <w:top w:val="nil"/>
              <w:left w:val="nil"/>
              <w:bottom w:val="nil"/>
              <w:right w:val="nil"/>
            </w:tcBorders>
          </w:tcPr>
          <w:p w14:paraId="102A2D9E" w14:textId="77777777" w:rsidR="00AD72CC" w:rsidRPr="00BC0D1F" w:rsidRDefault="00AD72CC" w:rsidP="00493A42">
            <w:pPr>
              <w:pStyle w:val="TableText"/>
            </w:pPr>
            <w:r w:rsidRPr="00BC0D1F">
              <w:t>The percentage of enquiries resolved in under 10 business working days</w:t>
            </w:r>
          </w:p>
        </w:tc>
        <w:tc>
          <w:tcPr>
            <w:tcW w:w="806" w:type="pct"/>
            <w:tcBorders>
              <w:top w:val="nil"/>
              <w:left w:val="nil"/>
              <w:bottom w:val="nil"/>
              <w:right w:val="nil"/>
            </w:tcBorders>
          </w:tcPr>
          <w:p w14:paraId="3D24BDEC" w14:textId="77777777" w:rsidR="00AD72CC" w:rsidRPr="00BC0D1F" w:rsidRDefault="00AD72CC" w:rsidP="00493A42">
            <w:pPr>
              <w:pStyle w:val="TableText"/>
              <w:ind w:right="113"/>
              <w:jc w:val="right"/>
            </w:pPr>
            <w:r w:rsidRPr="00BC0D1F">
              <w:t>95%</w:t>
            </w:r>
          </w:p>
        </w:tc>
        <w:tc>
          <w:tcPr>
            <w:tcW w:w="709" w:type="pct"/>
            <w:tcBorders>
              <w:top w:val="nil"/>
              <w:left w:val="nil"/>
              <w:bottom w:val="nil"/>
            </w:tcBorders>
            <w:shd w:val="clear" w:color="auto" w:fill="D9D9D9"/>
          </w:tcPr>
          <w:p w14:paraId="4596D110" w14:textId="77777777" w:rsidR="00AD72CC" w:rsidRPr="00BC0D1F" w:rsidRDefault="00AD72CC" w:rsidP="00493A42">
            <w:pPr>
              <w:pStyle w:val="TableText"/>
              <w:ind w:right="113"/>
              <w:jc w:val="right"/>
            </w:pPr>
            <w:r w:rsidRPr="00BC0D1F">
              <w:t>96.9%</w:t>
            </w:r>
          </w:p>
        </w:tc>
      </w:tr>
      <w:tr w:rsidR="00AD72CC" w:rsidRPr="00BC0D1F" w14:paraId="589E06B4" w14:textId="77777777" w:rsidTr="00493A42">
        <w:trPr>
          <w:cantSplit/>
        </w:trPr>
        <w:tc>
          <w:tcPr>
            <w:tcW w:w="684" w:type="pct"/>
            <w:tcBorders>
              <w:top w:val="nil"/>
              <w:bottom w:val="nil"/>
              <w:right w:val="nil"/>
            </w:tcBorders>
          </w:tcPr>
          <w:p w14:paraId="1ED4C7ED" w14:textId="77777777" w:rsidR="00AD72CC" w:rsidRPr="00BC0D1F" w:rsidRDefault="00AD72CC" w:rsidP="00493A42">
            <w:pPr>
              <w:pStyle w:val="TableText"/>
              <w:spacing w:before="120"/>
              <w:ind w:right="284"/>
              <w:jc w:val="right"/>
              <w:rPr>
                <w:b/>
              </w:rPr>
            </w:pPr>
          </w:p>
        </w:tc>
        <w:tc>
          <w:tcPr>
            <w:tcW w:w="2800" w:type="pct"/>
            <w:tcBorders>
              <w:top w:val="nil"/>
              <w:left w:val="nil"/>
              <w:bottom w:val="nil"/>
              <w:right w:val="nil"/>
            </w:tcBorders>
          </w:tcPr>
          <w:p w14:paraId="64069C7F" w14:textId="77777777" w:rsidR="00AD72CC" w:rsidRPr="00BC0D1F" w:rsidRDefault="00AD72CC" w:rsidP="00493A42">
            <w:pPr>
              <w:pStyle w:val="TableText"/>
              <w:spacing w:before="120"/>
              <w:rPr>
                <w:b/>
              </w:rPr>
            </w:pPr>
            <w:r w:rsidRPr="00BC0D1F">
              <w:rPr>
                <w:b/>
              </w:rPr>
              <w:t>Financial audit and compliance activities</w:t>
            </w:r>
          </w:p>
        </w:tc>
        <w:tc>
          <w:tcPr>
            <w:tcW w:w="806" w:type="pct"/>
            <w:tcBorders>
              <w:top w:val="nil"/>
              <w:left w:val="nil"/>
              <w:bottom w:val="nil"/>
              <w:right w:val="nil"/>
            </w:tcBorders>
          </w:tcPr>
          <w:p w14:paraId="6CAEA653" w14:textId="77777777" w:rsidR="00AD72CC" w:rsidRPr="00BC0D1F" w:rsidRDefault="00AD72CC" w:rsidP="00493A42">
            <w:pPr>
              <w:pStyle w:val="TableText"/>
              <w:spacing w:before="120"/>
              <w:ind w:right="113"/>
              <w:jc w:val="right"/>
              <w:rPr>
                <w:b/>
              </w:rPr>
            </w:pPr>
          </w:p>
        </w:tc>
        <w:tc>
          <w:tcPr>
            <w:tcW w:w="709" w:type="pct"/>
            <w:tcBorders>
              <w:top w:val="nil"/>
              <w:left w:val="nil"/>
              <w:bottom w:val="nil"/>
            </w:tcBorders>
            <w:shd w:val="clear" w:color="auto" w:fill="D9D9D9"/>
          </w:tcPr>
          <w:p w14:paraId="032FB777" w14:textId="77777777" w:rsidR="00AD72CC" w:rsidRPr="00BC0D1F" w:rsidRDefault="00AD72CC" w:rsidP="00493A42">
            <w:pPr>
              <w:pStyle w:val="TableText"/>
              <w:spacing w:before="120"/>
              <w:ind w:right="113"/>
              <w:jc w:val="right"/>
              <w:rPr>
                <w:b/>
              </w:rPr>
            </w:pPr>
          </w:p>
        </w:tc>
      </w:tr>
      <w:tr w:rsidR="00AD72CC" w:rsidRPr="00BC0D1F" w14:paraId="30E2F214" w14:textId="77777777" w:rsidTr="00493A42">
        <w:trPr>
          <w:cantSplit/>
        </w:trPr>
        <w:tc>
          <w:tcPr>
            <w:tcW w:w="684" w:type="pct"/>
            <w:tcBorders>
              <w:top w:val="nil"/>
              <w:bottom w:val="nil"/>
              <w:right w:val="nil"/>
            </w:tcBorders>
          </w:tcPr>
          <w:p w14:paraId="41740341" w14:textId="77777777" w:rsidR="00AD72CC" w:rsidRPr="00BC0D1F" w:rsidRDefault="00AD72CC" w:rsidP="00493A42">
            <w:pPr>
              <w:pStyle w:val="TableText"/>
              <w:ind w:right="284"/>
              <w:jc w:val="right"/>
            </w:pPr>
            <w:r w:rsidRPr="00BC0D1F">
              <w:t>90%</w:t>
            </w:r>
          </w:p>
        </w:tc>
        <w:tc>
          <w:tcPr>
            <w:tcW w:w="2800" w:type="pct"/>
            <w:tcBorders>
              <w:top w:val="nil"/>
              <w:left w:val="nil"/>
              <w:bottom w:val="nil"/>
              <w:right w:val="nil"/>
            </w:tcBorders>
          </w:tcPr>
          <w:p w14:paraId="1AADB99F" w14:textId="77777777" w:rsidR="00AD72CC" w:rsidRPr="00BC0D1F" w:rsidRDefault="00AD72CC" w:rsidP="00493A42">
            <w:pPr>
              <w:pStyle w:val="TableText"/>
            </w:pPr>
            <w:r w:rsidRPr="00BC0D1F">
              <w:t>The total dollar value of payments made to those primary health and disability providers who have been subject to audit and compliance activities during the year, expressed as a percentage of the budget for those providers</w:t>
            </w:r>
          </w:p>
        </w:tc>
        <w:tc>
          <w:tcPr>
            <w:tcW w:w="806" w:type="pct"/>
            <w:tcBorders>
              <w:top w:val="nil"/>
              <w:left w:val="nil"/>
              <w:bottom w:val="nil"/>
              <w:right w:val="nil"/>
            </w:tcBorders>
          </w:tcPr>
          <w:p w14:paraId="15B6B68C" w14:textId="77777777" w:rsidR="00AD72CC" w:rsidRPr="00BC0D1F" w:rsidRDefault="00AD72CC" w:rsidP="00493A42">
            <w:pPr>
              <w:pStyle w:val="TableText"/>
              <w:ind w:right="113"/>
              <w:jc w:val="right"/>
            </w:pPr>
            <w:r w:rsidRPr="00BC0D1F">
              <w:t>70%</w:t>
            </w:r>
          </w:p>
        </w:tc>
        <w:tc>
          <w:tcPr>
            <w:tcW w:w="709" w:type="pct"/>
            <w:tcBorders>
              <w:top w:val="nil"/>
              <w:left w:val="nil"/>
              <w:bottom w:val="nil"/>
            </w:tcBorders>
            <w:shd w:val="clear" w:color="auto" w:fill="D9D9D9"/>
          </w:tcPr>
          <w:p w14:paraId="1D85CBAA" w14:textId="77777777" w:rsidR="00AD72CC" w:rsidRPr="00BC0D1F" w:rsidRDefault="00AD72CC" w:rsidP="00493A42">
            <w:pPr>
              <w:pStyle w:val="TableText"/>
              <w:ind w:right="113"/>
              <w:jc w:val="right"/>
            </w:pPr>
            <w:r w:rsidRPr="00BC0D1F">
              <w:t>94%</w:t>
            </w:r>
            <w:r w:rsidRPr="00BC0D1F">
              <w:br/>
              <w:t>(see Note D)</w:t>
            </w:r>
          </w:p>
        </w:tc>
      </w:tr>
      <w:tr w:rsidR="00AD72CC" w:rsidRPr="00BC0D1F" w14:paraId="20DD1B42" w14:textId="77777777" w:rsidTr="00493A42">
        <w:trPr>
          <w:cantSplit/>
        </w:trPr>
        <w:tc>
          <w:tcPr>
            <w:tcW w:w="684" w:type="pct"/>
            <w:tcBorders>
              <w:top w:val="nil"/>
              <w:bottom w:val="single" w:sz="4" w:space="0" w:color="auto"/>
              <w:right w:val="nil"/>
            </w:tcBorders>
          </w:tcPr>
          <w:p w14:paraId="0D6DC162" w14:textId="77777777" w:rsidR="00AD72CC" w:rsidRPr="00BC0D1F" w:rsidRDefault="00AD72CC" w:rsidP="00493A42">
            <w:pPr>
              <w:pStyle w:val="TableText"/>
              <w:ind w:right="284"/>
              <w:jc w:val="right"/>
            </w:pPr>
            <w:r w:rsidRPr="00BC0D1F">
              <w:t>0%</w:t>
            </w:r>
          </w:p>
        </w:tc>
        <w:tc>
          <w:tcPr>
            <w:tcW w:w="2800" w:type="pct"/>
            <w:tcBorders>
              <w:top w:val="nil"/>
              <w:left w:val="nil"/>
              <w:bottom w:val="single" w:sz="4" w:space="0" w:color="auto"/>
              <w:right w:val="nil"/>
            </w:tcBorders>
          </w:tcPr>
          <w:p w14:paraId="46A09774" w14:textId="77777777" w:rsidR="00AD72CC" w:rsidRPr="00BC0D1F" w:rsidRDefault="00AD72CC" w:rsidP="00493A42">
            <w:pPr>
              <w:pStyle w:val="TableText"/>
            </w:pPr>
            <w:r w:rsidRPr="00BC0D1F">
              <w:t>The total number of Ministry-prosecuted cases against the percentage of those cases that contain adverse judicial comments</w:t>
            </w:r>
          </w:p>
        </w:tc>
        <w:tc>
          <w:tcPr>
            <w:tcW w:w="806" w:type="pct"/>
            <w:tcBorders>
              <w:top w:val="nil"/>
              <w:left w:val="nil"/>
              <w:bottom w:val="single" w:sz="4" w:space="0" w:color="auto"/>
              <w:right w:val="nil"/>
            </w:tcBorders>
          </w:tcPr>
          <w:p w14:paraId="19DF2897" w14:textId="6A700243" w:rsidR="00AD72CC" w:rsidRPr="00BC0D1F" w:rsidRDefault="00AD72CC">
            <w:pPr>
              <w:pStyle w:val="TableText"/>
              <w:ind w:right="113"/>
              <w:jc w:val="right"/>
            </w:pPr>
            <w:r w:rsidRPr="00BC0D1F">
              <w:t>&lt;10%</w:t>
            </w:r>
          </w:p>
        </w:tc>
        <w:tc>
          <w:tcPr>
            <w:tcW w:w="709" w:type="pct"/>
            <w:tcBorders>
              <w:top w:val="nil"/>
              <w:left w:val="nil"/>
              <w:bottom w:val="single" w:sz="4" w:space="0" w:color="auto"/>
            </w:tcBorders>
            <w:shd w:val="clear" w:color="auto" w:fill="D9D9D9"/>
          </w:tcPr>
          <w:p w14:paraId="2124EE77" w14:textId="77777777" w:rsidR="00AD72CC" w:rsidRPr="00BC0D1F" w:rsidRDefault="00AD72CC" w:rsidP="00493A42">
            <w:pPr>
              <w:pStyle w:val="TableText"/>
              <w:ind w:right="113"/>
              <w:jc w:val="right"/>
            </w:pPr>
            <w:r w:rsidRPr="00BC0D1F">
              <w:t>0%</w:t>
            </w:r>
          </w:p>
        </w:tc>
      </w:tr>
    </w:tbl>
    <w:p w14:paraId="5D6B6627" w14:textId="77777777" w:rsidR="00AD72CC" w:rsidRPr="00BC0D1F" w:rsidRDefault="00AD72CC" w:rsidP="00301EBE"/>
    <w:p w14:paraId="7C3AC254" w14:textId="77777777" w:rsidR="00AD72CC" w:rsidRPr="00BC0D1F" w:rsidRDefault="00AD72CC" w:rsidP="00301EBE">
      <w:pPr>
        <w:pStyle w:val="Heading4"/>
      </w:pPr>
      <w:r w:rsidRPr="00BC0D1F">
        <w:lastRenderedPageBreak/>
        <w:t>Claim transactions</w:t>
      </w:r>
    </w:p>
    <w:p w14:paraId="753DFA63" w14:textId="77777777" w:rsidR="00AD72CC" w:rsidRPr="00BC0D1F" w:rsidRDefault="00AD72CC" w:rsidP="00301EBE">
      <w:pPr>
        <w:keepNext/>
      </w:pPr>
      <w:r w:rsidRPr="00BC0D1F">
        <w:t>The Ministry pays a variety of health and disability system providers, such as midwives and pharmacies, typically in response to claims from those providers. Claims include all transactions where payment is required, including registrations, invoices and other support claims. The Ministry aims to deliver the service as efficiently as possible.</w:t>
      </w:r>
    </w:p>
    <w:p w14:paraId="65BB9B21" w14:textId="77777777" w:rsidR="00AD72CC" w:rsidRPr="00BC0D1F" w:rsidRDefault="00AD72CC" w:rsidP="00301EBE">
      <w:pPr>
        <w:keepNext/>
      </w:pPr>
    </w:p>
    <w:p w14:paraId="693B21DE" w14:textId="77777777" w:rsidR="00AD72CC" w:rsidRPr="00BC0D1F" w:rsidRDefault="00AD72CC" w:rsidP="00301EBE">
      <w:pPr>
        <w:rPr>
          <w:highlight w:val="yellow"/>
        </w:rPr>
      </w:pPr>
      <w:r w:rsidRPr="00BC0D1F">
        <w:t>Ongoing improvements made to the health payment systems have seen the volume of manual claiming reduced in recent years. The number of claims processed is a demand-driven measure and the volume for 2015/16 is at a similar level to that in the previous year.</w:t>
      </w:r>
    </w:p>
    <w:p w14:paraId="1C8F3C89" w14:textId="77777777" w:rsidR="00AD72CC" w:rsidRPr="00BC0D1F" w:rsidRDefault="00AD72CC" w:rsidP="00301EBE">
      <w:pPr>
        <w:rPr>
          <w:highlight w:val="yellow"/>
        </w:rPr>
      </w:pPr>
    </w:p>
    <w:p w14:paraId="3E12030D" w14:textId="77777777" w:rsidR="00AD72CC" w:rsidRPr="00BC0D1F" w:rsidRDefault="00AD72CC" w:rsidP="00301EBE">
      <w:pPr>
        <w:pStyle w:val="Heading4"/>
      </w:pPr>
      <w:r w:rsidRPr="00BC0D1F">
        <w:t>Agreements</w:t>
      </w:r>
    </w:p>
    <w:p w14:paraId="540BD4CD" w14:textId="77777777" w:rsidR="00AD72CC" w:rsidRPr="00BC0D1F" w:rsidRDefault="00AD72CC" w:rsidP="00301EBE">
      <w:r w:rsidRPr="00BC0D1F">
        <w:t>This area covers all agreements administered where a service is provided to the sector. It includes contracts between funders (either the Ministry or DHBs) and service providers, but excludes CFAs and their variations, since these are administered outside the payment services systems.</w:t>
      </w:r>
    </w:p>
    <w:p w14:paraId="64EF9676" w14:textId="77777777" w:rsidR="00AD72CC" w:rsidRPr="00BC0D1F" w:rsidRDefault="00AD72CC" w:rsidP="00301EBE"/>
    <w:p w14:paraId="566C0C7A" w14:textId="77777777" w:rsidR="00AD72CC" w:rsidRPr="00BC0D1F" w:rsidRDefault="00AD72CC" w:rsidP="00301EBE">
      <w:r w:rsidRPr="00BC0D1F">
        <w:t>The decrease in the total number of agreements processed, compared to the previous year, was due to the additional variations to the age-related residential care services agreements that were processed in 2014/15.</w:t>
      </w:r>
    </w:p>
    <w:p w14:paraId="0A277579" w14:textId="77777777" w:rsidR="00AD72CC" w:rsidRPr="00BC0D1F" w:rsidRDefault="00AD72CC" w:rsidP="00301EBE"/>
    <w:p w14:paraId="26D24B92" w14:textId="77777777" w:rsidR="00AD72CC" w:rsidRPr="00BC0D1F" w:rsidRDefault="00AD72CC" w:rsidP="00301EBE">
      <w:r w:rsidRPr="00BC0D1F">
        <w:t>Note A: The timeliness target has not been met, mainly due to the high demand for agreement services at the start of each financial year, which affected the overall result.</w:t>
      </w:r>
    </w:p>
    <w:p w14:paraId="6CA9E4BF" w14:textId="77777777" w:rsidR="00AD72CC" w:rsidRPr="00BC0D1F" w:rsidRDefault="00AD72CC" w:rsidP="00301EBE"/>
    <w:p w14:paraId="4CB962E1" w14:textId="3EB048F5" w:rsidR="00DF4B9A" w:rsidRPr="00BC0D1F" w:rsidRDefault="00AD72CC" w:rsidP="00301EBE">
      <w:r w:rsidRPr="00BC0D1F">
        <w:t xml:space="preserve">Note B: The year-end cost per agreement processed </w:t>
      </w:r>
      <w:r w:rsidR="00101148">
        <w:t xml:space="preserve">of $104.87 exceeded the </w:t>
      </w:r>
      <w:r w:rsidRPr="00BC0D1F">
        <w:t xml:space="preserve">target of $155.00 </w:t>
      </w:r>
      <w:r w:rsidR="005F0C7D">
        <w:t xml:space="preserve">by </w:t>
      </w:r>
      <w:r w:rsidRPr="00BC0D1F">
        <w:t>32</w:t>
      </w:r>
      <w:r w:rsidR="00301EBE" w:rsidRPr="00BC0D1F">
        <w:t> </w:t>
      </w:r>
      <w:r w:rsidRPr="00BC0D1F">
        <w:t>percent due to the high volume of agreement requests.</w:t>
      </w:r>
    </w:p>
    <w:p w14:paraId="7F13365D" w14:textId="77777777" w:rsidR="00AD72CC" w:rsidRPr="00BC0D1F" w:rsidRDefault="00AD72CC" w:rsidP="00301EBE">
      <w:pPr>
        <w:rPr>
          <w:highlight w:val="yellow"/>
        </w:rPr>
      </w:pPr>
    </w:p>
    <w:p w14:paraId="1F198BD1" w14:textId="77777777" w:rsidR="00AD72CC" w:rsidRPr="00BC0D1F" w:rsidRDefault="00AD72CC" w:rsidP="00301EBE">
      <w:pPr>
        <w:pStyle w:val="Heading4"/>
      </w:pPr>
      <w:r w:rsidRPr="00BC0D1F">
        <w:t>Contact centres</w:t>
      </w:r>
    </w:p>
    <w:p w14:paraId="3215987C" w14:textId="77777777" w:rsidR="00AD72CC" w:rsidRPr="00BC0D1F" w:rsidRDefault="00AD72CC" w:rsidP="00301EBE">
      <w:r w:rsidRPr="00BC0D1F">
        <w:t>The National Contact Centre (NCC) supports the health and disability system and the wider public by responding to health-related enquiries in approximately 60 areas, including carer support, pharmacy, the NHI and the Ministry</w:t>
      </w:r>
      <w:r w:rsidR="00DF4B9A" w:rsidRPr="00BC0D1F">
        <w:t>’</w:t>
      </w:r>
      <w:r w:rsidRPr="00BC0D1F">
        <w:t xml:space="preserve">s general line. Ministry-funded outsourced contact centre work (such as that provided by </w:t>
      </w:r>
      <w:proofErr w:type="spellStart"/>
      <w:r w:rsidRPr="00BC0D1F">
        <w:t>PlunketLine</w:t>
      </w:r>
      <w:proofErr w:type="spellEnd"/>
      <w:r w:rsidRPr="00BC0D1F">
        <w:t xml:space="preserve">, </w:t>
      </w:r>
      <w:proofErr w:type="spellStart"/>
      <w:r w:rsidRPr="00BC0D1F">
        <w:t>Healthline</w:t>
      </w:r>
      <w:proofErr w:type="spellEnd"/>
      <w:r w:rsidRPr="00BC0D1F">
        <w:t xml:space="preserve"> and </w:t>
      </w:r>
      <w:proofErr w:type="spellStart"/>
      <w:r w:rsidRPr="00BC0D1F">
        <w:t>Quitline</w:t>
      </w:r>
      <w:proofErr w:type="spellEnd"/>
      <w:r w:rsidRPr="00BC0D1F">
        <w:t>) is excluded from the measures reported here.</w:t>
      </w:r>
    </w:p>
    <w:p w14:paraId="0187926F" w14:textId="77777777" w:rsidR="00AD72CC" w:rsidRPr="00BC0D1F" w:rsidRDefault="00AD72CC" w:rsidP="00301EBE"/>
    <w:p w14:paraId="49096771" w14:textId="77777777" w:rsidR="00AD72CC" w:rsidRPr="00BC0D1F" w:rsidRDefault="00AD72CC" w:rsidP="00301EBE">
      <w:r w:rsidRPr="00BC0D1F">
        <w:t>Note C: The number of contact centre calls per annum is a demand-driven measure. The volume of calls decreased from the previous year due to the roll-out of the Online Identity Services, which reflects the improvement in responsiveness to calls as a result of the clustering initiative put in place.</w:t>
      </w:r>
    </w:p>
    <w:p w14:paraId="08D23FF5" w14:textId="77777777" w:rsidR="00AD72CC" w:rsidRPr="00BC0D1F" w:rsidRDefault="00AD72CC" w:rsidP="00301EBE"/>
    <w:p w14:paraId="04EC5A25" w14:textId="1FF92B87" w:rsidR="00AD72CC" w:rsidRPr="00BC0D1F" w:rsidRDefault="00AD72CC" w:rsidP="00301EBE">
      <w:r w:rsidRPr="00BC0D1F">
        <w:t xml:space="preserve">The decrease in calls volume and the new initiative have resulted in meeting the percentage of calls to contact centres answered within service specifications for timeliness (20 seconds currently) for the first time in five years. The </w:t>
      </w:r>
      <w:r w:rsidR="00191DB8">
        <w:t xml:space="preserve">target </w:t>
      </w:r>
      <w:r w:rsidRPr="00BC0D1F">
        <w:t xml:space="preserve">percentage of calls to contact centres answered within 20 seconds has </w:t>
      </w:r>
      <w:r w:rsidR="00191DB8">
        <w:t xml:space="preserve">been </w:t>
      </w:r>
      <w:r w:rsidRPr="00BC0D1F">
        <w:t>increased to 90 percent for 2016/17.</w:t>
      </w:r>
    </w:p>
    <w:p w14:paraId="7A4B037F" w14:textId="77777777" w:rsidR="00AD72CC" w:rsidRPr="00BC0D1F" w:rsidRDefault="00AD72CC" w:rsidP="00301EBE"/>
    <w:p w14:paraId="2AD218F9" w14:textId="77777777" w:rsidR="00AD72CC" w:rsidRPr="00BC0D1F" w:rsidRDefault="00AD72CC" w:rsidP="00301EBE">
      <w:pPr>
        <w:pStyle w:val="Heading4"/>
      </w:pPr>
      <w:r w:rsidRPr="00BC0D1F">
        <w:t>Financial audit and compliance activities</w:t>
      </w:r>
    </w:p>
    <w:p w14:paraId="5914C96B" w14:textId="61193B00" w:rsidR="00AD72CC" w:rsidRPr="00BC0D1F" w:rsidRDefault="00AD72CC" w:rsidP="00301EBE">
      <w:r w:rsidRPr="00BC0D1F">
        <w:t xml:space="preserve">Note D: The Ministry undertook audit activities in relation to </w:t>
      </w:r>
      <w:r w:rsidR="00726113">
        <w:t xml:space="preserve">a sample of </w:t>
      </w:r>
      <w:r w:rsidRPr="00BC0D1F">
        <w:t>94 percent of the funding of $6.6 billion worth of sector services payments for 2015/16 across 14 funding streams. The target has been increased to 80 percent for 2016/17.</w:t>
      </w:r>
    </w:p>
    <w:p w14:paraId="0D7FFA39" w14:textId="77777777" w:rsidR="00AD72CC" w:rsidRPr="00BC0D1F" w:rsidRDefault="00AD72CC" w:rsidP="00301EBE"/>
    <w:p w14:paraId="01AF02DA" w14:textId="77777777" w:rsidR="00AD72CC" w:rsidRPr="00BC0D1F" w:rsidRDefault="00AD72CC" w:rsidP="00301EBE">
      <w:pPr>
        <w:keepLines/>
      </w:pPr>
      <w:r w:rsidRPr="00BC0D1F">
        <w:lastRenderedPageBreak/>
        <w:t>The Ministry continues to work on improving compliance and preventing fraud in the health sector. This is a cost-effectiveness measure for the Ministry</w:t>
      </w:r>
      <w:r w:rsidR="00DF4B9A" w:rsidRPr="00BC0D1F">
        <w:t>’</w:t>
      </w:r>
      <w:r w:rsidRPr="00BC0D1F">
        <w:t>s audit activities on sector financial payments. As a result of the 2015/16 audit and investigation activities, the Ministry identified $5.7 million worth of recoverable losses and averted $11.5 million worth of future losses.</w:t>
      </w:r>
    </w:p>
    <w:p w14:paraId="320D03C4" w14:textId="77777777" w:rsidR="00AD72CC" w:rsidRPr="00BC0D1F" w:rsidRDefault="00AD72CC" w:rsidP="00301EBE"/>
    <w:p w14:paraId="3856543E" w14:textId="77777777" w:rsidR="00AD72CC" w:rsidRPr="00BC0D1F" w:rsidRDefault="00AD72CC" w:rsidP="00301EBE">
      <w:r w:rsidRPr="00BC0D1F">
        <w:t>Any adverse judicial commentary is in regard to the evidential basis for bringing a case before the Court and/or whether the matter was sufficiently serious to warrant the intervention of the criminal law. In 2015/16 there were two concluded prosecutions, neither of which was subject to any adverse judicial comment.</w:t>
      </w:r>
    </w:p>
    <w:p w14:paraId="62EA976D" w14:textId="77777777" w:rsidR="00AD72CC" w:rsidRPr="00BC0D1F" w:rsidRDefault="00AD72CC" w:rsidP="00301EBE"/>
    <w:p w14:paraId="5CC026AF" w14:textId="77777777" w:rsidR="00AD72CC" w:rsidRPr="00BC0D1F" w:rsidRDefault="00AD72CC" w:rsidP="00301EBE">
      <w:pPr>
        <w:pStyle w:val="Table"/>
      </w:pPr>
      <w:bookmarkStart w:id="122" w:name="_Toc462926715"/>
      <w:r w:rsidRPr="00BC0D1F">
        <w:t>Table 10: Financial performance for payment services</w:t>
      </w:r>
      <w:bookmarkEnd w:id="122"/>
    </w:p>
    <w:tbl>
      <w:tblPr>
        <w:tblW w:w="0" w:type="auto"/>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60"/>
        <w:gridCol w:w="3402"/>
        <w:gridCol w:w="1370"/>
        <w:gridCol w:w="1370"/>
        <w:gridCol w:w="1371"/>
      </w:tblGrid>
      <w:tr w:rsidR="00AD72CC" w:rsidRPr="00BC0D1F" w14:paraId="30CE076A" w14:textId="77777777" w:rsidTr="00493A42">
        <w:trPr>
          <w:cantSplit/>
        </w:trPr>
        <w:tc>
          <w:tcPr>
            <w:tcW w:w="1560" w:type="dxa"/>
            <w:tcBorders>
              <w:top w:val="single" w:sz="4" w:space="0" w:color="auto"/>
              <w:bottom w:val="single" w:sz="4" w:space="0" w:color="auto"/>
              <w:right w:val="nil"/>
            </w:tcBorders>
            <w:shd w:val="solid" w:color="FFFFFF" w:fill="auto"/>
          </w:tcPr>
          <w:p w14:paraId="5298EB9A" w14:textId="77777777" w:rsidR="00AD72CC" w:rsidRPr="00BC0D1F" w:rsidRDefault="00AD72CC" w:rsidP="00493A42">
            <w:pPr>
              <w:pStyle w:val="TableText"/>
              <w:ind w:right="284"/>
              <w:jc w:val="right"/>
              <w:rPr>
                <w:b/>
                <w:lang w:eastAsia="en-NZ"/>
              </w:rPr>
            </w:pPr>
            <w:r w:rsidRPr="00BC0D1F">
              <w:rPr>
                <w:b/>
              </w:rPr>
              <w:t>Actual</w:t>
            </w:r>
            <w:r w:rsidRPr="00BC0D1F">
              <w:rPr>
                <w:b/>
              </w:rPr>
              <w:br/>
            </w:r>
            <w:r w:rsidRPr="00BC0D1F">
              <w:rPr>
                <w:b/>
              </w:rPr>
              <w:br/>
              <w:t>30/06/2015</w:t>
            </w:r>
            <w:r w:rsidRPr="00BC0D1F">
              <w:rPr>
                <w:b/>
              </w:rPr>
              <w:br/>
              <w:t>$000</w:t>
            </w:r>
          </w:p>
        </w:tc>
        <w:tc>
          <w:tcPr>
            <w:tcW w:w="3402" w:type="dxa"/>
            <w:tcBorders>
              <w:top w:val="single" w:sz="4" w:space="0" w:color="auto"/>
              <w:left w:val="nil"/>
              <w:bottom w:val="single" w:sz="4" w:space="0" w:color="auto"/>
            </w:tcBorders>
            <w:shd w:val="solid" w:color="FFFFFF" w:fill="auto"/>
          </w:tcPr>
          <w:p w14:paraId="4F935F97" w14:textId="77777777" w:rsidR="00AD72CC" w:rsidRPr="00BC0D1F" w:rsidRDefault="00AD72CC" w:rsidP="00493A42">
            <w:pPr>
              <w:pStyle w:val="TableText"/>
              <w:rPr>
                <w:b/>
                <w:lang w:eastAsia="en-NZ"/>
              </w:rPr>
            </w:pPr>
          </w:p>
        </w:tc>
        <w:tc>
          <w:tcPr>
            <w:tcW w:w="1370" w:type="dxa"/>
            <w:tcBorders>
              <w:top w:val="single" w:sz="4" w:space="0" w:color="auto"/>
              <w:bottom w:val="single" w:sz="4" w:space="0" w:color="auto"/>
            </w:tcBorders>
            <w:shd w:val="clear" w:color="E3E3E3" w:fill="D9D9D9"/>
          </w:tcPr>
          <w:p w14:paraId="63C70C3B" w14:textId="77777777" w:rsidR="00AD72CC" w:rsidRPr="00BC0D1F" w:rsidRDefault="00AD72CC" w:rsidP="00301EBE">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30/06/2016</w:t>
            </w:r>
            <w:r w:rsidRPr="00BC0D1F">
              <w:rPr>
                <w:b/>
                <w:lang w:eastAsia="en-NZ"/>
              </w:rPr>
              <w:br/>
              <w:t>$000</w:t>
            </w:r>
          </w:p>
        </w:tc>
        <w:tc>
          <w:tcPr>
            <w:tcW w:w="1370" w:type="dxa"/>
            <w:tcBorders>
              <w:top w:val="single" w:sz="4" w:space="0" w:color="auto"/>
              <w:bottom w:val="single" w:sz="4" w:space="0" w:color="auto"/>
            </w:tcBorders>
            <w:shd w:val="solid" w:color="FFFFFF" w:fill="auto"/>
          </w:tcPr>
          <w:p w14:paraId="662D0E3F"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30/06/2016</w:t>
            </w:r>
            <w:r w:rsidRPr="00BC0D1F">
              <w:rPr>
                <w:b/>
                <w:lang w:eastAsia="en-NZ"/>
              </w:rPr>
              <w:br/>
              <w:t>$000</w:t>
            </w:r>
          </w:p>
        </w:tc>
        <w:tc>
          <w:tcPr>
            <w:tcW w:w="1371" w:type="dxa"/>
            <w:tcBorders>
              <w:top w:val="single" w:sz="4" w:space="0" w:color="auto"/>
              <w:bottom w:val="single" w:sz="4" w:space="0" w:color="auto"/>
            </w:tcBorders>
            <w:shd w:val="solid" w:color="FFFFFF" w:fill="auto"/>
          </w:tcPr>
          <w:p w14:paraId="6988666B"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30/06/2016</w:t>
            </w:r>
            <w:r w:rsidRPr="00BC0D1F">
              <w:rPr>
                <w:b/>
                <w:lang w:eastAsia="en-NZ"/>
              </w:rPr>
              <w:br/>
              <w:t>$000</w:t>
            </w:r>
          </w:p>
        </w:tc>
      </w:tr>
      <w:tr w:rsidR="00AD72CC" w:rsidRPr="00BC0D1F" w14:paraId="07A0D8D3" w14:textId="77777777" w:rsidTr="00301EBE">
        <w:trPr>
          <w:cantSplit/>
        </w:trPr>
        <w:tc>
          <w:tcPr>
            <w:tcW w:w="1560" w:type="dxa"/>
            <w:tcBorders>
              <w:top w:val="single" w:sz="4" w:space="0" w:color="auto"/>
              <w:right w:val="nil"/>
            </w:tcBorders>
            <w:shd w:val="solid" w:color="FFFFFF" w:fill="auto"/>
          </w:tcPr>
          <w:p w14:paraId="6AFF409A" w14:textId="77777777" w:rsidR="00AD72CC" w:rsidRPr="00BC0D1F" w:rsidRDefault="00AD72CC" w:rsidP="00301EBE">
            <w:pPr>
              <w:pStyle w:val="TableText"/>
              <w:ind w:right="284"/>
              <w:jc w:val="right"/>
            </w:pPr>
            <w:r w:rsidRPr="00BC0D1F">
              <w:t>17,326</w:t>
            </w:r>
          </w:p>
        </w:tc>
        <w:tc>
          <w:tcPr>
            <w:tcW w:w="3402" w:type="dxa"/>
            <w:tcBorders>
              <w:top w:val="single" w:sz="4" w:space="0" w:color="auto"/>
              <w:left w:val="nil"/>
            </w:tcBorders>
            <w:shd w:val="solid" w:color="FFFFFF" w:fill="auto"/>
          </w:tcPr>
          <w:p w14:paraId="5D5E3EA4" w14:textId="0BEBBE04" w:rsidR="00AD72CC" w:rsidRPr="00BC0D1F" w:rsidRDefault="00726113" w:rsidP="00493A42">
            <w:pPr>
              <w:pStyle w:val="TableText"/>
            </w:pPr>
            <w:r>
              <w:t>Revenue Crown</w:t>
            </w:r>
          </w:p>
        </w:tc>
        <w:tc>
          <w:tcPr>
            <w:tcW w:w="1370" w:type="dxa"/>
            <w:tcBorders>
              <w:top w:val="single" w:sz="4" w:space="0" w:color="auto"/>
            </w:tcBorders>
            <w:shd w:val="clear" w:color="E3E3E3" w:fill="D9D9D9"/>
          </w:tcPr>
          <w:p w14:paraId="03960C99" w14:textId="77777777" w:rsidR="00AD72CC" w:rsidRPr="00BC0D1F" w:rsidRDefault="00AD72CC" w:rsidP="00301EBE">
            <w:pPr>
              <w:pStyle w:val="TableText"/>
              <w:ind w:right="113"/>
              <w:jc w:val="right"/>
            </w:pPr>
            <w:r w:rsidRPr="00BC0D1F">
              <w:t>17,677</w:t>
            </w:r>
          </w:p>
        </w:tc>
        <w:tc>
          <w:tcPr>
            <w:tcW w:w="1370" w:type="dxa"/>
            <w:tcBorders>
              <w:top w:val="single" w:sz="4" w:space="0" w:color="auto"/>
            </w:tcBorders>
          </w:tcPr>
          <w:p w14:paraId="2E6DF617" w14:textId="77777777" w:rsidR="00AD72CC" w:rsidRPr="00BC0D1F" w:rsidRDefault="00AD72CC" w:rsidP="00301EBE">
            <w:pPr>
              <w:pStyle w:val="TableText"/>
              <w:jc w:val="right"/>
            </w:pPr>
            <w:r w:rsidRPr="00BC0D1F">
              <w:t>17,549</w:t>
            </w:r>
          </w:p>
        </w:tc>
        <w:tc>
          <w:tcPr>
            <w:tcW w:w="1371" w:type="dxa"/>
            <w:tcBorders>
              <w:top w:val="single" w:sz="4" w:space="0" w:color="auto"/>
            </w:tcBorders>
          </w:tcPr>
          <w:p w14:paraId="4B86A626" w14:textId="77777777" w:rsidR="00AD72CC" w:rsidRPr="00BC0D1F" w:rsidRDefault="00AD72CC" w:rsidP="00301EBE">
            <w:pPr>
              <w:pStyle w:val="TableText"/>
              <w:jc w:val="right"/>
            </w:pPr>
            <w:r w:rsidRPr="00BC0D1F">
              <w:t>17,677</w:t>
            </w:r>
          </w:p>
        </w:tc>
      </w:tr>
      <w:tr w:rsidR="00AD72CC" w:rsidRPr="00BC0D1F" w14:paraId="4E79818D" w14:textId="77777777" w:rsidTr="00301EBE">
        <w:trPr>
          <w:cantSplit/>
        </w:trPr>
        <w:tc>
          <w:tcPr>
            <w:tcW w:w="1560" w:type="dxa"/>
            <w:tcBorders>
              <w:right w:val="nil"/>
            </w:tcBorders>
            <w:shd w:val="solid" w:color="FFFFFF" w:fill="auto"/>
          </w:tcPr>
          <w:p w14:paraId="40AAC209" w14:textId="77777777" w:rsidR="00AD72CC" w:rsidRPr="00BC0D1F" w:rsidRDefault="00AD72CC" w:rsidP="00301EBE">
            <w:pPr>
              <w:pStyle w:val="TableText"/>
              <w:ind w:right="284"/>
              <w:jc w:val="right"/>
            </w:pPr>
            <w:r w:rsidRPr="00BC0D1F">
              <w:t>0</w:t>
            </w:r>
          </w:p>
        </w:tc>
        <w:tc>
          <w:tcPr>
            <w:tcW w:w="3402" w:type="dxa"/>
            <w:tcBorders>
              <w:left w:val="nil"/>
            </w:tcBorders>
            <w:shd w:val="solid" w:color="FFFFFF" w:fill="auto"/>
          </w:tcPr>
          <w:p w14:paraId="71E2B3A0" w14:textId="77777777" w:rsidR="00AD72CC" w:rsidRPr="00BC0D1F" w:rsidRDefault="00AD72CC" w:rsidP="00493A42">
            <w:pPr>
              <w:pStyle w:val="TableText"/>
            </w:pPr>
            <w:r w:rsidRPr="00BC0D1F">
              <w:t>Third-party revenue</w:t>
            </w:r>
          </w:p>
        </w:tc>
        <w:tc>
          <w:tcPr>
            <w:tcW w:w="1370" w:type="dxa"/>
            <w:shd w:val="clear" w:color="E3E3E3" w:fill="D9D9D9"/>
          </w:tcPr>
          <w:p w14:paraId="2111F198" w14:textId="77777777" w:rsidR="00AD72CC" w:rsidRPr="00BC0D1F" w:rsidRDefault="00AD72CC" w:rsidP="00301EBE">
            <w:pPr>
              <w:pStyle w:val="TableText"/>
              <w:ind w:right="113"/>
              <w:jc w:val="right"/>
            </w:pPr>
            <w:r w:rsidRPr="00BC0D1F">
              <w:t>0</w:t>
            </w:r>
          </w:p>
        </w:tc>
        <w:tc>
          <w:tcPr>
            <w:tcW w:w="1370" w:type="dxa"/>
          </w:tcPr>
          <w:p w14:paraId="486E206C" w14:textId="77777777" w:rsidR="00AD72CC" w:rsidRPr="00BC0D1F" w:rsidRDefault="00AD72CC" w:rsidP="00301EBE">
            <w:pPr>
              <w:pStyle w:val="TableText"/>
              <w:jc w:val="right"/>
            </w:pPr>
            <w:r w:rsidRPr="00BC0D1F">
              <w:t>622</w:t>
            </w:r>
          </w:p>
        </w:tc>
        <w:tc>
          <w:tcPr>
            <w:tcW w:w="1371" w:type="dxa"/>
          </w:tcPr>
          <w:p w14:paraId="43DE9EA9" w14:textId="77777777" w:rsidR="00AD72CC" w:rsidRPr="00BC0D1F" w:rsidRDefault="00AD72CC" w:rsidP="00301EBE">
            <w:pPr>
              <w:pStyle w:val="TableText"/>
              <w:jc w:val="right"/>
            </w:pPr>
          </w:p>
        </w:tc>
      </w:tr>
      <w:tr w:rsidR="00AD72CC" w:rsidRPr="00BC0D1F" w14:paraId="7460E485" w14:textId="77777777" w:rsidTr="00301EBE">
        <w:trPr>
          <w:cantSplit/>
        </w:trPr>
        <w:tc>
          <w:tcPr>
            <w:tcW w:w="1560" w:type="dxa"/>
            <w:tcBorders>
              <w:right w:val="nil"/>
            </w:tcBorders>
            <w:shd w:val="solid" w:color="FFFFFF" w:fill="auto"/>
          </w:tcPr>
          <w:p w14:paraId="266BD4FE" w14:textId="77777777" w:rsidR="00AD72CC" w:rsidRPr="00BC0D1F" w:rsidRDefault="00AD72CC" w:rsidP="00301EBE">
            <w:pPr>
              <w:pStyle w:val="TableText"/>
              <w:ind w:right="284"/>
              <w:jc w:val="right"/>
              <w:rPr>
                <w:b/>
              </w:rPr>
            </w:pPr>
            <w:r w:rsidRPr="00BC0D1F">
              <w:rPr>
                <w:b/>
                <w:bCs/>
              </w:rPr>
              <w:t>17,326</w:t>
            </w:r>
          </w:p>
        </w:tc>
        <w:tc>
          <w:tcPr>
            <w:tcW w:w="3402" w:type="dxa"/>
            <w:tcBorders>
              <w:left w:val="nil"/>
            </w:tcBorders>
            <w:shd w:val="solid" w:color="FFFFFF" w:fill="auto"/>
          </w:tcPr>
          <w:p w14:paraId="11D6D4CA" w14:textId="77777777" w:rsidR="00AD72CC" w:rsidRPr="00BC0D1F" w:rsidRDefault="00AD72CC" w:rsidP="00493A42">
            <w:pPr>
              <w:pStyle w:val="TableText"/>
              <w:rPr>
                <w:b/>
              </w:rPr>
            </w:pPr>
            <w:r w:rsidRPr="00BC0D1F">
              <w:rPr>
                <w:b/>
              </w:rPr>
              <w:t>Total revenue</w:t>
            </w:r>
          </w:p>
        </w:tc>
        <w:tc>
          <w:tcPr>
            <w:tcW w:w="1370" w:type="dxa"/>
            <w:shd w:val="clear" w:color="E3E3E3" w:fill="D9D9D9"/>
          </w:tcPr>
          <w:p w14:paraId="79AE0BEA" w14:textId="77777777" w:rsidR="00AD72CC" w:rsidRPr="00BC0D1F" w:rsidRDefault="00AD72CC" w:rsidP="00301EBE">
            <w:pPr>
              <w:pStyle w:val="TableText"/>
              <w:ind w:right="113"/>
              <w:jc w:val="right"/>
              <w:rPr>
                <w:b/>
              </w:rPr>
            </w:pPr>
            <w:r w:rsidRPr="00BC0D1F">
              <w:rPr>
                <w:b/>
                <w:bCs/>
              </w:rPr>
              <w:t>17,677</w:t>
            </w:r>
          </w:p>
        </w:tc>
        <w:tc>
          <w:tcPr>
            <w:tcW w:w="1370" w:type="dxa"/>
          </w:tcPr>
          <w:p w14:paraId="250C1B9A" w14:textId="77777777" w:rsidR="00AD72CC" w:rsidRPr="00BC0D1F" w:rsidRDefault="00AD72CC" w:rsidP="00301EBE">
            <w:pPr>
              <w:pStyle w:val="TableText"/>
              <w:jc w:val="right"/>
              <w:rPr>
                <w:b/>
              </w:rPr>
            </w:pPr>
            <w:r w:rsidRPr="00BC0D1F">
              <w:rPr>
                <w:b/>
                <w:bCs/>
              </w:rPr>
              <w:t>18,171</w:t>
            </w:r>
          </w:p>
        </w:tc>
        <w:tc>
          <w:tcPr>
            <w:tcW w:w="1371" w:type="dxa"/>
          </w:tcPr>
          <w:p w14:paraId="5C8BA5B4" w14:textId="77777777" w:rsidR="00AD72CC" w:rsidRPr="00BC0D1F" w:rsidRDefault="00AD72CC" w:rsidP="00301EBE">
            <w:pPr>
              <w:pStyle w:val="TableText"/>
              <w:jc w:val="right"/>
              <w:rPr>
                <w:b/>
              </w:rPr>
            </w:pPr>
            <w:r w:rsidRPr="00BC0D1F">
              <w:rPr>
                <w:b/>
                <w:bCs/>
              </w:rPr>
              <w:t>17,677</w:t>
            </w:r>
          </w:p>
        </w:tc>
      </w:tr>
      <w:tr w:rsidR="00AD72CC" w:rsidRPr="00BC0D1F" w14:paraId="5DED7BF2" w14:textId="77777777" w:rsidTr="00301EBE">
        <w:trPr>
          <w:cantSplit/>
        </w:trPr>
        <w:tc>
          <w:tcPr>
            <w:tcW w:w="1560" w:type="dxa"/>
            <w:tcBorders>
              <w:right w:val="nil"/>
            </w:tcBorders>
          </w:tcPr>
          <w:p w14:paraId="442BC55E" w14:textId="77777777" w:rsidR="00AD72CC" w:rsidRPr="00BC0D1F" w:rsidRDefault="00AD72CC" w:rsidP="00301EBE">
            <w:pPr>
              <w:pStyle w:val="TableText"/>
              <w:ind w:right="284"/>
              <w:jc w:val="right"/>
            </w:pPr>
            <w:r w:rsidRPr="00BC0D1F">
              <w:t>17,908</w:t>
            </w:r>
          </w:p>
        </w:tc>
        <w:tc>
          <w:tcPr>
            <w:tcW w:w="3402" w:type="dxa"/>
            <w:tcBorders>
              <w:left w:val="nil"/>
            </w:tcBorders>
            <w:shd w:val="solid" w:color="FFFFFF" w:fill="auto"/>
          </w:tcPr>
          <w:p w14:paraId="5E3F7526" w14:textId="77777777" w:rsidR="00AD72CC" w:rsidRPr="00BC0D1F" w:rsidRDefault="00AD72CC" w:rsidP="00493A42">
            <w:pPr>
              <w:pStyle w:val="TableText"/>
            </w:pPr>
            <w:r w:rsidRPr="00BC0D1F">
              <w:t>Total expenditure</w:t>
            </w:r>
          </w:p>
        </w:tc>
        <w:tc>
          <w:tcPr>
            <w:tcW w:w="1370" w:type="dxa"/>
            <w:shd w:val="clear" w:color="E3E3E3" w:fill="D9D9D9"/>
          </w:tcPr>
          <w:p w14:paraId="437E1004" w14:textId="77777777" w:rsidR="00AD72CC" w:rsidRPr="00BC0D1F" w:rsidRDefault="00AD72CC" w:rsidP="00301EBE">
            <w:pPr>
              <w:pStyle w:val="TableText"/>
              <w:ind w:right="113"/>
              <w:jc w:val="right"/>
            </w:pPr>
            <w:r w:rsidRPr="00BC0D1F">
              <w:t>17,907</w:t>
            </w:r>
          </w:p>
        </w:tc>
        <w:tc>
          <w:tcPr>
            <w:tcW w:w="1370" w:type="dxa"/>
          </w:tcPr>
          <w:p w14:paraId="563941CB" w14:textId="77777777" w:rsidR="00AD72CC" w:rsidRPr="00BC0D1F" w:rsidRDefault="00AD72CC" w:rsidP="00301EBE">
            <w:pPr>
              <w:pStyle w:val="TableText"/>
              <w:jc w:val="right"/>
            </w:pPr>
            <w:r w:rsidRPr="00BC0D1F">
              <w:t>18,171</w:t>
            </w:r>
          </w:p>
        </w:tc>
        <w:tc>
          <w:tcPr>
            <w:tcW w:w="1371" w:type="dxa"/>
          </w:tcPr>
          <w:p w14:paraId="6D9DE881" w14:textId="77777777" w:rsidR="00AD72CC" w:rsidRPr="00BC0D1F" w:rsidRDefault="00AD72CC" w:rsidP="00301EBE">
            <w:pPr>
              <w:pStyle w:val="TableText"/>
              <w:jc w:val="right"/>
            </w:pPr>
            <w:r w:rsidRPr="00BC0D1F">
              <w:t>17,677</w:t>
            </w:r>
          </w:p>
        </w:tc>
      </w:tr>
      <w:tr w:rsidR="00AD72CC" w:rsidRPr="00BC0D1F" w14:paraId="540CAD8B" w14:textId="77777777" w:rsidTr="00301EBE">
        <w:trPr>
          <w:cantSplit/>
        </w:trPr>
        <w:tc>
          <w:tcPr>
            <w:tcW w:w="1560" w:type="dxa"/>
            <w:tcBorders>
              <w:bottom w:val="single" w:sz="4" w:space="0" w:color="auto"/>
              <w:right w:val="nil"/>
            </w:tcBorders>
            <w:shd w:val="solid" w:color="FFFFFF" w:fill="auto"/>
          </w:tcPr>
          <w:p w14:paraId="7AB8E015" w14:textId="77777777" w:rsidR="00AD72CC" w:rsidRPr="00BC0D1F" w:rsidRDefault="00AD72CC" w:rsidP="00301EBE">
            <w:pPr>
              <w:pStyle w:val="TableText"/>
              <w:ind w:right="284"/>
              <w:jc w:val="right"/>
              <w:rPr>
                <w:b/>
              </w:rPr>
            </w:pPr>
            <w:r w:rsidRPr="00BC0D1F">
              <w:rPr>
                <w:b/>
                <w:bCs/>
              </w:rPr>
              <w:t>(582)</w:t>
            </w:r>
          </w:p>
        </w:tc>
        <w:tc>
          <w:tcPr>
            <w:tcW w:w="3402" w:type="dxa"/>
            <w:tcBorders>
              <w:left w:val="nil"/>
              <w:bottom w:val="single" w:sz="4" w:space="0" w:color="auto"/>
            </w:tcBorders>
            <w:shd w:val="solid" w:color="FFFFFF" w:fill="auto"/>
          </w:tcPr>
          <w:p w14:paraId="2179786C" w14:textId="77777777" w:rsidR="00AD72CC" w:rsidRPr="00BC0D1F" w:rsidRDefault="00AD72CC" w:rsidP="00493A42">
            <w:pPr>
              <w:pStyle w:val="TableText"/>
              <w:rPr>
                <w:b/>
              </w:rPr>
            </w:pPr>
            <w:r w:rsidRPr="00BC0D1F">
              <w:rPr>
                <w:b/>
              </w:rPr>
              <w:t>Net surplus/(deficit)</w:t>
            </w:r>
          </w:p>
        </w:tc>
        <w:tc>
          <w:tcPr>
            <w:tcW w:w="1370" w:type="dxa"/>
            <w:tcBorders>
              <w:bottom w:val="single" w:sz="4" w:space="0" w:color="auto"/>
            </w:tcBorders>
            <w:shd w:val="clear" w:color="E3E3E3" w:fill="D9D9D9"/>
          </w:tcPr>
          <w:p w14:paraId="4C0D8533" w14:textId="77777777" w:rsidR="00AD72CC" w:rsidRPr="00BC0D1F" w:rsidRDefault="00AD72CC" w:rsidP="00301EBE">
            <w:pPr>
              <w:pStyle w:val="TableText"/>
              <w:ind w:right="113"/>
              <w:jc w:val="right"/>
              <w:rPr>
                <w:b/>
              </w:rPr>
            </w:pPr>
            <w:r w:rsidRPr="00BC0D1F">
              <w:rPr>
                <w:b/>
                <w:bCs/>
              </w:rPr>
              <w:t>-230</w:t>
            </w:r>
          </w:p>
        </w:tc>
        <w:tc>
          <w:tcPr>
            <w:tcW w:w="1370" w:type="dxa"/>
            <w:tcBorders>
              <w:bottom w:val="single" w:sz="4" w:space="0" w:color="auto"/>
            </w:tcBorders>
          </w:tcPr>
          <w:p w14:paraId="3DBBD7AF" w14:textId="77777777" w:rsidR="00AD72CC" w:rsidRPr="00BC0D1F" w:rsidRDefault="00AD72CC" w:rsidP="00301EBE">
            <w:pPr>
              <w:pStyle w:val="TableText"/>
              <w:jc w:val="right"/>
              <w:rPr>
                <w:b/>
              </w:rPr>
            </w:pPr>
            <w:r w:rsidRPr="00BC0D1F">
              <w:rPr>
                <w:b/>
                <w:bCs/>
              </w:rPr>
              <w:t>0</w:t>
            </w:r>
          </w:p>
        </w:tc>
        <w:tc>
          <w:tcPr>
            <w:tcW w:w="1371" w:type="dxa"/>
            <w:tcBorders>
              <w:bottom w:val="single" w:sz="4" w:space="0" w:color="auto"/>
            </w:tcBorders>
          </w:tcPr>
          <w:p w14:paraId="6A4E2C76" w14:textId="77777777" w:rsidR="00AD72CC" w:rsidRPr="00BC0D1F" w:rsidRDefault="00AD72CC" w:rsidP="00301EBE">
            <w:pPr>
              <w:pStyle w:val="TableText"/>
              <w:jc w:val="right"/>
              <w:rPr>
                <w:b/>
              </w:rPr>
            </w:pPr>
            <w:r w:rsidRPr="00BC0D1F">
              <w:rPr>
                <w:b/>
                <w:bCs/>
              </w:rPr>
              <w:t>0</w:t>
            </w:r>
          </w:p>
        </w:tc>
      </w:tr>
    </w:tbl>
    <w:p w14:paraId="056A7EF2" w14:textId="77777777" w:rsidR="00AD72CC" w:rsidRPr="00BC0D1F" w:rsidRDefault="00AD72CC" w:rsidP="00AD72CC"/>
    <w:p w14:paraId="6194CE66" w14:textId="77777777" w:rsidR="00DF4B9A" w:rsidRPr="00BC0D1F" w:rsidRDefault="00AD72CC" w:rsidP="00301EBE">
      <w:pPr>
        <w:pStyle w:val="Heading2"/>
        <w:spacing w:before="0"/>
      </w:pPr>
      <w:r w:rsidRPr="00BC0D1F">
        <w:br w:type="page"/>
      </w:r>
      <w:bookmarkStart w:id="123" w:name="_Toc459730021"/>
      <w:bookmarkStart w:id="124" w:name="_Toc461544294"/>
      <w:bookmarkStart w:id="125" w:name="_Toc456619191"/>
      <w:bookmarkStart w:id="126" w:name="_Toc463507924"/>
      <w:r w:rsidRPr="00BC0D1F">
        <w:lastRenderedPageBreak/>
        <w:t>Regulatory and enforcement services</w:t>
      </w:r>
      <w:bookmarkEnd w:id="123"/>
      <w:bookmarkEnd w:id="124"/>
      <w:bookmarkEnd w:id="125"/>
      <w:bookmarkEnd w:id="126"/>
    </w:p>
    <w:p w14:paraId="24BEF9A5" w14:textId="77777777" w:rsidR="00AD72CC" w:rsidRPr="00BC0D1F" w:rsidRDefault="00AD72CC" w:rsidP="00301EBE">
      <w:r w:rsidRPr="00BC0D1F">
        <w:t>The Ministry is responsible for a range of core regulatory functions within the health sector. Various sections within the Ministry have specific areas of responsibility. These include:</w:t>
      </w:r>
    </w:p>
    <w:p w14:paraId="4D7BF992" w14:textId="77777777" w:rsidR="00AD72CC" w:rsidRPr="00BC0D1F" w:rsidRDefault="00AD72CC" w:rsidP="00301EBE">
      <w:pPr>
        <w:pStyle w:val="Bullet"/>
      </w:pPr>
      <w:r w:rsidRPr="00BC0D1F">
        <w:t>the New Zealand Medicines and Medical Devices Safety Authority (</w:t>
      </w:r>
      <w:proofErr w:type="spellStart"/>
      <w:r w:rsidRPr="00BC0D1F">
        <w:t>Medsafe</w:t>
      </w:r>
      <w:proofErr w:type="spellEnd"/>
      <w:r w:rsidRPr="00BC0D1F">
        <w:t>), which is responsible for the regulation of therapeutic products</w:t>
      </w:r>
    </w:p>
    <w:p w14:paraId="28222C95" w14:textId="77777777" w:rsidR="00AD72CC" w:rsidRPr="00BC0D1F" w:rsidRDefault="00AD72CC" w:rsidP="00301EBE">
      <w:pPr>
        <w:pStyle w:val="Bullet"/>
      </w:pPr>
      <w:r w:rsidRPr="00BC0D1F">
        <w:t>the Office of Radiation Safety, which is responsible for the regulation of ionising radiation</w:t>
      </w:r>
    </w:p>
    <w:p w14:paraId="4215221A" w14:textId="77777777" w:rsidR="00AD72CC" w:rsidRPr="00BC0D1F" w:rsidRDefault="00AD72CC" w:rsidP="00301EBE">
      <w:pPr>
        <w:pStyle w:val="Bullet"/>
      </w:pPr>
      <w:proofErr w:type="spellStart"/>
      <w:r w:rsidRPr="00BC0D1F">
        <w:t>HealthCERT</w:t>
      </w:r>
      <w:proofErr w:type="spellEnd"/>
      <w:r w:rsidRPr="00BC0D1F">
        <w:t>, which is responsible for ensuring hospitals, aged residential care providers (including rest homes), residential disability care providers and fertility service providers provide safe and reasonable levels of service for consumers</w:t>
      </w:r>
    </w:p>
    <w:p w14:paraId="3FCA0E58" w14:textId="77777777" w:rsidR="00AD72CC" w:rsidRPr="00BC0D1F" w:rsidRDefault="00AD72CC" w:rsidP="00301EBE">
      <w:pPr>
        <w:pStyle w:val="Bullet"/>
      </w:pPr>
      <w:r w:rsidRPr="00BC0D1F">
        <w:t>Medicines Control, which is responsible for the regulation of the local distribution chain of medicines and controlled drugs within New Zealand</w:t>
      </w:r>
    </w:p>
    <w:p w14:paraId="45952A13" w14:textId="77777777" w:rsidR="00AD72CC" w:rsidRPr="00BC0D1F" w:rsidRDefault="00AD72CC" w:rsidP="00301EBE">
      <w:pPr>
        <w:pStyle w:val="Bullet"/>
      </w:pPr>
      <w:r w:rsidRPr="00BC0D1F">
        <w:t>the Psychoactive Substances Regulatory Authority, which is responsible for the operation of the Psychoactive Substances legislation</w:t>
      </w:r>
    </w:p>
    <w:p w14:paraId="067BE828" w14:textId="77777777" w:rsidR="00AD72CC" w:rsidRPr="00BC0D1F" w:rsidRDefault="00AD72CC" w:rsidP="00301EBE">
      <w:pPr>
        <w:pStyle w:val="Bullet"/>
      </w:pPr>
      <w:proofErr w:type="gramStart"/>
      <w:r w:rsidRPr="00BC0D1F">
        <w:t>the</w:t>
      </w:r>
      <w:proofErr w:type="gramEnd"/>
      <w:r w:rsidRPr="00BC0D1F">
        <w:t xml:space="preserve"> Public Health Group, which is responsible for the administration of legislation protecting people from communicable disease and environmental health risks.</w:t>
      </w:r>
    </w:p>
    <w:p w14:paraId="5A86046C" w14:textId="77777777" w:rsidR="00AD72CC" w:rsidRPr="00BC0D1F" w:rsidRDefault="00AD72CC" w:rsidP="00301EBE"/>
    <w:p w14:paraId="62647E6C" w14:textId="77777777" w:rsidR="00AD72CC" w:rsidRPr="00BC0D1F" w:rsidRDefault="00AD72CC" w:rsidP="00301EBE">
      <w:r w:rsidRPr="00BC0D1F">
        <w:t>The Ministry carries out several key statutory functions related to health protection. These include the roles of the Directors of Public Health and Mental Health, which both carry important leadership and decision-making responsibilities, including interpreting and administering the relevant legislation. The Ministry also supports a range of ministerial committees.</w:t>
      </w:r>
    </w:p>
    <w:p w14:paraId="4452D13F" w14:textId="77777777" w:rsidR="00AD72CC" w:rsidRPr="00BC0D1F" w:rsidRDefault="00AD72CC" w:rsidP="00301EBE"/>
    <w:p w14:paraId="383239D3" w14:textId="77777777" w:rsidR="00AD72CC" w:rsidRPr="00BC0D1F" w:rsidRDefault="00AD72CC" w:rsidP="00301EBE">
      <w:pPr>
        <w:pStyle w:val="Table"/>
      </w:pPr>
      <w:bookmarkStart w:id="127" w:name="_Toc462926716"/>
      <w:r w:rsidRPr="00BC0D1F">
        <w:t>Table 11: Summary of output performance measures and standards for regulatory and enforcement services</w:t>
      </w:r>
      <w:bookmarkEnd w:id="127"/>
    </w:p>
    <w:tbl>
      <w:tblPr>
        <w:tblW w:w="4940" w:type="pct"/>
        <w:tblInd w:w="57" w:type="dxa"/>
        <w:tblBorders>
          <w:top w:val="single" w:sz="4" w:space="0" w:color="auto"/>
          <w:bottom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5813"/>
        <w:gridCol w:w="1134"/>
        <w:gridCol w:w="1274"/>
      </w:tblGrid>
      <w:tr w:rsidR="00AD72CC" w:rsidRPr="00BC0D1F" w14:paraId="38A7DF79" w14:textId="77777777" w:rsidTr="00514C4B">
        <w:trPr>
          <w:cantSplit/>
          <w:tblHeader/>
        </w:trPr>
        <w:tc>
          <w:tcPr>
            <w:tcW w:w="606" w:type="pct"/>
            <w:tcBorders>
              <w:top w:val="single" w:sz="4" w:space="0" w:color="auto"/>
              <w:bottom w:val="single" w:sz="4" w:space="0" w:color="auto"/>
              <w:right w:val="nil"/>
            </w:tcBorders>
          </w:tcPr>
          <w:p w14:paraId="79E1289E" w14:textId="77777777" w:rsidR="00AD72CC" w:rsidRPr="00BC0D1F" w:rsidRDefault="00AD72CC" w:rsidP="00514C4B">
            <w:pPr>
              <w:pStyle w:val="TableText"/>
              <w:ind w:right="227"/>
              <w:jc w:val="right"/>
              <w:rPr>
                <w:b/>
              </w:rPr>
            </w:pPr>
            <w:r w:rsidRPr="00BC0D1F">
              <w:rPr>
                <w:b/>
              </w:rPr>
              <w:t>Actual 2014/15</w:t>
            </w:r>
          </w:p>
        </w:tc>
        <w:tc>
          <w:tcPr>
            <w:tcW w:w="3107" w:type="pct"/>
            <w:tcBorders>
              <w:top w:val="single" w:sz="4" w:space="0" w:color="auto"/>
              <w:left w:val="nil"/>
              <w:bottom w:val="single" w:sz="4" w:space="0" w:color="auto"/>
              <w:right w:val="nil"/>
            </w:tcBorders>
          </w:tcPr>
          <w:p w14:paraId="4DE034DA" w14:textId="77777777" w:rsidR="00AD72CC" w:rsidRPr="00BC0D1F" w:rsidRDefault="00AD72CC" w:rsidP="00493A42">
            <w:pPr>
              <w:pStyle w:val="TableText"/>
              <w:rPr>
                <w:b/>
              </w:rPr>
            </w:pPr>
            <w:r w:rsidRPr="00BC0D1F">
              <w:rPr>
                <w:b/>
              </w:rPr>
              <w:t>Performance measure</w:t>
            </w:r>
          </w:p>
        </w:tc>
        <w:tc>
          <w:tcPr>
            <w:tcW w:w="606" w:type="pct"/>
            <w:tcBorders>
              <w:top w:val="single" w:sz="4" w:space="0" w:color="auto"/>
              <w:left w:val="nil"/>
              <w:bottom w:val="single" w:sz="4" w:space="0" w:color="auto"/>
              <w:right w:val="nil"/>
            </w:tcBorders>
          </w:tcPr>
          <w:p w14:paraId="2D5867FD" w14:textId="77777777" w:rsidR="00AD72CC" w:rsidRPr="00BC0D1F" w:rsidRDefault="00AD72CC" w:rsidP="00493A42">
            <w:pPr>
              <w:pStyle w:val="TableText"/>
              <w:ind w:right="113"/>
              <w:jc w:val="right"/>
              <w:rPr>
                <w:b/>
              </w:rPr>
            </w:pPr>
            <w:r w:rsidRPr="00BC0D1F">
              <w:rPr>
                <w:b/>
              </w:rPr>
              <w:t>Standard</w:t>
            </w:r>
          </w:p>
        </w:tc>
        <w:tc>
          <w:tcPr>
            <w:tcW w:w="681" w:type="pct"/>
            <w:tcBorders>
              <w:top w:val="single" w:sz="4" w:space="0" w:color="auto"/>
              <w:left w:val="nil"/>
              <w:bottom w:val="single" w:sz="4" w:space="0" w:color="auto"/>
            </w:tcBorders>
            <w:shd w:val="clear" w:color="auto" w:fill="D9D9D9"/>
          </w:tcPr>
          <w:p w14:paraId="339A11C1" w14:textId="77777777" w:rsidR="00AD72CC" w:rsidRPr="00BC0D1F" w:rsidRDefault="00AD72CC" w:rsidP="00493A42">
            <w:pPr>
              <w:pStyle w:val="TableText"/>
              <w:ind w:right="113"/>
              <w:jc w:val="right"/>
              <w:rPr>
                <w:b/>
                <w:highlight w:val="yellow"/>
              </w:rPr>
            </w:pPr>
            <w:r w:rsidRPr="00BC0D1F">
              <w:rPr>
                <w:b/>
              </w:rPr>
              <w:t>Actual</w:t>
            </w:r>
            <w:r w:rsidRPr="00BC0D1F">
              <w:rPr>
                <w:b/>
              </w:rPr>
              <w:br/>
              <w:t>2015/16</w:t>
            </w:r>
          </w:p>
        </w:tc>
      </w:tr>
      <w:tr w:rsidR="00AD72CC" w:rsidRPr="00BC0D1F" w14:paraId="353F1D4C" w14:textId="77777777" w:rsidTr="00514C4B">
        <w:trPr>
          <w:cantSplit/>
        </w:trPr>
        <w:tc>
          <w:tcPr>
            <w:tcW w:w="606" w:type="pct"/>
            <w:tcBorders>
              <w:top w:val="single" w:sz="4" w:space="0" w:color="auto"/>
              <w:bottom w:val="nil"/>
              <w:right w:val="nil"/>
            </w:tcBorders>
          </w:tcPr>
          <w:p w14:paraId="1B34EDF1" w14:textId="77777777" w:rsidR="00AD72CC" w:rsidRPr="00BC0D1F" w:rsidRDefault="00AD72CC" w:rsidP="00514C4B">
            <w:pPr>
              <w:pStyle w:val="TableText"/>
              <w:spacing w:before="120"/>
              <w:ind w:right="227"/>
              <w:jc w:val="right"/>
              <w:rPr>
                <w:b/>
              </w:rPr>
            </w:pPr>
          </w:p>
        </w:tc>
        <w:tc>
          <w:tcPr>
            <w:tcW w:w="3107" w:type="pct"/>
            <w:tcBorders>
              <w:top w:val="single" w:sz="4" w:space="0" w:color="auto"/>
              <w:left w:val="nil"/>
              <w:bottom w:val="nil"/>
              <w:right w:val="nil"/>
            </w:tcBorders>
          </w:tcPr>
          <w:p w14:paraId="5898E6E1" w14:textId="77777777" w:rsidR="00AD72CC" w:rsidRPr="00BC0D1F" w:rsidRDefault="00AD72CC" w:rsidP="00493A42">
            <w:pPr>
              <w:pStyle w:val="TableText"/>
              <w:spacing w:before="120"/>
              <w:rPr>
                <w:b/>
              </w:rPr>
            </w:pPr>
            <w:r w:rsidRPr="00BC0D1F">
              <w:rPr>
                <w:b/>
              </w:rPr>
              <w:t>Compliance</w:t>
            </w:r>
          </w:p>
        </w:tc>
        <w:tc>
          <w:tcPr>
            <w:tcW w:w="606" w:type="pct"/>
            <w:tcBorders>
              <w:top w:val="single" w:sz="4" w:space="0" w:color="auto"/>
              <w:left w:val="nil"/>
              <w:bottom w:val="nil"/>
              <w:right w:val="nil"/>
            </w:tcBorders>
          </w:tcPr>
          <w:p w14:paraId="7CDE25A5" w14:textId="77777777" w:rsidR="00AD72CC" w:rsidRPr="00BC0D1F" w:rsidRDefault="00AD72CC" w:rsidP="00493A42">
            <w:pPr>
              <w:pStyle w:val="TableText"/>
              <w:spacing w:before="120"/>
              <w:ind w:right="113"/>
              <w:jc w:val="right"/>
              <w:rPr>
                <w:b/>
              </w:rPr>
            </w:pPr>
          </w:p>
        </w:tc>
        <w:tc>
          <w:tcPr>
            <w:tcW w:w="681" w:type="pct"/>
            <w:tcBorders>
              <w:top w:val="single" w:sz="4" w:space="0" w:color="auto"/>
              <w:left w:val="nil"/>
              <w:bottom w:val="nil"/>
            </w:tcBorders>
            <w:shd w:val="clear" w:color="auto" w:fill="D9D9D9"/>
          </w:tcPr>
          <w:p w14:paraId="715717F6" w14:textId="77777777" w:rsidR="00AD72CC" w:rsidRPr="00BC0D1F" w:rsidRDefault="00AD72CC" w:rsidP="00493A42">
            <w:pPr>
              <w:pStyle w:val="TableText"/>
              <w:spacing w:before="120"/>
              <w:ind w:right="113"/>
              <w:jc w:val="right"/>
              <w:rPr>
                <w:b/>
              </w:rPr>
            </w:pPr>
          </w:p>
        </w:tc>
      </w:tr>
      <w:tr w:rsidR="00AD72CC" w:rsidRPr="00BC0D1F" w14:paraId="30E44198" w14:textId="77777777" w:rsidTr="00514C4B">
        <w:trPr>
          <w:cantSplit/>
        </w:trPr>
        <w:tc>
          <w:tcPr>
            <w:tcW w:w="606" w:type="pct"/>
            <w:tcBorders>
              <w:top w:val="nil"/>
              <w:bottom w:val="nil"/>
              <w:right w:val="nil"/>
            </w:tcBorders>
          </w:tcPr>
          <w:p w14:paraId="5153B9DC" w14:textId="77777777" w:rsidR="00AD72CC" w:rsidRPr="00BC0D1F" w:rsidRDefault="00AD72CC" w:rsidP="00514C4B">
            <w:pPr>
              <w:pStyle w:val="TableText"/>
              <w:ind w:right="227"/>
              <w:jc w:val="right"/>
            </w:pPr>
          </w:p>
        </w:tc>
        <w:tc>
          <w:tcPr>
            <w:tcW w:w="3107" w:type="pct"/>
            <w:tcBorders>
              <w:top w:val="nil"/>
              <w:left w:val="nil"/>
              <w:bottom w:val="nil"/>
              <w:right w:val="nil"/>
            </w:tcBorders>
          </w:tcPr>
          <w:p w14:paraId="140E112E" w14:textId="77777777" w:rsidR="00AD72CC" w:rsidRPr="00BC0D1F" w:rsidRDefault="00AD72CC" w:rsidP="00493A42">
            <w:pPr>
              <w:pStyle w:val="TableText"/>
            </w:pPr>
            <w:r w:rsidRPr="00BC0D1F">
              <w:t>Number of quality audits of providers conducted or assessed:</w:t>
            </w:r>
          </w:p>
        </w:tc>
        <w:tc>
          <w:tcPr>
            <w:tcW w:w="606" w:type="pct"/>
            <w:tcBorders>
              <w:top w:val="nil"/>
              <w:left w:val="nil"/>
              <w:bottom w:val="nil"/>
              <w:right w:val="nil"/>
            </w:tcBorders>
          </w:tcPr>
          <w:p w14:paraId="7AB5C688" w14:textId="77777777" w:rsidR="00AD72CC" w:rsidRPr="00BC0D1F" w:rsidRDefault="00AD72CC" w:rsidP="00493A42">
            <w:pPr>
              <w:pStyle w:val="TableText"/>
              <w:ind w:right="113"/>
              <w:jc w:val="right"/>
            </w:pPr>
          </w:p>
        </w:tc>
        <w:tc>
          <w:tcPr>
            <w:tcW w:w="681" w:type="pct"/>
            <w:tcBorders>
              <w:top w:val="nil"/>
              <w:left w:val="nil"/>
              <w:bottom w:val="nil"/>
            </w:tcBorders>
            <w:shd w:val="clear" w:color="auto" w:fill="D9D9D9"/>
          </w:tcPr>
          <w:p w14:paraId="2A8E51C8" w14:textId="77777777" w:rsidR="00AD72CC" w:rsidRPr="00BC0D1F" w:rsidRDefault="00AD72CC" w:rsidP="00493A42">
            <w:pPr>
              <w:pStyle w:val="TableText"/>
              <w:ind w:right="113"/>
              <w:jc w:val="right"/>
            </w:pPr>
          </w:p>
        </w:tc>
      </w:tr>
      <w:tr w:rsidR="00AD72CC" w:rsidRPr="00BC0D1F" w14:paraId="11CD52F6" w14:textId="77777777" w:rsidTr="00514C4B">
        <w:trPr>
          <w:cantSplit/>
        </w:trPr>
        <w:tc>
          <w:tcPr>
            <w:tcW w:w="606" w:type="pct"/>
            <w:tcBorders>
              <w:top w:val="nil"/>
              <w:bottom w:val="nil"/>
              <w:right w:val="nil"/>
            </w:tcBorders>
          </w:tcPr>
          <w:p w14:paraId="3FB53930" w14:textId="77777777" w:rsidR="00AD72CC" w:rsidRPr="00BC0D1F" w:rsidRDefault="00AD72CC" w:rsidP="00514C4B">
            <w:pPr>
              <w:pStyle w:val="TableText"/>
              <w:spacing w:before="0"/>
              <w:ind w:right="227"/>
              <w:jc w:val="right"/>
            </w:pPr>
            <w:r w:rsidRPr="00BC0D1F">
              <w:t>633</w:t>
            </w:r>
          </w:p>
        </w:tc>
        <w:tc>
          <w:tcPr>
            <w:tcW w:w="3107" w:type="pct"/>
            <w:tcBorders>
              <w:top w:val="nil"/>
              <w:left w:val="nil"/>
              <w:bottom w:val="nil"/>
              <w:right w:val="nil"/>
            </w:tcBorders>
          </w:tcPr>
          <w:p w14:paraId="265FBF87" w14:textId="77777777" w:rsidR="00AD72CC" w:rsidRPr="00BC0D1F" w:rsidRDefault="00AD72CC" w:rsidP="00493A42">
            <w:pPr>
              <w:pStyle w:val="TableBullet"/>
              <w:rPr>
                <w:rFonts w:cs="Arial"/>
                <w:szCs w:val="18"/>
                <w:lang w:eastAsia="en-NZ"/>
              </w:rPr>
            </w:pPr>
            <w:r w:rsidRPr="00BC0D1F">
              <w:rPr>
                <w:rFonts w:cs="Arial"/>
                <w:szCs w:val="18"/>
                <w:lang w:eastAsia="en-NZ"/>
              </w:rPr>
              <w:t>total</w:t>
            </w:r>
          </w:p>
        </w:tc>
        <w:tc>
          <w:tcPr>
            <w:tcW w:w="606" w:type="pct"/>
            <w:tcBorders>
              <w:top w:val="nil"/>
              <w:left w:val="nil"/>
              <w:bottom w:val="nil"/>
              <w:right w:val="nil"/>
            </w:tcBorders>
          </w:tcPr>
          <w:p w14:paraId="424376C2" w14:textId="77777777" w:rsidR="00AD72CC" w:rsidRPr="00BC0D1F" w:rsidRDefault="00AD72CC" w:rsidP="00493A42">
            <w:pPr>
              <w:pStyle w:val="TableText"/>
              <w:spacing w:before="0"/>
              <w:ind w:right="113"/>
              <w:jc w:val="right"/>
            </w:pPr>
            <w:r w:rsidRPr="00BC0D1F">
              <w:t>664</w:t>
            </w:r>
          </w:p>
        </w:tc>
        <w:tc>
          <w:tcPr>
            <w:tcW w:w="681" w:type="pct"/>
            <w:tcBorders>
              <w:top w:val="nil"/>
              <w:left w:val="nil"/>
              <w:bottom w:val="nil"/>
            </w:tcBorders>
            <w:shd w:val="clear" w:color="auto" w:fill="D9D9D9"/>
          </w:tcPr>
          <w:p w14:paraId="312FCCB7" w14:textId="77777777" w:rsidR="00AD72CC" w:rsidRPr="00BC0D1F" w:rsidRDefault="00AD72CC" w:rsidP="00493A42">
            <w:pPr>
              <w:pStyle w:val="TableText"/>
              <w:spacing w:before="0"/>
              <w:ind w:right="113"/>
              <w:jc w:val="right"/>
            </w:pPr>
            <w:r w:rsidRPr="00BC0D1F">
              <w:t>670</w:t>
            </w:r>
          </w:p>
        </w:tc>
      </w:tr>
      <w:tr w:rsidR="00AD72CC" w:rsidRPr="00BC0D1F" w14:paraId="588C9F19" w14:textId="77777777" w:rsidTr="00514C4B">
        <w:trPr>
          <w:cantSplit/>
        </w:trPr>
        <w:tc>
          <w:tcPr>
            <w:tcW w:w="606" w:type="pct"/>
            <w:tcBorders>
              <w:top w:val="nil"/>
              <w:bottom w:val="nil"/>
              <w:right w:val="nil"/>
            </w:tcBorders>
          </w:tcPr>
          <w:p w14:paraId="0CF46FFA" w14:textId="77777777" w:rsidR="00AD72CC" w:rsidRPr="00BC0D1F" w:rsidRDefault="00AD72CC" w:rsidP="00514C4B">
            <w:pPr>
              <w:pStyle w:val="TableText"/>
              <w:spacing w:before="0"/>
              <w:ind w:right="227"/>
              <w:jc w:val="right"/>
            </w:pPr>
            <w:r w:rsidRPr="00BC0D1F">
              <w:t>51</w:t>
            </w:r>
          </w:p>
        </w:tc>
        <w:tc>
          <w:tcPr>
            <w:tcW w:w="3107" w:type="pct"/>
            <w:tcBorders>
              <w:top w:val="nil"/>
              <w:left w:val="nil"/>
              <w:bottom w:val="nil"/>
              <w:right w:val="nil"/>
            </w:tcBorders>
          </w:tcPr>
          <w:p w14:paraId="18787DAC" w14:textId="77777777" w:rsidR="00AD72CC" w:rsidRPr="00BC0D1F" w:rsidRDefault="00AD72CC" w:rsidP="00493A42">
            <w:pPr>
              <w:pStyle w:val="TableBullet"/>
              <w:rPr>
                <w:rFonts w:cs="Arial"/>
              </w:rPr>
            </w:pPr>
            <w:proofErr w:type="spellStart"/>
            <w:r w:rsidRPr="00BC0D1F">
              <w:rPr>
                <w:rFonts w:cs="Arial"/>
                <w:szCs w:val="18"/>
                <w:lang w:eastAsia="en-NZ"/>
              </w:rPr>
              <w:t>Medsafe</w:t>
            </w:r>
            <w:proofErr w:type="spellEnd"/>
          </w:p>
        </w:tc>
        <w:tc>
          <w:tcPr>
            <w:tcW w:w="606" w:type="pct"/>
            <w:tcBorders>
              <w:top w:val="nil"/>
              <w:left w:val="nil"/>
              <w:bottom w:val="nil"/>
              <w:right w:val="nil"/>
            </w:tcBorders>
          </w:tcPr>
          <w:p w14:paraId="6179FDA2" w14:textId="77777777" w:rsidR="00AD72CC" w:rsidRPr="00BC0D1F" w:rsidRDefault="00AD72CC" w:rsidP="00493A42">
            <w:pPr>
              <w:pStyle w:val="TableText"/>
              <w:spacing w:before="0"/>
              <w:ind w:right="113"/>
              <w:jc w:val="right"/>
            </w:pPr>
            <w:r w:rsidRPr="00BC0D1F">
              <w:t>37</w:t>
            </w:r>
          </w:p>
        </w:tc>
        <w:tc>
          <w:tcPr>
            <w:tcW w:w="681" w:type="pct"/>
            <w:tcBorders>
              <w:top w:val="nil"/>
              <w:left w:val="nil"/>
              <w:bottom w:val="nil"/>
            </w:tcBorders>
            <w:shd w:val="clear" w:color="auto" w:fill="D9D9D9"/>
          </w:tcPr>
          <w:p w14:paraId="20041B00" w14:textId="77777777" w:rsidR="00AD72CC" w:rsidRPr="00BC0D1F" w:rsidRDefault="00AD72CC" w:rsidP="00493A42">
            <w:pPr>
              <w:pStyle w:val="TableText"/>
              <w:spacing w:before="0"/>
              <w:ind w:right="113"/>
              <w:jc w:val="right"/>
            </w:pPr>
            <w:r w:rsidRPr="00BC0D1F">
              <w:t>34</w:t>
            </w:r>
          </w:p>
        </w:tc>
      </w:tr>
      <w:tr w:rsidR="00AD72CC" w:rsidRPr="00BC0D1F" w14:paraId="38C62E36" w14:textId="77777777" w:rsidTr="00514C4B">
        <w:trPr>
          <w:cantSplit/>
        </w:trPr>
        <w:tc>
          <w:tcPr>
            <w:tcW w:w="606" w:type="pct"/>
            <w:tcBorders>
              <w:top w:val="nil"/>
              <w:bottom w:val="nil"/>
              <w:right w:val="nil"/>
            </w:tcBorders>
          </w:tcPr>
          <w:p w14:paraId="25C06297" w14:textId="77777777" w:rsidR="00AD72CC" w:rsidRPr="00BC0D1F" w:rsidRDefault="00AD72CC" w:rsidP="00514C4B">
            <w:pPr>
              <w:pStyle w:val="TableText"/>
              <w:spacing w:before="0"/>
              <w:ind w:right="227"/>
              <w:jc w:val="right"/>
            </w:pPr>
            <w:r w:rsidRPr="00BC0D1F">
              <w:t>346</w:t>
            </w:r>
          </w:p>
        </w:tc>
        <w:tc>
          <w:tcPr>
            <w:tcW w:w="3107" w:type="pct"/>
            <w:tcBorders>
              <w:top w:val="nil"/>
              <w:left w:val="nil"/>
              <w:bottom w:val="nil"/>
              <w:right w:val="nil"/>
            </w:tcBorders>
          </w:tcPr>
          <w:p w14:paraId="609312E5" w14:textId="77777777" w:rsidR="00AD72CC" w:rsidRPr="00BC0D1F" w:rsidRDefault="00AD72CC" w:rsidP="00493A42">
            <w:pPr>
              <w:pStyle w:val="TableBullet"/>
              <w:rPr>
                <w:rFonts w:cs="Arial"/>
              </w:rPr>
            </w:pPr>
            <w:proofErr w:type="spellStart"/>
            <w:r w:rsidRPr="00BC0D1F">
              <w:rPr>
                <w:rFonts w:cs="Arial"/>
              </w:rPr>
              <w:t>HealthCERT</w:t>
            </w:r>
            <w:proofErr w:type="spellEnd"/>
          </w:p>
        </w:tc>
        <w:tc>
          <w:tcPr>
            <w:tcW w:w="606" w:type="pct"/>
            <w:tcBorders>
              <w:top w:val="nil"/>
              <w:left w:val="nil"/>
              <w:bottom w:val="nil"/>
              <w:right w:val="nil"/>
            </w:tcBorders>
          </w:tcPr>
          <w:p w14:paraId="0548C572" w14:textId="77777777" w:rsidR="00AD72CC" w:rsidRPr="00BC0D1F" w:rsidRDefault="00AD72CC" w:rsidP="00493A42">
            <w:pPr>
              <w:pStyle w:val="TableText"/>
              <w:spacing w:before="0"/>
              <w:ind w:right="113"/>
              <w:jc w:val="right"/>
            </w:pPr>
            <w:r w:rsidRPr="00BC0D1F">
              <w:t>267</w:t>
            </w:r>
          </w:p>
        </w:tc>
        <w:tc>
          <w:tcPr>
            <w:tcW w:w="681" w:type="pct"/>
            <w:tcBorders>
              <w:top w:val="nil"/>
              <w:left w:val="nil"/>
              <w:bottom w:val="nil"/>
            </w:tcBorders>
            <w:shd w:val="clear" w:color="auto" w:fill="D9D9D9"/>
          </w:tcPr>
          <w:p w14:paraId="53CB4941" w14:textId="77777777" w:rsidR="00AD72CC" w:rsidRPr="00BC0D1F" w:rsidRDefault="00AD72CC" w:rsidP="00493A42">
            <w:pPr>
              <w:pStyle w:val="TableText"/>
              <w:spacing w:before="0"/>
              <w:ind w:right="113"/>
              <w:jc w:val="right"/>
            </w:pPr>
            <w:r w:rsidRPr="00BC0D1F">
              <w:t xml:space="preserve">275 </w:t>
            </w:r>
          </w:p>
        </w:tc>
      </w:tr>
      <w:tr w:rsidR="00AD72CC" w:rsidRPr="00BC0D1F" w14:paraId="3B2D6D39" w14:textId="77777777" w:rsidTr="00514C4B">
        <w:trPr>
          <w:cantSplit/>
        </w:trPr>
        <w:tc>
          <w:tcPr>
            <w:tcW w:w="606" w:type="pct"/>
            <w:tcBorders>
              <w:top w:val="nil"/>
              <w:bottom w:val="nil"/>
              <w:right w:val="nil"/>
            </w:tcBorders>
          </w:tcPr>
          <w:p w14:paraId="25E7A12A" w14:textId="77777777" w:rsidR="00AD72CC" w:rsidRPr="00BC0D1F" w:rsidRDefault="00AD72CC" w:rsidP="00514C4B">
            <w:pPr>
              <w:pStyle w:val="TableText"/>
              <w:spacing w:before="0"/>
              <w:ind w:right="227"/>
              <w:jc w:val="right"/>
            </w:pPr>
            <w:r w:rsidRPr="00BC0D1F">
              <w:t>266</w:t>
            </w:r>
          </w:p>
        </w:tc>
        <w:tc>
          <w:tcPr>
            <w:tcW w:w="3107" w:type="pct"/>
            <w:tcBorders>
              <w:top w:val="nil"/>
              <w:left w:val="nil"/>
              <w:bottom w:val="nil"/>
              <w:right w:val="nil"/>
            </w:tcBorders>
          </w:tcPr>
          <w:p w14:paraId="421E900A" w14:textId="77777777" w:rsidR="00AD72CC" w:rsidRPr="00BC0D1F" w:rsidRDefault="00AD72CC" w:rsidP="00493A42">
            <w:pPr>
              <w:pStyle w:val="TableBullet"/>
              <w:rPr>
                <w:rFonts w:cs="Arial"/>
              </w:rPr>
            </w:pPr>
            <w:r w:rsidRPr="00BC0D1F">
              <w:rPr>
                <w:rFonts w:cs="Arial"/>
              </w:rPr>
              <w:t>Medicines Control</w:t>
            </w:r>
          </w:p>
        </w:tc>
        <w:tc>
          <w:tcPr>
            <w:tcW w:w="606" w:type="pct"/>
            <w:tcBorders>
              <w:top w:val="nil"/>
              <w:left w:val="nil"/>
              <w:bottom w:val="nil"/>
              <w:right w:val="nil"/>
            </w:tcBorders>
          </w:tcPr>
          <w:p w14:paraId="2988A9EC" w14:textId="77777777" w:rsidR="00AD72CC" w:rsidRPr="00BC0D1F" w:rsidRDefault="00AD72CC" w:rsidP="00493A42">
            <w:pPr>
              <w:pStyle w:val="TableText"/>
              <w:spacing w:before="0"/>
              <w:ind w:right="113"/>
              <w:jc w:val="right"/>
            </w:pPr>
            <w:r w:rsidRPr="00BC0D1F">
              <w:t>360</w:t>
            </w:r>
          </w:p>
        </w:tc>
        <w:tc>
          <w:tcPr>
            <w:tcW w:w="681" w:type="pct"/>
            <w:tcBorders>
              <w:top w:val="nil"/>
              <w:left w:val="nil"/>
              <w:bottom w:val="nil"/>
            </w:tcBorders>
            <w:shd w:val="clear" w:color="auto" w:fill="D9D9D9"/>
          </w:tcPr>
          <w:p w14:paraId="7AEB97DA" w14:textId="77777777" w:rsidR="00AD72CC" w:rsidRPr="00BC0D1F" w:rsidRDefault="00AD72CC" w:rsidP="00493A42">
            <w:pPr>
              <w:pStyle w:val="TableText"/>
              <w:spacing w:before="0"/>
              <w:ind w:right="113"/>
              <w:jc w:val="right"/>
            </w:pPr>
            <w:r w:rsidRPr="00BC0D1F">
              <w:t>361</w:t>
            </w:r>
          </w:p>
        </w:tc>
      </w:tr>
      <w:tr w:rsidR="00AD72CC" w:rsidRPr="00BC0D1F" w14:paraId="54F4301C" w14:textId="77777777" w:rsidTr="00514C4B">
        <w:trPr>
          <w:cantSplit/>
        </w:trPr>
        <w:tc>
          <w:tcPr>
            <w:tcW w:w="606" w:type="pct"/>
            <w:tcBorders>
              <w:top w:val="nil"/>
              <w:bottom w:val="nil"/>
              <w:right w:val="nil"/>
            </w:tcBorders>
          </w:tcPr>
          <w:p w14:paraId="58C3F441" w14:textId="77777777" w:rsidR="00AD72CC" w:rsidRPr="00BC0D1F" w:rsidRDefault="00AD72CC" w:rsidP="00514C4B">
            <w:pPr>
              <w:pStyle w:val="TableText"/>
              <w:spacing w:before="120"/>
              <w:ind w:right="227"/>
              <w:jc w:val="right"/>
              <w:rPr>
                <w:b/>
              </w:rPr>
            </w:pPr>
          </w:p>
        </w:tc>
        <w:tc>
          <w:tcPr>
            <w:tcW w:w="3107" w:type="pct"/>
            <w:tcBorders>
              <w:top w:val="nil"/>
              <w:left w:val="nil"/>
              <w:bottom w:val="nil"/>
              <w:right w:val="nil"/>
            </w:tcBorders>
          </w:tcPr>
          <w:p w14:paraId="707E4591" w14:textId="77777777" w:rsidR="00AD72CC" w:rsidRPr="00BC0D1F" w:rsidRDefault="00AD72CC" w:rsidP="00493A42">
            <w:pPr>
              <w:pStyle w:val="TableText"/>
              <w:spacing w:before="120"/>
              <w:rPr>
                <w:b/>
              </w:rPr>
            </w:pPr>
            <w:r w:rsidRPr="00BC0D1F">
              <w:rPr>
                <w:b/>
              </w:rPr>
              <w:t>Implementation</w:t>
            </w:r>
          </w:p>
        </w:tc>
        <w:tc>
          <w:tcPr>
            <w:tcW w:w="606" w:type="pct"/>
            <w:tcBorders>
              <w:top w:val="nil"/>
              <w:left w:val="nil"/>
              <w:bottom w:val="nil"/>
              <w:right w:val="nil"/>
            </w:tcBorders>
          </w:tcPr>
          <w:p w14:paraId="373FB15B" w14:textId="77777777" w:rsidR="00AD72CC" w:rsidRPr="00BC0D1F" w:rsidRDefault="00AD72CC" w:rsidP="00493A42">
            <w:pPr>
              <w:pStyle w:val="TableText"/>
              <w:spacing w:before="120"/>
              <w:ind w:right="113"/>
              <w:jc w:val="right"/>
              <w:rPr>
                <w:b/>
              </w:rPr>
            </w:pPr>
          </w:p>
        </w:tc>
        <w:tc>
          <w:tcPr>
            <w:tcW w:w="681" w:type="pct"/>
            <w:tcBorders>
              <w:top w:val="nil"/>
              <w:left w:val="nil"/>
              <w:bottom w:val="nil"/>
            </w:tcBorders>
            <w:shd w:val="clear" w:color="auto" w:fill="D9D9D9"/>
          </w:tcPr>
          <w:p w14:paraId="2183B645" w14:textId="77777777" w:rsidR="00AD72CC" w:rsidRPr="00BC0D1F" w:rsidRDefault="00AD72CC" w:rsidP="00493A42">
            <w:pPr>
              <w:pStyle w:val="TableText"/>
              <w:spacing w:before="120"/>
              <w:ind w:right="113"/>
              <w:jc w:val="right"/>
              <w:rPr>
                <w:b/>
              </w:rPr>
            </w:pPr>
          </w:p>
        </w:tc>
      </w:tr>
      <w:tr w:rsidR="00AD72CC" w:rsidRPr="00BC0D1F" w14:paraId="3AFDF73D" w14:textId="77777777" w:rsidTr="00514C4B">
        <w:trPr>
          <w:cantSplit/>
        </w:trPr>
        <w:tc>
          <w:tcPr>
            <w:tcW w:w="606" w:type="pct"/>
            <w:tcBorders>
              <w:top w:val="nil"/>
              <w:bottom w:val="nil"/>
              <w:right w:val="nil"/>
            </w:tcBorders>
          </w:tcPr>
          <w:p w14:paraId="36E6811B" w14:textId="77777777" w:rsidR="00AD72CC" w:rsidRPr="00BC0D1F" w:rsidRDefault="00AD72CC" w:rsidP="00514C4B">
            <w:pPr>
              <w:pStyle w:val="TableText"/>
              <w:ind w:right="227"/>
              <w:jc w:val="right"/>
            </w:pPr>
            <w:r w:rsidRPr="00BC0D1F">
              <w:t>98%</w:t>
            </w:r>
          </w:p>
        </w:tc>
        <w:tc>
          <w:tcPr>
            <w:tcW w:w="3107" w:type="pct"/>
            <w:tcBorders>
              <w:top w:val="nil"/>
              <w:left w:val="nil"/>
              <w:bottom w:val="nil"/>
              <w:right w:val="nil"/>
            </w:tcBorders>
          </w:tcPr>
          <w:p w14:paraId="43F3C7F8" w14:textId="77777777" w:rsidR="00AD72CC" w:rsidRPr="00BC0D1F" w:rsidRDefault="00AD72CC" w:rsidP="00493A42">
            <w:pPr>
              <w:pStyle w:val="TableText"/>
            </w:pPr>
            <w:r w:rsidRPr="00BC0D1F">
              <w:t>The percentage of medium- and high-priority quality incident notifications relating to medicines and medical devices that undergo an initi</w:t>
            </w:r>
            <w:r w:rsidR="00514C4B" w:rsidRPr="00BC0D1F">
              <w:t>al review within 5 working days</w:t>
            </w:r>
          </w:p>
        </w:tc>
        <w:tc>
          <w:tcPr>
            <w:tcW w:w="606" w:type="pct"/>
            <w:tcBorders>
              <w:top w:val="nil"/>
              <w:left w:val="nil"/>
              <w:bottom w:val="nil"/>
              <w:right w:val="nil"/>
            </w:tcBorders>
          </w:tcPr>
          <w:p w14:paraId="7A4B42CB" w14:textId="77777777" w:rsidR="00AD72CC" w:rsidRPr="00BC0D1F" w:rsidRDefault="00AD72CC" w:rsidP="00493A42">
            <w:pPr>
              <w:pStyle w:val="TableText"/>
              <w:ind w:right="113"/>
              <w:jc w:val="right"/>
            </w:pPr>
            <w:r w:rsidRPr="00BC0D1F">
              <w:t>90%</w:t>
            </w:r>
          </w:p>
        </w:tc>
        <w:tc>
          <w:tcPr>
            <w:tcW w:w="681" w:type="pct"/>
            <w:tcBorders>
              <w:top w:val="nil"/>
              <w:left w:val="nil"/>
              <w:bottom w:val="nil"/>
            </w:tcBorders>
            <w:shd w:val="clear" w:color="auto" w:fill="D9D9D9"/>
          </w:tcPr>
          <w:p w14:paraId="344E4D73" w14:textId="77777777" w:rsidR="00AD72CC" w:rsidRPr="00BC0D1F" w:rsidRDefault="00AD72CC" w:rsidP="00493A42">
            <w:pPr>
              <w:pStyle w:val="TableText"/>
              <w:ind w:right="113"/>
              <w:jc w:val="right"/>
            </w:pPr>
            <w:r w:rsidRPr="00BC0D1F">
              <w:t>99%</w:t>
            </w:r>
          </w:p>
        </w:tc>
      </w:tr>
      <w:tr w:rsidR="00AD72CC" w:rsidRPr="00BC0D1F" w14:paraId="5E0DFA78" w14:textId="77777777" w:rsidTr="00514C4B">
        <w:trPr>
          <w:cantSplit/>
        </w:trPr>
        <w:tc>
          <w:tcPr>
            <w:tcW w:w="606" w:type="pct"/>
            <w:tcBorders>
              <w:top w:val="nil"/>
              <w:bottom w:val="nil"/>
              <w:right w:val="nil"/>
            </w:tcBorders>
          </w:tcPr>
          <w:p w14:paraId="3C02BD6C" w14:textId="77777777" w:rsidR="00AD72CC" w:rsidRPr="00BC0D1F" w:rsidRDefault="00AD72CC" w:rsidP="00514C4B">
            <w:pPr>
              <w:pStyle w:val="TableText"/>
              <w:ind w:right="227"/>
              <w:jc w:val="right"/>
            </w:pPr>
            <w:r w:rsidRPr="00BC0D1F">
              <w:t>72%</w:t>
            </w:r>
          </w:p>
        </w:tc>
        <w:tc>
          <w:tcPr>
            <w:tcW w:w="3107" w:type="pct"/>
            <w:tcBorders>
              <w:top w:val="nil"/>
              <w:left w:val="nil"/>
              <w:bottom w:val="nil"/>
              <w:right w:val="nil"/>
            </w:tcBorders>
          </w:tcPr>
          <w:p w14:paraId="50299F0A" w14:textId="77777777" w:rsidR="00AD72CC" w:rsidRPr="00BC0D1F" w:rsidRDefault="00AD72CC" w:rsidP="00493A42">
            <w:pPr>
              <w:pStyle w:val="TableText"/>
            </w:pPr>
            <w:r w:rsidRPr="00BC0D1F">
              <w:t>The percentage of all certificates issued to providers under the Health and Disability Services (Safety) Act 2001 within 20 working days of the receipt of all information and payment of the required fee</w:t>
            </w:r>
          </w:p>
        </w:tc>
        <w:tc>
          <w:tcPr>
            <w:tcW w:w="606" w:type="pct"/>
            <w:tcBorders>
              <w:top w:val="nil"/>
              <w:left w:val="nil"/>
              <w:bottom w:val="nil"/>
              <w:right w:val="nil"/>
            </w:tcBorders>
          </w:tcPr>
          <w:p w14:paraId="67C7356C" w14:textId="77777777" w:rsidR="00AD72CC" w:rsidRPr="00BC0D1F" w:rsidRDefault="00AD72CC" w:rsidP="00493A42">
            <w:pPr>
              <w:pStyle w:val="TableText"/>
              <w:ind w:right="113"/>
              <w:jc w:val="right"/>
            </w:pPr>
            <w:r w:rsidRPr="00BC0D1F">
              <w:t>90%</w:t>
            </w:r>
          </w:p>
        </w:tc>
        <w:tc>
          <w:tcPr>
            <w:tcW w:w="681" w:type="pct"/>
            <w:tcBorders>
              <w:top w:val="nil"/>
              <w:left w:val="nil"/>
              <w:bottom w:val="nil"/>
            </w:tcBorders>
            <w:shd w:val="clear" w:color="auto" w:fill="D9D9D9"/>
          </w:tcPr>
          <w:p w14:paraId="60595490" w14:textId="77777777" w:rsidR="00AD72CC" w:rsidRPr="00BC0D1F" w:rsidRDefault="00AD72CC" w:rsidP="00493A42">
            <w:pPr>
              <w:pStyle w:val="TableText"/>
              <w:ind w:right="113"/>
              <w:jc w:val="right"/>
            </w:pPr>
            <w:r w:rsidRPr="00BC0D1F">
              <w:t>91%</w:t>
            </w:r>
          </w:p>
        </w:tc>
      </w:tr>
      <w:tr w:rsidR="00AD72CC" w:rsidRPr="00BC0D1F" w14:paraId="0FF2C9BA" w14:textId="77777777" w:rsidTr="00514C4B">
        <w:trPr>
          <w:cantSplit/>
        </w:trPr>
        <w:tc>
          <w:tcPr>
            <w:tcW w:w="606" w:type="pct"/>
            <w:tcBorders>
              <w:top w:val="nil"/>
              <w:bottom w:val="nil"/>
              <w:right w:val="nil"/>
            </w:tcBorders>
          </w:tcPr>
          <w:p w14:paraId="594EA57C" w14:textId="77777777" w:rsidR="00AD72CC" w:rsidRPr="00BC0D1F" w:rsidRDefault="00AD72CC" w:rsidP="00514C4B">
            <w:pPr>
              <w:pStyle w:val="TableText"/>
              <w:ind w:right="227"/>
              <w:jc w:val="right"/>
            </w:pPr>
            <w:r w:rsidRPr="00BC0D1F">
              <w:t>93%</w:t>
            </w:r>
          </w:p>
        </w:tc>
        <w:tc>
          <w:tcPr>
            <w:tcW w:w="3107" w:type="pct"/>
            <w:tcBorders>
              <w:top w:val="nil"/>
              <w:left w:val="nil"/>
              <w:bottom w:val="nil"/>
              <w:right w:val="nil"/>
            </w:tcBorders>
          </w:tcPr>
          <w:p w14:paraId="392F625C" w14:textId="77777777" w:rsidR="00AD72CC" w:rsidRPr="00BC0D1F" w:rsidRDefault="00AD72CC" w:rsidP="00493A42">
            <w:pPr>
              <w:pStyle w:val="TableText"/>
            </w:pPr>
            <w:r w:rsidRPr="00BC0D1F">
              <w:t>The percentage of all licences and authorities issued to providers under the Medicines Act 1981 and Misuse of Drugs Ac</w:t>
            </w:r>
            <w:r w:rsidR="00514C4B" w:rsidRPr="00BC0D1F">
              <w:t>t 1975 within target timeframes</w:t>
            </w:r>
          </w:p>
        </w:tc>
        <w:tc>
          <w:tcPr>
            <w:tcW w:w="606" w:type="pct"/>
            <w:tcBorders>
              <w:top w:val="nil"/>
              <w:left w:val="nil"/>
              <w:bottom w:val="nil"/>
              <w:right w:val="nil"/>
            </w:tcBorders>
          </w:tcPr>
          <w:p w14:paraId="69DD34DE" w14:textId="77777777" w:rsidR="00AD72CC" w:rsidRPr="00BC0D1F" w:rsidRDefault="00AD72CC" w:rsidP="00493A42">
            <w:pPr>
              <w:pStyle w:val="TableText"/>
              <w:ind w:right="113"/>
              <w:jc w:val="right"/>
            </w:pPr>
            <w:r w:rsidRPr="00BC0D1F">
              <w:t>90%</w:t>
            </w:r>
          </w:p>
        </w:tc>
        <w:tc>
          <w:tcPr>
            <w:tcW w:w="681" w:type="pct"/>
            <w:tcBorders>
              <w:top w:val="nil"/>
              <w:left w:val="nil"/>
              <w:bottom w:val="nil"/>
            </w:tcBorders>
            <w:shd w:val="clear" w:color="auto" w:fill="D9D9D9"/>
          </w:tcPr>
          <w:p w14:paraId="6642137F" w14:textId="77777777" w:rsidR="00AD72CC" w:rsidRPr="00BC0D1F" w:rsidRDefault="00AD72CC" w:rsidP="00493A42">
            <w:pPr>
              <w:pStyle w:val="TableText"/>
              <w:ind w:right="113"/>
              <w:jc w:val="right"/>
            </w:pPr>
            <w:r w:rsidRPr="00BC0D1F">
              <w:t>91%</w:t>
            </w:r>
          </w:p>
        </w:tc>
      </w:tr>
      <w:tr w:rsidR="00AD72CC" w:rsidRPr="00BC0D1F" w14:paraId="42E8A368" w14:textId="77777777" w:rsidTr="00514C4B">
        <w:trPr>
          <w:cantSplit/>
        </w:trPr>
        <w:tc>
          <w:tcPr>
            <w:tcW w:w="606" w:type="pct"/>
            <w:tcBorders>
              <w:top w:val="nil"/>
              <w:bottom w:val="nil"/>
              <w:right w:val="nil"/>
            </w:tcBorders>
          </w:tcPr>
          <w:p w14:paraId="7031AF32" w14:textId="77777777" w:rsidR="00AD72CC" w:rsidRPr="00BC0D1F" w:rsidRDefault="00AD72CC" w:rsidP="00514C4B">
            <w:pPr>
              <w:pStyle w:val="TableText"/>
              <w:ind w:right="227"/>
              <w:jc w:val="right"/>
            </w:pPr>
            <w:r w:rsidRPr="00BC0D1F">
              <w:t>100%</w:t>
            </w:r>
          </w:p>
        </w:tc>
        <w:tc>
          <w:tcPr>
            <w:tcW w:w="3107" w:type="pct"/>
            <w:tcBorders>
              <w:top w:val="nil"/>
              <w:left w:val="nil"/>
              <w:bottom w:val="nil"/>
              <w:right w:val="nil"/>
            </w:tcBorders>
          </w:tcPr>
          <w:p w14:paraId="3D1B0E12" w14:textId="77777777" w:rsidR="00AD72CC" w:rsidRPr="00BC0D1F" w:rsidRDefault="00AD72CC" w:rsidP="00493A42">
            <w:pPr>
              <w:pStyle w:val="TableText"/>
            </w:pPr>
            <w:r w:rsidRPr="00BC0D1F">
              <w:t>The percentage of all licences and consents issued to radiation users under the Radiation Protection Act 1965 within 10 working days of the receipt of all information and payment of the required fee</w:t>
            </w:r>
          </w:p>
        </w:tc>
        <w:tc>
          <w:tcPr>
            <w:tcW w:w="606" w:type="pct"/>
            <w:tcBorders>
              <w:top w:val="nil"/>
              <w:left w:val="nil"/>
              <w:bottom w:val="nil"/>
              <w:right w:val="nil"/>
            </w:tcBorders>
          </w:tcPr>
          <w:p w14:paraId="51F79A96" w14:textId="77777777" w:rsidR="00AD72CC" w:rsidRPr="00BC0D1F" w:rsidRDefault="00AD72CC" w:rsidP="00493A42">
            <w:pPr>
              <w:pStyle w:val="TableText"/>
              <w:ind w:right="113"/>
              <w:jc w:val="right"/>
            </w:pPr>
            <w:r w:rsidRPr="00BC0D1F">
              <w:t>90%</w:t>
            </w:r>
          </w:p>
        </w:tc>
        <w:tc>
          <w:tcPr>
            <w:tcW w:w="681" w:type="pct"/>
            <w:tcBorders>
              <w:top w:val="nil"/>
              <w:left w:val="nil"/>
              <w:bottom w:val="nil"/>
            </w:tcBorders>
            <w:shd w:val="clear" w:color="auto" w:fill="D9D9D9"/>
          </w:tcPr>
          <w:p w14:paraId="22F2425D" w14:textId="77777777" w:rsidR="00AD72CC" w:rsidRPr="00BC0D1F" w:rsidRDefault="00AD72CC" w:rsidP="00493A42">
            <w:pPr>
              <w:pStyle w:val="TableText"/>
              <w:ind w:right="113"/>
              <w:jc w:val="right"/>
            </w:pPr>
            <w:r w:rsidRPr="00BC0D1F">
              <w:t>100%</w:t>
            </w:r>
          </w:p>
        </w:tc>
      </w:tr>
      <w:tr w:rsidR="00AD72CC" w:rsidRPr="00BC0D1F" w14:paraId="27C49841" w14:textId="77777777" w:rsidTr="00514C4B">
        <w:trPr>
          <w:cantSplit/>
        </w:trPr>
        <w:tc>
          <w:tcPr>
            <w:tcW w:w="606" w:type="pct"/>
            <w:tcBorders>
              <w:top w:val="nil"/>
              <w:bottom w:val="nil"/>
              <w:right w:val="nil"/>
            </w:tcBorders>
          </w:tcPr>
          <w:p w14:paraId="71D19A67" w14:textId="77777777" w:rsidR="00AD72CC" w:rsidRPr="00BC0D1F" w:rsidRDefault="00AD72CC" w:rsidP="00514C4B">
            <w:pPr>
              <w:pStyle w:val="TableText"/>
              <w:ind w:right="227"/>
              <w:jc w:val="right"/>
            </w:pPr>
            <w:r w:rsidRPr="00BC0D1F">
              <w:t>88%</w:t>
            </w:r>
          </w:p>
        </w:tc>
        <w:tc>
          <w:tcPr>
            <w:tcW w:w="3107" w:type="pct"/>
            <w:tcBorders>
              <w:top w:val="nil"/>
              <w:left w:val="nil"/>
              <w:bottom w:val="nil"/>
              <w:right w:val="nil"/>
            </w:tcBorders>
          </w:tcPr>
          <w:p w14:paraId="111D6884" w14:textId="77777777" w:rsidR="00AD72CC" w:rsidRPr="00BC0D1F" w:rsidRDefault="00AD72CC" w:rsidP="00493A42">
            <w:pPr>
              <w:pStyle w:val="TableText"/>
            </w:pPr>
            <w:r w:rsidRPr="00BC0D1F">
              <w:t>The percentage of all New Medicines Applications (for ministerial consent to market) that receive an ini</w:t>
            </w:r>
            <w:r w:rsidR="00514C4B" w:rsidRPr="00BC0D1F">
              <w:t>tial assessment within 200 days</w:t>
            </w:r>
          </w:p>
        </w:tc>
        <w:tc>
          <w:tcPr>
            <w:tcW w:w="606" w:type="pct"/>
            <w:tcBorders>
              <w:top w:val="nil"/>
              <w:left w:val="nil"/>
              <w:bottom w:val="nil"/>
              <w:right w:val="nil"/>
            </w:tcBorders>
          </w:tcPr>
          <w:p w14:paraId="303F569D" w14:textId="77777777" w:rsidR="00AD72CC" w:rsidRPr="00BC0D1F" w:rsidRDefault="00AD72CC" w:rsidP="00493A42">
            <w:pPr>
              <w:pStyle w:val="TableText"/>
              <w:ind w:right="113"/>
              <w:jc w:val="right"/>
            </w:pPr>
            <w:r w:rsidRPr="00BC0D1F">
              <w:t>80%</w:t>
            </w:r>
          </w:p>
        </w:tc>
        <w:tc>
          <w:tcPr>
            <w:tcW w:w="681" w:type="pct"/>
            <w:tcBorders>
              <w:top w:val="nil"/>
              <w:left w:val="nil"/>
              <w:bottom w:val="nil"/>
            </w:tcBorders>
            <w:shd w:val="clear" w:color="auto" w:fill="D9D9D9"/>
          </w:tcPr>
          <w:p w14:paraId="08EA8387" w14:textId="77777777" w:rsidR="00AD72CC" w:rsidRPr="00BC0D1F" w:rsidRDefault="00AD72CC" w:rsidP="00493A42">
            <w:pPr>
              <w:pStyle w:val="TableText"/>
              <w:ind w:right="113"/>
              <w:jc w:val="right"/>
            </w:pPr>
            <w:r w:rsidRPr="00BC0D1F">
              <w:t>78%</w:t>
            </w:r>
          </w:p>
        </w:tc>
      </w:tr>
      <w:tr w:rsidR="00AD72CC" w:rsidRPr="00BC0D1F" w14:paraId="399C93BF" w14:textId="77777777" w:rsidTr="00514C4B">
        <w:trPr>
          <w:cantSplit/>
        </w:trPr>
        <w:tc>
          <w:tcPr>
            <w:tcW w:w="606" w:type="pct"/>
            <w:tcBorders>
              <w:top w:val="nil"/>
              <w:bottom w:val="single" w:sz="4" w:space="0" w:color="A6A6A6"/>
              <w:right w:val="nil"/>
            </w:tcBorders>
          </w:tcPr>
          <w:p w14:paraId="3C11B0A8" w14:textId="77777777" w:rsidR="00AD72CC" w:rsidRPr="00BC0D1F" w:rsidRDefault="00AD72CC" w:rsidP="00514C4B">
            <w:pPr>
              <w:pStyle w:val="TableText"/>
              <w:ind w:right="227"/>
              <w:jc w:val="right"/>
            </w:pPr>
            <w:r w:rsidRPr="00BC0D1F">
              <w:t>100%</w:t>
            </w:r>
          </w:p>
        </w:tc>
        <w:tc>
          <w:tcPr>
            <w:tcW w:w="3107" w:type="pct"/>
            <w:tcBorders>
              <w:top w:val="nil"/>
              <w:left w:val="nil"/>
              <w:bottom w:val="single" w:sz="4" w:space="0" w:color="A6A6A6"/>
              <w:right w:val="nil"/>
            </w:tcBorders>
          </w:tcPr>
          <w:p w14:paraId="0DB2FBF8" w14:textId="77777777" w:rsidR="00AD72CC" w:rsidRPr="00BC0D1F" w:rsidRDefault="00AD72CC" w:rsidP="00493A42">
            <w:pPr>
              <w:pStyle w:val="TableText"/>
            </w:pPr>
            <w:r w:rsidRPr="00BC0D1F">
              <w:t>The percentage of all Changed Medicines Notifications (for ministerial consent to market) responded to within 45 days</w:t>
            </w:r>
          </w:p>
        </w:tc>
        <w:tc>
          <w:tcPr>
            <w:tcW w:w="606" w:type="pct"/>
            <w:tcBorders>
              <w:top w:val="nil"/>
              <w:left w:val="nil"/>
              <w:bottom w:val="single" w:sz="4" w:space="0" w:color="A6A6A6"/>
              <w:right w:val="nil"/>
            </w:tcBorders>
          </w:tcPr>
          <w:p w14:paraId="267911E4" w14:textId="77777777" w:rsidR="00AD72CC" w:rsidRPr="00BC0D1F" w:rsidRDefault="00AD72CC" w:rsidP="00493A42">
            <w:pPr>
              <w:pStyle w:val="TableText"/>
              <w:ind w:right="113"/>
              <w:jc w:val="right"/>
            </w:pPr>
            <w:r w:rsidRPr="00BC0D1F">
              <w:t>100%</w:t>
            </w:r>
          </w:p>
        </w:tc>
        <w:tc>
          <w:tcPr>
            <w:tcW w:w="681" w:type="pct"/>
            <w:tcBorders>
              <w:top w:val="nil"/>
              <w:left w:val="nil"/>
              <w:bottom w:val="single" w:sz="4" w:space="0" w:color="A6A6A6"/>
            </w:tcBorders>
            <w:shd w:val="clear" w:color="auto" w:fill="D9D9D9"/>
          </w:tcPr>
          <w:p w14:paraId="0DB02588" w14:textId="77777777" w:rsidR="00AD72CC" w:rsidRPr="00BC0D1F" w:rsidRDefault="00AD72CC" w:rsidP="00493A42">
            <w:pPr>
              <w:pStyle w:val="TableText"/>
              <w:ind w:right="113"/>
              <w:jc w:val="right"/>
            </w:pPr>
            <w:r w:rsidRPr="00BC0D1F">
              <w:t>100%</w:t>
            </w:r>
          </w:p>
        </w:tc>
      </w:tr>
      <w:tr w:rsidR="00AD72CC" w:rsidRPr="00BC0D1F" w14:paraId="591838EC" w14:textId="77777777" w:rsidTr="00514C4B">
        <w:trPr>
          <w:cantSplit/>
        </w:trPr>
        <w:tc>
          <w:tcPr>
            <w:tcW w:w="606" w:type="pct"/>
            <w:tcBorders>
              <w:top w:val="single" w:sz="4" w:space="0" w:color="A6A6A6"/>
              <w:bottom w:val="nil"/>
              <w:right w:val="nil"/>
            </w:tcBorders>
          </w:tcPr>
          <w:p w14:paraId="46DCC8D9" w14:textId="77777777" w:rsidR="00AD72CC" w:rsidRPr="00BC0D1F" w:rsidRDefault="00AD72CC" w:rsidP="00514C4B">
            <w:pPr>
              <w:pStyle w:val="TableText"/>
              <w:keepNext/>
              <w:spacing w:before="120"/>
              <w:ind w:right="227"/>
              <w:jc w:val="right"/>
              <w:rPr>
                <w:b/>
              </w:rPr>
            </w:pPr>
          </w:p>
        </w:tc>
        <w:tc>
          <w:tcPr>
            <w:tcW w:w="3107" w:type="pct"/>
            <w:tcBorders>
              <w:top w:val="single" w:sz="4" w:space="0" w:color="A6A6A6"/>
              <w:left w:val="nil"/>
              <w:bottom w:val="nil"/>
              <w:right w:val="nil"/>
            </w:tcBorders>
          </w:tcPr>
          <w:p w14:paraId="1F120B18" w14:textId="77777777" w:rsidR="00AD72CC" w:rsidRPr="00BC0D1F" w:rsidRDefault="00AD72CC" w:rsidP="00514C4B">
            <w:pPr>
              <w:pStyle w:val="TableText"/>
              <w:keepNext/>
              <w:spacing w:before="120"/>
              <w:rPr>
                <w:b/>
              </w:rPr>
            </w:pPr>
            <w:r w:rsidRPr="00BC0D1F">
              <w:rPr>
                <w:b/>
              </w:rPr>
              <w:t>Sector leadership</w:t>
            </w:r>
            <w:r w:rsidR="00514C4B" w:rsidRPr="00BC0D1F">
              <w:rPr>
                <w:b/>
              </w:rPr>
              <w:t xml:space="preserve"> </w:t>
            </w:r>
            <w:r w:rsidRPr="00BC0D1F">
              <w:rPr>
                <w:b/>
              </w:rPr>
              <w:t>and advice</w:t>
            </w:r>
          </w:p>
        </w:tc>
        <w:tc>
          <w:tcPr>
            <w:tcW w:w="606" w:type="pct"/>
            <w:tcBorders>
              <w:top w:val="single" w:sz="4" w:space="0" w:color="A6A6A6"/>
              <w:left w:val="nil"/>
              <w:bottom w:val="nil"/>
              <w:right w:val="nil"/>
            </w:tcBorders>
          </w:tcPr>
          <w:p w14:paraId="12405E87" w14:textId="77777777" w:rsidR="00AD72CC" w:rsidRPr="00BC0D1F" w:rsidRDefault="00AD72CC" w:rsidP="00514C4B">
            <w:pPr>
              <w:pStyle w:val="TableText"/>
              <w:keepNext/>
              <w:spacing w:before="120"/>
              <w:ind w:right="113"/>
              <w:jc w:val="right"/>
              <w:rPr>
                <w:b/>
              </w:rPr>
            </w:pPr>
          </w:p>
        </w:tc>
        <w:tc>
          <w:tcPr>
            <w:tcW w:w="681" w:type="pct"/>
            <w:tcBorders>
              <w:top w:val="single" w:sz="4" w:space="0" w:color="A6A6A6"/>
              <w:left w:val="nil"/>
              <w:bottom w:val="nil"/>
            </w:tcBorders>
            <w:shd w:val="clear" w:color="auto" w:fill="D9D9D9"/>
          </w:tcPr>
          <w:p w14:paraId="4A772D78" w14:textId="77777777" w:rsidR="00AD72CC" w:rsidRPr="00BC0D1F" w:rsidRDefault="00AD72CC" w:rsidP="00514C4B">
            <w:pPr>
              <w:pStyle w:val="TableText"/>
              <w:keepNext/>
              <w:spacing w:before="120"/>
              <w:ind w:right="113"/>
              <w:jc w:val="right"/>
              <w:rPr>
                <w:b/>
              </w:rPr>
            </w:pPr>
          </w:p>
        </w:tc>
      </w:tr>
      <w:tr w:rsidR="00AD72CC" w:rsidRPr="00BC0D1F" w14:paraId="71370CAA" w14:textId="77777777" w:rsidTr="00514C4B">
        <w:trPr>
          <w:cantSplit/>
        </w:trPr>
        <w:tc>
          <w:tcPr>
            <w:tcW w:w="606" w:type="pct"/>
            <w:tcBorders>
              <w:top w:val="nil"/>
              <w:bottom w:val="nil"/>
              <w:right w:val="nil"/>
            </w:tcBorders>
          </w:tcPr>
          <w:p w14:paraId="114C97E5" w14:textId="77777777" w:rsidR="00AD72CC" w:rsidRPr="00BC0D1F" w:rsidRDefault="00AD72CC" w:rsidP="00514C4B">
            <w:pPr>
              <w:pStyle w:val="TableText"/>
              <w:ind w:right="227"/>
              <w:jc w:val="right"/>
            </w:pPr>
            <w:r w:rsidRPr="00BC0D1F">
              <w:t>Achieved</w:t>
            </w:r>
          </w:p>
        </w:tc>
        <w:tc>
          <w:tcPr>
            <w:tcW w:w="3107" w:type="pct"/>
            <w:tcBorders>
              <w:top w:val="nil"/>
              <w:left w:val="nil"/>
              <w:bottom w:val="nil"/>
              <w:right w:val="nil"/>
            </w:tcBorders>
          </w:tcPr>
          <w:p w14:paraId="426BDDB8" w14:textId="77777777" w:rsidR="00AD72CC" w:rsidRPr="00BC0D1F" w:rsidRDefault="00AD72CC" w:rsidP="00493A42">
            <w:pPr>
              <w:pStyle w:val="TableText"/>
            </w:pPr>
            <w:r w:rsidRPr="00BC0D1F">
              <w:t>All statutory officers appointed by the Ministry meet the criteria set by the Director-General of Health and any statutory prerequisites for appointment</w:t>
            </w:r>
          </w:p>
        </w:tc>
        <w:tc>
          <w:tcPr>
            <w:tcW w:w="606" w:type="pct"/>
            <w:tcBorders>
              <w:top w:val="nil"/>
              <w:left w:val="nil"/>
              <w:bottom w:val="nil"/>
              <w:right w:val="nil"/>
            </w:tcBorders>
          </w:tcPr>
          <w:p w14:paraId="3F25B828" w14:textId="77777777" w:rsidR="00AD72CC" w:rsidRPr="00BC0D1F" w:rsidRDefault="00AD72CC" w:rsidP="00493A42">
            <w:pPr>
              <w:pStyle w:val="TableText"/>
              <w:ind w:right="113"/>
              <w:jc w:val="right"/>
            </w:pPr>
            <w:r w:rsidRPr="00BC0D1F">
              <w:t>Achieved</w:t>
            </w:r>
          </w:p>
        </w:tc>
        <w:tc>
          <w:tcPr>
            <w:tcW w:w="681" w:type="pct"/>
            <w:tcBorders>
              <w:top w:val="nil"/>
              <w:left w:val="nil"/>
              <w:bottom w:val="nil"/>
            </w:tcBorders>
            <w:shd w:val="clear" w:color="auto" w:fill="D9D9D9"/>
          </w:tcPr>
          <w:p w14:paraId="2516A7FB" w14:textId="77777777" w:rsidR="00AD72CC" w:rsidRPr="00BC0D1F" w:rsidRDefault="00AD72CC" w:rsidP="00493A42">
            <w:pPr>
              <w:pStyle w:val="TableText"/>
              <w:ind w:right="113"/>
              <w:jc w:val="right"/>
            </w:pPr>
            <w:r w:rsidRPr="00BC0D1F">
              <w:t>Achieved</w:t>
            </w:r>
          </w:p>
        </w:tc>
      </w:tr>
      <w:tr w:rsidR="00AD72CC" w:rsidRPr="00BC0D1F" w14:paraId="39EAB06D" w14:textId="77777777" w:rsidTr="00514C4B">
        <w:trPr>
          <w:cantSplit/>
        </w:trPr>
        <w:tc>
          <w:tcPr>
            <w:tcW w:w="606" w:type="pct"/>
            <w:tcBorders>
              <w:top w:val="nil"/>
              <w:bottom w:val="nil"/>
              <w:right w:val="nil"/>
            </w:tcBorders>
          </w:tcPr>
          <w:p w14:paraId="67EDD6B5" w14:textId="77777777" w:rsidR="00AD72CC" w:rsidRPr="00BC0D1F" w:rsidRDefault="00AD72CC" w:rsidP="00514C4B">
            <w:pPr>
              <w:pStyle w:val="TableText"/>
              <w:spacing w:before="120"/>
              <w:ind w:right="227"/>
              <w:jc w:val="right"/>
              <w:rPr>
                <w:b/>
              </w:rPr>
            </w:pPr>
          </w:p>
        </w:tc>
        <w:tc>
          <w:tcPr>
            <w:tcW w:w="3107" w:type="pct"/>
            <w:tcBorders>
              <w:top w:val="nil"/>
              <w:left w:val="nil"/>
              <w:bottom w:val="nil"/>
              <w:right w:val="nil"/>
            </w:tcBorders>
          </w:tcPr>
          <w:p w14:paraId="2A52CED3" w14:textId="77777777" w:rsidR="00AD72CC" w:rsidRPr="00BC0D1F" w:rsidRDefault="00AD72CC" w:rsidP="00493A42">
            <w:pPr>
              <w:pStyle w:val="TableText"/>
              <w:spacing w:before="120"/>
              <w:rPr>
                <w:b/>
              </w:rPr>
            </w:pPr>
            <w:r w:rsidRPr="00BC0D1F">
              <w:rPr>
                <w:b/>
              </w:rPr>
              <w:t>Statutory committees and regulatory authorities</w:t>
            </w:r>
          </w:p>
        </w:tc>
        <w:tc>
          <w:tcPr>
            <w:tcW w:w="606" w:type="pct"/>
            <w:tcBorders>
              <w:top w:val="nil"/>
              <w:left w:val="nil"/>
              <w:bottom w:val="nil"/>
              <w:right w:val="nil"/>
            </w:tcBorders>
          </w:tcPr>
          <w:p w14:paraId="45D52BCD" w14:textId="77777777" w:rsidR="00AD72CC" w:rsidRPr="00BC0D1F" w:rsidRDefault="00AD72CC" w:rsidP="00493A42">
            <w:pPr>
              <w:pStyle w:val="TableText"/>
              <w:spacing w:before="120"/>
              <w:ind w:right="113"/>
              <w:jc w:val="right"/>
              <w:rPr>
                <w:b/>
              </w:rPr>
            </w:pPr>
          </w:p>
        </w:tc>
        <w:tc>
          <w:tcPr>
            <w:tcW w:w="681" w:type="pct"/>
            <w:tcBorders>
              <w:top w:val="nil"/>
              <w:left w:val="nil"/>
              <w:bottom w:val="nil"/>
            </w:tcBorders>
            <w:shd w:val="clear" w:color="auto" w:fill="D9D9D9"/>
          </w:tcPr>
          <w:p w14:paraId="1DFE2553" w14:textId="77777777" w:rsidR="00AD72CC" w:rsidRPr="00BC0D1F" w:rsidRDefault="00AD72CC" w:rsidP="00493A42">
            <w:pPr>
              <w:pStyle w:val="TableText"/>
              <w:spacing w:before="120"/>
              <w:ind w:right="113"/>
              <w:jc w:val="right"/>
              <w:rPr>
                <w:b/>
              </w:rPr>
            </w:pPr>
          </w:p>
        </w:tc>
      </w:tr>
      <w:tr w:rsidR="00AD72CC" w:rsidRPr="00BC0D1F" w14:paraId="134EC059" w14:textId="77777777" w:rsidTr="00514C4B">
        <w:trPr>
          <w:cantSplit/>
        </w:trPr>
        <w:tc>
          <w:tcPr>
            <w:tcW w:w="606" w:type="pct"/>
            <w:tcBorders>
              <w:top w:val="nil"/>
              <w:bottom w:val="nil"/>
              <w:right w:val="nil"/>
            </w:tcBorders>
          </w:tcPr>
          <w:p w14:paraId="7B7F262D" w14:textId="77777777" w:rsidR="00AD72CC" w:rsidRPr="00BC0D1F" w:rsidRDefault="00AD72CC" w:rsidP="00514C4B">
            <w:pPr>
              <w:pStyle w:val="TableText"/>
              <w:ind w:right="227"/>
              <w:jc w:val="right"/>
            </w:pPr>
            <w:r w:rsidRPr="00BC0D1F">
              <w:t>100%</w:t>
            </w:r>
          </w:p>
        </w:tc>
        <w:tc>
          <w:tcPr>
            <w:tcW w:w="3107" w:type="pct"/>
            <w:tcBorders>
              <w:top w:val="nil"/>
              <w:left w:val="nil"/>
              <w:bottom w:val="nil"/>
              <w:right w:val="nil"/>
            </w:tcBorders>
          </w:tcPr>
          <w:p w14:paraId="57E891B8" w14:textId="77777777" w:rsidR="00AD72CC" w:rsidRPr="00BC0D1F" w:rsidRDefault="00AD72CC" w:rsidP="00493A42">
            <w:pPr>
              <w:pStyle w:val="TableText"/>
            </w:pPr>
            <w:r w:rsidRPr="00BC0D1F">
              <w:t>All recommendations for appointments meet the requirements of health legislation</w:t>
            </w:r>
          </w:p>
        </w:tc>
        <w:tc>
          <w:tcPr>
            <w:tcW w:w="606" w:type="pct"/>
            <w:tcBorders>
              <w:top w:val="nil"/>
              <w:left w:val="nil"/>
              <w:bottom w:val="nil"/>
              <w:right w:val="nil"/>
            </w:tcBorders>
          </w:tcPr>
          <w:p w14:paraId="102B25F9" w14:textId="77777777" w:rsidR="00AD72CC" w:rsidRPr="00BC0D1F" w:rsidRDefault="00AD72CC" w:rsidP="00493A42">
            <w:pPr>
              <w:pStyle w:val="TableText"/>
              <w:ind w:right="113"/>
              <w:jc w:val="right"/>
            </w:pPr>
            <w:r w:rsidRPr="00BC0D1F">
              <w:t>100%</w:t>
            </w:r>
          </w:p>
        </w:tc>
        <w:tc>
          <w:tcPr>
            <w:tcW w:w="681" w:type="pct"/>
            <w:tcBorders>
              <w:top w:val="nil"/>
              <w:left w:val="nil"/>
              <w:bottom w:val="nil"/>
            </w:tcBorders>
            <w:shd w:val="clear" w:color="auto" w:fill="D9D9D9"/>
          </w:tcPr>
          <w:p w14:paraId="625C8B09" w14:textId="77777777" w:rsidR="00AD72CC" w:rsidRPr="00BC0D1F" w:rsidRDefault="00AD72CC" w:rsidP="00493A42">
            <w:pPr>
              <w:pStyle w:val="TableText"/>
              <w:ind w:right="113"/>
              <w:jc w:val="right"/>
            </w:pPr>
            <w:r w:rsidRPr="00BC0D1F">
              <w:t>100%</w:t>
            </w:r>
          </w:p>
        </w:tc>
      </w:tr>
      <w:tr w:rsidR="00AD72CC" w:rsidRPr="00BC0D1F" w14:paraId="6EF11126" w14:textId="77777777" w:rsidTr="00514C4B">
        <w:trPr>
          <w:cantSplit/>
        </w:trPr>
        <w:tc>
          <w:tcPr>
            <w:tcW w:w="606" w:type="pct"/>
            <w:tcBorders>
              <w:top w:val="nil"/>
              <w:bottom w:val="nil"/>
              <w:right w:val="nil"/>
            </w:tcBorders>
          </w:tcPr>
          <w:p w14:paraId="4F35D545" w14:textId="77777777" w:rsidR="00AD72CC" w:rsidRPr="00BC0D1F" w:rsidRDefault="00AD72CC" w:rsidP="00514C4B">
            <w:pPr>
              <w:pStyle w:val="TableText"/>
              <w:ind w:right="227"/>
              <w:jc w:val="right"/>
            </w:pPr>
            <w:r w:rsidRPr="00BC0D1F">
              <w:t>57</w:t>
            </w:r>
          </w:p>
        </w:tc>
        <w:tc>
          <w:tcPr>
            <w:tcW w:w="3107" w:type="pct"/>
            <w:tcBorders>
              <w:top w:val="nil"/>
              <w:left w:val="nil"/>
              <w:bottom w:val="nil"/>
              <w:right w:val="nil"/>
            </w:tcBorders>
          </w:tcPr>
          <w:p w14:paraId="5F43A815" w14:textId="77777777" w:rsidR="00AD72CC" w:rsidRPr="00BC0D1F" w:rsidRDefault="00AD72CC" w:rsidP="00493A42">
            <w:pPr>
              <w:pStyle w:val="TableText"/>
            </w:pPr>
            <w:r w:rsidRPr="00BC0D1F">
              <w:t>The number of appointments to statutory committees and regulatory authorities</w:t>
            </w:r>
          </w:p>
        </w:tc>
        <w:tc>
          <w:tcPr>
            <w:tcW w:w="606" w:type="pct"/>
            <w:tcBorders>
              <w:top w:val="nil"/>
              <w:left w:val="nil"/>
              <w:bottom w:val="nil"/>
              <w:right w:val="nil"/>
            </w:tcBorders>
          </w:tcPr>
          <w:p w14:paraId="41941CAC" w14:textId="77777777" w:rsidR="00AD72CC" w:rsidRPr="00BC0D1F" w:rsidRDefault="00AD72CC" w:rsidP="00493A42">
            <w:pPr>
              <w:pStyle w:val="TableText"/>
              <w:ind w:right="113"/>
              <w:jc w:val="right"/>
            </w:pPr>
            <w:r w:rsidRPr="00BC0D1F">
              <w:t>107</w:t>
            </w:r>
          </w:p>
        </w:tc>
        <w:tc>
          <w:tcPr>
            <w:tcW w:w="681" w:type="pct"/>
            <w:tcBorders>
              <w:top w:val="nil"/>
              <w:left w:val="nil"/>
              <w:bottom w:val="nil"/>
            </w:tcBorders>
            <w:shd w:val="clear" w:color="auto" w:fill="D9D9D9"/>
          </w:tcPr>
          <w:p w14:paraId="6A1CD3AA" w14:textId="77777777" w:rsidR="00AD72CC" w:rsidRPr="00BC0D1F" w:rsidRDefault="00AD72CC" w:rsidP="00493A42">
            <w:pPr>
              <w:pStyle w:val="TableText"/>
              <w:ind w:right="113"/>
              <w:jc w:val="right"/>
            </w:pPr>
            <w:r w:rsidRPr="00BC0D1F">
              <w:t>217</w:t>
            </w:r>
            <w:r w:rsidRPr="00BC0D1F">
              <w:br/>
              <w:t>(see Note A)</w:t>
            </w:r>
          </w:p>
        </w:tc>
      </w:tr>
      <w:tr w:rsidR="00AD72CC" w:rsidRPr="00BC0D1F" w14:paraId="5B090B6E" w14:textId="77777777" w:rsidTr="00514C4B">
        <w:trPr>
          <w:cantSplit/>
        </w:trPr>
        <w:tc>
          <w:tcPr>
            <w:tcW w:w="606" w:type="pct"/>
            <w:tcBorders>
              <w:top w:val="nil"/>
              <w:bottom w:val="nil"/>
              <w:right w:val="nil"/>
            </w:tcBorders>
          </w:tcPr>
          <w:p w14:paraId="312BCA54" w14:textId="77777777" w:rsidR="00AD72CC" w:rsidRPr="00BC0D1F" w:rsidRDefault="00AD72CC" w:rsidP="00514C4B">
            <w:pPr>
              <w:pStyle w:val="TableText"/>
              <w:ind w:right="227"/>
              <w:jc w:val="right"/>
            </w:pPr>
            <w:r w:rsidRPr="00BC0D1F">
              <w:t>100%</w:t>
            </w:r>
          </w:p>
        </w:tc>
        <w:tc>
          <w:tcPr>
            <w:tcW w:w="3107" w:type="pct"/>
            <w:tcBorders>
              <w:top w:val="nil"/>
              <w:left w:val="nil"/>
              <w:bottom w:val="nil"/>
              <w:right w:val="nil"/>
            </w:tcBorders>
          </w:tcPr>
          <w:p w14:paraId="77FDC52A" w14:textId="77777777" w:rsidR="00AD72CC" w:rsidRPr="00BC0D1F" w:rsidRDefault="00AD72CC" w:rsidP="00493A42">
            <w:pPr>
              <w:pStyle w:val="TableText"/>
            </w:pPr>
            <w:r w:rsidRPr="00BC0D1F">
              <w:t>The percentage of recommendations for appointments where recommendations are presented to the Minister prior to expiration of term for the current appointee</w:t>
            </w:r>
          </w:p>
        </w:tc>
        <w:tc>
          <w:tcPr>
            <w:tcW w:w="606" w:type="pct"/>
            <w:tcBorders>
              <w:top w:val="nil"/>
              <w:left w:val="nil"/>
              <w:bottom w:val="nil"/>
              <w:right w:val="nil"/>
            </w:tcBorders>
          </w:tcPr>
          <w:p w14:paraId="5D81D57E" w14:textId="77777777" w:rsidR="00AD72CC" w:rsidRPr="00BC0D1F" w:rsidRDefault="00AD72CC" w:rsidP="00493A42">
            <w:pPr>
              <w:pStyle w:val="TableText"/>
              <w:ind w:right="113"/>
              <w:jc w:val="right"/>
            </w:pPr>
            <w:r w:rsidRPr="00BC0D1F">
              <w:t>95%</w:t>
            </w:r>
          </w:p>
        </w:tc>
        <w:tc>
          <w:tcPr>
            <w:tcW w:w="681" w:type="pct"/>
            <w:tcBorders>
              <w:top w:val="nil"/>
              <w:left w:val="nil"/>
              <w:bottom w:val="nil"/>
            </w:tcBorders>
            <w:shd w:val="clear" w:color="auto" w:fill="D9D9D9"/>
          </w:tcPr>
          <w:p w14:paraId="58E818B7" w14:textId="77777777" w:rsidR="00AD72CC" w:rsidRPr="00BC0D1F" w:rsidRDefault="00AD72CC" w:rsidP="00493A42">
            <w:pPr>
              <w:pStyle w:val="TableText"/>
              <w:ind w:right="113"/>
              <w:jc w:val="right"/>
            </w:pPr>
            <w:r w:rsidRPr="00BC0D1F">
              <w:t>100%</w:t>
            </w:r>
          </w:p>
        </w:tc>
      </w:tr>
      <w:tr w:rsidR="00AD72CC" w:rsidRPr="00BC0D1F" w14:paraId="6B175B8B" w14:textId="77777777" w:rsidTr="00514C4B">
        <w:trPr>
          <w:cantSplit/>
        </w:trPr>
        <w:tc>
          <w:tcPr>
            <w:tcW w:w="606" w:type="pct"/>
            <w:tcBorders>
              <w:top w:val="nil"/>
              <w:bottom w:val="single" w:sz="4" w:space="0" w:color="auto"/>
              <w:right w:val="nil"/>
            </w:tcBorders>
          </w:tcPr>
          <w:p w14:paraId="05086AD5" w14:textId="77777777" w:rsidR="00AD72CC" w:rsidRPr="00BC0D1F" w:rsidRDefault="00AD72CC" w:rsidP="00514C4B">
            <w:pPr>
              <w:pStyle w:val="TableText"/>
              <w:ind w:right="227"/>
              <w:jc w:val="right"/>
            </w:pPr>
            <w:r w:rsidRPr="00BC0D1F">
              <w:t>4.1</w:t>
            </w:r>
          </w:p>
        </w:tc>
        <w:tc>
          <w:tcPr>
            <w:tcW w:w="3107" w:type="pct"/>
            <w:tcBorders>
              <w:top w:val="nil"/>
              <w:left w:val="nil"/>
              <w:bottom w:val="single" w:sz="4" w:space="0" w:color="auto"/>
              <w:right w:val="nil"/>
            </w:tcBorders>
          </w:tcPr>
          <w:p w14:paraId="2EF72820" w14:textId="77777777" w:rsidR="00AD72CC" w:rsidRPr="00BC0D1F" w:rsidRDefault="00AD72CC" w:rsidP="00493A42">
            <w:pPr>
              <w:pStyle w:val="TableText"/>
            </w:pPr>
            <w:r w:rsidRPr="00BC0D1F">
              <w:t>Average rating for statutory committee satisfaction with secretariat services provided by the Ministry</w:t>
            </w:r>
          </w:p>
        </w:tc>
        <w:tc>
          <w:tcPr>
            <w:tcW w:w="606" w:type="pct"/>
            <w:tcBorders>
              <w:top w:val="nil"/>
              <w:left w:val="nil"/>
              <w:bottom w:val="single" w:sz="4" w:space="0" w:color="auto"/>
              <w:right w:val="nil"/>
            </w:tcBorders>
          </w:tcPr>
          <w:p w14:paraId="5ACB16AF" w14:textId="6DE55F37" w:rsidR="00AD72CC" w:rsidRPr="00BC0D1F" w:rsidRDefault="004D50A0">
            <w:pPr>
              <w:pStyle w:val="TableText"/>
              <w:ind w:right="113"/>
              <w:jc w:val="right"/>
            </w:pPr>
            <w:r>
              <w:t>&gt;</w:t>
            </w:r>
            <w:r w:rsidR="00AD72CC" w:rsidRPr="00BC0D1F">
              <w:t>4 out of 5</w:t>
            </w:r>
          </w:p>
        </w:tc>
        <w:tc>
          <w:tcPr>
            <w:tcW w:w="681" w:type="pct"/>
            <w:tcBorders>
              <w:top w:val="nil"/>
              <w:left w:val="nil"/>
              <w:bottom w:val="single" w:sz="4" w:space="0" w:color="auto"/>
            </w:tcBorders>
            <w:shd w:val="clear" w:color="auto" w:fill="D9D9D9"/>
          </w:tcPr>
          <w:p w14:paraId="3C322738" w14:textId="77777777" w:rsidR="00AD72CC" w:rsidRPr="00BC0D1F" w:rsidRDefault="00AD72CC" w:rsidP="00493A42">
            <w:pPr>
              <w:pStyle w:val="TableText"/>
              <w:ind w:right="113"/>
              <w:jc w:val="right"/>
            </w:pPr>
            <w:r w:rsidRPr="00BC0D1F">
              <w:t>3.9</w:t>
            </w:r>
            <w:r w:rsidRPr="00BC0D1F">
              <w:br/>
              <w:t>(see Note B)</w:t>
            </w:r>
          </w:p>
        </w:tc>
      </w:tr>
    </w:tbl>
    <w:p w14:paraId="7A1FD948" w14:textId="77777777" w:rsidR="00AD72CC" w:rsidRPr="00BC0D1F" w:rsidRDefault="00AD72CC" w:rsidP="00514C4B"/>
    <w:p w14:paraId="32DF8DAD" w14:textId="77777777" w:rsidR="00AD72CC" w:rsidRPr="00BC0D1F" w:rsidRDefault="00AD72CC" w:rsidP="00514C4B">
      <w:pPr>
        <w:pStyle w:val="Heading4"/>
      </w:pPr>
      <w:r w:rsidRPr="00BC0D1F">
        <w:t>Compliance</w:t>
      </w:r>
    </w:p>
    <w:p w14:paraId="454AFCB1" w14:textId="77777777" w:rsidR="00AD72CC" w:rsidRPr="00BC0D1F" w:rsidRDefault="00AD72CC" w:rsidP="00514C4B">
      <w:r w:rsidRPr="00BC0D1F">
        <w:t>The Ministry conducts quality audits of pharmacies licensed under the Medicines Act 1981 and reviews surveillance audits performed by designated auditing agencies for providers certified under the Health and Disability Services (Safety) Act 2001. It also audits manufacturers and packers of medicines. The Ministry conducts quality audits to ensure providers of health care services continue to improve the quality of their services beyond formal licensing/certification.</w:t>
      </w:r>
    </w:p>
    <w:p w14:paraId="68CCD9C8" w14:textId="77777777" w:rsidR="00AD72CC" w:rsidRPr="00BC0D1F" w:rsidRDefault="00AD72CC" w:rsidP="00514C4B"/>
    <w:p w14:paraId="15CBB270" w14:textId="77777777" w:rsidR="00AD72CC" w:rsidRPr="00BC0D1F" w:rsidRDefault="00AD72CC" w:rsidP="00514C4B">
      <w:r w:rsidRPr="00BC0D1F">
        <w:t xml:space="preserve">The Ministry receives and responds to complaints made under the Health and Disability Services (Safety) Act 2001 against certified hospitals, rest homes, mental health facilities and residential disability services. Complaints are tracked and an initial response is provided within seven working days where the complaint was received by the </w:t>
      </w:r>
      <w:proofErr w:type="spellStart"/>
      <w:r w:rsidRPr="00BC0D1F">
        <w:t>HealthCERT</w:t>
      </w:r>
      <w:proofErr w:type="spellEnd"/>
      <w:r w:rsidRPr="00BC0D1F">
        <w:t xml:space="preserve"> team in the Ministry. If complaints are initially received by the Health and Disability Commissioner or DHBs, those agencies are responsible for providing the initial response to the complainant.</w:t>
      </w:r>
    </w:p>
    <w:p w14:paraId="428931ED" w14:textId="77777777" w:rsidR="00AD72CC" w:rsidRPr="00BC0D1F" w:rsidRDefault="00AD72CC" w:rsidP="00514C4B"/>
    <w:p w14:paraId="244D36A1" w14:textId="77777777" w:rsidR="00AD72CC" w:rsidRPr="00BC0D1F" w:rsidRDefault="00AD72CC" w:rsidP="00514C4B">
      <w:pPr>
        <w:pStyle w:val="Heading4"/>
      </w:pPr>
      <w:r w:rsidRPr="00BC0D1F">
        <w:t>Implementation</w:t>
      </w:r>
    </w:p>
    <w:p w14:paraId="413576AF" w14:textId="77777777" w:rsidR="00AD72CC" w:rsidRPr="00BC0D1F" w:rsidRDefault="00AD72CC" w:rsidP="00514C4B">
      <w:r w:rsidRPr="00BC0D1F">
        <w:t>Hospitals, rest homes, residential disability care providers and fertility providers are certified under the Health and Disability Services (Safety) Act 2001. Under that Act the expected timeframes for certification are within 20 working days of receipt of all information and payment of the required fee.</w:t>
      </w:r>
    </w:p>
    <w:p w14:paraId="3B16FA41" w14:textId="77777777" w:rsidR="00AD72CC" w:rsidRPr="00BC0D1F" w:rsidRDefault="00AD72CC" w:rsidP="00514C4B"/>
    <w:p w14:paraId="7B8B71EA" w14:textId="77777777" w:rsidR="00AD72CC" w:rsidRPr="00BC0D1F" w:rsidRDefault="00AD72CC" w:rsidP="00514C4B">
      <w:r w:rsidRPr="00BC0D1F">
        <w:t>Pharmacies and other parties involved in the pharmaceutical supply chain (such as wholesalers and researchers) are licensed to handle medicines and drugs under the Medicines Act 1981 and the Misuse of Drugs Act 1975. Providers are licensed to use and possess radioactive substances under the Radiation Protection Act 1965. When certificates are issued in accordance with legislative requirements the key operational measure is timeliness. This is the principal dimension of service quality, particularly when viewed from the customer perspective. Issuing certificates is central to the Ministry</w:t>
      </w:r>
      <w:r w:rsidR="00DF4B9A" w:rsidRPr="00BC0D1F">
        <w:t>’</w:t>
      </w:r>
      <w:r w:rsidRPr="00BC0D1F">
        <w:t>s regulatory activity.</w:t>
      </w:r>
    </w:p>
    <w:p w14:paraId="2F9E2A33" w14:textId="77777777" w:rsidR="00AD72CC" w:rsidRPr="00BC0D1F" w:rsidRDefault="00AD72CC" w:rsidP="00514C4B"/>
    <w:p w14:paraId="61C5BAAC" w14:textId="77777777" w:rsidR="00AD72CC" w:rsidRPr="00BC0D1F" w:rsidRDefault="00AD72CC" w:rsidP="00514C4B">
      <w:pPr>
        <w:pStyle w:val="Heading4"/>
      </w:pPr>
      <w:r w:rsidRPr="00BC0D1F">
        <w:lastRenderedPageBreak/>
        <w:t>Sector leadership and advice</w:t>
      </w:r>
    </w:p>
    <w:p w14:paraId="799731A5" w14:textId="77777777" w:rsidR="00DF4B9A" w:rsidRPr="00BC0D1F" w:rsidRDefault="00AD72CC" w:rsidP="00514C4B">
      <w:pPr>
        <w:keepNext/>
      </w:pPr>
      <w:r w:rsidRPr="00BC0D1F">
        <w:t>The Ministry is involved in a range of regulatory, leadership and purchasing roles aimed at protecting the public from environmental and disease risk factors that lead to ill health. It is also involved in promoting safe practice and increasing consumer confidence in the products and services they access. This includes interventions to reduce the risks from environmental hazards and communicable diseases, and to manage outbreaks.</w:t>
      </w:r>
    </w:p>
    <w:p w14:paraId="38588CFD" w14:textId="77777777" w:rsidR="00AD72CC" w:rsidRPr="00BC0D1F" w:rsidRDefault="00AD72CC" w:rsidP="00514C4B"/>
    <w:p w14:paraId="38259E1A" w14:textId="77777777" w:rsidR="00AD72CC" w:rsidRPr="00BC0D1F" w:rsidRDefault="00AD72CC" w:rsidP="00514C4B">
      <w:r w:rsidRPr="00BC0D1F">
        <w:t>The Ministry provides ongoing purchasing and monitoring of border control and environmental health services on behalf of the Crown, exercises regulatory powers that minimise risks to the public, and supports the statutory and clinical leadership role of the Director of Public Health. The Ministry also gives advice to the health and disability system on regulatory functions. Key recipients of advice are individuals employed in the sector who are appointed as statutory officers by the Director-General and have powers to act in a regulatory capacity.</w:t>
      </w:r>
    </w:p>
    <w:p w14:paraId="162F1D45" w14:textId="77777777" w:rsidR="00AD72CC" w:rsidRPr="00BC0D1F" w:rsidRDefault="00AD72CC" w:rsidP="00514C4B"/>
    <w:p w14:paraId="2882A108" w14:textId="77777777" w:rsidR="00AD72CC" w:rsidRPr="00BC0D1F" w:rsidRDefault="00AD72CC" w:rsidP="00514C4B">
      <w:r w:rsidRPr="00BC0D1F">
        <w:t>The Ministry undertakes a range of activities to coordinate public health protection and related regulatory functions across the country and between DHBs. The Ministry administered and provided advice on environmental health-related aspects of legislation as required. Six-monthly meetings were convened for DHB public health unit environmental health managers. Statutory officers employed by DHB public health units were provided with manuals, guidelines and training on implementing legislation and policy in areas of border health, drinking-water, hazardous substances, emergency management, legislation, environmental health surveillance and health protection.</w:t>
      </w:r>
    </w:p>
    <w:p w14:paraId="366875E4" w14:textId="77777777" w:rsidR="00AD72CC" w:rsidRPr="00BC0D1F" w:rsidRDefault="00AD72CC" w:rsidP="00514C4B"/>
    <w:p w14:paraId="607F7854" w14:textId="77777777" w:rsidR="00AD72CC" w:rsidRPr="00BC0D1F" w:rsidRDefault="00AD72CC" w:rsidP="00514C4B">
      <w:r w:rsidRPr="00BC0D1F">
        <w:t>The Ministry administered the Burial and Cremation Act 1964, including processing disinterment licences, applications for burials in special places, burial ground/cemetery applications, medical referee appointments and cremator applications. Health officials supported the Law Commission</w:t>
      </w:r>
      <w:r w:rsidR="00DF4B9A" w:rsidRPr="00BC0D1F">
        <w:t>’</w:t>
      </w:r>
      <w:r w:rsidRPr="00BC0D1F">
        <w:t>s review of the Burial and Cremation Act 1964.</w:t>
      </w:r>
    </w:p>
    <w:p w14:paraId="153819D1" w14:textId="77777777" w:rsidR="00AD72CC" w:rsidRPr="00BC0D1F" w:rsidRDefault="00AD72CC" w:rsidP="00514C4B"/>
    <w:p w14:paraId="24431E99" w14:textId="77777777" w:rsidR="00AD72CC" w:rsidRPr="00BC0D1F" w:rsidRDefault="00AD72CC" w:rsidP="00514C4B">
      <w:r w:rsidRPr="00BC0D1F">
        <w:t>The coordination of public health protection and related regulatory functions includes the appointment of statutory officers under the Health Act 1956, the Hazardous Substances and New Organisms Act 1996 and the Biosecurity Act 1993. The Director-General also appoints statutory officers under a range of other Acts, in particular the Smoke-free Environments Act 1990, the Tuberculosis Act 1948 and the Hazardous Substances and New Organisms Act 1996. All Directors of Area Mental Health Services appointed under the Mental Health (Compulsory Assessment and Treatment) Act 1992 also met the criteria set by the Director-General of Health.</w:t>
      </w:r>
    </w:p>
    <w:p w14:paraId="3DF9ABD9" w14:textId="77777777" w:rsidR="00AD72CC" w:rsidRPr="00BC0D1F" w:rsidRDefault="00AD72CC" w:rsidP="00514C4B"/>
    <w:p w14:paraId="2E427CA0" w14:textId="77777777" w:rsidR="00AD72CC" w:rsidRPr="00BC0D1F" w:rsidRDefault="00AD72CC" w:rsidP="00514C4B">
      <w:pPr>
        <w:pStyle w:val="Heading4"/>
      </w:pPr>
      <w:r w:rsidRPr="00BC0D1F">
        <w:t>Statutory committees and regulatory authorities</w:t>
      </w:r>
    </w:p>
    <w:p w14:paraId="47B3C2F7" w14:textId="77777777" w:rsidR="00AD72CC" w:rsidRPr="00BC0D1F" w:rsidRDefault="00AD72CC" w:rsidP="00514C4B">
      <w:r w:rsidRPr="00BC0D1F">
        <w:t>The Ministry assists the Minister with the process of appointing members to statutory committees and regulatory authorities by sourcing candidates, compiling recommendations for appointment, conducting interviews with candidates, and preparing Cabinet documentation concerning appointments. The Ministry complies with the State Services Commission guidelines when assisting the Minister with appointments and provides the Minister with quality advice in a timely manner before members</w:t>
      </w:r>
      <w:r w:rsidR="00DF4B9A" w:rsidRPr="00BC0D1F">
        <w:t>’</w:t>
      </w:r>
      <w:r w:rsidRPr="00BC0D1F">
        <w:t xml:space="preserve"> terms expire.</w:t>
      </w:r>
    </w:p>
    <w:p w14:paraId="564B6A73" w14:textId="77777777" w:rsidR="00AD72CC" w:rsidRPr="00BC0D1F" w:rsidRDefault="00AD72CC" w:rsidP="00514C4B"/>
    <w:p w14:paraId="263FAD1F" w14:textId="77777777" w:rsidR="00AD72CC" w:rsidRPr="00BC0D1F" w:rsidRDefault="00AD72CC" w:rsidP="00514C4B">
      <w:r w:rsidRPr="00BC0D1F">
        <w:t>Note A: The performance standard is based on the total number of appointments expected to be made in any given year, which is estimated in advance of that year. The actual number of appointments made will depend on a number of factors, including unexpected vacancies arising and the operational needs of the board. Expected appointments vary over a three-year cycle (55</w:t>
      </w:r>
      <w:r w:rsidR="00514C4B" w:rsidRPr="00BC0D1F">
        <w:t> </w:t>
      </w:r>
      <w:r w:rsidRPr="00BC0D1F">
        <w:t>in 2016/17; 42 in 2017/18; 103 in 2018/19).</w:t>
      </w:r>
    </w:p>
    <w:p w14:paraId="73E154F3" w14:textId="77777777" w:rsidR="00AD72CC" w:rsidRPr="00BC0D1F" w:rsidRDefault="00AD72CC" w:rsidP="00514C4B"/>
    <w:p w14:paraId="2684F48D" w14:textId="77777777" w:rsidR="00AD72CC" w:rsidRPr="00BC0D1F" w:rsidRDefault="00AD72CC" w:rsidP="00514C4B">
      <w:pPr>
        <w:keepLines/>
        <w:rPr>
          <w:color w:val="000000"/>
        </w:rPr>
      </w:pPr>
      <w:r w:rsidRPr="00BC0D1F">
        <w:lastRenderedPageBreak/>
        <w:t xml:space="preserve">Note B: The annual statutory committee satisfaction survey, covering the period July 2015 to June 2016, was conducted during July 2016. </w:t>
      </w:r>
      <w:r w:rsidRPr="00BC0D1F">
        <w:rPr>
          <w:color w:val="000000"/>
        </w:rPr>
        <w:t>Of the 10 committees surveyed, nine responded. On a scale of 1 to 5 (1 being very dissatisfied and 5 being very satisfied), the measure of average satisfaction with the support provided by the Ministry to committees in the past 12</w:t>
      </w:r>
      <w:r w:rsidR="00514C4B" w:rsidRPr="00BC0D1F">
        <w:rPr>
          <w:color w:val="000000"/>
        </w:rPr>
        <w:t> </w:t>
      </w:r>
      <w:r w:rsidRPr="00BC0D1F">
        <w:rPr>
          <w:color w:val="000000"/>
        </w:rPr>
        <w:t>months was 3.9, a reduction from 4.1 in 2014/15.</w:t>
      </w:r>
    </w:p>
    <w:p w14:paraId="55A68BE1" w14:textId="77777777" w:rsidR="00AD72CC" w:rsidRPr="00BC0D1F" w:rsidRDefault="00AD72CC" w:rsidP="00514C4B"/>
    <w:p w14:paraId="71511B97" w14:textId="77777777" w:rsidR="00AD72CC" w:rsidRPr="00BC0D1F" w:rsidRDefault="00AD72CC" w:rsidP="00514C4B">
      <w:pPr>
        <w:pStyle w:val="Table"/>
      </w:pPr>
      <w:bookmarkStart w:id="128" w:name="_Toc462926717"/>
      <w:r w:rsidRPr="00BC0D1F">
        <w:t>Table 12: Financial performance for regulatory and enforcement services</w:t>
      </w:r>
      <w:bookmarkEnd w:id="128"/>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702"/>
        <w:gridCol w:w="3543"/>
        <w:gridCol w:w="1418"/>
        <w:gridCol w:w="1346"/>
        <w:gridCol w:w="1347"/>
      </w:tblGrid>
      <w:tr w:rsidR="00AD72CC" w:rsidRPr="00BC0D1F" w14:paraId="5AA514C6" w14:textId="77777777" w:rsidTr="00493A42">
        <w:trPr>
          <w:cantSplit/>
        </w:trPr>
        <w:tc>
          <w:tcPr>
            <w:tcW w:w="1702" w:type="dxa"/>
            <w:tcBorders>
              <w:top w:val="single" w:sz="4" w:space="0" w:color="auto"/>
              <w:bottom w:val="single" w:sz="4" w:space="0" w:color="auto"/>
              <w:right w:val="nil"/>
            </w:tcBorders>
            <w:shd w:val="solid" w:color="FFFFFF" w:fill="auto"/>
          </w:tcPr>
          <w:p w14:paraId="4F9C5C6D" w14:textId="77777777" w:rsidR="00AD72CC" w:rsidRPr="00BC0D1F" w:rsidRDefault="00AD72CC" w:rsidP="00493A4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30 June 2015</w:t>
            </w:r>
            <w:r w:rsidRPr="00BC0D1F">
              <w:rPr>
                <w:b/>
                <w:lang w:eastAsia="en-NZ"/>
              </w:rPr>
              <w:br/>
              <w:t>$000</w:t>
            </w:r>
          </w:p>
        </w:tc>
        <w:tc>
          <w:tcPr>
            <w:tcW w:w="3543" w:type="dxa"/>
            <w:tcBorders>
              <w:top w:val="single" w:sz="4" w:space="0" w:color="auto"/>
              <w:left w:val="nil"/>
              <w:bottom w:val="single" w:sz="4" w:space="0" w:color="auto"/>
            </w:tcBorders>
            <w:shd w:val="solid" w:color="FFFFFF" w:fill="auto"/>
          </w:tcPr>
          <w:p w14:paraId="3C92A314" w14:textId="77777777" w:rsidR="00AD72CC" w:rsidRPr="00BC0D1F" w:rsidRDefault="00AD72CC" w:rsidP="00493A42">
            <w:pPr>
              <w:pStyle w:val="TableText"/>
              <w:rPr>
                <w:b/>
                <w:lang w:eastAsia="en-NZ"/>
              </w:rPr>
            </w:pPr>
          </w:p>
        </w:tc>
        <w:tc>
          <w:tcPr>
            <w:tcW w:w="1418" w:type="dxa"/>
            <w:tcBorders>
              <w:top w:val="single" w:sz="4" w:space="0" w:color="auto"/>
              <w:bottom w:val="single" w:sz="4" w:space="0" w:color="auto"/>
            </w:tcBorders>
            <w:shd w:val="clear" w:color="E3E3E3" w:fill="D9D9D9"/>
          </w:tcPr>
          <w:p w14:paraId="60871C2B" w14:textId="77777777" w:rsidR="00AD72CC" w:rsidRPr="00BC0D1F" w:rsidRDefault="00AD72CC" w:rsidP="00493A4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30 June 2016</w:t>
            </w:r>
            <w:r w:rsidRPr="00BC0D1F">
              <w:rPr>
                <w:b/>
                <w:lang w:eastAsia="en-NZ"/>
              </w:rPr>
              <w:br/>
              <w:t>$000</w:t>
            </w:r>
          </w:p>
        </w:tc>
        <w:tc>
          <w:tcPr>
            <w:tcW w:w="1346" w:type="dxa"/>
            <w:tcBorders>
              <w:top w:val="single" w:sz="4" w:space="0" w:color="auto"/>
              <w:bottom w:val="single" w:sz="4" w:space="0" w:color="auto"/>
            </w:tcBorders>
            <w:shd w:val="solid" w:color="FFFFFF" w:fill="auto"/>
          </w:tcPr>
          <w:p w14:paraId="3A5078A9"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 June 2016</w:t>
            </w:r>
            <w:r w:rsidRPr="00BC0D1F">
              <w:rPr>
                <w:b/>
                <w:lang w:eastAsia="en-NZ"/>
              </w:rPr>
              <w:br/>
              <w:t>$000</w:t>
            </w:r>
          </w:p>
        </w:tc>
        <w:tc>
          <w:tcPr>
            <w:tcW w:w="1347" w:type="dxa"/>
            <w:tcBorders>
              <w:top w:val="single" w:sz="4" w:space="0" w:color="auto"/>
              <w:bottom w:val="single" w:sz="4" w:space="0" w:color="auto"/>
            </w:tcBorders>
            <w:shd w:val="solid" w:color="FFFFFF" w:fill="auto"/>
          </w:tcPr>
          <w:p w14:paraId="3C31B978"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 June 2016</w:t>
            </w:r>
            <w:r w:rsidRPr="00BC0D1F">
              <w:rPr>
                <w:b/>
                <w:lang w:eastAsia="en-NZ"/>
              </w:rPr>
              <w:br/>
              <w:t>$000</w:t>
            </w:r>
          </w:p>
        </w:tc>
      </w:tr>
      <w:tr w:rsidR="00AD72CC" w:rsidRPr="00BC0D1F" w14:paraId="5745D266" w14:textId="77777777" w:rsidTr="00514C4B">
        <w:trPr>
          <w:cantSplit/>
        </w:trPr>
        <w:tc>
          <w:tcPr>
            <w:tcW w:w="1702" w:type="dxa"/>
            <w:tcBorders>
              <w:top w:val="single" w:sz="4" w:space="0" w:color="auto"/>
              <w:right w:val="nil"/>
            </w:tcBorders>
            <w:shd w:val="solid" w:color="FFFFFF" w:fill="auto"/>
          </w:tcPr>
          <w:p w14:paraId="0A1AC427" w14:textId="77777777" w:rsidR="00AD72CC" w:rsidRPr="00BC0D1F" w:rsidRDefault="00AD72CC" w:rsidP="00514C4B">
            <w:pPr>
              <w:pStyle w:val="TableText"/>
              <w:ind w:right="284"/>
              <w:jc w:val="right"/>
            </w:pPr>
            <w:r w:rsidRPr="00BC0D1F">
              <w:t>10,852</w:t>
            </w:r>
          </w:p>
        </w:tc>
        <w:tc>
          <w:tcPr>
            <w:tcW w:w="3543" w:type="dxa"/>
            <w:tcBorders>
              <w:top w:val="single" w:sz="4" w:space="0" w:color="auto"/>
              <w:left w:val="nil"/>
            </w:tcBorders>
            <w:shd w:val="solid" w:color="FFFFFF" w:fill="auto"/>
          </w:tcPr>
          <w:p w14:paraId="3FE3C5F0" w14:textId="1382B0ED" w:rsidR="00AD72CC" w:rsidRPr="00BC0D1F" w:rsidRDefault="00726113" w:rsidP="00493A42">
            <w:pPr>
              <w:pStyle w:val="TableText"/>
            </w:pPr>
            <w:r>
              <w:t>Revenue Crown</w:t>
            </w:r>
          </w:p>
        </w:tc>
        <w:tc>
          <w:tcPr>
            <w:tcW w:w="1418" w:type="dxa"/>
            <w:tcBorders>
              <w:top w:val="single" w:sz="4" w:space="0" w:color="auto"/>
            </w:tcBorders>
            <w:shd w:val="clear" w:color="E3E3E3" w:fill="D9D9D9"/>
          </w:tcPr>
          <w:p w14:paraId="202D63C1" w14:textId="77777777" w:rsidR="00AD72CC" w:rsidRPr="00BC0D1F" w:rsidRDefault="00AD72CC" w:rsidP="00514C4B">
            <w:pPr>
              <w:pStyle w:val="TableText"/>
              <w:ind w:right="113"/>
              <w:jc w:val="right"/>
            </w:pPr>
            <w:r w:rsidRPr="00BC0D1F">
              <w:t>10,341</w:t>
            </w:r>
          </w:p>
        </w:tc>
        <w:tc>
          <w:tcPr>
            <w:tcW w:w="1346" w:type="dxa"/>
            <w:tcBorders>
              <w:top w:val="single" w:sz="4" w:space="0" w:color="auto"/>
            </w:tcBorders>
          </w:tcPr>
          <w:p w14:paraId="0858953E" w14:textId="77777777" w:rsidR="00AD72CC" w:rsidRPr="00BC0D1F" w:rsidRDefault="00AD72CC" w:rsidP="00514C4B">
            <w:pPr>
              <w:pStyle w:val="TableText"/>
              <w:jc w:val="right"/>
            </w:pPr>
            <w:r w:rsidRPr="00BC0D1F">
              <w:t>10,852</w:t>
            </w:r>
          </w:p>
        </w:tc>
        <w:tc>
          <w:tcPr>
            <w:tcW w:w="1347" w:type="dxa"/>
            <w:tcBorders>
              <w:top w:val="single" w:sz="4" w:space="0" w:color="auto"/>
            </w:tcBorders>
          </w:tcPr>
          <w:p w14:paraId="496232DB" w14:textId="77777777" w:rsidR="00AD72CC" w:rsidRPr="00BC0D1F" w:rsidRDefault="00AD72CC" w:rsidP="00514C4B">
            <w:pPr>
              <w:pStyle w:val="TableText"/>
              <w:jc w:val="right"/>
            </w:pPr>
            <w:r w:rsidRPr="00BC0D1F">
              <w:t>10,341</w:t>
            </w:r>
          </w:p>
        </w:tc>
      </w:tr>
      <w:tr w:rsidR="00AD72CC" w:rsidRPr="00BC0D1F" w14:paraId="59C7B907" w14:textId="77777777" w:rsidTr="00514C4B">
        <w:trPr>
          <w:cantSplit/>
        </w:trPr>
        <w:tc>
          <w:tcPr>
            <w:tcW w:w="1702" w:type="dxa"/>
            <w:tcBorders>
              <w:right w:val="nil"/>
            </w:tcBorders>
            <w:shd w:val="solid" w:color="FFFFFF" w:fill="auto"/>
          </w:tcPr>
          <w:p w14:paraId="2CA580E7" w14:textId="77777777" w:rsidR="00AD72CC" w:rsidRPr="00BC0D1F" w:rsidRDefault="00AD72CC" w:rsidP="00514C4B">
            <w:pPr>
              <w:pStyle w:val="TableText"/>
              <w:ind w:right="284"/>
              <w:jc w:val="right"/>
            </w:pPr>
            <w:r w:rsidRPr="00BC0D1F">
              <w:t>11,201</w:t>
            </w:r>
          </w:p>
        </w:tc>
        <w:tc>
          <w:tcPr>
            <w:tcW w:w="3543" w:type="dxa"/>
            <w:tcBorders>
              <w:left w:val="nil"/>
            </w:tcBorders>
            <w:shd w:val="solid" w:color="FFFFFF" w:fill="auto"/>
          </w:tcPr>
          <w:p w14:paraId="644EDC55" w14:textId="77777777" w:rsidR="00AD72CC" w:rsidRPr="00BC0D1F" w:rsidRDefault="00AD72CC" w:rsidP="00493A42">
            <w:pPr>
              <w:pStyle w:val="TableText"/>
            </w:pPr>
            <w:r w:rsidRPr="00BC0D1F">
              <w:t>Third-party revenue</w:t>
            </w:r>
          </w:p>
        </w:tc>
        <w:tc>
          <w:tcPr>
            <w:tcW w:w="1418" w:type="dxa"/>
            <w:shd w:val="clear" w:color="E3E3E3" w:fill="D9D9D9"/>
          </w:tcPr>
          <w:p w14:paraId="40678E7B" w14:textId="77777777" w:rsidR="00AD72CC" w:rsidRPr="00BC0D1F" w:rsidRDefault="00AD72CC" w:rsidP="00514C4B">
            <w:pPr>
              <w:pStyle w:val="TableText"/>
              <w:ind w:right="113"/>
              <w:jc w:val="right"/>
            </w:pPr>
            <w:r w:rsidRPr="00BC0D1F">
              <w:t>10,220</w:t>
            </w:r>
          </w:p>
        </w:tc>
        <w:tc>
          <w:tcPr>
            <w:tcW w:w="1346" w:type="dxa"/>
          </w:tcPr>
          <w:p w14:paraId="5FD1EA36" w14:textId="77777777" w:rsidR="00AD72CC" w:rsidRPr="00BC0D1F" w:rsidRDefault="00AD72CC" w:rsidP="00514C4B">
            <w:pPr>
              <w:pStyle w:val="TableText"/>
              <w:jc w:val="right"/>
            </w:pPr>
            <w:r w:rsidRPr="00BC0D1F">
              <w:t>13,175</w:t>
            </w:r>
          </w:p>
        </w:tc>
        <w:tc>
          <w:tcPr>
            <w:tcW w:w="1347" w:type="dxa"/>
          </w:tcPr>
          <w:p w14:paraId="1312F82E" w14:textId="77777777" w:rsidR="00AD72CC" w:rsidRPr="00BC0D1F" w:rsidRDefault="00AD72CC" w:rsidP="00514C4B">
            <w:pPr>
              <w:pStyle w:val="TableText"/>
              <w:jc w:val="right"/>
            </w:pPr>
            <w:r w:rsidRPr="00BC0D1F">
              <w:t>12,839</w:t>
            </w:r>
          </w:p>
        </w:tc>
      </w:tr>
      <w:tr w:rsidR="00AD72CC" w:rsidRPr="00BC0D1F" w14:paraId="1087A318" w14:textId="77777777" w:rsidTr="00514C4B">
        <w:trPr>
          <w:cantSplit/>
        </w:trPr>
        <w:tc>
          <w:tcPr>
            <w:tcW w:w="1702" w:type="dxa"/>
            <w:tcBorders>
              <w:right w:val="nil"/>
            </w:tcBorders>
            <w:shd w:val="solid" w:color="FFFFFF" w:fill="auto"/>
          </w:tcPr>
          <w:p w14:paraId="5E1223D9" w14:textId="77777777" w:rsidR="00AD72CC" w:rsidRPr="00BC0D1F" w:rsidRDefault="00AD72CC" w:rsidP="00514C4B">
            <w:pPr>
              <w:pStyle w:val="TableText"/>
              <w:ind w:right="284"/>
              <w:jc w:val="right"/>
              <w:rPr>
                <w:b/>
              </w:rPr>
            </w:pPr>
            <w:r w:rsidRPr="00BC0D1F">
              <w:rPr>
                <w:b/>
                <w:bCs/>
              </w:rPr>
              <w:t>22,053</w:t>
            </w:r>
          </w:p>
        </w:tc>
        <w:tc>
          <w:tcPr>
            <w:tcW w:w="3543" w:type="dxa"/>
            <w:tcBorders>
              <w:left w:val="nil"/>
            </w:tcBorders>
            <w:shd w:val="solid" w:color="FFFFFF" w:fill="auto"/>
          </w:tcPr>
          <w:p w14:paraId="78F621A8" w14:textId="77777777" w:rsidR="00AD72CC" w:rsidRPr="00BC0D1F" w:rsidRDefault="00AD72CC" w:rsidP="00493A42">
            <w:pPr>
              <w:pStyle w:val="TableText"/>
              <w:rPr>
                <w:b/>
              </w:rPr>
            </w:pPr>
            <w:r w:rsidRPr="00BC0D1F">
              <w:rPr>
                <w:b/>
              </w:rPr>
              <w:t>Total revenue</w:t>
            </w:r>
          </w:p>
        </w:tc>
        <w:tc>
          <w:tcPr>
            <w:tcW w:w="1418" w:type="dxa"/>
            <w:shd w:val="clear" w:color="E3E3E3" w:fill="D9D9D9"/>
          </w:tcPr>
          <w:p w14:paraId="15762478" w14:textId="77777777" w:rsidR="00AD72CC" w:rsidRPr="00BC0D1F" w:rsidRDefault="00AD72CC" w:rsidP="00514C4B">
            <w:pPr>
              <w:pStyle w:val="TableText"/>
              <w:ind w:right="113"/>
              <w:jc w:val="right"/>
              <w:rPr>
                <w:b/>
              </w:rPr>
            </w:pPr>
            <w:r w:rsidRPr="00BC0D1F">
              <w:rPr>
                <w:b/>
                <w:bCs/>
              </w:rPr>
              <w:t>20,561</w:t>
            </w:r>
          </w:p>
        </w:tc>
        <w:tc>
          <w:tcPr>
            <w:tcW w:w="1346" w:type="dxa"/>
          </w:tcPr>
          <w:p w14:paraId="7061BB93" w14:textId="77777777" w:rsidR="00AD72CC" w:rsidRPr="00BC0D1F" w:rsidRDefault="00AD72CC" w:rsidP="00514C4B">
            <w:pPr>
              <w:pStyle w:val="TableText"/>
              <w:jc w:val="right"/>
              <w:rPr>
                <w:b/>
              </w:rPr>
            </w:pPr>
            <w:r w:rsidRPr="00BC0D1F">
              <w:rPr>
                <w:b/>
                <w:bCs/>
              </w:rPr>
              <w:t>24,027</w:t>
            </w:r>
          </w:p>
        </w:tc>
        <w:tc>
          <w:tcPr>
            <w:tcW w:w="1347" w:type="dxa"/>
          </w:tcPr>
          <w:p w14:paraId="7065E824" w14:textId="77777777" w:rsidR="00AD72CC" w:rsidRPr="00BC0D1F" w:rsidRDefault="00AD72CC" w:rsidP="00514C4B">
            <w:pPr>
              <w:pStyle w:val="TableText"/>
              <w:jc w:val="right"/>
              <w:rPr>
                <w:b/>
              </w:rPr>
            </w:pPr>
            <w:r w:rsidRPr="00BC0D1F">
              <w:rPr>
                <w:b/>
                <w:bCs/>
              </w:rPr>
              <w:t>23,180</w:t>
            </w:r>
          </w:p>
        </w:tc>
      </w:tr>
      <w:tr w:rsidR="00AD72CC" w:rsidRPr="00BC0D1F" w14:paraId="51A5A22D" w14:textId="77777777" w:rsidTr="00514C4B">
        <w:trPr>
          <w:cantSplit/>
        </w:trPr>
        <w:tc>
          <w:tcPr>
            <w:tcW w:w="1702" w:type="dxa"/>
            <w:tcBorders>
              <w:right w:val="nil"/>
            </w:tcBorders>
          </w:tcPr>
          <w:p w14:paraId="3E88867E" w14:textId="77777777" w:rsidR="00AD72CC" w:rsidRPr="00BC0D1F" w:rsidRDefault="00AD72CC" w:rsidP="00514C4B">
            <w:pPr>
              <w:pStyle w:val="TableText"/>
              <w:ind w:right="284"/>
              <w:jc w:val="right"/>
            </w:pPr>
            <w:r w:rsidRPr="00BC0D1F">
              <w:t>23,424</w:t>
            </w:r>
          </w:p>
        </w:tc>
        <w:tc>
          <w:tcPr>
            <w:tcW w:w="3543" w:type="dxa"/>
            <w:tcBorders>
              <w:left w:val="nil"/>
            </w:tcBorders>
            <w:shd w:val="solid" w:color="FFFFFF" w:fill="auto"/>
          </w:tcPr>
          <w:p w14:paraId="169C6126" w14:textId="77777777" w:rsidR="00AD72CC" w:rsidRPr="00BC0D1F" w:rsidRDefault="00AD72CC" w:rsidP="00493A42">
            <w:pPr>
              <w:pStyle w:val="TableText"/>
            </w:pPr>
            <w:r w:rsidRPr="00BC0D1F">
              <w:t>Total expenditure</w:t>
            </w:r>
          </w:p>
        </w:tc>
        <w:tc>
          <w:tcPr>
            <w:tcW w:w="1418" w:type="dxa"/>
            <w:shd w:val="clear" w:color="E3E3E3" w:fill="D9D9D9"/>
          </w:tcPr>
          <w:p w14:paraId="0847AC53" w14:textId="77777777" w:rsidR="00AD72CC" w:rsidRPr="00BC0D1F" w:rsidRDefault="00AD72CC" w:rsidP="00514C4B">
            <w:pPr>
              <w:pStyle w:val="TableText"/>
              <w:ind w:right="113"/>
              <w:jc w:val="right"/>
            </w:pPr>
            <w:r w:rsidRPr="00BC0D1F">
              <w:t>22,739</w:t>
            </w:r>
          </w:p>
        </w:tc>
        <w:tc>
          <w:tcPr>
            <w:tcW w:w="1346" w:type="dxa"/>
          </w:tcPr>
          <w:p w14:paraId="40AAA480" w14:textId="77777777" w:rsidR="00AD72CC" w:rsidRPr="00BC0D1F" w:rsidRDefault="00AD72CC" w:rsidP="00514C4B">
            <w:pPr>
              <w:pStyle w:val="TableText"/>
              <w:jc w:val="right"/>
            </w:pPr>
            <w:r w:rsidRPr="00BC0D1F">
              <w:t>24,027</w:t>
            </w:r>
          </w:p>
        </w:tc>
        <w:tc>
          <w:tcPr>
            <w:tcW w:w="1347" w:type="dxa"/>
          </w:tcPr>
          <w:p w14:paraId="6D758CC0" w14:textId="77777777" w:rsidR="00AD72CC" w:rsidRPr="00BC0D1F" w:rsidRDefault="00AD72CC" w:rsidP="00514C4B">
            <w:pPr>
              <w:pStyle w:val="TableText"/>
              <w:jc w:val="right"/>
            </w:pPr>
            <w:r w:rsidRPr="00BC0D1F">
              <w:t>23,180</w:t>
            </w:r>
          </w:p>
        </w:tc>
      </w:tr>
      <w:tr w:rsidR="00AD72CC" w:rsidRPr="00BC0D1F" w14:paraId="4E64DF59" w14:textId="77777777" w:rsidTr="00514C4B">
        <w:trPr>
          <w:cantSplit/>
        </w:trPr>
        <w:tc>
          <w:tcPr>
            <w:tcW w:w="1702" w:type="dxa"/>
            <w:tcBorders>
              <w:bottom w:val="single" w:sz="4" w:space="0" w:color="auto"/>
              <w:right w:val="nil"/>
            </w:tcBorders>
            <w:shd w:val="solid" w:color="FFFFFF" w:fill="auto"/>
          </w:tcPr>
          <w:p w14:paraId="5A4B7F13" w14:textId="77777777" w:rsidR="00AD72CC" w:rsidRPr="00BC0D1F" w:rsidRDefault="00AD72CC" w:rsidP="00514C4B">
            <w:pPr>
              <w:pStyle w:val="TableText"/>
              <w:ind w:right="284"/>
              <w:jc w:val="right"/>
              <w:rPr>
                <w:b/>
              </w:rPr>
            </w:pPr>
            <w:r w:rsidRPr="00BC0D1F">
              <w:rPr>
                <w:b/>
                <w:bCs/>
              </w:rPr>
              <w:t>-1,371</w:t>
            </w:r>
          </w:p>
        </w:tc>
        <w:tc>
          <w:tcPr>
            <w:tcW w:w="3543" w:type="dxa"/>
            <w:tcBorders>
              <w:left w:val="nil"/>
              <w:bottom w:val="single" w:sz="4" w:space="0" w:color="auto"/>
            </w:tcBorders>
            <w:shd w:val="solid" w:color="FFFFFF" w:fill="auto"/>
          </w:tcPr>
          <w:p w14:paraId="1D56D6DE" w14:textId="77777777" w:rsidR="00AD72CC" w:rsidRPr="00BC0D1F" w:rsidRDefault="00AD72CC" w:rsidP="00493A42">
            <w:pPr>
              <w:pStyle w:val="TableText"/>
              <w:rPr>
                <w:b/>
              </w:rPr>
            </w:pPr>
            <w:r w:rsidRPr="00BC0D1F">
              <w:rPr>
                <w:b/>
              </w:rPr>
              <w:t>Net surplus/(deficit)</w:t>
            </w:r>
          </w:p>
        </w:tc>
        <w:tc>
          <w:tcPr>
            <w:tcW w:w="1418" w:type="dxa"/>
            <w:tcBorders>
              <w:bottom w:val="single" w:sz="4" w:space="0" w:color="auto"/>
            </w:tcBorders>
            <w:shd w:val="clear" w:color="E3E3E3" w:fill="D9D9D9"/>
          </w:tcPr>
          <w:p w14:paraId="277DC9C2" w14:textId="77777777" w:rsidR="00AD72CC" w:rsidRPr="00BC0D1F" w:rsidRDefault="00AD72CC" w:rsidP="00514C4B">
            <w:pPr>
              <w:pStyle w:val="TableText"/>
              <w:ind w:right="113"/>
              <w:jc w:val="right"/>
              <w:rPr>
                <w:b/>
              </w:rPr>
            </w:pPr>
            <w:r w:rsidRPr="00BC0D1F">
              <w:rPr>
                <w:b/>
                <w:bCs/>
              </w:rPr>
              <w:t>-2,178</w:t>
            </w:r>
          </w:p>
        </w:tc>
        <w:tc>
          <w:tcPr>
            <w:tcW w:w="1346" w:type="dxa"/>
            <w:tcBorders>
              <w:bottom w:val="single" w:sz="4" w:space="0" w:color="auto"/>
            </w:tcBorders>
          </w:tcPr>
          <w:p w14:paraId="1FB1D96A" w14:textId="77777777" w:rsidR="00AD72CC" w:rsidRPr="00BC0D1F" w:rsidRDefault="00AD72CC" w:rsidP="00514C4B">
            <w:pPr>
              <w:pStyle w:val="TableText"/>
              <w:jc w:val="right"/>
              <w:rPr>
                <w:b/>
              </w:rPr>
            </w:pPr>
            <w:r w:rsidRPr="00BC0D1F">
              <w:rPr>
                <w:b/>
                <w:bCs/>
              </w:rPr>
              <w:t>0</w:t>
            </w:r>
          </w:p>
        </w:tc>
        <w:tc>
          <w:tcPr>
            <w:tcW w:w="1347" w:type="dxa"/>
            <w:tcBorders>
              <w:bottom w:val="single" w:sz="4" w:space="0" w:color="auto"/>
            </w:tcBorders>
          </w:tcPr>
          <w:p w14:paraId="04EE8B5B" w14:textId="77777777" w:rsidR="00AD72CC" w:rsidRPr="00BC0D1F" w:rsidRDefault="00AD72CC" w:rsidP="00514C4B">
            <w:pPr>
              <w:pStyle w:val="TableText"/>
              <w:jc w:val="right"/>
              <w:rPr>
                <w:b/>
              </w:rPr>
            </w:pPr>
            <w:r w:rsidRPr="00BC0D1F">
              <w:rPr>
                <w:b/>
                <w:bCs/>
              </w:rPr>
              <w:t>0</w:t>
            </w:r>
          </w:p>
        </w:tc>
      </w:tr>
    </w:tbl>
    <w:p w14:paraId="0ED94981" w14:textId="77777777" w:rsidR="00AD72CC" w:rsidRPr="00BC0D1F" w:rsidRDefault="00AD72CC" w:rsidP="00514C4B"/>
    <w:p w14:paraId="40E58A1E" w14:textId="77777777" w:rsidR="00DF4B9A" w:rsidRPr="00BC0D1F" w:rsidRDefault="00AD72CC" w:rsidP="00B621AF">
      <w:pPr>
        <w:pStyle w:val="Heading2"/>
        <w:spacing w:before="0"/>
      </w:pPr>
      <w:r w:rsidRPr="00BC0D1F">
        <w:br w:type="page"/>
      </w:r>
      <w:bookmarkStart w:id="129" w:name="_Toc459730022"/>
      <w:bookmarkStart w:id="130" w:name="_Toc461544295"/>
      <w:bookmarkStart w:id="131" w:name="_Toc456619192"/>
      <w:bookmarkStart w:id="132" w:name="_Toc463507925"/>
      <w:r w:rsidRPr="00BC0D1F">
        <w:lastRenderedPageBreak/>
        <w:t>Sector planning and performance</w:t>
      </w:r>
      <w:bookmarkEnd w:id="129"/>
      <w:bookmarkEnd w:id="130"/>
      <w:bookmarkEnd w:id="131"/>
      <w:bookmarkEnd w:id="132"/>
    </w:p>
    <w:p w14:paraId="40F079D7" w14:textId="77777777" w:rsidR="00AD72CC" w:rsidRPr="00BC0D1F" w:rsidRDefault="00AD72CC" w:rsidP="00B621AF">
      <w:r w:rsidRPr="00BC0D1F">
        <w:t>The Ministry works with DHBs to create accountability documents that outline what DHBs will deliver and what will help improve their performance. The Ministry also monitors progress throughout the year against targets (both service and financial) and works with DHBs to address issues that may be affecting their performance. The Ministry provides support for sector employment relations negotiations and pays particular attention to monitoring elective services. It is also responsible for DHB funding.</w:t>
      </w:r>
    </w:p>
    <w:p w14:paraId="647EF7E2" w14:textId="77777777" w:rsidR="00AD72CC" w:rsidRPr="00BC0D1F" w:rsidRDefault="00AD72CC" w:rsidP="00B621AF"/>
    <w:p w14:paraId="75F87D94" w14:textId="77777777" w:rsidR="00AD72CC" w:rsidRPr="00BC0D1F" w:rsidRDefault="00AD72CC" w:rsidP="00B621AF">
      <w:pPr>
        <w:pStyle w:val="Table"/>
      </w:pPr>
      <w:bookmarkStart w:id="133" w:name="_Toc462926718"/>
      <w:r w:rsidRPr="00BC0D1F">
        <w:t>Table 13: Summary of output performance measures and standards for sector planning and performance</w:t>
      </w:r>
      <w:bookmarkEnd w:id="133"/>
    </w:p>
    <w:tbl>
      <w:tblPr>
        <w:tblW w:w="4950" w:type="pct"/>
        <w:tblInd w:w="57" w:type="dxa"/>
        <w:tblBorders>
          <w:top w:val="single" w:sz="4" w:space="0" w:color="auto"/>
          <w:bottom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50"/>
        <w:gridCol w:w="4650"/>
        <w:gridCol w:w="1738"/>
        <w:gridCol w:w="1436"/>
      </w:tblGrid>
      <w:tr w:rsidR="00AD72CC" w:rsidRPr="00BC0D1F" w14:paraId="024E76D6" w14:textId="77777777" w:rsidTr="00493A42">
        <w:trPr>
          <w:cantSplit/>
        </w:trPr>
        <w:tc>
          <w:tcPr>
            <w:tcW w:w="827" w:type="pct"/>
            <w:tcBorders>
              <w:top w:val="single" w:sz="4" w:space="0" w:color="auto"/>
              <w:bottom w:val="single" w:sz="4" w:space="0" w:color="auto"/>
              <w:right w:val="nil"/>
            </w:tcBorders>
          </w:tcPr>
          <w:p w14:paraId="58F686DB" w14:textId="77777777" w:rsidR="00AD72CC" w:rsidRPr="00BC0D1F" w:rsidRDefault="00AD72CC" w:rsidP="00493A42">
            <w:pPr>
              <w:pStyle w:val="TableText"/>
              <w:ind w:right="284"/>
              <w:jc w:val="right"/>
              <w:rPr>
                <w:b/>
              </w:rPr>
            </w:pPr>
            <w:r w:rsidRPr="00BC0D1F">
              <w:rPr>
                <w:b/>
              </w:rPr>
              <w:t>Actual</w:t>
            </w:r>
            <w:r w:rsidRPr="00BC0D1F">
              <w:rPr>
                <w:b/>
              </w:rPr>
              <w:br/>
              <w:t>2014/15</w:t>
            </w:r>
          </w:p>
        </w:tc>
        <w:tc>
          <w:tcPr>
            <w:tcW w:w="2480" w:type="pct"/>
            <w:tcBorders>
              <w:top w:val="single" w:sz="4" w:space="0" w:color="auto"/>
              <w:left w:val="nil"/>
              <w:bottom w:val="single" w:sz="4" w:space="0" w:color="auto"/>
              <w:right w:val="nil"/>
            </w:tcBorders>
          </w:tcPr>
          <w:p w14:paraId="04A07593" w14:textId="77777777" w:rsidR="00AD72CC" w:rsidRPr="00BC0D1F" w:rsidRDefault="00AD72CC" w:rsidP="00493A42">
            <w:pPr>
              <w:pStyle w:val="TableText"/>
              <w:rPr>
                <w:b/>
              </w:rPr>
            </w:pPr>
            <w:r w:rsidRPr="00BC0D1F">
              <w:rPr>
                <w:b/>
              </w:rPr>
              <w:t>Performance measure</w:t>
            </w:r>
          </w:p>
        </w:tc>
        <w:tc>
          <w:tcPr>
            <w:tcW w:w="927" w:type="pct"/>
            <w:tcBorders>
              <w:top w:val="single" w:sz="4" w:space="0" w:color="auto"/>
              <w:left w:val="nil"/>
              <w:bottom w:val="single" w:sz="4" w:space="0" w:color="auto"/>
              <w:right w:val="nil"/>
            </w:tcBorders>
          </w:tcPr>
          <w:p w14:paraId="1ACB3F1A" w14:textId="77777777" w:rsidR="00AD72CC" w:rsidRPr="00BC0D1F" w:rsidRDefault="00AD72CC" w:rsidP="00493A42">
            <w:pPr>
              <w:pStyle w:val="TableText"/>
              <w:ind w:right="113"/>
              <w:jc w:val="right"/>
              <w:rPr>
                <w:b/>
              </w:rPr>
            </w:pPr>
            <w:r w:rsidRPr="00BC0D1F">
              <w:rPr>
                <w:b/>
              </w:rPr>
              <w:t>Standard</w:t>
            </w:r>
          </w:p>
        </w:tc>
        <w:tc>
          <w:tcPr>
            <w:tcW w:w="766" w:type="pct"/>
            <w:tcBorders>
              <w:top w:val="single" w:sz="4" w:space="0" w:color="auto"/>
              <w:left w:val="nil"/>
              <w:bottom w:val="single" w:sz="4" w:space="0" w:color="auto"/>
            </w:tcBorders>
            <w:shd w:val="clear" w:color="auto" w:fill="D9D9D9"/>
          </w:tcPr>
          <w:p w14:paraId="024092DA" w14:textId="77777777" w:rsidR="00AD72CC" w:rsidRPr="00BC0D1F" w:rsidRDefault="00AD72CC" w:rsidP="00493A42">
            <w:pPr>
              <w:pStyle w:val="TableText"/>
              <w:ind w:right="113"/>
              <w:jc w:val="right"/>
              <w:rPr>
                <w:b/>
              </w:rPr>
            </w:pPr>
            <w:r w:rsidRPr="00BC0D1F">
              <w:rPr>
                <w:b/>
              </w:rPr>
              <w:t>Actual</w:t>
            </w:r>
            <w:r w:rsidRPr="00BC0D1F">
              <w:rPr>
                <w:b/>
              </w:rPr>
              <w:br/>
              <w:t>2015/16</w:t>
            </w:r>
          </w:p>
        </w:tc>
      </w:tr>
      <w:tr w:rsidR="00AD72CC" w:rsidRPr="00BC0D1F" w14:paraId="6C6BA971" w14:textId="77777777" w:rsidTr="00493A42">
        <w:trPr>
          <w:cantSplit/>
        </w:trPr>
        <w:tc>
          <w:tcPr>
            <w:tcW w:w="827" w:type="pct"/>
            <w:tcBorders>
              <w:right w:val="nil"/>
            </w:tcBorders>
            <w:shd w:val="clear" w:color="auto" w:fill="auto"/>
          </w:tcPr>
          <w:p w14:paraId="1731A7B8" w14:textId="77777777" w:rsidR="00AD72CC" w:rsidRPr="00BC0D1F" w:rsidRDefault="00AD72CC" w:rsidP="00493A42">
            <w:pPr>
              <w:pStyle w:val="TableText"/>
              <w:spacing w:before="120"/>
              <w:ind w:right="284"/>
              <w:jc w:val="right"/>
              <w:rPr>
                <w:b/>
              </w:rPr>
            </w:pPr>
          </w:p>
        </w:tc>
        <w:tc>
          <w:tcPr>
            <w:tcW w:w="2480" w:type="pct"/>
            <w:tcBorders>
              <w:left w:val="nil"/>
              <w:right w:val="nil"/>
            </w:tcBorders>
            <w:shd w:val="clear" w:color="auto" w:fill="auto"/>
          </w:tcPr>
          <w:p w14:paraId="66FBFC41" w14:textId="77777777" w:rsidR="00AD72CC" w:rsidRPr="00BC0D1F" w:rsidRDefault="00AD72CC" w:rsidP="00493A42">
            <w:pPr>
              <w:pStyle w:val="TableText"/>
              <w:spacing w:before="120"/>
              <w:rPr>
                <w:b/>
              </w:rPr>
            </w:pPr>
            <w:r w:rsidRPr="00BC0D1F">
              <w:rPr>
                <w:b/>
              </w:rPr>
              <w:t>Planning and funding support systems</w:t>
            </w:r>
          </w:p>
        </w:tc>
        <w:tc>
          <w:tcPr>
            <w:tcW w:w="927" w:type="pct"/>
            <w:tcBorders>
              <w:left w:val="nil"/>
              <w:right w:val="nil"/>
            </w:tcBorders>
            <w:shd w:val="clear" w:color="auto" w:fill="auto"/>
          </w:tcPr>
          <w:p w14:paraId="6C092797" w14:textId="77777777" w:rsidR="00AD72CC" w:rsidRPr="00BC0D1F" w:rsidRDefault="00AD72CC" w:rsidP="00493A42">
            <w:pPr>
              <w:pStyle w:val="TableText"/>
              <w:spacing w:before="120"/>
              <w:ind w:right="113"/>
              <w:jc w:val="right"/>
              <w:rPr>
                <w:b/>
              </w:rPr>
            </w:pPr>
          </w:p>
        </w:tc>
        <w:tc>
          <w:tcPr>
            <w:tcW w:w="766" w:type="pct"/>
            <w:tcBorders>
              <w:left w:val="nil"/>
            </w:tcBorders>
            <w:shd w:val="clear" w:color="auto" w:fill="D9D9D9"/>
          </w:tcPr>
          <w:p w14:paraId="3640BBA6" w14:textId="77777777" w:rsidR="00AD72CC" w:rsidRPr="00BC0D1F" w:rsidRDefault="00AD72CC" w:rsidP="00493A42">
            <w:pPr>
              <w:pStyle w:val="TableText"/>
              <w:spacing w:before="120"/>
              <w:ind w:right="113"/>
              <w:jc w:val="right"/>
              <w:rPr>
                <w:b/>
              </w:rPr>
            </w:pPr>
          </w:p>
        </w:tc>
      </w:tr>
      <w:tr w:rsidR="00AD72CC" w:rsidRPr="00BC0D1F" w14:paraId="3FDCCE2E" w14:textId="77777777" w:rsidTr="00493A42">
        <w:trPr>
          <w:cantSplit/>
        </w:trPr>
        <w:tc>
          <w:tcPr>
            <w:tcW w:w="827" w:type="pct"/>
            <w:tcBorders>
              <w:right w:val="nil"/>
            </w:tcBorders>
          </w:tcPr>
          <w:p w14:paraId="79504198" w14:textId="77777777" w:rsidR="00AD72CC" w:rsidRPr="00BC0D1F" w:rsidRDefault="00AD72CC" w:rsidP="00493A42">
            <w:pPr>
              <w:pStyle w:val="TableText"/>
              <w:ind w:right="284"/>
              <w:jc w:val="right"/>
            </w:pPr>
            <w:r w:rsidRPr="00BC0D1F">
              <w:t>Achieved</w:t>
            </w:r>
          </w:p>
        </w:tc>
        <w:tc>
          <w:tcPr>
            <w:tcW w:w="2480" w:type="pct"/>
            <w:tcBorders>
              <w:left w:val="nil"/>
              <w:right w:val="nil"/>
            </w:tcBorders>
          </w:tcPr>
          <w:p w14:paraId="16F153A4" w14:textId="77777777" w:rsidR="00AD72CC" w:rsidRPr="00BC0D1F" w:rsidRDefault="00AD72CC" w:rsidP="00493A42">
            <w:pPr>
              <w:pStyle w:val="TableText"/>
            </w:pPr>
            <w:r w:rsidRPr="00BC0D1F">
              <w:t>Planning and funding advice for the financial year is provided to Crown entities by 31 December</w:t>
            </w:r>
          </w:p>
        </w:tc>
        <w:tc>
          <w:tcPr>
            <w:tcW w:w="927" w:type="pct"/>
            <w:tcBorders>
              <w:left w:val="nil"/>
              <w:right w:val="nil"/>
            </w:tcBorders>
          </w:tcPr>
          <w:p w14:paraId="432271F3" w14:textId="77777777" w:rsidR="00AD72CC" w:rsidRPr="00BC0D1F" w:rsidRDefault="00AD72CC" w:rsidP="00493A42">
            <w:pPr>
              <w:pStyle w:val="TableText"/>
              <w:ind w:right="113"/>
              <w:jc w:val="right"/>
            </w:pPr>
            <w:r w:rsidRPr="00BC0D1F">
              <w:t>Achieved</w:t>
            </w:r>
          </w:p>
        </w:tc>
        <w:tc>
          <w:tcPr>
            <w:tcW w:w="766" w:type="pct"/>
            <w:tcBorders>
              <w:left w:val="nil"/>
            </w:tcBorders>
            <w:shd w:val="clear" w:color="auto" w:fill="D9D9D9"/>
          </w:tcPr>
          <w:p w14:paraId="1B7A5A09" w14:textId="77777777" w:rsidR="00AD72CC" w:rsidRPr="00BC0D1F" w:rsidRDefault="00AD72CC" w:rsidP="00493A42">
            <w:pPr>
              <w:pStyle w:val="TableText"/>
              <w:ind w:right="113"/>
              <w:jc w:val="right"/>
            </w:pPr>
            <w:r w:rsidRPr="00BC0D1F">
              <w:t>Achieved</w:t>
            </w:r>
          </w:p>
        </w:tc>
      </w:tr>
      <w:tr w:rsidR="00AD72CC" w:rsidRPr="00BC0D1F" w14:paraId="7FE8A68D" w14:textId="77777777" w:rsidTr="00493A42">
        <w:trPr>
          <w:cantSplit/>
        </w:trPr>
        <w:tc>
          <w:tcPr>
            <w:tcW w:w="827" w:type="pct"/>
            <w:tcBorders>
              <w:bottom w:val="nil"/>
              <w:right w:val="nil"/>
            </w:tcBorders>
          </w:tcPr>
          <w:p w14:paraId="14DE9C6C" w14:textId="77777777" w:rsidR="00AD72CC" w:rsidRPr="00BC0D1F" w:rsidRDefault="00AD72CC" w:rsidP="00493A42">
            <w:pPr>
              <w:pStyle w:val="TableText"/>
              <w:ind w:right="284"/>
              <w:jc w:val="right"/>
            </w:pPr>
            <w:r w:rsidRPr="00BC0D1F">
              <w:t>Achieved</w:t>
            </w:r>
          </w:p>
        </w:tc>
        <w:tc>
          <w:tcPr>
            <w:tcW w:w="2480" w:type="pct"/>
            <w:tcBorders>
              <w:left w:val="nil"/>
              <w:bottom w:val="nil"/>
              <w:right w:val="nil"/>
            </w:tcBorders>
          </w:tcPr>
          <w:p w14:paraId="3B238951" w14:textId="77777777" w:rsidR="00AD72CC" w:rsidRPr="00BC0D1F" w:rsidRDefault="00AD72CC" w:rsidP="00493A42">
            <w:pPr>
              <w:pStyle w:val="TableText"/>
            </w:pPr>
            <w:r w:rsidRPr="00BC0D1F">
              <w:t>The Ministry provides the Minister with advice on agreement of all DHB annual plans by 30 June</w:t>
            </w:r>
          </w:p>
        </w:tc>
        <w:tc>
          <w:tcPr>
            <w:tcW w:w="927" w:type="pct"/>
            <w:tcBorders>
              <w:left w:val="nil"/>
              <w:bottom w:val="nil"/>
              <w:right w:val="nil"/>
            </w:tcBorders>
          </w:tcPr>
          <w:p w14:paraId="5D57B719" w14:textId="77777777" w:rsidR="00AD72CC" w:rsidRPr="00BC0D1F" w:rsidRDefault="00AD72CC" w:rsidP="00493A42">
            <w:pPr>
              <w:pStyle w:val="TableText"/>
              <w:ind w:right="113"/>
              <w:jc w:val="right"/>
            </w:pPr>
            <w:r w:rsidRPr="00BC0D1F">
              <w:t>Achieved</w:t>
            </w:r>
          </w:p>
        </w:tc>
        <w:tc>
          <w:tcPr>
            <w:tcW w:w="766" w:type="pct"/>
            <w:tcBorders>
              <w:left w:val="nil"/>
              <w:bottom w:val="nil"/>
            </w:tcBorders>
            <w:shd w:val="clear" w:color="auto" w:fill="D9D9D9"/>
          </w:tcPr>
          <w:p w14:paraId="09182FA6" w14:textId="77777777" w:rsidR="00AD72CC" w:rsidRPr="00BC0D1F" w:rsidRDefault="00AD72CC" w:rsidP="00493A42">
            <w:pPr>
              <w:pStyle w:val="TableText"/>
              <w:ind w:right="113"/>
              <w:jc w:val="right"/>
            </w:pPr>
            <w:r w:rsidRPr="00BC0D1F">
              <w:t>Achieved</w:t>
            </w:r>
          </w:p>
        </w:tc>
      </w:tr>
      <w:tr w:rsidR="00AD72CC" w:rsidRPr="00BC0D1F" w14:paraId="7042C3A4" w14:textId="77777777" w:rsidTr="00493A42">
        <w:trPr>
          <w:cantSplit/>
        </w:trPr>
        <w:tc>
          <w:tcPr>
            <w:tcW w:w="827" w:type="pct"/>
            <w:tcBorders>
              <w:top w:val="nil"/>
              <w:bottom w:val="nil"/>
              <w:right w:val="nil"/>
            </w:tcBorders>
          </w:tcPr>
          <w:p w14:paraId="1B4A78B8" w14:textId="77777777" w:rsidR="00AD72CC" w:rsidRPr="00BC0D1F" w:rsidRDefault="00AD72CC" w:rsidP="00493A42">
            <w:pPr>
              <w:pStyle w:val="TableText"/>
              <w:spacing w:before="120"/>
              <w:ind w:right="284"/>
              <w:jc w:val="right"/>
              <w:rPr>
                <w:b/>
              </w:rPr>
            </w:pPr>
          </w:p>
        </w:tc>
        <w:tc>
          <w:tcPr>
            <w:tcW w:w="2480" w:type="pct"/>
            <w:tcBorders>
              <w:top w:val="nil"/>
              <w:left w:val="nil"/>
              <w:bottom w:val="nil"/>
              <w:right w:val="nil"/>
            </w:tcBorders>
          </w:tcPr>
          <w:p w14:paraId="1305EA50" w14:textId="77777777" w:rsidR="00AD72CC" w:rsidRPr="00BC0D1F" w:rsidRDefault="00AD72CC" w:rsidP="00493A42">
            <w:pPr>
              <w:pStyle w:val="TableText"/>
              <w:spacing w:before="120"/>
              <w:rPr>
                <w:b/>
              </w:rPr>
            </w:pPr>
            <w:r w:rsidRPr="00BC0D1F">
              <w:rPr>
                <w:b/>
              </w:rPr>
              <w:t>Performance monitoring</w:t>
            </w:r>
          </w:p>
        </w:tc>
        <w:tc>
          <w:tcPr>
            <w:tcW w:w="927" w:type="pct"/>
            <w:tcBorders>
              <w:top w:val="nil"/>
              <w:left w:val="nil"/>
              <w:bottom w:val="nil"/>
              <w:right w:val="nil"/>
            </w:tcBorders>
          </w:tcPr>
          <w:p w14:paraId="64FAACC4" w14:textId="77777777" w:rsidR="00AD72CC" w:rsidRPr="00BC0D1F" w:rsidRDefault="00AD72CC" w:rsidP="00493A42">
            <w:pPr>
              <w:pStyle w:val="TableText"/>
              <w:spacing w:before="120"/>
              <w:ind w:right="113"/>
              <w:jc w:val="right"/>
              <w:rPr>
                <w:b/>
              </w:rPr>
            </w:pPr>
          </w:p>
        </w:tc>
        <w:tc>
          <w:tcPr>
            <w:tcW w:w="766" w:type="pct"/>
            <w:tcBorders>
              <w:top w:val="nil"/>
              <w:left w:val="nil"/>
              <w:bottom w:val="nil"/>
            </w:tcBorders>
            <w:shd w:val="clear" w:color="auto" w:fill="D9D9D9"/>
          </w:tcPr>
          <w:p w14:paraId="7FC2D3C2" w14:textId="77777777" w:rsidR="00AD72CC" w:rsidRPr="00BC0D1F" w:rsidRDefault="00AD72CC" w:rsidP="00493A42">
            <w:pPr>
              <w:pStyle w:val="TableText"/>
              <w:spacing w:before="120"/>
              <w:ind w:right="113"/>
              <w:jc w:val="right"/>
              <w:rPr>
                <w:b/>
              </w:rPr>
            </w:pPr>
          </w:p>
        </w:tc>
      </w:tr>
      <w:tr w:rsidR="00AD72CC" w:rsidRPr="00BC0D1F" w14:paraId="4E347597" w14:textId="77777777" w:rsidTr="00493A42">
        <w:trPr>
          <w:cantSplit/>
        </w:trPr>
        <w:tc>
          <w:tcPr>
            <w:tcW w:w="827" w:type="pct"/>
            <w:tcBorders>
              <w:top w:val="nil"/>
              <w:bottom w:val="nil"/>
              <w:right w:val="nil"/>
            </w:tcBorders>
          </w:tcPr>
          <w:p w14:paraId="4C5868AF" w14:textId="77777777" w:rsidR="00AD72CC" w:rsidRPr="00BC0D1F" w:rsidRDefault="00AD72CC" w:rsidP="00493A42">
            <w:pPr>
              <w:pStyle w:val="TableText"/>
              <w:ind w:right="284"/>
              <w:jc w:val="right"/>
            </w:pPr>
            <w:r w:rsidRPr="00BC0D1F">
              <w:t>100%</w:t>
            </w:r>
          </w:p>
        </w:tc>
        <w:tc>
          <w:tcPr>
            <w:tcW w:w="2480" w:type="pct"/>
            <w:tcBorders>
              <w:top w:val="nil"/>
              <w:left w:val="nil"/>
              <w:bottom w:val="nil"/>
              <w:right w:val="nil"/>
            </w:tcBorders>
          </w:tcPr>
          <w:p w14:paraId="76B4D005" w14:textId="77777777" w:rsidR="00AD72CC" w:rsidRPr="00BC0D1F" w:rsidRDefault="00AD72CC" w:rsidP="00493A42">
            <w:pPr>
              <w:pStyle w:val="TableText"/>
            </w:pPr>
            <w:r w:rsidRPr="00BC0D1F">
              <w:t>The percentage of monitoring feedback reports about performance supplied to DHBs within agreed timeframes</w:t>
            </w:r>
          </w:p>
        </w:tc>
        <w:tc>
          <w:tcPr>
            <w:tcW w:w="927" w:type="pct"/>
            <w:tcBorders>
              <w:top w:val="nil"/>
              <w:left w:val="nil"/>
              <w:bottom w:val="nil"/>
              <w:right w:val="nil"/>
            </w:tcBorders>
          </w:tcPr>
          <w:p w14:paraId="119D56D7" w14:textId="77777777" w:rsidR="00AD72CC" w:rsidRPr="00BC0D1F" w:rsidRDefault="00AD72CC" w:rsidP="00493A42">
            <w:pPr>
              <w:pStyle w:val="TableText"/>
              <w:ind w:right="113"/>
              <w:jc w:val="right"/>
            </w:pPr>
            <w:r w:rsidRPr="00BC0D1F">
              <w:t>90%</w:t>
            </w:r>
          </w:p>
        </w:tc>
        <w:tc>
          <w:tcPr>
            <w:tcW w:w="766" w:type="pct"/>
            <w:tcBorders>
              <w:top w:val="nil"/>
              <w:left w:val="nil"/>
              <w:bottom w:val="nil"/>
            </w:tcBorders>
            <w:shd w:val="clear" w:color="auto" w:fill="D9D9D9"/>
          </w:tcPr>
          <w:p w14:paraId="5C1935DE" w14:textId="77777777" w:rsidR="00AD72CC" w:rsidRPr="00BC0D1F" w:rsidRDefault="00AD72CC" w:rsidP="00493A42">
            <w:pPr>
              <w:pStyle w:val="TableText"/>
              <w:ind w:right="113"/>
              <w:jc w:val="right"/>
            </w:pPr>
            <w:r w:rsidRPr="00BC0D1F">
              <w:t>100%</w:t>
            </w:r>
          </w:p>
        </w:tc>
      </w:tr>
      <w:tr w:rsidR="00AD72CC" w:rsidRPr="00BC0D1F" w14:paraId="4BC54120" w14:textId="77777777" w:rsidTr="00493A42">
        <w:trPr>
          <w:cantSplit/>
        </w:trPr>
        <w:tc>
          <w:tcPr>
            <w:tcW w:w="827" w:type="pct"/>
            <w:tcBorders>
              <w:top w:val="nil"/>
              <w:bottom w:val="nil"/>
              <w:right w:val="nil"/>
            </w:tcBorders>
          </w:tcPr>
          <w:p w14:paraId="4D9009EE" w14:textId="77777777" w:rsidR="00AD72CC" w:rsidRPr="00BC0D1F" w:rsidRDefault="00AD72CC" w:rsidP="00493A42">
            <w:pPr>
              <w:pStyle w:val="TableText"/>
              <w:ind w:right="284"/>
              <w:jc w:val="right"/>
            </w:pPr>
            <w:r w:rsidRPr="00BC0D1F">
              <w:t>100%</w:t>
            </w:r>
          </w:p>
        </w:tc>
        <w:tc>
          <w:tcPr>
            <w:tcW w:w="2480" w:type="pct"/>
            <w:tcBorders>
              <w:top w:val="nil"/>
              <w:left w:val="nil"/>
              <w:bottom w:val="nil"/>
              <w:right w:val="nil"/>
            </w:tcBorders>
          </w:tcPr>
          <w:p w14:paraId="29D9D4C4" w14:textId="77777777" w:rsidR="00AD72CC" w:rsidRPr="00BC0D1F" w:rsidRDefault="00AD72CC" w:rsidP="00493A42">
            <w:pPr>
              <w:pStyle w:val="TableText"/>
            </w:pPr>
            <w:r w:rsidRPr="00BC0D1F">
              <w:t>The percentage of all letters to DHBs, with health target performance tables and supporting information, provided to the Minister within 5 working days of the date for publication</w:t>
            </w:r>
          </w:p>
        </w:tc>
        <w:tc>
          <w:tcPr>
            <w:tcW w:w="927" w:type="pct"/>
            <w:tcBorders>
              <w:top w:val="nil"/>
              <w:left w:val="nil"/>
              <w:bottom w:val="nil"/>
              <w:right w:val="nil"/>
            </w:tcBorders>
          </w:tcPr>
          <w:p w14:paraId="24C42CDC" w14:textId="77777777" w:rsidR="00AD72CC" w:rsidRPr="00BC0D1F" w:rsidRDefault="00AD72CC" w:rsidP="00493A42">
            <w:pPr>
              <w:pStyle w:val="TableText"/>
              <w:ind w:right="113"/>
              <w:jc w:val="right"/>
            </w:pPr>
            <w:r w:rsidRPr="00BC0D1F">
              <w:t>100%</w:t>
            </w:r>
          </w:p>
        </w:tc>
        <w:tc>
          <w:tcPr>
            <w:tcW w:w="766" w:type="pct"/>
            <w:tcBorders>
              <w:top w:val="nil"/>
              <w:left w:val="nil"/>
              <w:bottom w:val="nil"/>
            </w:tcBorders>
            <w:shd w:val="clear" w:color="auto" w:fill="D9D9D9"/>
          </w:tcPr>
          <w:p w14:paraId="14F9BC9B" w14:textId="77777777" w:rsidR="00AD72CC" w:rsidRPr="00BC0D1F" w:rsidRDefault="00AD72CC" w:rsidP="00493A42">
            <w:pPr>
              <w:pStyle w:val="TableText"/>
              <w:ind w:right="113"/>
              <w:jc w:val="right"/>
            </w:pPr>
            <w:r w:rsidRPr="00BC0D1F">
              <w:t>100%</w:t>
            </w:r>
          </w:p>
        </w:tc>
      </w:tr>
      <w:tr w:rsidR="00AD72CC" w:rsidRPr="00BC0D1F" w14:paraId="6025ACEB" w14:textId="77777777" w:rsidTr="00493A42">
        <w:trPr>
          <w:cantSplit/>
        </w:trPr>
        <w:tc>
          <w:tcPr>
            <w:tcW w:w="827" w:type="pct"/>
            <w:tcBorders>
              <w:top w:val="nil"/>
              <w:bottom w:val="nil"/>
              <w:right w:val="nil"/>
            </w:tcBorders>
          </w:tcPr>
          <w:p w14:paraId="69605904" w14:textId="77777777" w:rsidR="00AD72CC" w:rsidRPr="00BC0D1F" w:rsidRDefault="00AD72CC" w:rsidP="00493A42">
            <w:pPr>
              <w:pStyle w:val="TableText"/>
              <w:ind w:right="284"/>
              <w:jc w:val="right"/>
            </w:pPr>
            <w:r w:rsidRPr="00BC0D1F">
              <w:t>50%</w:t>
            </w:r>
          </w:p>
        </w:tc>
        <w:tc>
          <w:tcPr>
            <w:tcW w:w="2480" w:type="pct"/>
            <w:tcBorders>
              <w:top w:val="nil"/>
              <w:left w:val="nil"/>
              <w:bottom w:val="nil"/>
              <w:right w:val="nil"/>
            </w:tcBorders>
          </w:tcPr>
          <w:p w14:paraId="3043D9FA" w14:textId="77777777" w:rsidR="00AD72CC" w:rsidRPr="00BC0D1F" w:rsidRDefault="00AD72CC" w:rsidP="00493A42">
            <w:pPr>
              <w:pStyle w:val="TableText"/>
            </w:pPr>
            <w:r w:rsidRPr="00BC0D1F">
              <w:t>The percentage of quarterly and monthly monitoring reports about DHBs provided to the Minister within agreed timeframes</w:t>
            </w:r>
          </w:p>
        </w:tc>
        <w:tc>
          <w:tcPr>
            <w:tcW w:w="927" w:type="pct"/>
            <w:tcBorders>
              <w:top w:val="nil"/>
              <w:left w:val="nil"/>
              <w:bottom w:val="nil"/>
              <w:right w:val="nil"/>
            </w:tcBorders>
          </w:tcPr>
          <w:p w14:paraId="360E1866" w14:textId="77777777" w:rsidR="00AD72CC" w:rsidRPr="00BC0D1F" w:rsidRDefault="00AD72CC" w:rsidP="00493A42">
            <w:pPr>
              <w:pStyle w:val="TableText"/>
              <w:ind w:right="113"/>
              <w:jc w:val="right"/>
            </w:pPr>
            <w:r w:rsidRPr="00BC0D1F">
              <w:t>100%</w:t>
            </w:r>
          </w:p>
        </w:tc>
        <w:tc>
          <w:tcPr>
            <w:tcW w:w="766" w:type="pct"/>
            <w:tcBorders>
              <w:top w:val="nil"/>
              <w:left w:val="nil"/>
              <w:bottom w:val="nil"/>
            </w:tcBorders>
            <w:shd w:val="clear" w:color="auto" w:fill="D9D9D9"/>
          </w:tcPr>
          <w:p w14:paraId="55CACCF5" w14:textId="77777777" w:rsidR="00AD72CC" w:rsidRPr="00BC0D1F" w:rsidRDefault="00AD72CC" w:rsidP="00493A42">
            <w:pPr>
              <w:pStyle w:val="TableText"/>
              <w:ind w:right="113"/>
              <w:jc w:val="right"/>
            </w:pPr>
            <w:r w:rsidRPr="00BC0D1F">
              <w:t>55%</w:t>
            </w:r>
            <w:r w:rsidRPr="00BC0D1F">
              <w:br/>
              <w:t>(see Note A)</w:t>
            </w:r>
          </w:p>
        </w:tc>
      </w:tr>
      <w:tr w:rsidR="00AD72CC" w:rsidRPr="00BC0D1F" w14:paraId="2661DBE2" w14:textId="77777777" w:rsidTr="00493A42">
        <w:trPr>
          <w:cantSplit/>
        </w:trPr>
        <w:tc>
          <w:tcPr>
            <w:tcW w:w="827" w:type="pct"/>
            <w:tcBorders>
              <w:top w:val="nil"/>
              <w:bottom w:val="nil"/>
              <w:right w:val="nil"/>
            </w:tcBorders>
          </w:tcPr>
          <w:p w14:paraId="20678C03" w14:textId="77777777" w:rsidR="00AD72CC" w:rsidRPr="00BC0D1F" w:rsidRDefault="00AD72CC" w:rsidP="00493A42">
            <w:pPr>
              <w:pStyle w:val="TableText"/>
              <w:ind w:right="284"/>
              <w:jc w:val="right"/>
            </w:pPr>
            <w:r w:rsidRPr="00BC0D1F">
              <w:t>100%</w:t>
            </w:r>
          </w:p>
        </w:tc>
        <w:tc>
          <w:tcPr>
            <w:tcW w:w="2480" w:type="pct"/>
            <w:tcBorders>
              <w:top w:val="nil"/>
              <w:left w:val="nil"/>
              <w:bottom w:val="nil"/>
              <w:right w:val="nil"/>
            </w:tcBorders>
          </w:tcPr>
          <w:p w14:paraId="3F73245C" w14:textId="77777777" w:rsidR="00AD72CC" w:rsidRPr="00BC0D1F" w:rsidRDefault="00AD72CC" w:rsidP="00493A42">
            <w:pPr>
              <w:pStyle w:val="TableText"/>
            </w:pPr>
            <w:r w:rsidRPr="00BC0D1F">
              <w:t>The percentage of quarterly and monthly monitoring reports about Crown entities (excluding DHBs) provided to the Minister within agreed timeframes</w:t>
            </w:r>
          </w:p>
        </w:tc>
        <w:tc>
          <w:tcPr>
            <w:tcW w:w="927" w:type="pct"/>
            <w:tcBorders>
              <w:top w:val="nil"/>
              <w:left w:val="nil"/>
              <w:bottom w:val="nil"/>
              <w:right w:val="nil"/>
            </w:tcBorders>
          </w:tcPr>
          <w:p w14:paraId="3F46AC06" w14:textId="77777777" w:rsidR="00AD72CC" w:rsidRPr="00BC0D1F" w:rsidRDefault="00AD72CC" w:rsidP="00493A42">
            <w:pPr>
              <w:pStyle w:val="TableText"/>
              <w:ind w:right="113"/>
              <w:jc w:val="right"/>
            </w:pPr>
            <w:r w:rsidRPr="00BC0D1F">
              <w:t>100%</w:t>
            </w:r>
          </w:p>
        </w:tc>
        <w:tc>
          <w:tcPr>
            <w:tcW w:w="766" w:type="pct"/>
            <w:tcBorders>
              <w:top w:val="nil"/>
              <w:left w:val="nil"/>
              <w:bottom w:val="nil"/>
            </w:tcBorders>
            <w:shd w:val="clear" w:color="auto" w:fill="D9D9D9"/>
          </w:tcPr>
          <w:p w14:paraId="15422A6A" w14:textId="77777777" w:rsidR="00AD72CC" w:rsidRPr="00BC0D1F" w:rsidRDefault="00AD72CC" w:rsidP="00493A42">
            <w:pPr>
              <w:pStyle w:val="TableText"/>
              <w:ind w:right="113"/>
              <w:jc w:val="right"/>
              <w:rPr>
                <w:highlight w:val="yellow"/>
              </w:rPr>
            </w:pPr>
            <w:r w:rsidRPr="00BC0D1F">
              <w:t>100%</w:t>
            </w:r>
          </w:p>
        </w:tc>
      </w:tr>
      <w:tr w:rsidR="00AD72CC" w:rsidRPr="00BC0D1F" w14:paraId="3E9B9070" w14:textId="77777777" w:rsidTr="00493A42">
        <w:trPr>
          <w:cantSplit/>
        </w:trPr>
        <w:tc>
          <w:tcPr>
            <w:tcW w:w="827" w:type="pct"/>
            <w:tcBorders>
              <w:top w:val="nil"/>
              <w:bottom w:val="nil"/>
              <w:right w:val="nil"/>
            </w:tcBorders>
          </w:tcPr>
          <w:p w14:paraId="133D297F" w14:textId="77777777" w:rsidR="00AD72CC" w:rsidRPr="00BC0D1F" w:rsidRDefault="00AD72CC" w:rsidP="00493A42">
            <w:pPr>
              <w:pStyle w:val="TableText"/>
              <w:spacing w:before="120"/>
              <w:ind w:right="284"/>
              <w:jc w:val="right"/>
            </w:pPr>
          </w:p>
        </w:tc>
        <w:tc>
          <w:tcPr>
            <w:tcW w:w="2480" w:type="pct"/>
            <w:tcBorders>
              <w:top w:val="nil"/>
              <w:left w:val="nil"/>
              <w:bottom w:val="nil"/>
              <w:right w:val="nil"/>
            </w:tcBorders>
          </w:tcPr>
          <w:p w14:paraId="2C6DB00D" w14:textId="77777777" w:rsidR="00AD72CC" w:rsidRPr="00BC0D1F" w:rsidRDefault="00AD72CC" w:rsidP="00493A42">
            <w:pPr>
              <w:pStyle w:val="TableText"/>
              <w:spacing w:before="120"/>
            </w:pPr>
            <w:r w:rsidRPr="00BC0D1F">
              <w:rPr>
                <w:b/>
              </w:rPr>
              <w:t>Emergency response</w:t>
            </w:r>
          </w:p>
        </w:tc>
        <w:tc>
          <w:tcPr>
            <w:tcW w:w="927" w:type="pct"/>
            <w:tcBorders>
              <w:top w:val="nil"/>
              <w:left w:val="nil"/>
              <w:bottom w:val="nil"/>
              <w:right w:val="nil"/>
            </w:tcBorders>
          </w:tcPr>
          <w:p w14:paraId="07079E12" w14:textId="77777777" w:rsidR="00AD72CC" w:rsidRPr="00BC0D1F" w:rsidRDefault="00AD72CC" w:rsidP="00493A42">
            <w:pPr>
              <w:pStyle w:val="TableText"/>
              <w:spacing w:before="120"/>
              <w:ind w:right="113"/>
              <w:jc w:val="right"/>
              <w:rPr>
                <w:color w:val="000000"/>
              </w:rPr>
            </w:pPr>
          </w:p>
        </w:tc>
        <w:tc>
          <w:tcPr>
            <w:tcW w:w="766" w:type="pct"/>
            <w:tcBorders>
              <w:top w:val="nil"/>
              <w:left w:val="nil"/>
              <w:bottom w:val="nil"/>
            </w:tcBorders>
            <w:shd w:val="clear" w:color="auto" w:fill="D9D9D9"/>
          </w:tcPr>
          <w:p w14:paraId="4A47C69F" w14:textId="77777777" w:rsidR="00AD72CC" w:rsidRPr="00BC0D1F" w:rsidRDefault="00AD72CC" w:rsidP="00493A42">
            <w:pPr>
              <w:pStyle w:val="TableText"/>
              <w:spacing w:before="120"/>
              <w:ind w:right="113"/>
              <w:jc w:val="right"/>
            </w:pPr>
          </w:p>
        </w:tc>
      </w:tr>
      <w:tr w:rsidR="00AD72CC" w:rsidRPr="00BC0D1F" w14:paraId="52D72984" w14:textId="77777777" w:rsidTr="00493A42">
        <w:trPr>
          <w:cantSplit/>
        </w:trPr>
        <w:tc>
          <w:tcPr>
            <w:tcW w:w="827" w:type="pct"/>
            <w:tcBorders>
              <w:top w:val="nil"/>
              <w:bottom w:val="nil"/>
              <w:right w:val="nil"/>
            </w:tcBorders>
          </w:tcPr>
          <w:p w14:paraId="7100E7E2" w14:textId="77777777" w:rsidR="00AD72CC" w:rsidRPr="00BC0D1F" w:rsidRDefault="00AD72CC" w:rsidP="00493A42">
            <w:pPr>
              <w:pStyle w:val="TableText"/>
              <w:ind w:right="284"/>
              <w:jc w:val="right"/>
            </w:pPr>
            <w:r w:rsidRPr="00BC0D1F">
              <w:t>Within 2 hours</w:t>
            </w:r>
          </w:p>
        </w:tc>
        <w:tc>
          <w:tcPr>
            <w:tcW w:w="2480" w:type="pct"/>
            <w:tcBorders>
              <w:top w:val="nil"/>
              <w:left w:val="nil"/>
              <w:bottom w:val="nil"/>
              <w:right w:val="nil"/>
            </w:tcBorders>
          </w:tcPr>
          <w:p w14:paraId="4ACCC914" w14:textId="77777777" w:rsidR="00AD72CC" w:rsidRPr="00BC0D1F" w:rsidRDefault="00AD72CC" w:rsidP="00493A42">
            <w:pPr>
              <w:pStyle w:val="TableText"/>
            </w:pPr>
            <w:r w:rsidRPr="00BC0D1F">
              <w:t>Percentage of emergency responses to national emergencies is available within 2 hours</w:t>
            </w:r>
          </w:p>
        </w:tc>
        <w:tc>
          <w:tcPr>
            <w:tcW w:w="927" w:type="pct"/>
            <w:tcBorders>
              <w:top w:val="nil"/>
              <w:left w:val="nil"/>
              <w:bottom w:val="nil"/>
              <w:right w:val="nil"/>
            </w:tcBorders>
          </w:tcPr>
          <w:p w14:paraId="2D4AE766" w14:textId="77777777" w:rsidR="00AD72CC" w:rsidRPr="00BC0D1F" w:rsidRDefault="00AD72CC" w:rsidP="00493A42">
            <w:pPr>
              <w:pStyle w:val="TableText"/>
              <w:ind w:right="113"/>
              <w:jc w:val="right"/>
              <w:rPr>
                <w:color w:val="000000"/>
              </w:rPr>
            </w:pPr>
            <w:r w:rsidRPr="00BC0D1F">
              <w:rPr>
                <w:color w:val="000000"/>
              </w:rPr>
              <w:t>100%</w:t>
            </w:r>
          </w:p>
        </w:tc>
        <w:tc>
          <w:tcPr>
            <w:tcW w:w="766" w:type="pct"/>
            <w:tcBorders>
              <w:top w:val="nil"/>
              <w:left w:val="nil"/>
              <w:bottom w:val="nil"/>
            </w:tcBorders>
            <w:shd w:val="clear" w:color="auto" w:fill="D9D9D9"/>
          </w:tcPr>
          <w:p w14:paraId="2D9BF372" w14:textId="77777777" w:rsidR="00AD72CC" w:rsidRPr="00BC0D1F" w:rsidRDefault="00AD72CC" w:rsidP="00493A42">
            <w:pPr>
              <w:pStyle w:val="TableText"/>
              <w:ind w:right="113"/>
              <w:jc w:val="right"/>
            </w:pPr>
            <w:r w:rsidRPr="00BC0D1F">
              <w:t>100%</w:t>
            </w:r>
          </w:p>
        </w:tc>
      </w:tr>
      <w:tr w:rsidR="00AD72CC" w:rsidRPr="00BC0D1F" w14:paraId="67B67D15" w14:textId="77777777" w:rsidTr="00493A42">
        <w:trPr>
          <w:cantSplit/>
        </w:trPr>
        <w:tc>
          <w:tcPr>
            <w:tcW w:w="827" w:type="pct"/>
            <w:tcBorders>
              <w:top w:val="nil"/>
              <w:bottom w:val="nil"/>
              <w:right w:val="nil"/>
            </w:tcBorders>
          </w:tcPr>
          <w:p w14:paraId="23608346" w14:textId="77777777" w:rsidR="00AD72CC" w:rsidRPr="00BC0D1F" w:rsidRDefault="00AD72CC" w:rsidP="00493A42">
            <w:pPr>
              <w:pStyle w:val="TableText"/>
              <w:ind w:right="284"/>
              <w:jc w:val="right"/>
            </w:pPr>
            <w:r w:rsidRPr="00BC0D1F">
              <w:t>5 people</w:t>
            </w:r>
          </w:p>
        </w:tc>
        <w:tc>
          <w:tcPr>
            <w:tcW w:w="2480" w:type="pct"/>
            <w:tcBorders>
              <w:top w:val="nil"/>
              <w:left w:val="nil"/>
              <w:bottom w:val="nil"/>
              <w:right w:val="nil"/>
            </w:tcBorders>
          </w:tcPr>
          <w:p w14:paraId="4898D17F" w14:textId="7CE61BB3" w:rsidR="00AD72CC" w:rsidRPr="00BC0D1F" w:rsidRDefault="00AD72CC">
            <w:pPr>
              <w:pStyle w:val="TableText"/>
            </w:pPr>
            <w:r w:rsidRPr="00BC0D1F">
              <w:t>The number of people who annually receive 2 training/exercise sessions on National Health Coordination Centre (NHCC) activation and response</w:t>
            </w:r>
          </w:p>
        </w:tc>
        <w:tc>
          <w:tcPr>
            <w:tcW w:w="927" w:type="pct"/>
            <w:tcBorders>
              <w:top w:val="nil"/>
              <w:left w:val="nil"/>
              <w:bottom w:val="nil"/>
              <w:right w:val="nil"/>
            </w:tcBorders>
          </w:tcPr>
          <w:p w14:paraId="29A9D067" w14:textId="77777777" w:rsidR="00AD72CC" w:rsidRPr="00BC0D1F" w:rsidRDefault="00AD72CC" w:rsidP="00493A42">
            <w:pPr>
              <w:pStyle w:val="TableText"/>
              <w:ind w:right="113"/>
              <w:jc w:val="right"/>
            </w:pPr>
            <w:r w:rsidRPr="00BC0D1F">
              <w:t>30 people</w:t>
            </w:r>
          </w:p>
        </w:tc>
        <w:tc>
          <w:tcPr>
            <w:tcW w:w="766" w:type="pct"/>
            <w:tcBorders>
              <w:top w:val="nil"/>
              <w:left w:val="nil"/>
              <w:bottom w:val="nil"/>
            </w:tcBorders>
            <w:shd w:val="clear" w:color="auto" w:fill="D9D9D9"/>
          </w:tcPr>
          <w:p w14:paraId="72ACBC08" w14:textId="39FA77A7" w:rsidR="00AD72CC" w:rsidRPr="00BC0D1F" w:rsidRDefault="00AD72CC" w:rsidP="00493A42">
            <w:pPr>
              <w:pStyle w:val="TableText"/>
              <w:ind w:right="113"/>
              <w:jc w:val="right"/>
            </w:pPr>
            <w:r w:rsidRPr="00BC0D1F">
              <w:t>13</w:t>
            </w:r>
            <w:r w:rsidR="00726113">
              <w:t xml:space="preserve"> people</w:t>
            </w:r>
            <w:r w:rsidRPr="00BC0D1F">
              <w:br/>
              <w:t>(see Note B)</w:t>
            </w:r>
          </w:p>
        </w:tc>
      </w:tr>
      <w:tr w:rsidR="00AD72CC" w:rsidRPr="00BC0D1F" w14:paraId="44E72374" w14:textId="77777777" w:rsidTr="00493A42">
        <w:trPr>
          <w:cantSplit/>
        </w:trPr>
        <w:tc>
          <w:tcPr>
            <w:tcW w:w="827" w:type="pct"/>
            <w:tcBorders>
              <w:top w:val="nil"/>
              <w:bottom w:val="nil"/>
              <w:right w:val="nil"/>
            </w:tcBorders>
          </w:tcPr>
          <w:p w14:paraId="5EE98A55" w14:textId="77777777" w:rsidR="00AD72CC" w:rsidRPr="00BC0D1F" w:rsidRDefault="00AD72CC" w:rsidP="00493A42">
            <w:pPr>
              <w:pStyle w:val="TableText"/>
              <w:ind w:right="284"/>
              <w:jc w:val="right"/>
            </w:pPr>
            <w:r w:rsidRPr="00BC0D1F">
              <w:t>Achieved</w:t>
            </w:r>
          </w:p>
        </w:tc>
        <w:tc>
          <w:tcPr>
            <w:tcW w:w="2480" w:type="pct"/>
            <w:tcBorders>
              <w:top w:val="nil"/>
              <w:left w:val="nil"/>
              <w:bottom w:val="nil"/>
              <w:right w:val="nil"/>
            </w:tcBorders>
          </w:tcPr>
          <w:p w14:paraId="406CDAD0" w14:textId="77777777" w:rsidR="00AD72CC" w:rsidRPr="00BC0D1F" w:rsidRDefault="00AD72CC" w:rsidP="00493A42">
            <w:pPr>
              <w:pStyle w:val="TableText"/>
            </w:pPr>
            <w:r w:rsidRPr="00BC0D1F">
              <w:t>Quarterly regional or national health sector emergency planner meetings held in each region</w:t>
            </w:r>
          </w:p>
        </w:tc>
        <w:tc>
          <w:tcPr>
            <w:tcW w:w="927" w:type="pct"/>
            <w:tcBorders>
              <w:top w:val="nil"/>
              <w:left w:val="nil"/>
              <w:bottom w:val="nil"/>
              <w:right w:val="nil"/>
            </w:tcBorders>
          </w:tcPr>
          <w:p w14:paraId="2B1321AD" w14:textId="77777777" w:rsidR="00AD72CC" w:rsidRPr="00BC0D1F" w:rsidRDefault="00AD72CC" w:rsidP="00493A42">
            <w:pPr>
              <w:pStyle w:val="TableText"/>
              <w:ind w:right="113"/>
              <w:jc w:val="right"/>
            </w:pPr>
            <w:r w:rsidRPr="00BC0D1F">
              <w:t>Achieved</w:t>
            </w:r>
          </w:p>
        </w:tc>
        <w:tc>
          <w:tcPr>
            <w:tcW w:w="766" w:type="pct"/>
            <w:tcBorders>
              <w:top w:val="nil"/>
              <w:left w:val="nil"/>
              <w:bottom w:val="nil"/>
            </w:tcBorders>
            <w:shd w:val="clear" w:color="auto" w:fill="D9D9D9"/>
          </w:tcPr>
          <w:p w14:paraId="17FFA199" w14:textId="77777777" w:rsidR="00AD72CC" w:rsidRPr="00BC0D1F" w:rsidRDefault="00AD72CC" w:rsidP="00493A42">
            <w:pPr>
              <w:pStyle w:val="TableText"/>
              <w:ind w:right="113"/>
              <w:jc w:val="right"/>
            </w:pPr>
            <w:r w:rsidRPr="00BC0D1F">
              <w:t>Achieved</w:t>
            </w:r>
          </w:p>
        </w:tc>
      </w:tr>
      <w:tr w:rsidR="00AD72CC" w:rsidRPr="00BC0D1F" w14:paraId="69A1080B" w14:textId="77777777" w:rsidTr="00493A42">
        <w:trPr>
          <w:cantSplit/>
        </w:trPr>
        <w:tc>
          <w:tcPr>
            <w:tcW w:w="827" w:type="pct"/>
            <w:tcBorders>
              <w:top w:val="nil"/>
              <w:bottom w:val="nil"/>
              <w:right w:val="nil"/>
            </w:tcBorders>
          </w:tcPr>
          <w:p w14:paraId="7247EDCF" w14:textId="77777777" w:rsidR="00AD72CC" w:rsidRPr="00BC0D1F" w:rsidRDefault="00AD72CC" w:rsidP="00493A42">
            <w:pPr>
              <w:pStyle w:val="TableText"/>
              <w:spacing w:before="120"/>
              <w:ind w:right="284"/>
              <w:jc w:val="right"/>
              <w:rPr>
                <w:b/>
              </w:rPr>
            </w:pPr>
          </w:p>
        </w:tc>
        <w:tc>
          <w:tcPr>
            <w:tcW w:w="2480" w:type="pct"/>
            <w:tcBorders>
              <w:top w:val="nil"/>
              <w:left w:val="nil"/>
              <w:bottom w:val="nil"/>
              <w:right w:val="nil"/>
            </w:tcBorders>
          </w:tcPr>
          <w:p w14:paraId="4C7B01C7" w14:textId="77777777" w:rsidR="00AD72CC" w:rsidRPr="00BC0D1F" w:rsidRDefault="00AD72CC" w:rsidP="00493A42">
            <w:pPr>
              <w:pStyle w:val="TableText"/>
              <w:spacing w:before="120"/>
              <w:rPr>
                <w:b/>
              </w:rPr>
            </w:pPr>
            <w:r w:rsidRPr="00BC0D1F">
              <w:rPr>
                <w:b/>
              </w:rPr>
              <w:t>Governance</w:t>
            </w:r>
          </w:p>
        </w:tc>
        <w:tc>
          <w:tcPr>
            <w:tcW w:w="927" w:type="pct"/>
            <w:tcBorders>
              <w:top w:val="nil"/>
              <w:left w:val="nil"/>
              <w:bottom w:val="nil"/>
              <w:right w:val="nil"/>
            </w:tcBorders>
          </w:tcPr>
          <w:p w14:paraId="26001892" w14:textId="77777777" w:rsidR="00AD72CC" w:rsidRPr="00BC0D1F" w:rsidRDefault="00AD72CC" w:rsidP="00493A42">
            <w:pPr>
              <w:pStyle w:val="TableText"/>
              <w:spacing w:before="120"/>
              <w:ind w:right="113"/>
              <w:jc w:val="right"/>
              <w:rPr>
                <w:b/>
              </w:rPr>
            </w:pPr>
          </w:p>
        </w:tc>
        <w:tc>
          <w:tcPr>
            <w:tcW w:w="766" w:type="pct"/>
            <w:tcBorders>
              <w:top w:val="nil"/>
              <w:left w:val="nil"/>
              <w:bottom w:val="nil"/>
            </w:tcBorders>
            <w:shd w:val="clear" w:color="auto" w:fill="D9D9D9"/>
          </w:tcPr>
          <w:p w14:paraId="6CBB5461" w14:textId="77777777" w:rsidR="00AD72CC" w:rsidRPr="00BC0D1F" w:rsidRDefault="00AD72CC" w:rsidP="00493A42">
            <w:pPr>
              <w:pStyle w:val="TableText"/>
              <w:spacing w:before="120"/>
              <w:ind w:right="113"/>
              <w:jc w:val="right"/>
              <w:rPr>
                <w:b/>
              </w:rPr>
            </w:pPr>
          </w:p>
        </w:tc>
      </w:tr>
      <w:tr w:rsidR="00AD72CC" w:rsidRPr="00BC0D1F" w14:paraId="6B0068B9" w14:textId="77777777" w:rsidTr="00493A42">
        <w:trPr>
          <w:cantSplit/>
        </w:trPr>
        <w:tc>
          <w:tcPr>
            <w:tcW w:w="827" w:type="pct"/>
            <w:tcBorders>
              <w:top w:val="nil"/>
              <w:bottom w:val="nil"/>
              <w:right w:val="nil"/>
            </w:tcBorders>
          </w:tcPr>
          <w:p w14:paraId="61BE831B" w14:textId="77777777" w:rsidR="00AD72CC" w:rsidRPr="00BC0D1F" w:rsidRDefault="00AD72CC" w:rsidP="00493A42">
            <w:pPr>
              <w:pStyle w:val="TableText"/>
              <w:ind w:right="284"/>
              <w:jc w:val="right"/>
            </w:pPr>
            <w:r w:rsidRPr="00BC0D1F">
              <w:t>100%</w:t>
            </w:r>
          </w:p>
        </w:tc>
        <w:tc>
          <w:tcPr>
            <w:tcW w:w="2480" w:type="pct"/>
            <w:tcBorders>
              <w:top w:val="nil"/>
              <w:left w:val="nil"/>
              <w:bottom w:val="nil"/>
              <w:right w:val="nil"/>
            </w:tcBorders>
          </w:tcPr>
          <w:p w14:paraId="64B89F56" w14:textId="77777777" w:rsidR="00AD72CC" w:rsidRPr="00BC0D1F" w:rsidRDefault="00AD72CC" w:rsidP="00493A42">
            <w:pPr>
              <w:pStyle w:val="TableText"/>
            </w:pPr>
            <w:r w:rsidRPr="00BC0D1F">
              <w:t>The percentage of appointments to DHBs and other health Crown entity boards where advice is presented to the Minister prior to the current appointee</w:t>
            </w:r>
            <w:r w:rsidR="00DF4B9A" w:rsidRPr="00BC0D1F">
              <w:t>’</w:t>
            </w:r>
            <w:r w:rsidRPr="00BC0D1F">
              <w:t>s term expiring</w:t>
            </w:r>
          </w:p>
        </w:tc>
        <w:tc>
          <w:tcPr>
            <w:tcW w:w="927" w:type="pct"/>
            <w:tcBorders>
              <w:top w:val="nil"/>
              <w:left w:val="nil"/>
              <w:bottom w:val="nil"/>
              <w:right w:val="nil"/>
            </w:tcBorders>
          </w:tcPr>
          <w:p w14:paraId="19C5A21A" w14:textId="77777777" w:rsidR="00AD72CC" w:rsidRPr="00BC0D1F" w:rsidRDefault="00AD72CC" w:rsidP="00493A42">
            <w:pPr>
              <w:pStyle w:val="TableText"/>
              <w:ind w:right="113"/>
              <w:jc w:val="right"/>
            </w:pPr>
            <w:r w:rsidRPr="00BC0D1F">
              <w:t>100%</w:t>
            </w:r>
          </w:p>
        </w:tc>
        <w:tc>
          <w:tcPr>
            <w:tcW w:w="766" w:type="pct"/>
            <w:tcBorders>
              <w:top w:val="nil"/>
              <w:left w:val="nil"/>
              <w:bottom w:val="nil"/>
            </w:tcBorders>
            <w:shd w:val="clear" w:color="auto" w:fill="D9D9D9"/>
          </w:tcPr>
          <w:p w14:paraId="4DE87C96" w14:textId="77777777" w:rsidR="00AD72CC" w:rsidRPr="00BC0D1F" w:rsidRDefault="00AD72CC" w:rsidP="00493A42">
            <w:pPr>
              <w:pStyle w:val="TableText"/>
              <w:ind w:right="113"/>
              <w:jc w:val="right"/>
            </w:pPr>
            <w:r w:rsidRPr="00BC0D1F">
              <w:t>100%</w:t>
            </w:r>
          </w:p>
        </w:tc>
      </w:tr>
      <w:tr w:rsidR="00AD72CC" w:rsidRPr="00BC0D1F" w14:paraId="758F759F" w14:textId="77777777" w:rsidTr="00493A42">
        <w:trPr>
          <w:cantSplit/>
        </w:trPr>
        <w:tc>
          <w:tcPr>
            <w:tcW w:w="827" w:type="pct"/>
            <w:tcBorders>
              <w:top w:val="nil"/>
              <w:bottom w:val="single" w:sz="4" w:space="0" w:color="auto"/>
              <w:right w:val="nil"/>
            </w:tcBorders>
          </w:tcPr>
          <w:p w14:paraId="09BE6012" w14:textId="77777777" w:rsidR="00AD72CC" w:rsidRPr="00BC0D1F" w:rsidRDefault="00AD72CC" w:rsidP="00493A42">
            <w:pPr>
              <w:pStyle w:val="TableText"/>
              <w:ind w:right="284"/>
              <w:jc w:val="right"/>
            </w:pPr>
            <w:r w:rsidRPr="00BC0D1F">
              <w:t>7</w:t>
            </w:r>
          </w:p>
        </w:tc>
        <w:tc>
          <w:tcPr>
            <w:tcW w:w="2480" w:type="pct"/>
            <w:tcBorders>
              <w:top w:val="nil"/>
              <w:left w:val="nil"/>
              <w:bottom w:val="single" w:sz="4" w:space="0" w:color="auto"/>
              <w:right w:val="nil"/>
            </w:tcBorders>
          </w:tcPr>
          <w:p w14:paraId="67784484" w14:textId="77777777" w:rsidR="00AD72CC" w:rsidRPr="00BC0D1F" w:rsidRDefault="00AD72CC" w:rsidP="00493A42">
            <w:pPr>
              <w:pStyle w:val="TableText"/>
            </w:pPr>
            <w:r w:rsidRPr="00BC0D1F">
              <w:t>The number of appointments to DHBs and other health Crown entity boards</w:t>
            </w:r>
          </w:p>
        </w:tc>
        <w:tc>
          <w:tcPr>
            <w:tcW w:w="927" w:type="pct"/>
            <w:tcBorders>
              <w:top w:val="nil"/>
              <w:left w:val="nil"/>
              <w:bottom w:val="single" w:sz="4" w:space="0" w:color="auto"/>
              <w:right w:val="nil"/>
            </w:tcBorders>
          </w:tcPr>
          <w:p w14:paraId="0BE95BB7" w14:textId="77777777" w:rsidR="00AD72CC" w:rsidRPr="00BC0D1F" w:rsidRDefault="00AD72CC" w:rsidP="00493A42">
            <w:pPr>
              <w:pStyle w:val="TableText"/>
              <w:ind w:right="113"/>
              <w:jc w:val="right"/>
              <w:rPr>
                <w:color w:val="000000"/>
              </w:rPr>
            </w:pPr>
            <w:r w:rsidRPr="00BC0D1F">
              <w:rPr>
                <w:color w:val="000000"/>
              </w:rPr>
              <w:t>15</w:t>
            </w:r>
          </w:p>
        </w:tc>
        <w:tc>
          <w:tcPr>
            <w:tcW w:w="766" w:type="pct"/>
            <w:tcBorders>
              <w:top w:val="nil"/>
              <w:left w:val="nil"/>
              <w:bottom w:val="single" w:sz="4" w:space="0" w:color="auto"/>
            </w:tcBorders>
            <w:shd w:val="clear" w:color="auto" w:fill="D9D9D9"/>
          </w:tcPr>
          <w:p w14:paraId="12703434" w14:textId="77777777" w:rsidR="00AD72CC" w:rsidRPr="00BC0D1F" w:rsidRDefault="00AD72CC" w:rsidP="00493A42">
            <w:pPr>
              <w:pStyle w:val="TableText"/>
              <w:ind w:right="113"/>
              <w:jc w:val="right"/>
            </w:pPr>
            <w:r w:rsidRPr="00BC0D1F">
              <w:t>40</w:t>
            </w:r>
            <w:r w:rsidRPr="00BC0D1F">
              <w:br/>
              <w:t>(see Note C)</w:t>
            </w:r>
          </w:p>
        </w:tc>
      </w:tr>
    </w:tbl>
    <w:p w14:paraId="1BA04096" w14:textId="77777777" w:rsidR="00AD72CC" w:rsidRPr="00BC0D1F" w:rsidRDefault="00AD72CC" w:rsidP="00B621AF">
      <w:pPr>
        <w:rPr>
          <w:highlight w:val="yellow"/>
        </w:rPr>
      </w:pPr>
    </w:p>
    <w:p w14:paraId="6DDA7CA7" w14:textId="77777777" w:rsidR="00AD72CC" w:rsidRPr="00BC0D1F" w:rsidRDefault="00AD72CC" w:rsidP="00B621AF">
      <w:pPr>
        <w:pStyle w:val="Heading4"/>
      </w:pPr>
      <w:r w:rsidRPr="00BC0D1F">
        <w:lastRenderedPageBreak/>
        <w:t>Planning and funding support systems</w:t>
      </w:r>
    </w:p>
    <w:p w14:paraId="71ECFB6A" w14:textId="77777777" w:rsidR="00AD72CC" w:rsidRPr="00BC0D1F" w:rsidRDefault="00AD72CC" w:rsidP="00B621AF">
      <w:pPr>
        <w:keepNext/>
      </w:pPr>
      <w:r w:rsidRPr="00BC0D1F">
        <w:t>Advice to assist Crown entities to plan for the upcoming financial year needs to be provided by the end of the calendar year. The 2015/16 planning package was distributed to DHBs on 11</w:t>
      </w:r>
      <w:r w:rsidR="00B621AF" w:rsidRPr="00BC0D1F">
        <w:t> </w:t>
      </w:r>
      <w:r w:rsidRPr="00BC0D1F">
        <w:t>December 2015.</w:t>
      </w:r>
    </w:p>
    <w:p w14:paraId="2B760F50" w14:textId="77777777" w:rsidR="00AD72CC" w:rsidRPr="00BC0D1F" w:rsidRDefault="00AD72CC" w:rsidP="00B621AF">
      <w:pPr>
        <w:keepNext/>
      </w:pPr>
    </w:p>
    <w:p w14:paraId="6B364900" w14:textId="77777777" w:rsidR="00AD72CC" w:rsidRPr="00BC0D1F" w:rsidRDefault="00AD72CC" w:rsidP="00B621AF">
      <w:r w:rsidRPr="00BC0D1F">
        <w:t>By working closely and collaboratively with DHBs, the Ministry expects to facilitate agreements on plans by 30 June of each year. The timeliness target for agreements between DHBs and the Ministry is a proxy measure of the quality of the activities undertaken by the Ministry in support of this aim, such as facilitation, feedback and advice on draft plans. The Ministry is only an advisor in the process, since ministers and DHBs sign off the plans.</w:t>
      </w:r>
    </w:p>
    <w:p w14:paraId="1C9B7625" w14:textId="77777777" w:rsidR="00AD72CC" w:rsidRPr="00BC0D1F" w:rsidRDefault="00AD72CC" w:rsidP="00B621AF"/>
    <w:p w14:paraId="131027B6" w14:textId="77777777" w:rsidR="00AD72CC" w:rsidRPr="00BC0D1F" w:rsidRDefault="00AD72CC" w:rsidP="00B621AF">
      <w:pPr>
        <w:pStyle w:val="Heading4"/>
      </w:pPr>
      <w:r w:rsidRPr="00BC0D1F">
        <w:t>Performance monitoring</w:t>
      </w:r>
    </w:p>
    <w:p w14:paraId="6DD0226B" w14:textId="77777777" w:rsidR="00AD72CC" w:rsidRPr="00BC0D1F" w:rsidRDefault="00AD72CC" w:rsidP="00B621AF">
      <w:r w:rsidRPr="00BC0D1F">
        <w:t>The Ministry uses a number of performance indicators to set expectations and monitor performance to ensure DHBs appropriately work towards New Zealand Health Strategy priorities and achieve stated government priorities for performance improvement and health outcomes. A vital part of the reporting process is the feedback (assessments) the Ministry gives to DHBs on each of these measures, particularly when improvement on performance is necessary and/or remedial actions are required. Feedback must be timely so that DHBs can introduce modifications to improve performance in the relevant period.</w:t>
      </w:r>
    </w:p>
    <w:p w14:paraId="64C550A4" w14:textId="77777777" w:rsidR="00AD72CC" w:rsidRPr="00BC0D1F" w:rsidRDefault="00AD72CC" w:rsidP="00B621AF"/>
    <w:p w14:paraId="00B38178" w14:textId="77777777" w:rsidR="00AD72CC" w:rsidRPr="00BC0D1F" w:rsidRDefault="00AD72CC" w:rsidP="00B621AF">
      <w:r w:rsidRPr="00BC0D1F">
        <w:rPr>
          <w:lang w:eastAsia="en-NZ"/>
        </w:rPr>
        <w:t>DHBs are accountable for achieving the health targets, and results are published in national and local newspapers and online (these results rank DHBs against each other). Early advice on target performance allows DHBs to manage the impact of the publication of the results. Draft health target letters were sent to the Minister within five working days of the publication of results. The Minister then sent health target performance letters to each DHB. The Ministry produces and circulates the tables used to publish health target results to DHBs quarterly. This is a significant way in which performance of the sector is communicated to the public.</w:t>
      </w:r>
    </w:p>
    <w:p w14:paraId="017A7C90" w14:textId="77777777" w:rsidR="00AD72CC" w:rsidRPr="00BC0D1F" w:rsidRDefault="00AD72CC" w:rsidP="00B621AF"/>
    <w:p w14:paraId="53095AFB" w14:textId="77777777" w:rsidR="00AD72CC" w:rsidRPr="00BC0D1F" w:rsidRDefault="00AD72CC" w:rsidP="00B621AF">
      <w:r w:rsidRPr="00BC0D1F">
        <w:t>The Ministry is responsible for the funding, monitoring and planning of DHBs and other health Crown entities. As such, it reports to the Minister periodically in the following performance areas:</w:t>
      </w:r>
    </w:p>
    <w:p w14:paraId="28F43D24" w14:textId="77777777" w:rsidR="00AD72CC" w:rsidRPr="00BC0D1F" w:rsidRDefault="00AD72CC" w:rsidP="00B621AF">
      <w:pPr>
        <w:pStyle w:val="Bullet"/>
      </w:pPr>
      <w:r w:rsidRPr="00BC0D1F">
        <w:t>DHB financial performance: a monthly report highlighting where a DHB reports a significant variance against a plan, enabling areas of financial pressure and risk to be identified, as well as best practice within the DHB sector</w:t>
      </w:r>
    </w:p>
    <w:p w14:paraId="3CDA532A" w14:textId="77777777" w:rsidR="00AD72CC" w:rsidRPr="00BC0D1F" w:rsidRDefault="00AD72CC" w:rsidP="00B621AF">
      <w:pPr>
        <w:pStyle w:val="Bullet"/>
      </w:pPr>
      <w:r w:rsidRPr="00BC0D1F">
        <w:t>DHB performance on health targets: a quarterly report containing detailed results and remedial actions</w:t>
      </w:r>
    </w:p>
    <w:p w14:paraId="1EB537DE" w14:textId="77777777" w:rsidR="00AD72CC" w:rsidRPr="00BC0D1F" w:rsidRDefault="00AD72CC" w:rsidP="00B621AF">
      <w:pPr>
        <w:pStyle w:val="Bullet"/>
      </w:pPr>
      <w:r w:rsidRPr="00BC0D1F">
        <w:t>overall quarterly report on DHB performance, including non-financial information, information on health target performance and financial information: this provides the Minister with an integrated high-level view of DHB performance</w:t>
      </w:r>
    </w:p>
    <w:p w14:paraId="292D0FAC" w14:textId="77777777" w:rsidR="00AD72CC" w:rsidRPr="00BC0D1F" w:rsidRDefault="00AD72CC" w:rsidP="00B621AF">
      <w:pPr>
        <w:pStyle w:val="Bullet"/>
      </w:pPr>
      <w:proofErr w:type="gramStart"/>
      <w:r w:rsidRPr="00BC0D1F">
        <w:t>health</w:t>
      </w:r>
      <w:proofErr w:type="gramEnd"/>
      <w:r w:rsidRPr="00BC0D1F">
        <w:t xml:space="preserve"> Crown entity performance: a quarterly report describing major achievements, performance against planned outputs, financial performance and governance commentary.</w:t>
      </w:r>
    </w:p>
    <w:p w14:paraId="40BF1306" w14:textId="77777777" w:rsidR="00AD72CC" w:rsidRPr="00BC0D1F" w:rsidRDefault="00AD72CC" w:rsidP="00B621AF"/>
    <w:p w14:paraId="7D49A957" w14:textId="77777777" w:rsidR="00AD72CC" w:rsidRPr="00BC0D1F" w:rsidRDefault="00AD72CC" w:rsidP="00B621AF">
      <w:r w:rsidRPr="00BC0D1F">
        <w:t>Note A: The Ministry</w:t>
      </w:r>
      <w:r w:rsidR="00DF4B9A" w:rsidRPr="00BC0D1F">
        <w:t>’</w:t>
      </w:r>
      <w:r w:rsidRPr="00BC0D1F">
        <w:t>s monitoring reports form the basis for the Ministry</w:t>
      </w:r>
      <w:r w:rsidR="00DF4B9A" w:rsidRPr="00BC0D1F">
        <w:t>’</w:t>
      </w:r>
      <w:r w:rsidRPr="00BC0D1F">
        <w:t>s advice to DHBs and health Crown entities, as well as to the Minister. DHB monitoring reports to the Minister did not achieve the target set. The delay to the sector financial report was due to the need to seek additional supporting variance analysis and the time needed to prepare and review the reports.</w:t>
      </w:r>
    </w:p>
    <w:p w14:paraId="0DF2587C" w14:textId="77777777" w:rsidR="00AD72CC" w:rsidRPr="00BC0D1F" w:rsidRDefault="00AD72CC" w:rsidP="00B621AF"/>
    <w:p w14:paraId="2539337D" w14:textId="77777777" w:rsidR="00AD72CC" w:rsidRPr="00BC0D1F" w:rsidRDefault="00AD72CC" w:rsidP="00B621AF">
      <w:pPr>
        <w:pStyle w:val="Heading4"/>
      </w:pPr>
      <w:r w:rsidRPr="00BC0D1F">
        <w:lastRenderedPageBreak/>
        <w:t>Emergency response</w:t>
      </w:r>
    </w:p>
    <w:p w14:paraId="1E78FCDB" w14:textId="77777777" w:rsidR="00AD72CC" w:rsidRPr="00BC0D1F" w:rsidRDefault="00AD72CC" w:rsidP="00B621AF">
      <w:pPr>
        <w:keepLines/>
      </w:pPr>
      <w:r w:rsidRPr="00BC0D1F">
        <w:t>The Ministry maintains the capability and capacity to lead and coordinate a national health response to an emergency. In addition, it has prepared plans to continue functioning during and after an emergency, in accordance with sections 58 and 59 of the Civil Defence Emergency Management Act 2002 (which require all government departments to prepare such plans).</w:t>
      </w:r>
    </w:p>
    <w:p w14:paraId="22892B1D" w14:textId="77777777" w:rsidR="00AD72CC" w:rsidRPr="00BC0D1F" w:rsidRDefault="00AD72CC" w:rsidP="00B621AF"/>
    <w:p w14:paraId="0347AAF1" w14:textId="77777777" w:rsidR="00AD72CC" w:rsidRPr="00BC0D1F" w:rsidRDefault="00AD72CC" w:rsidP="00B621AF">
      <w:r w:rsidRPr="00BC0D1F">
        <w:t>The Ministry has the capability to activate the National Health Coordination Centre (NHCC) within two hours of any emergency event that requires national health coordination. Primary and alternative sites for the NHCC have been identified at Ministry offices. The emergency management information system also allows for the NHCC to be set up at an alternative location with internet access, if required.</w:t>
      </w:r>
    </w:p>
    <w:p w14:paraId="6F7583E3" w14:textId="77777777" w:rsidR="00AD72CC" w:rsidRPr="00BC0D1F" w:rsidRDefault="00AD72CC" w:rsidP="00B621AF"/>
    <w:p w14:paraId="0A519F58" w14:textId="77777777" w:rsidR="00AD72CC" w:rsidRPr="00BC0D1F" w:rsidRDefault="00AD72CC" w:rsidP="00B621AF">
      <w:r w:rsidRPr="00BC0D1F">
        <w:t>The capability to activate an emergency response within two hours of notification has been maintained throughout 2015/16. While there have been no national emergencies declared during this period, the Ministry has responded to a wide range of hazards and threats managed within the national security system. This has seen an effective collaborative response across teams in the Ministry, including the Emergency Management Team, Office of the Director of Public Health, Communicable Disease Team, the Environmental Health Team, and Communications.</w:t>
      </w:r>
    </w:p>
    <w:p w14:paraId="785AB188" w14:textId="77777777" w:rsidR="00AD72CC" w:rsidRPr="00BC0D1F" w:rsidRDefault="00AD72CC" w:rsidP="00B621AF"/>
    <w:p w14:paraId="4A59A1F2" w14:textId="77777777" w:rsidR="00DF4B9A" w:rsidRPr="00BC0D1F" w:rsidRDefault="00AD72CC" w:rsidP="00B621AF">
      <w:r w:rsidRPr="00BC0D1F">
        <w:t xml:space="preserve">Note B: Over the last financial year the Ministry has had to concentrate on supporting existing trained staff from the across the Ministry to respond effectively to a range of National Security System events. Key response activity has included response to the hepatitis A outbreak from contaminated frozen berries, monitoring and provision of national guidance relating to the WHO Public Health Emergency of International Concern for the </w:t>
      </w:r>
      <w:proofErr w:type="spellStart"/>
      <w:r w:rsidRPr="00BC0D1F">
        <w:t>Zika</w:t>
      </w:r>
      <w:proofErr w:type="spellEnd"/>
      <w:r w:rsidRPr="00BC0D1F">
        <w:t xml:space="preserve"> virus, support to DHBs for local events, and response to cyclones in the South Pacific. These events have provided significant operational experience for trained staff.</w:t>
      </w:r>
    </w:p>
    <w:p w14:paraId="6BA69E59" w14:textId="77777777" w:rsidR="00AD72CC" w:rsidRPr="00BC0D1F" w:rsidRDefault="00AD72CC" w:rsidP="00B621AF"/>
    <w:p w14:paraId="7215A993" w14:textId="77777777" w:rsidR="00DF4B9A" w:rsidRPr="00BC0D1F" w:rsidRDefault="00AD72CC" w:rsidP="00B621AF">
      <w:r w:rsidRPr="00BC0D1F">
        <w:t>In addition, since 4 August 2016 the Ministry has facilitated weekly briefings for the Emergency Management Team, the Public Health Group, Communications and other internal and external stakeholders to coordinate readiness and response activity for international and domestic events. Attendance at these briefings averages 10 staff, and over 150 hours of cross-Ministry coordination and readiness work has been delivered against this. The weekly briefings have catalysed cross-Ministry and business unit collaborative work.</w:t>
      </w:r>
    </w:p>
    <w:p w14:paraId="44176650" w14:textId="77777777" w:rsidR="00AD72CC" w:rsidRPr="00BC0D1F" w:rsidRDefault="00AD72CC" w:rsidP="00B621AF"/>
    <w:p w14:paraId="50BCD2EB" w14:textId="77777777" w:rsidR="00AD72CC" w:rsidRPr="00BC0D1F" w:rsidRDefault="00AD72CC" w:rsidP="00B621AF">
      <w:r w:rsidRPr="00BC0D1F">
        <w:t>Due to the change in the model for training and education of response staff, this measure has been removed for 2016/17.</w:t>
      </w:r>
    </w:p>
    <w:p w14:paraId="76F462A0" w14:textId="77777777" w:rsidR="00AD72CC" w:rsidRPr="00BC0D1F" w:rsidRDefault="00AD72CC" w:rsidP="00B621AF"/>
    <w:p w14:paraId="18788B7D" w14:textId="77777777" w:rsidR="00AD72CC" w:rsidRPr="00BC0D1F" w:rsidRDefault="00AD72CC" w:rsidP="00B621AF">
      <w:pPr>
        <w:pStyle w:val="Heading4"/>
      </w:pPr>
      <w:r w:rsidRPr="00BC0D1F">
        <w:t>Governance</w:t>
      </w:r>
    </w:p>
    <w:p w14:paraId="638BFB85" w14:textId="77777777" w:rsidR="00AD72CC" w:rsidRPr="00BC0D1F" w:rsidRDefault="00AD72CC" w:rsidP="00B621AF">
      <w:r w:rsidRPr="00BC0D1F">
        <w:t>The Minister, in consultation with Cabinet and Caucus, appoints suitable candidates to DHB and other health Crown entity boards. The Ministry assists the Minister with the appointments process by sourcing candidates, compiling recommendations for appointment, conducting interviews with candidates, and preparing Cabinet documentation concerning appointments. The Ministry complies with the State Services Commission guidelines when assisting the Minister with appointments and provides the Minister with quality advice in a timely manner before members</w:t>
      </w:r>
      <w:r w:rsidR="00DF4B9A" w:rsidRPr="00BC0D1F">
        <w:t>’</w:t>
      </w:r>
      <w:r w:rsidRPr="00BC0D1F">
        <w:t xml:space="preserve"> terms expire.</w:t>
      </w:r>
    </w:p>
    <w:p w14:paraId="0C3D179A" w14:textId="77777777" w:rsidR="00AD72CC" w:rsidRPr="00BC0D1F" w:rsidRDefault="00AD72CC" w:rsidP="00B621AF"/>
    <w:p w14:paraId="1EBF3335" w14:textId="77777777" w:rsidR="00AD72CC" w:rsidRPr="00BC0D1F" w:rsidRDefault="00AD72CC" w:rsidP="00AD72CC">
      <w:r w:rsidRPr="00BC0D1F">
        <w:t xml:space="preserve">Note C: The performance standard is based on the total number of appointments expected to be made in any given year, which is estimated in advance of that year. The actual number of appointments made will depend on a number of factors, including unexpected vacancies arising and the operational needs of the board. The target has been </w:t>
      </w:r>
      <w:r w:rsidRPr="00BC0D1F">
        <w:rPr>
          <w:color w:val="000000"/>
        </w:rPr>
        <w:t xml:space="preserve">adjusted to 15 for 2015/16 to align </w:t>
      </w:r>
      <w:r w:rsidRPr="00BC0D1F">
        <w:t>with the expected number of appointments.</w:t>
      </w:r>
    </w:p>
    <w:p w14:paraId="281C3DF0" w14:textId="77777777" w:rsidR="00AD72CC" w:rsidRPr="00BC0D1F" w:rsidRDefault="00AD72CC" w:rsidP="00B621AF">
      <w:pPr>
        <w:pStyle w:val="Table"/>
        <w:spacing w:before="360"/>
      </w:pPr>
      <w:bookmarkStart w:id="134" w:name="_Toc462926719"/>
      <w:r w:rsidRPr="00BC0D1F">
        <w:lastRenderedPageBreak/>
        <w:t>Table 14: Financial performance for sector planning and performance</w:t>
      </w:r>
      <w:bookmarkEnd w:id="134"/>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59"/>
        <w:gridCol w:w="3544"/>
        <w:gridCol w:w="1417"/>
        <w:gridCol w:w="1418"/>
        <w:gridCol w:w="1418"/>
      </w:tblGrid>
      <w:tr w:rsidR="00AD72CC" w:rsidRPr="00BC0D1F" w14:paraId="0AF4A30B" w14:textId="77777777" w:rsidTr="00493A42">
        <w:trPr>
          <w:cantSplit/>
        </w:trPr>
        <w:tc>
          <w:tcPr>
            <w:tcW w:w="1559" w:type="dxa"/>
            <w:tcBorders>
              <w:top w:val="single" w:sz="4" w:space="0" w:color="auto"/>
              <w:bottom w:val="single" w:sz="4" w:space="0" w:color="auto"/>
              <w:right w:val="nil"/>
            </w:tcBorders>
            <w:shd w:val="solid" w:color="FFFFFF" w:fill="auto"/>
          </w:tcPr>
          <w:p w14:paraId="5E80F72D" w14:textId="77777777" w:rsidR="00AD72CC" w:rsidRPr="00BC0D1F" w:rsidRDefault="00AD72CC" w:rsidP="00493A4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30/06/2015</w:t>
            </w:r>
            <w:r w:rsidRPr="00BC0D1F">
              <w:rPr>
                <w:b/>
                <w:lang w:eastAsia="en-NZ"/>
              </w:rPr>
              <w:br/>
              <w:t>$000</w:t>
            </w:r>
          </w:p>
        </w:tc>
        <w:tc>
          <w:tcPr>
            <w:tcW w:w="3544" w:type="dxa"/>
            <w:tcBorders>
              <w:top w:val="single" w:sz="4" w:space="0" w:color="auto"/>
              <w:left w:val="nil"/>
              <w:bottom w:val="single" w:sz="4" w:space="0" w:color="auto"/>
            </w:tcBorders>
            <w:shd w:val="solid" w:color="FFFFFF" w:fill="auto"/>
          </w:tcPr>
          <w:p w14:paraId="14977522" w14:textId="77777777" w:rsidR="00AD72CC" w:rsidRPr="00BC0D1F" w:rsidRDefault="00AD72CC" w:rsidP="00493A42">
            <w:pPr>
              <w:pStyle w:val="TableText"/>
              <w:rPr>
                <w:b/>
                <w:lang w:eastAsia="en-NZ"/>
              </w:rPr>
            </w:pPr>
          </w:p>
        </w:tc>
        <w:tc>
          <w:tcPr>
            <w:tcW w:w="1417" w:type="dxa"/>
            <w:tcBorders>
              <w:top w:val="single" w:sz="4" w:space="0" w:color="auto"/>
              <w:bottom w:val="single" w:sz="4" w:space="0" w:color="auto"/>
            </w:tcBorders>
            <w:shd w:val="clear" w:color="E3E3E3" w:fill="D9D9D9"/>
          </w:tcPr>
          <w:p w14:paraId="11754F87" w14:textId="77777777" w:rsidR="00AD72CC" w:rsidRPr="00BC0D1F" w:rsidRDefault="00AD72CC" w:rsidP="00493A4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30/06/2016</w:t>
            </w:r>
            <w:r w:rsidRPr="00BC0D1F">
              <w:rPr>
                <w:b/>
                <w:lang w:eastAsia="en-NZ"/>
              </w:rPr>
              <w:br/>
              <w:t>$000</w:t>
            </w:r>
          </w:p>
        </w:tc>
        <w:tc>
          <w:tcPr>
            <w:tcW w:w="1418" w:type="dxa"/>
            <w:tcBorders>
              <w:top w:val="single" w:sz="4" w:space="0" w:color="auto"/>
              <w:bottom w:val="single" w:sz="4" w:space="0" w:color="auto"/>
            </w:tcBorders>
            <w:shd w:val="solid" w:color="FFFFFF" w:fill="auto"/>
          </w:tcPr>
          <w:p w14:paraId="5C78AE08"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30/06/2016</w:t>
            </w:r>
            <w:r w:rsidRPr="00BC0D1F">
              <w:rPr>
                <w:b/>
                <w:lang w:eastAsia="en-NZ"/>
              </w:rPr>
              <w:br/>
              <w:t>$000</w:t>
            </w:r>
          </w:p>
        </w:tc>
        <w:tc>
          <w:tcPr>
            <w:tcW w:w="1418" w:type="dxa"/>
            <w:tcBorders>
              <w:top w:val="single" w:sz="4" w:space="0" w:color="auto"/>
              <w:bottom w:val="single" w:sz="4" w:space="0" w:color="auto"/>
            </w:tcBorders>
            <w:shd w:val="solid" w:color="FFFFFF" w:fill="auto"/>
          </w:tcPr>
          <w:p w14:paraId="1CB94765"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30/06/2016</w:t>
            </w:r>
            <w:r w:rsidRPr="00BC0D1F">
              <w:rPr>
                <w:b/>
                <w:lang w:eastAsia="en-NZ"/>
              </w:rPr>
              <w:br/>
              <w:t>$000</w:t>
            </w:r>
          </w:p>
        </w:tc>
      </w:tr>
      <w:tr w:rsidR="00AD72CC" w:rsidRPr="00BC0D1F" w14:paraId="0507794F" w14:textId="77777777" w:rsidTr="00B621AF">
        <w:trPr>
          <w:cantSplit/>
        </w:trPr>
        <w:tc>
          <w:tcPr>
            <w:tcW w:w="1559" w:type="dxa"/>
            <w:tcBorders>
              <w:top w:val="single" w:sz="4" w:space="0" w:color="auto"/>
              <w:right w:val="nil"/>
            </w:tcBorders>
            <w:shd w:val="solid" w:color="FFFFFF" w:fill="auto"/>
          </w:tcPr>
          <w:p w14:paraId="661F9D0F" w14:textId="77777777" w:rsidR="00AD72CC" w:rsidRPr="00BC0D1F" w:rsidRDefault="00AD72CC" w:rsidP="00B621AF">
            <w:pPr>
              <w:pStyle w:val="TableText"/>
              <w:ind w:right="284"/>
              <w:jc w:val="right"/>
            </w:pPr>
            <w:r w:rsidRPr="00BC0D1F">
              <w:t>47,641</w:t>
            </w:r>
          </w:p>
        </w:tc>
        <w:tc>
          <w:tcPr>
            <w:tcW w:w="3544" w:type="dxa"/>
            <w:tcBorders>
              <w:top w:val="single" w:sz="4" w:space="0" w:color="auto"/>
              <w:left w:val="nil"/>
            </w:tcBorders>
            <w:shd w:val="solid" w:color="FFFFFF" w:fill="auto"/>
          </w:tcPr>
          <w:p w14:paraId="65D92DE6" w14:textId="17CA35F6" w:rsidR="00AD72CC" w:rsidRPr="00BC0D1F" w:rsidRDefault="00726113" w:rsidP="00493A42">
            <w:pPr>
              <w:pStyle w:val="TableText"/>
            </w:pPr>
            <w:r>
              <w:rPr>
                <w:rFonts w:cs="Arial"/>
                <w:color w:val="000000"/>
                <w:szCs w:val="18"/>
              </w:rPr>
              <w:t>Revenue Crown</w:t>
            </w:r>
          </w:p>
        </w:tc>
        <w:tc>
          <w:tcPr>
            <w:tcW w:w="1417" w:type="dxa"/>
            <w:tcBorders>
              <w:top w:val="single" w:sz="4" w:space="0" w:color="auto"/>
            </w:tcBorders>
            <w:shd w:val="clear" w:color="E3E3E3" w:fill="D9D9D9"/>
          </w:tcPr>
          <w:p w14:paraId="57C2CE82" w14:textId="77777777" w:rsidR="00AD72CC" w:rsidRPr="00BC0D1F" w:rsidRDefault="00AD72CC" w:rsidP="00B621AF">
            <w:pPr>
              <w:pStyle w:val="TableText"/>
              <w:ind w:right="113"/>
              <w:jc w:val="right"/>
            </w:pPr>
            <w:r w:rsidRPr="00BC0D1F">
              <w:t>46,847</w:t>
            </w:r>
          </w:p>
        </w:tc>
        <w:tc>
          <w:tcPr>
            <w:tcW w:w="1418" w:type="dxa"/>
            <w:tcBorders>
              <w:top w:val="single" w:sz="4" w:space="0" w:color="auto"/>
            </w:tcBorders>
          </w:tcPr>
          <w:p w14:paraId="67793807" w14:textId="77777777" w:rsidR="00AD72CC" w:rsidRPr="00BC0D1F" w:rsidRDefault="00AD72CC" w:rsidP="00B621AF">
            <w:pPr>
              <w:pStyle w:val="TableText"/>
              <w:jc w:val="right"/>
            </w:pPr>
            <w:r w:rsidRPr="00BC0D1F">
              <w:t>47,678</w:t>
            </w:r>
          </w:p>
        </w:tc>
        <w:tc>
          <w:tcPr>
            <w:tcW w:w="1418" w:type="dxa"/>
            <w:tcBorders>
              <w:top w:val="single" w:sz="4" w:space="0" w:color="auto"/>
            </w:tcBorders>
          </w:tcPr>
          <w:p w14:paraId="3067467A" w14:textId="77777777" w:rsidR="00AD72CC" w:rsidRPr="00BC0D1F" w:rsidRDefault="00AD72CC" w:rsidP="00B621AF">
            <w:pPr>
              <w:pStyle w:val="TableText"/>
              <w:jc w:val="right"/>
            </w:pPr>
            <w:r w:rsidRPr="00BC0D1F">
              <w:t>46,847</w:t>
            </w:r>
          </w:p>
        </w:tc>
      </w:tr>
      <w:tr w:rsidR="00AD72CC" w:rsidRPr="00BC0D1F" w14:paraId="3C457D24" w14:textId="77777777" w:rsidTr="00B621AF">
        <w:trPr>
          <w:cantSplit/>
        </w:trPr>
        <w:tc>
          <w:tcPr>
            <w:tcW w:w="1559" w:type="dxa"/>
            <w:tcBorders>
              <w:right w:val="nil"/>
            </w:tcBorders>
            <w:shd w:val="solid" w:color="FFFFFF" w:fill="auto"/>
          </w:tcPr>
          <w:p w14:paraId="0AC58E04" w14:textId="77777777" w:rsidR="00AD72CC" w:rsidRPr="00BC0D1F" w:rsidRDefault="00AD72CC" w:rsidP="00B621AF">
            <w:pPr>
              <w:pStyle w:val="TableText"/>
              <w:ind w:right="284"/>
              <w:jc w:val="right"/>
            </w:pPr>
            <w:r w:rsidRPr="00BC0D1F">
              <w:t>300</w:t>
            </w:r>
          </w:p>
        </w:tc>
        <w:tc>
          <w:tcPr>
            <w:tcW w:w="3544" w:type="dxa"/>
            <w:tcBorders>
              <w:left w:val="nil"/>
            </w:tcBorders>
            <w:shd w:val="solid" w:color="FFFFFF" w:fill="auto"/>
          </w:tcPr>
          <w:p w14:paraId="57E5D969" w14:textId="77777777" w:rsidR="00AD72CC" w:rsidRPr="00BC0D1F" w:rsidRDefault="00AD72CC" w:rsidP="00493A42">
            <w:pPr>
              <w:pStyle w:val="TableText"/>
            </w:pPr>
            <w:r w:rsidRPr="00BC0D1F">
              <w:rPr>
                <w:rFonts w:cs="Arial"/>
                <w:color w:val="000000"/>
                <w:szCs w:val="18"/>
              </w:rPr>
              <w:t>Third-party revenue</w:t>
            </w:r>
          </w:p>
        </w:tc>
        <w:tc>
          <w:tcPr>
            <w:tcW w:w="1417" w:type="dxa"/>
            <w:shd w:val="clear" w:color="E3E3E3" w:fill="D9D9D9"/>
          </w:tcPr>
          <w:p w14:paraId="27D2868F" w14:textId="77777777" w:rsidR="00AD72CC" w:rsidRPr="00BC0D1F" w:rsidRDefault="00AD72CC" w:rsidP="00B621AF">
            <w:pPr>
              <w:pStyle w:val="TableText"/>
              <w:ind w:right="113"/>
              <w:jc w:val="right"/>
            </w:pPr>
            <w:r w:rsidRPr="00BC0D1F">
              <w:t>466</w:t>
            </w:r>
          </w:p>
        </w:tc>
        <w:tc>
          <w:tcPr>
            <w:tcW w:w="1418" w:type="dxa"/>
          </w:tcPr>
          <w:p w14:paraId="5280E7A0" w14:textId="77777777" w:rsidR="00AD72CC" w:rsidRPr="00BC0D1F" w:rsidRDefault="00AD72CC" w:rsidP="00B621AF">
            <w:pPr>
              <w:pStyle w:val="TableText"/>
              <w:jc w:val="right"/>
            </w:pPr>
            <w:r w:rsidRPr="00BC0D1F">
              <w:t>360</w:t>
            </w:r>
          </w:p>
        </w:tc>
        <w:tc>
          <w:tcPr>
            <w:tcW w:w="1418" w:type="dxa"/>
          </w:tcPr>
          <w:p w14:paraId="3642D080" w14:textId="77777777" w:rsidR="00AD72CC" w:rsidRPr="00BC0D1F" w:rsidRDefault="00AD72CC" w:rsidP="00B621AF">
            <w:pPr>
              <w:pStyle w:val="TableText"/>
              <w:jc w:val="right"/>
            </w:pPr>
            <w:r w:rsidRPr="00BC0D1F">
              <w:t>694</w:t>
            </w:r>
          </w:p>
        </w:tc>
      </w:tr>
      <w:tr w:rsidR="00AD72CC" w:rsidRPr="00BC0D1F" w14:paraId="0D2C20AD" w14:textId="77777777" w:rsidTr="00B621AF">
        <w:trPr>
          <w:cantSplit/>
        </w:trPr>
        <w:tc>
          <w:tcPr>
            <w:tcW w:w="1559" w:type="dxa"/>
            <w:tcBorders>
              <w:right w:val="nil"/>
            </w:tcBorders>
            <w:shd w:val="solid" w:color="FFFFFF" w:fill="auto"/>
          </w:tcPr>
          <w:p w14:paraId="50DEA239" w14:textId="77777777" w:rsidR="00AD72CC" w:rsidRPr="00BC0D1F" w:rsidRDefault="00AD72CC" w:rsidP="00B621AF">
            <w:pPr>
              <w:pStyle w:val="TableText"/>
              <w:ind w:right="284"/>
              <w:jc w:val="right"/>
              <w:rPr>
                <w:b/>
              </w:rPr>
            </w:pPr>
            <w:r w:rsidRPr="00BC0D1F">
              <w:rPr>
                <w:b/>
                <w:bCs/>
              </w:rPr>
              <w:t>47,941</w:t>
            </w:r>
          </w:p>
        </w:tc>
        <w:tc>
          <w:tcPr>
            <w:tcW w:w="3544" w:type="dxa"/>
            <w:tcBorders>
              <w:left w:val="nil"/>
            </w:tcBorders>
            <w:shd w:val="solid" w:color="FFFFFF" w:fill="auto"/>
          </w:tcPr>
          <w:p w14:paraId="08023DE0" w14:textId="77777777" w:rsidR="00AD72CC" w:rsidRPr="00BC0D1F" w:rsidRDefault="00AD72CC" w:rsidP="00493A42">
            <w:pPr>
              <w:pStyle w:val="TableText"/>
              <w:rPr>
                <w:b/>
              </w:rPr>
            </w:pPr>
            <w:r w:rsidRPr="00BC0D1F">
              <w:rPr>
                <w:rFonts w:cs="Arial"/>
                <w:b/>
                <w:bCs/>
                <w:color w:val="000000"/>
                <w:szCs w:val="18"/>
              </w:rPr>
              <w:t>Total revenue</w:t>
            </w:r>
          </w:p>
        </w:tc>
        <w:tc>
          <w:tcPr>
            <w:tcW w:w="1417" w:type="dxa"/>
            <w:shd w:val="clear" w:color="E3E3E3" w:fill="D9D9D9"/>
          </w:tcPr>
          <w:p w14:paraId="590C73B2" w14:textId="77777777" w:rsidR="00AD72CC" w:rsidRPr="00BC0D1F" w:rsidRDefault="00AD72CC" w:rsidP="00B621AF">
            <w:pPr>
              <w:pStyle w:val="TableText"/>
              <w:ind w:right="113"/>
              <w:jc w:val="right"/>
              <w:rPr>
                <w:b/>
              </w:rPr>
            </w:pPr>
            <w:r w:rsidRPr="00BC0D1F">
              <w:rPr>
                <w:b/>
                <w:bCs/>
              </w:rPr>
              <w:t>47,313</w:t>
            </w:r>
          </w:p>
        </w:tc>
        <w:tc>
          <w:tcPr>
            <w:tcW w:w="1418" w:type="dxa"/>
          </w:tcPr>
          <w:p w14:paraId="4DBF4BC7" w14:textId="77777777" w:rsidR="00AD72CC" w:rsidRPr="00BC0D1F" w:rsidRDefault="00AD72CC" w:rsidP="00B621AF">
            <w:pPr>
              <w:pStyle w:val="TableText"/>
              <w:jc w:val="right"/>
              <w:rPr>
                <w:b/>
              </w:rPr>
            </w:pPr>
            <w:r w:rsidRPr="00BC0D1F">
              <w:rPr>
                <w:b/>
                <w:bCs/>
              </w:rPr>
              <w:t>48,038</w:t>
            </w:r>
          </w:p>
        </w:tc>
        <w:tc>
          <w:tcPr>
            <w:tcW w:w="1418" w:type="dxa"/>
          </w:tcPr>
          <w:p w14:paraId="3ECB0283" w14:textId="77777777" w:rsidR="00AD72CC" w:rsidRPr="00BC0D1F" w:rsidRDefault="00AD72CC" w:rsidP="00B621AF">
            <w:pPr>
              <w:pStyle w:val="TableText"/>
              <w:jc w:val="right"/>
              <w:rPr>
                <w:b/>
              </w:rPr>
            </w:pPr>
            <w:r w:rsidRPr="00BC0D1F">
              <w:rPr>
                <w:b/>
                <w:bCs/>
              </w:rPr>
              <w:t>47,541</w:t>
            </w:r>
          </w:p>
        </w:tc>
      </w:tr>
      <w:tr w:rsidR="00AD72CC" w:rsidRPr="00BC0D1F" w14:paraId="20B22D81" w14:textId="77777777" w:rsidTr="00B621AF">
        <w:trPr>
          <w:cantSplit/>
        </w:trPr>
        <w:tc>
          <w:tcPr>
            <w:tcW w:w="1559" w:type="dxa"/>
            <w:tcBorders>
              <w:right w:val="nil"/>
            </w:tcBorders>
          </w:tcPr>
          <w:p w14:paraId="70EE5274" w14:textId="77777777" w:rsidR="00AD72CC" w:rsidRPr="00BC0D1F" w:rsidRDefault="00AD72CC" w:rsidP="00B621AF">
            <w:pPr>
              <w:pStyle w:val="TableText"/>
              <w:ind w:right="284"/>
              <w:jc w:val="right"/>
            </w:pPr>
            <w:r w:rsidRPr="00BC0D1F">
              <w:t>49,439</w:t>
            </w:r>
          </w:p>
        </w:tc>
        <w:tc>
          <w:tcPr>
            <w:tcW w:w="3544" w:type="dxa"/>
            <w:tcBorders>
              <w:left w:val="nil"/>
            </w:tcBorders>
            <w:shd w:val="solid" w:color="FFFFFF" w:fill="auto"/>
          </w:tcPr>
          <w:p w14:paraId="01DE2288" w14:textId="77777777" w:rsidR="00AD72CC" w:rsidRPr="00BC0D1F" w:rsidRDefault="00AD72CC" w:rsidP="00493A42">
            <w:pPr>
              <w:pStyle w:val="TableText"/>
            </w:pPr>
            <w:r w:rsidRPr="00BC0D1F">
              <w:rPr>
                <w:rFonts w:cs="Arial"/>
                <w:color w:val="000000"/>
                <w:szCs w:val="18"/>
              </w:rPr>
              <w:t>Total expenditure</w:t>
            </w:r>
          </w:p>
        </w:tc>
        <w:tc>
          <w:tcPr>
            <w:tcW w:w="1417" w:type="dxa"/>
            <w:shd w:val="clear" w:color="E3E3E3" w:fill="D9D9D9"/>
          </w:tcPr>
          <w:p w14:paraId="41DF6E95" w14:textId="77777777" w:rsidR="00AD72CC" w:rsidRPr="00BC0D1F" w:rsidRDefault="00AD72CC" w:rsidP="00B621AF">
            <w:pPr>
              <w:pStyle w:val="TableText"/>
              <w:ind w:right="113"/>
              <w:jc w:val="right"/>
            </w:pPr>
            <w:r w:rsidRPr="00BC0D1F">
              <w:t>47,050</w:t>
            </w:r>
          </w:p>
        </w:tc>
        <w:tc>
          <w:tcPr>
            <w:tcW w:w="1418" w:type="dxa"/>
          </w:tcPr>
          <w:p w14:paraId="33A2264B" w14:textId="77777777" w:rsidR="00AD72CC" w:rsidRPr="00BC0D1F" w:rsidRDefault="00AD72CC" w:rsidP="00B621AF">
            <w:pPr>
              <w:pStyle w:val="TableText"/>
              <w:jc w:val="right"/>
            </w:pPr>
            <w:r w:rsidRPr="00BC0D1F">
              <w:t>48,038</w:t>
            </w:r>
          </w:p>
        </w:tc>
        <w:tc>
          <w:tcPr>
            <w:tcW w:w="1418" w:type="dxa"/>
          </w:tcPr>
          <w:p w14:paraId="6EA3E5C2" w14:textId="77777777" w:rsidR="00AD72CC" w:rsidRPr="00BC0D1F" w:rsidRDefault="00AD72CC" w:rsidP="00B621AF">
            <w:pPr>
              <w:pStyle w:val="TableText"/>
              <w:jc w:val="right"/>
            </w:pPr>
            <w:r w:rsidRPr="00BC0D1F">
              <w:t>47,541</w:t>
            </w:r>
          </w:p>
        </w:tc>
      </w:tr>
      <w:tr w:rsidR="00AD72CC" w:rsidRPr="00BC0D1F" w14:paraId="0657860C" w14:textId="77777777" w:rsidTr="00B621AF">
        <w:trPr>
          <w:cantSplit/>
        </w:trPr>
        <w:tc>
          <w:tcPr>
            <w:tcW w:w="1559" w:type="dxa"/>
            <w:tcBorders>
              <w:bottom w:val="single" w:sz="4" w:space="0" w:color="auto"/>
              <w:right w:val="nil"/>
            </w:tcBorders>
            <w:shd w:val="solid" w:color="FFFFFF" w:fill="auto"/>
          </w:tcPr>
          <w:p w14:paraId="6E88623C" w14:textId="77777777" w:rsidR="00AD72CC" w:rsidRPr="00BC0D1F" w:rsidRDefault="00AD72CC" w:rsidP="00B621AF">
            <w:pPr>
              <w:pStyle w:val="TableText"/>
              <w:ind w:right="284"/>
              <w:jc w:val="right"/>
              <w:rPr>
                <w:b/>
              </w:rPr>
            </w:pPr>
            <w:r w:rsidRPr="00BC0D1F">
              <w:rPr>
                <w:b/>
                <w:bCs/>
              </w:rPr>
              <w:t>-1,498</w:t>
            </w:r>
          </w:p>
        </w:tc>
        <w:tc>
          <w:tcPr>
            <w:tcW w:w="3544" w:type="dxa"/>
            <w:tcBorders>
              <w:left w:val="nil"/>
              <w:bottom w:val="single" w:sz="4" w:space="0" w:color="auto"/>
            </w:tcBorders>
            <w:shd w:val="solid" w:color="FFFFFF" w:fill="auto"/>
          </w:tcPr>
          <w:p w14:paraId="012D96BB" w14:textId="77777777" w:rsidR="00AD72CC" w:rsidRPr="00BC0D1F" w:rsidRDefault="00AD72CC" w:rsidP="00493A42">
            <w:pPr>
              <w:pStyle w:val="TableText"/>
              <w:rPr>
                <w:b/>
              </w:rPr>
            </w:pPr>
            <w:r w:rsidRPr="00BC0D1F">
              <w:rPr>
                <w:rFonts w:cs="Arial"/>
                <w:b/>
                <w:bCs/>
                <w:color w:val="000000"/>
                <w:szCs w:val="18"/>
              </w:rPr>
              <w:t>Net surplus/(deficit)</w:t>
            </w:r>
          </w:p>
        </w:tc>
        <w:tc>
          <w:tcPr>
            <w:tcW w:w="1417" w:type="dxa"/>
            <w:tcBorders>
              <w:bottom w:val="single" w:sz="4" w:space="0" w:color="auto"/>
            </w:tcBorders>
            <w:shd w:val="clear" w:color="E3E3E3" w:fill="D9D9D9"/>
          </w:tcPr>
          <w:p w14:paraId="4CFC2C05" w14:textId="77777777" w:rsidR="00AD72CC" w:rsidRPr="00BC0D1F" w:rsidRDefault="00AD72CC" w:rsidP="00B621AF">
            <w:pPr>
              <w:pStyle w:val="TableText"/>
              <w:ind w:right="113"/>
              <w:jc w:val="right"/>
              <w:rPr>
                <w:b/>
              </w:rPr>
            </w:pPr>
            <w:r w:rsidRPr="00BC0D1F">
              <w:rPr>
                <w:b/>
                <w:bCs/>
              </w:rPr>
              <w:t>263</w:t>
            </w:r>
          </w:p>
        </w:tc>
        <w:tc>
          <w:tcPr>
            <w:tcW w:w="1418" w:type="dxa"/>
            <w:tcBorders>
              <w:bottom w:val="single" w:sz="4" w:space="0" w:color="auto"/>
            </w:tcBorders>
          </w:tcPr>
          <w:p w14:paraId="01319C7B" w14:textId="77777777" w:rsidR="00AD72CC" w:rsidRPr="00BC0D1F" w:rsidRDefault="00AD72CC" w:rsidP="00B621AF">
            <w:pPr>
              <w:pStyle w:val="TableText"/>
              <w:jc w:val="right"/>
              <w:rPr>
                <w:b/>
              </w:rPr>
            </w:pPr>
            <w:r w:rsidRPr="00BC0D1F">
              <w:rPr>
                <w:b/>
                <w:bCs/>
              </w:rPr>
              <w:t>0</w:t>
            </w:r>
          </w:p>
        </w:tc>
        <w:tc>
          <w:tcPr>
            <w:tcW w:w="1418" w:type="dxa"/>
            <w:tcBorders>
              <w:bottom w:val="single" w:sz="4" w:space="0" w:color="auto"/>
            </w:tcBorders>
          </w:tcPr>
          <w:p w14:paraId="674CBF65" w14:textId="77777777" w:rsidR="00AD72CC" w:rsidRPr="00BC0D1F" w:rsidRDefault="00AD72CC" w:rsidP="00B621AF">
            <w:pPr>
              <w:pStyle w:val="TableText"/>
              <w:jc w:val="right"/>
              <w:rPr>
                <w:b/>
              </w:rPr>
            </w:pPr>
            <w:r w:rsidRPr="00BC0D1F">
              <w:rPr>
                <w:b/>
                <w:bCs/>
              </w:rPr>
              <w:t>0</w:t>
            </w:r>
          </w:p>
        </w:tc>
      </w:tr>
    </w:tbl>
    <w:p w14:paraId="66BE3F11" w14:textId="77777777" w:rsidR="00AD72CC" w:rsidRPr="00BC0D1F" w:rsidRDefault="00AD72CC" w:rsidP="00B621AF"/>
    <w:p w14:paraId="2B865EAC" w14:textId="4384EB3E" w:rsidR="00AD72CC" w:rsidRPr="00BC0D1F" w:rsidRDefault="00AD72CC" w:rsidP="00B621AF">
      <w:pPr>
        <w:pStyle w:val="Heading2"/>
        <w:spacing w:before="0"/>
      </w:pPr>
      <w:r w:rsidRPr="00BC0D1F">
        <w:br w:type="page"/>
      </w:r>
      <w:bookmarkStart w:id="135" w:name="_Toc456619193"/>
      <w:bookmarkStart w:id="136" w:name="_Toc459730023"/>
      <w:bookmarkStart w:id="137" w:name="_Toc461544296"/>
      <w:bookmarkStart w:id="138" w:name="_Toc463507926"/>
      <w:r w:rsidRPr="00BC0D1F">
        <w:lastRenderedPageBreak/>
        <w:t>Policy a</w:t>
      </w:r>
      <w:r w:rsidR="002D75A1">
        <w:t>dvice and ministerial servicing</w:t>
      </w:r>
      <w:bookmarkEnd w:id="135"/>
      <w:bookmarkEnd w:id="136"/>
      <w:bookmarkEnd w:id="137"/>
      <w:bookmarkEnd w:id="138"/>
    </w:p>
    <w:p w14:paraId="5CEAAAC0" w14:textId="77777777" w:rsidR="00AD72CC" w:rsidRPr="00BC0D1F" w:rsidRDefault="00AD72CC" w:rsidP="00B621AF">
      <w:r w:rsidRPr="00BC0D1F">
        <w:t>The policy advice category is intended to provide Ministers with policy advice that appropriately informs them on issues affecting the health portfolio, Government priorities, and when otherwise appropriate. The ministerial servicing category is intended to provide Ministers with support so that they can discharge their portfolio responsibilities.</w:t>
      </w:r>
    </w:p>
    <w:p w14:paraId="31A55F6B" w14:textId="77777777" w:rsidR="00AD72CC" w:rsidRPr="00BC0D1F" w:rsidRDefault="00AD72CC" w:rsidP="00B621AF">
      <w:pPr>
        <w:rPr>
          <w:highlight w:val="yellow"/>
        </w:rPr>
      </w:pPr>
    </w:p>
    <w:p w14:paraId="304A5347" w14:textId="77777777" w:rsidR="00AD72CC" w:rsidRPr="00BC0D1F" w:rsidRDefault="00AD72CC" w:rsidP="00B621AF">
      <w:pPr>
        <w:pStyle w:val="Table"/>
      </w:pPr>
      <w:bookmarkStart w:id="139" w:name="_Toc462926720"/>
      <w:r w:rsidRPr="00BC0D1F">
        <w:t>Table 15: Summary of output performance measures and standards for policy advice</w:t>
      </w:r>
      <w:bookmarkEnd w:id="139"/>
    </w:p>
    <w:tbl>
      <w:tblPr>
        <w:tblW w:w="4925" w:type="pct"/>
        <w:tblInd w:w="57" w:type="dxa"/>
        <w:tblBorders>
          <w:top w:val="single" w:sz="4" w:space="0" w:color="auto"/>
          <w:bottom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5322"/>
        <w:gridCol w:w="1436"/>
        <w:gridCol w:w="1291"/>
      </w:tblGrid>
      <w:tr w:rsidR="00AD72CC" w:rsidRPr="00BC0D1F" w14:paraId="7A5D7B82" w14:textId="77777777" w:rsidTr="00493A42">
        <w:trPr>
          <w:cantSplit/>
        </w:trPr>
        <w:tc>
          <w:tcPr>
            <w:tcW w:w="685" w:type="pct"/>
            <w:tcBorders>
              <w:top w:val="single" w:sz="4" w:space="0" w:color="auto"/>
              <w:bottom w:val="single" w:sz="4" w:space="0" w:color="auto"/>
              <w:right w:val="nil"/>
            </w:tcBorders>
          </w:tcPr>
          <w:p w14:paraId="2E69A89B" w14:textId="77777777" w:rsidR="00AD72CC" w:rsidRPr="00BC0D1F" w:rsidRDefault="00AD72CC" w:rsidP="00493A42">
            <w:pPr>
              <w:pStyle w:val="TableText"/>
              <w:ind w:right="284"/>
              <w:jc w:val="right"/>
              <w:rPr>
                <w:b/>
              </w:rPr>
            </w:pPr>
            <w:r w:rsidRPr="00BC0D1F">
              <w:rPr>
                <w:b/>
              </w:rPr>
              <w:t>Actual 2014/15</w:t>
            </w:r>
          </w:p>
        </w:tc>
        <w:tc>
          <w:tcPr>
            <w:tcW w:w="2853" w:type="pct"/>
            <w:tcBorders>
              <w:top w:val="single" w:sz="4" w:space="0" w:color="auto"/>
              <w:left w:val="nil"/>
              <w:bottom w:val="single" w:sz="4" w:space="0" w:color="auto"/>
              <w:right w:val="nil"/>
            </w:tcBorders>
          </w:tcPr>
          <w:p w14:paraId="267605AC" w14:textId="77777777" w:rsidR="00AD72CC" w:rsidRPr="00BC0D1F" w:rsidRDefault="00AD72CC" w:rsidP="00493A42">
            <w:pPr>
              <w:pStyle w:val="TableText"/>
              <w:rPr>
                <w:b/>
              </w:rPr>
            </w:pPr>
            <w:r w:rsidRPr="00BC0D1F">
              <w:rPr>
                <w:b/>
              </w:rPr>
              <w:t>Performance measure</w:t>
            </w:r>
          </w:p>
        </w:tc>
        <w:tc>
          <w:tcPr>
            <w:tcW w:w="770" w:type="pct"/>
            <w:tcBorders>
              <w:top w:val="single" w:sz="4" w:space="0" w:color="auto"/>
              <w:left w:val="nil"/>
              <w:bottom w:val="single" w:sz="4" w:space="0" w:color="auto"/>
              <w:right w:val="nil"/>
            </w:tcBorders>
          </w:tcPr>
          <w:p w14:paraId="18C45647" w14:textId="77777777" w:rsidR="00AD72CC" w:rsidRPr="00BC0D1F" w:rsidRDefault="00AD72CC" w:rsidP="00493A42">
            <w:pPr>
              <w:pStyle w:val="TableText"/>
              <w:ind w:right="113"/>
              <w:jc w:val="right"/>
              <w:rPr>
                <w:b/>
              </w:rPr>
            </w:pPr>
            <w:r w:rsidRPr="00BC0D1F">
              <w:rPr>
                <w:b/>
              </w:rPr>
              <w:t>Standard</w:t>
            </w:r>
          </w:p>
        </w:tc>
        <w:tc>
          <w:tcPr>
            <w:tcW w:w="692" w:type="pct"/>
            <w:tcBorders>
              <w:top w:val="single" w:sz="4" w:space="0" w:color="auto"/>
              <w:left w:val="nil"/>
              <w:bottom w:val="single" w:sz="4" w:space="0" w:color="auto"/>
            </w:tcBorders>
            <w:shd w:val="clear" w:color="auto" w:fill="D9D9D9"/>
          </w:tcPr>
          <w:p w14:paraId="3F2E9D83" w14:textId="77777777" w:rsidR="00AD72CC" w:rsidRPr="00BC0D1F" w:rsidRDefault="00AD72CC" w:rsidP="00493A42">
            <w:pPr>
              <w:pStyle w:val="TableText"/>
              <w:ind w:right="113"/>
              <w:jc w:val="right"/>
              <w:rPr>
                <w:b/>
              </w:rPr>
            </w:pPr>
            <w:r w:rsidRPr="00BC0D1F">
              <w:rPr>
                <w:b/>
              </w:rPr>
              <w:t>Actual 2015/16</w:t>
            </w:r>
          </w:p>
        </w:tc>
      </w:tr>
      <w:tr w:rsidR="00AD72CC" w:rsidRPr="00BC0D1F" w14:paraId="0DFDF712" w14:textId="77777777" w:rsidTr="00493A42">
        <w:trPr>
          <w:cantSplit/>
        </w:trPr>
        <w:tc>
          <w:tcPr>
            <w:tcW w:w="685" w:type="pct"/>
            <w:tcBorders>
              <w:top w:val="single" w:sz="4" w:space="0" w:color="auto"/>
              <w:bottom w:val="nil"/>
              <w:right w:val="nil"/>
            </w:tcBorders>
          </w:tcPr>
          <w:p w14:paraId="6F583105" w14:textId="77777777" w:rsidR="00AD72CC" w:rsidRPr="00BC0D1F" w:rsidRDefault="00AD72CC" w:rsidP="00493A42">
            <w:pPr>
              <w:pStyle w:val="TableText"/>
              <w:spacing w:before="120"/>
              <w:ind w:right="284"/>
              <w:jc w:val="right"/>
              <w:rPr>
                <w:b/>
              </w:rPr>
            </w:pPr>
          </w:p>
        </w:tc>
        <w:tc>
          <w:tcPr>
            <w:tcW w:w="2853" w:type="pct"/>
            <w:tcBorders>
              <w:top w:val="single" w:sz="4" w:space="0" w:color="auto"/>
              <w:left w:val="nil"/>
              <w:bottom w:val="nil"/>
              <w:right w:val="nil"/>
            </w:tcBorders>
          </w:tcPr>
          <w:p w14:paraId="255D8454" w14:textId="5D41914C" w:rsidR="00AD72CC" w:rsidRPr="00BC0D1F" w:rsidRDefault="00AD72CC" w:rsidP="00726113">
            <w:pPr>
              <w:pStyle w:val="TableText"/>
              <w:spacing w:before="120"/>
              <w:rPr>
                <w:b/>
              </w:rPr>
            </w:pPr>
            <w:r w:rsidRPr="00BC0D1F">
              <w:rPr>
                <w:b/>
              </w:rPr>
              <w:t xml:space="preserve">How performance will be assessed for the </w:t>
            </w:r>
            <w:r w:rsidR="00726113">
              <w:rPr>
                <w:b/>
              </w:rPr>
              <w:t>multi-class appropriation</w:t>
            </w:r>
            <w:r w:rsidR="00726113" w:rsidRPr="00BC0D1F">
              <w:rPr>
                <w:b/>
              </w:rPr>
              <w:t xml:space="preserve"> </w:t>
            </w:r>
            <w:r w:rsidRPr="00BC0D1F">
              <w:rPr>
                <w:b/>
              </w:rPr>
              <w:t>as a whole</w:t>
            </w:r>
          </w:p>
        </w:tc>
        <w:tc>
          <w:tcPr>
            <w:tcW w:w="770" w:type="pct"/>
            <w:tcBorders>
              <w:top w:val="single" w:sz="4" w:space="0" w:color="auto"/>
              <w:left w:val="nil"/>
              <w:bottom w:val="nil"/>
              <w:right w:val="nil"/>
            </w:tcBorders>
          </w:tcPr>
          <w:p w14:paraId="0FAA5991" w14:textId="77777777" w:rsidR="00AD72CC" w:rsidRPr="00BC0D1F" w:rsidRDefault="00AD72CC" w:rsidP="00493A42">
            <w:pPr>
              <w:pStyle w:val="TableText"/>
              <w:spacing w:before="120"/>
              <w:ind w:right="113"/>
              <w:jc w:val="right"/>
              <w:rPr>
                <w:b/>
              </w:rPr>
            </w:pPr>
          </w:p>
        </w:tc>
        <w:tc>
          <w:tcPr>
            <w:tcW w:w="692" w:type="pct"/>
            <w:tcBorders>
              <w:top w:val="single" w:sz="4" w:space="0" w:color="auto"/>
              <w:left w:val="nil"/>
              <w:bottom w:val="nil"/>
            </w:tcBorders>
            <w:shd w:val="clear" w:color="auto" w:fill="D9D9D9"/>
          </w:tcPr>
          <w:p w14:paraId="153ADB5B" w14:textId="77777777" w:rsidR="00AD72CC" w:rsidRPr="00BC0D1F" w:rsidRDefault="00AD72CC" w:rsidP="00493A42">
            <w:pPr>
              <w:pStyle w:val="TableText"/>
              <w:spacing w:before="120"/>
              <w:ind w:right="113"/>
              <w:jc w:val="right"/>
              <w:rPr>
                <w:b/>
              </w:rPr>
            </w:pPr>
          </w:p>
        </w:tc>
      </w:tr>
      <w:tr w:rsidR="00AD72CC" w:rsidRPr="00BC0D1F" w14:paraId="3F96F8AF" w14:textId="77777777" w:rsidTr="00493A42">
        <w:trPr>
          <w:cantSplit/>
        </w:trPr>
        <w:tc>
          <w:tcPr>
            <w:tcW w:w="685" w:type="pct"/>
            <w:tcBorders>
              <w:top w:val="nil"/>
              <w:bottom w:val="nil"/>
              <w:right w:val="nil"/>
            </w:tcBorders>
          </w:tcPr>
          <w:p w14:paraId="62FC2C2D" w14:textId="77777777" w:rsidR="00AD72CC" w:rsidRPr="00BC0D1F" w:rsidRDefault="00AD72CC" w:rsidP="00493A42">
            <w:pPr>
              <w:pStyle w:val="TableText"/>
              <w:ind w:right="284"/>
              <w:jc w:val="right"/>
            </w:pPr>
            <w:r w:rsidRPr="00BC0D1F">
              <w:t>80%</w:t>
            </w:r>
          </w:p>
        </w:tc>
        <w:tc>
          <w:tcPr>
            <w:tcW w:w="2853" w:type="pct"/>
            <w:tcBorders>
              <w:top w:val="nil"/>
              <w:left w:val="nil"/>
              <w:bottom w:val="nil"/>
              <w:right w:val="nil"/>
            </w:tcBorders>
          </w:tcPr>
          <w:p w14:paraId="7F37B4DA" w14:textId="37700067" w:rsidR="00AD72CC" w:rsidRPr="00BC0D1F" w:rsidRDefault="00AD72CC" w:rsidP="00FE3146">
            <w:pPr>
              <w:pStyle w:val="TableText"/>
            </w:pPr>
            <w:r w:rsidRPr="00BC0D1F">
              <w:t>The average score for Minister</w:t>
            </w:r>
            <w:r w:rsidR="00DF4B9A" w:rsidRPr="00BC0D1F">
              <w:t>’</w:t>
            </w:r>
            <w:r w:rsidRPr="00BC0D1F">
              <w:t xml:space="preserve">s overall satisfaction with written and verbal advice (as assessed on a </w:t>
            </w:r>
            <w:r w:rsidR="004D50A0">
              <w:t>four</w:t>
            </w:r>
            <w:r w:rsidRPr="00BC0D1F">
              <w:t>-monthly annual basis)</w:t>
            </w:r>
          </w:p>
        </w:tc>
        <w:tc>
          <w:tcPr>
            <w:tcW w:w="770" w:type="pct"/>
            <w:tcBorders>
              <w:top w:val="nil"/>
              <w:left w:val="nil"/>
              <w:bottom w:val="nil"/>
              <w:right w:val="nil"/>
            </w:tcBorders>
          </w:tcPr>
          <w:p w14:paraId="17220EBA" w14:textId="77777777" w:rsidR="00AD72CC" w:rsidRPr="00BC0D1F" w:rsidRDefault="00AD72CC" w:rsidP="00493A42">
            <w:pPr>
              <w:pStyle w:val="TableText"/>
              <w:ind w:right="113"/>
              <w:jc w:val="right"/>
            </w:pPr>
            <w:r w:rsidRPr="00BC0D1F">
              <w:t>80%</w:t>
            </w:r>
          </w:p>
        </w:tc>
        <w:tc>
          <w:tcPr>
            <w:tcW w:w="692" w:type="pct"/>
            <w:tcBorders>
              <w:top w:val="nil"/>
              <w:left w:val="nil"/>
              <w:bottom w:val="nil"/>
            </w:tcBorders>
            <w:shd w:val="clear" w:color="auto" w:fill="D9D9D9"/>
          </w:tcPr>
          <w:p w14:paraId="109BAF0B" w14:textId="77777777" w:rsidR="00AD72CC" w:rsidRPr="00BC0D1F" w:rsidRDefault="00AD72CC" w:rsidP="00493A42">
            <w:pPr>
              <w:pStyle w:val="TableText"/>
              <w:ind w:right="113"/>
              <w:jc w:val="right"/>
            </w:pPr>
            <w:r w:rsidRPr="00BC0D1F">
              <w:t>83.6%</w:t>
            </w:r>
          </w:p>
        </w:tc>
      </w:tr>
      <w:tr w:rsidR="00AD72CC" w:rsidRPr="00BC0D1F" w14:paraId="1E1856C7" w14:textId="77777777" w:rsidTr="00493A42">
        <w:trPr>
          <w:cantSplit/>
        </w:trPr>
        <w:tc>
          <w:tcPr>
            <w:tcW w:w="685" w:type="pct"/>
            <w:tcBorders>
              <w:top w:val="nil"/>
              <w:bottom w:val="nil"/>
              <w:right w:val="nil"/>
            </w:tcBorders>
          </w:tcPr>
          <w:p w14:paraId="1DCF3A8D" w14:textId="77777777" w:rsidR="00AD72CC" w:rsidRPr="00BC0D1F" w:rsidRDefault="00AD72CC" w:rsidP="00493A42">
            <w:pPr>
              <w:pStyle w:val="TableText"/>
              <w:spacing w:before="120"/>
              <w:ind w:right="284"/>
              <w:jc w:val="right"/>
              <w:rPr>
                <w:b/>
              </w:rPr>
            </w:pPr>
          </w:p>
        </w:tc>
        <w:tc>
          <w:tcPr>
            <w:tcW w:w="2853" w:type="pct"/>
            <w:tcBorders>
              <w:top w:val="nil"/>
              <w:left w:val="nil"/>
              <w:bottom w:val="nil"/>
              <w:right w:val="nil"/>
            </w:tcBorders>
          </w:tcPr>
          <w:p w14:paraId="3205F90F" w14:textId="77777777" w:rsidR="00AD72CC" w:rsidRPr="00BC0D1F" w:rsidRDefault="00AD72CC" w:rsidP="00493A42">
            <w:pPr>
              <w:pStyle w:val="TableText"/>
              <w:spacing w:before="120"/>
              <w:rPr>
                <w:b/>
              </w:rPr>
            </w:pPr>
            <w:r w:rsidRPr="00BC0D1F">
              <w:rPr>
                <w:b/>
              </w:rPr>
              <w:t>Ministerial servicing</w:t>
            </w:r>
          </w:p>
        </w:tc>
        <w:tc>
          <w:tcPr>
            <w:tcW w:w="770" w:type="pct"/>
            <w:tcBorders>
              <w:top w:val="nil"/>
              <w:left w:val="nil"/>
              <w:bottom w:val="nil"/>
              <w:right w:val="nil"/>
            </w:tcBorders>
          </w:tcPr>
          <w:p w14:paraId="2A307304" w14:textId="77777777" w:rsidR="00AD72CC" w:rsidRPr="00BC0D1F" w:rsidRDefault="00AD72CC" w:rsidP="00493A42">
            <w:pPr>
              <w:pStyle w:val="TableText"/>
              <w:spacing w:before="120"/>
              <w:ind w:right="113"/>
              <w:jc w:val="right"/>
              <w:rPr>
                <w:b/>
              </w:rPr>
            </w:pPr>
          </w:p>
        </w:tc>
        <w:tc>
          <w:tcPr>
            <w:tcW w:w="692" w:type="pct"/>
            <w:tcBorders>
              <w:top w:val="nil"/>
              <w:left w:val="nil"/>
              <w:bottom w:val="nil"/>
            </w:tcBorders>
            <w:shd w:val="clear" w:color="auto" w:fill="D9D9D9"/>
          </w:tcPr>
          <w:p w14:paraId="1FB92DA2" w14:textId="77777777" w:rsidR="00AD72CC" w:rsidRPr="00BC0D1F" w:rsidRDefault="00AD72CC" w:rsidP="00493A42">
            <w:pPr>
              <w:pStyle w:val="TableText"/>
              <w:spacing w:before="120"/>
              <w:ind w:right="113"/>
              <w:jc w:val="right"/>
              <w:rPr>
                <w:b/>
                <w:highlight w:val="yellow"/>
              </w:rPr>
            </w:pPr>
          </w:p>
        </w:tc>
      </w:tr>
      <w:tr w:rsidR="00AD72CC" w:rsidRPr="00BC0D1F" w14:paraId="108ACF78" w14:textId="77777777" w:rsidTr="00493A42">
        <w:trPr>
          <w:cantSplit/>
        </w:trPr>
        <w:tc>
          <w:tcPr>
            <w:tcW w:w="685" w:type="pct"/>
            <w:tcBorders>
              <w:top w:val="nil"/>
              <w:bottom w:val="nil"/>
              <w:right w:val="nil"/>
            </w:tcBorders>
          </w:tcPr>
          <w:p w14:paraId="26C5C93E" w14:textId="77777777" w:rsidR="00AD72CC" w:rsidRPr="00BC0D1F" w:rsidRDefault="00AD72CC" w:rsidP="00493A42">
            <w:pPr>
              <w:pStyle w:val="TableText"/>
            </w:pPr>
          </w:p>
        </w:tc>
        <w:tc>
          <w:tcPr>
            <w:tcW w:w="2853" w:type="pct"/>
            <w:tcBorders>
              <w:top w:val="nil"/>
              <w:left w:val="nil"/>
              <w:bottom w:val="nil"/>
              <w:right w:val="nil"/>
            </w:tcBorders>
          </w:tcPr>
          <w:p w14:paraId="0CC604CD" w14:textId="77777777" w:rsidR="00AD72CC" w:rsidRPr="00BC0D1F" w:rsidRDefault="00AD72CC" w:rsidP="00493A42">
            <w:pPr>
              <w:pStyle w:val="TableText"/>
            </w:pPr>
            <w:r w:rsidRPr="00BC0D1F">
              <w:t>This category is intended to achieve the following: Ministers are provided with support so that they can discharge their portfolio responsibilities</w:t>
            </w:r>
          </w:p>
        </w:tc>
        <w:tc>
          <w:tcPr>
            <w:tcW w:w="770" w:type="pct"/>
            <w:tcBorders>
              <w:top w:val="nil"/>
              <w:left w:val="nil"/>
              <w:bottom w:val="nil"/>
              <w:right w:val="nil"/>
            </w:tcBorders>
          </w:tcPr>
          <w:p w14:paraId="23B2E592" w14:textId="77777777" w:rsidR="00AD72CC" w:rsidRPr="00BC0D1F" w:rsidRDefault="00AD72CC" w:rsidP="00493A42">
            <w:pPr>
              <w:pStyle w:val="TableText"/>
            </w:pPr>
          </w:p>
        </w:tc>
        <w:tc>
          <w:tcPr>
            <w:tcW w:w="692" w:type="pct"/>
            <w:tcBorders>
              <w:top w:val="nil"/>
              <w:left w:val="nil"/>
              <w:bottom w:val="nil"/>
            </w:tcBorders>
            <w:shd w:val="clear" w:color="auto" w:fill="D9D9D9"/>
          </w:tcPr>
          <w:p w14:paraId="211DD541" w14:textId="77777777" w:rsidR="00AD72CC" w:rsidRPr="00BC0D1F" w:rsidRDefault="00AD72CC" w:rsidP="00493A42">
            <w:pPr>
              <w:pStyle w:val="TableText"/>
            </w:pPr>
          </w:p>
        </w:tc>
      </w:tr>
      <w:tr w:rsidR="00AD72CC" w:rsidRPr="00BC0D1F" w14:paraId="5CD31271" w14:textId="77777777" w:rsidTr="00493A42">
        <w:trPr>
          <w:cantSplit/>
        </w:trPr>
        <w:tc>
          <w:tcPr>
            <w:tcW w:w="685" w:type="pct"/>
            <w:tcBorders>
              <w:top w:val="nil"/>
              <w:bottom w:val="nil"/>
              <w:right w:val="nil"/>
            </w:tcBorders>
          </w:tcPr>
          <w:p w14:paraId="3845F28E" w14:textId="77777777" w:rsidR="00AD72CC" w:rsidRPr="00BC0D1F" w:rsidRDefault="00AD72CC" w:rsidP="00493A42">
            <w:pPr>
              <w:pStyle w:val="TableText"/>
              <w:ind w:right="284"/>
              <w:jc w:val="right"/>
            </w:pPr>
            <w:r w:rsidRPr="00BC0D1F">
              <w:t>96.8%</w:t>
            </w:r>
          </w:p>
        </w:tc>
        <w:tc>
          <w:tcPr>
            <w:tcW w:w="2853" w:type="pct"/>
            <w:tcBorders>
              <w:top w:val="nil"/>
              <w:left w:val="nil"/>
              <w:bottom w:val="nil"/>
              <w:right w:val="nil"/>
            </w:tcBorders>
          </w:tcPr>
          <w:p w14:paraId="6E7701C2" w14:textId="5E2EBA21" w:rsidR="00AD72CC" w:rsidRPr="00BC0D1F" w:rsidRDefault="00AD72CC" w:rsidP="00FE3146">
            <w:pPr>
              <w:pStyle w:val="TableText"/>
            </w:pPr>
            <w:r w:rsidRPr="00BC0D1F">
              <w:t>The percentage of responses provided to the Minister within agreed timeframes</w:t>
            </w:r>
            <w:r w:rsidR="0088767E">
              <w:t>;</w:t>
            </w:r>
            <w:r w:rsidRPr="00BC0D1F">
              <w:t xml:space="preserve"> for written parliamentary questions and </w:t>
            </w:r>
            <w:r w:rsidR="004D50A0">
              <w:t>M</w:t>
            </w:r>
            <w:r w:rsidR="004D50A0" w:rsidRPr="00BC0D1F">
              <w:t>inisterial letters</w:t>
            </w:r>
          </w:p>
        </w:tc>
        <w:tc>
          <w:tcPr>
            <w:tcW w:w="770" w:type="pct"/>
            <w:tcBorders>
              <w:top w:val="nil"/>
              <w:left w:val="nil"/>
              <w:bottom w:val="nil"/>
              <w:right w:val="nil"/>
            </w:tcBorders>
          </w:tcPr>
          <w:p w14:paraId="668B56F3" w14:textId="77777777" w:rsidR="00AD72CC" w:rsidRPr="00BC0D1F" w:rsidRDefault="00AD72CC" w:rsidP="00493A42">
            <w:pPr>
              <w:pStyle w:val="TableText"/>
              <w:ind w:right="113"/>
              <w:jc w:val="right"/>
            </w:pPr>
            <w:r w:rsidRPr="00BC0D1F">
              <w:t>96%</w:t>
            </w:r>
          </w:p>
        </w:tc>
        <w:tc>
          <w:tcPr>
            <w:tcW w:w="692" w:type="pct"/>
            <w:tcBorders>
              <w:top w:val="nil"/>
              <w:left w:val="nil"/>
              <w:bottom w:val="nil"/>
            </w:tcBorders>
            <w:shd w:val="clear" w:color="auto" w:fill="D9D9D9"/>
          </w:tcPr>
          <w:p w14:paraId="0A93A2A4" w14:textId="77777777" w:rsidR="00AD72CC" w:rsidRPr="00BC0D1F" w:rsidRDefault="00AD72CC" w:rsidP="00493A42">
            <w:pPr>
              <w:pStyle w:val="TableText"/>
              <w:ind w:right="113"/>
              <w:jc w:val="right"/>
            </w:pPr>
            <w:r w:rsidRPr="00BC0D1F">
              <w:t>97.6%</w:t>
            </w:r>
          </w:p>
        </w:tc>
      </w:tr>
      <w:tr w:rsidR="00AD72CC" w:rsidRPr="00BC0D1F" w14:paraId="38B6E036" w14:textId="77777777" w:rsidTr="00493A42">
        <w:trPr>
          <w:cantSplit/>
        </w:trPr>
        <w:tc>
          <w:tcPr>
            <w:tcW w:w="685" w:type="pct"/>
            <w:tcBorders>
              <w:top w:val="nil"/>
              <w:bottom w:val="nil"/>
              <w:right w:val="nil"/>
            </w:tcBorders>
          </w:tcPr>
          <w:p w14:paraId="287760FA" w14:textId="77777777" w:rsidR="00AD72CC" w:rsidRPr="00BC0D1F" w:rsidRDefault="00AD72CC" w:rsidP="00493A42">
            <w:pPr>
              <w:pStyle w:val="TableText"/>
              <w:ind w:right="284"/>
              <w:jc w:val="right"/>
            </w:pPr>
            <w:r w:rsidRPr="00BC0D1F">
              <w:t>New</w:t>
            </w:r>
          </w:p>
        </w:tc>
        <w:tc>
          <w:tcPr>
            <w:tcW w:w="2853" w:type="pct"/>
            <w:tcBorders>
              <w:top w:val="nil"/>
              <w:left w:val="nil"/>
              <w:bottom w:val="nil"/>
              <w:right w:val="nil"/>
            </w:tcBorders>
          </w:tcPr>
          <w:p w14:paraId="06D02E31" w14:textId="41A77342" w:rsidR="00AD72CC" w:rsidRPr="00BC0D1F" w:rsidRDefault="00AD72CC" w:rsidP="00493A42">
            <w:pPr>
              <w:spacing w:line="240" w:lineRule="auto"/>
              <w:rPr>
                <w:rFonts w:ascii="Arial" w:hAnsi="Arial" w:cs="Arial"/>
                <w:sz w:val="18"/>
                <w:szCs w:val="18"/>
                <w:lang w:eastAsia="en-NZ"/>
              </w:rPr>
            </w:pPr>
            <w:r w:rsidRPr="00BC0D1F">
              <w:rPr>
                <w:rFonts w:ascii="Arial" w:hAnsi="Arial" w:cs="Arial"/>
                <w:sz w:val="18"/>
                <w:szCs w:val="18"/>
              </w:rPr>
              <w:t>The percentage of responses provided to the Minister within agreed timeframes</w:t>
            </w:r>
            <w:r w:rsidR="00294DD7">
              <w:rPr>
                <w:rFonts w:ascii="Arial" w:hAnsi="Arial" w:cs="Arial"/>
                <w:sz w:val="18"/>
                <w:szCs w:val="18"/>
              </w:rPr>
              <w:t>;</w:t>
            </w:r>
            <w:r w:rsidRPr="00BC0D1F">
              <w:rPr>
                <w:rFonts w:ascii="Arial" w:hAnsi="Arial" w:cs="Arial"/>
                <w:sz w:val="18"/>
                <w:szCs w:val="18"/>
              </w:rPr>
              <w:t xml:space="preserve"> for requested briefings</w:t>
            </w:r>
          </w:p>
        </w:tc>
        <w:tc>
          <w:tcPr>
            <w:tcW w:w="770" w:type="pct"/>
            <w:tcBorders>
              <w:top w:val="nil"/>
              <w:left w:val="nil"/>
              <w:bottom w:val="nil"/>
              <w:right w:val="nil"/>
            </w:tcBorders>
          </w:tcPr>
          <w:p w14:paraId="7B88B955" w14:textId="77777777" w:rsidR="00AD72CC" w:rsidRPr="00BC0D1F" w:rsidRDefault="00AD72CC" w:rsidP="00493A42">
            <w:pPr>
              <w:pStyle w:val="TableText"/>
              <w:ind w:right="113"/>
              <w:jc w:val="right"/>
            </w:pPr>
            <w:r w:rsidRPr="00BC0D1F">
              <w:t>96%</w:t>
            </w:r>
          </w:p>
        </w:tc>
        <w:tc>
          <w:tcPr>
            <w:tcW w:w="692" w:type="pct"/>
            <w:tcBorders>
              <w:top w:val="nil"/>
              <w:left w:val="nil"/>
              <w:bottom w:val="nil"/>
            </w:tcBorders>
            <w:shd w:val="clear" w:color="auto" w:fill="D9D9D9"/>
          </w:tcPr>
          <w:p w14:paraId="473AE02C" w14:textId="54BD4ABB" w:rsidR="00AD72CC" w:rsidRPr="00BC0D1F" w:rsidRDefault="00AD72CC" w:rsidP="00726113">
            <w:pPr>
              <w:pStyle w:val="TableText"/>
              <w:ind w:right="113"/>
              <w:jc w:val="right"/>
            </w:pPr>
            <w:r w:rsidRPr="00BC0D1F">
              <w:t>93.6%</w:t>
            </w:r>
          </w:p>
        </w:tc>
      </w:tr>
      <w:tr w:rsidR="00AD72CC" w:rsidRPr="00BC0D1F" w14:paraId="1DCF5762" w14:textId="77777777" w:rsidTr="00493A42">
        <w:trPr>
          <w:cantSplit/>
        </w:trPr>
        <w:tc>
          <w:tcPr>
            <w:tcW w:w="685" w:type="pct"/>
            <w:tcBorders>
              <w:top w:val="nil"/>
              <w:bottom w:val="nil"/>
              <w:right w:val="nil"/>
            </w:tcBorders>
          </w:tcPr>
          <w:p w14:paraId="5AC4447E" w14:textId="77777777" w:rsidR="00AD72CC" w:rsidRPr="00BC0D1F" w:rsidRDefault="00AD72CC" w:rsidP="00493A42">
            <w:pPr>
              <w:pStyle w:val="TableText"/>
              <w:ind w:right="284"/>
              <w:jc w:val="right"/>
            </w:pPr>
            <w:r w:rsidRPr="00BC0D1F">
              <w:t>98%</w:t>
            </w:r>
          </w:p>
        </w:tc>
        <w:tc>
          <w:tcPr>
            <w:tcW w:w="2853" w:type="pct"/>
            <w:tcBorders>
              <w:top w:val="nil"/>
              <w:left w:val="nil"/>
              <w:bottom w:val="nil"/>
              <w:right w:val="nil"/>
            </w:tcBorders>
          </w:tcPr>
          <w:p w14:paraId="36847D8D" w14:textId="7CE8D04E" w:rsidR="00AD72CC" w:rsidRPr="00BC0D1F" w:rsidRDefault="00AD72CC" w:rsidP="00FE3146">
            <w:pPr>
              <w:pStyle w:val="TableText"/>
            </w:pPr>
            <w:r w:rsidRPr="00BC0D1F">
              <w:t xml:space="preserve">The percentage of </w:t>
            </w:r>
            <w:r w:rsidR="004D50A0">
              <w:t>M</w:t>
            </w:r>
            <w:r w:rsidR="004D50A0" w:rsidRPr="00BC0D1F">
              <w:t xml:space="preserve">inisterial </w:t>
            </w:r>
            <w:r w:rsidRPr="00BC0D1F">
              <w:t xml:space="preserve">letters that required no revision </w:t>
            </w:r>
          </w:p>
        </w:tc>
        <w:tc>
          <w:tcPr>
            <w:tcW w:w="770" w:type="pct"/>
            <w:tcBorders>
              <w:top w:val="nil"/>
              <w:left w:val="nil"/>
              <w:bottom w:val="nil"/>
              <w:right w:val="nil"/>
            </w:tcBorders>
          </w:tcPr>
          <w:p w14:paraId="13D153A8" w14:textId="77777777" w:rsidR="00AD72CC" w:rsidRPr="00BC0D1F" w:rsidRDefault="00AD72CC" w:rsidP="00493A42">
            <w:pPr>
              <w:pStyle w:val="TableText"/>
              <w:ind w:right="113"/>
              <w:jc w:val="right"/>
            </w:pPr>
            <w:r w:rsidRPr="00BC0D1F">
              <w:t>98%</w:t>
            </w:r>
          </w:p>
        </w:tc>
        <w:tc>
          <w:tcPr>
            <w:tcW w:w="692" w:type="pct"/>
            <w:tcBorders>
              <w:top w:val="nil"/>
              <w:left w:val="nil"/>
              <w:bottom w:val="nil"/>
            </w:tcBorders>
            <w:shd w:val="clear" w:color="auto" w:fill="D9D9D9"/>
          </w:tcPr>
          <w:p w14:paraId="608307CE" w14:textId="77777777" w:rsidR="00AD72CC" w:rsidRPr="00BC0D1F" w:rsidRDefault="00AD72CC" w:rsidP="00493A42">
            <w:pPr>
              <w:pStyle w:val="TableText"/>
              <w:ind w:right="113"/>
              <w:jc w:val="right"/>
            </w:pPr>
            <w:r w:rsidRPr="00BC0D1F">
              <w:t>98.9%</w:t>
            </w:r>
          </w:p>
        </w:tc>
      </w:tr>
      <w:tr w:rsidR="00AD72CC" w:rsidRPr="00BC0D1F" w14:paraId="7998446D" w14:textId="77777777" w:rsidTr="00493A42">
        <w:trPr>
          <w:cantSplit/>
        </w:trPr>
        <w:tc>
          <w:tcPr>
            <w:tcW w:w="685" w:type="pct"/>
            <w:tcBorders>
              <w:top w:val="nil"/>
              <w:bottom w:val="nil"/>
              <w:right w:val="nil"/>
            </w:tcBorders>
          </w:tcPr>
          <w:p w14:paraId="36581382" w14:textId="77777777" w:rsidR="00AD72CC" w:rsidRPr="00BC0D1F" w:rsidRDefault="00AD72CC" w:rsidP="00493A42">
            <w:pPr>
              <w:pStyle w:val="TableText"/>
              <w:ind w:right="284"/>
              <w:jc w:val="right"/>
            </w:pPr>
            <w:r w:rsidRPr="00BC0D1F">
              <w:t>92%</w:t>
            </w:r>
          </w:p>
        </w:tc>
        <w:tc>
          <w:tcPr>
            <w:tcW w:w="2853" w:type="pct"/>
            <w:tcBorders>
              <w:top w:val="nil"/>
              <w:left w:val="nil"/>
              <w:bottom w:val="nil"/>
              <w:right w:val="nil"/>
            </w:tcBorders>
          </w:tcPr>
          <w:p w14:paraId="6BF131F3" w14:textId="77777777" w:rsidR="00AD72CC" w:rsidRPr="00BC0D1F" w:rsidRDefault="00AD72CC" w:rsidP="00493A42">
            <w:pPr>
              <w:pStyle w:val="TableText"/>
            </w:pPr>
            <w:r w:rsidRPr="00BC0D1F">
              <w:t xml:space="preserve">The percentage of responses to Official Information Act requests, provided to the Minister within agreed timeframes (for requests made to the Minister) or to the requestor within the statutory timeframe, including where extended in line with the Act (for requests made to the Ministry) </w:t>
            </w:r>
          </w:p>
        </w:tc>
        <w:tc>
          <w:tcPr>
            <w:tcW w:w="770" w:type="pct"/>
            <w:tcBorders>
              <w:top w:val="nil"/>
              <w:left w:val="nil"/>
              <w:bottom w:val="nil"/>
              <w:right w:val="nil"/>
            </w:tcBorders>
          </w:tcPr>
          <w:p w14:paraId="1F161B4F" w14:textId="77777777" w:rsidR="00AD72CC" w:rsidRPr="00BC0D1F" w:rsidRDefault="00AD72CC" w:rsidP="00493A42">
            <w:pPr>
              <w:pStyle w:val="TableText"/>
              <w:ind w:right="113"/>
              <w:jc w:val="right"/>
            </w:pPr>
            <w:r w:rsidRPr="00BC0D1F">
              <w:t>95%</w:t>
            </w:r>
          </w:p>
        </w:tc>
        <w:tc>
          <w:tcPr>
            <w:tcW w:w="692" w:type="pct"/>
            <w:tcBorders>
              <w:top w:val="nil"/>
              <w:left w:val="nil"/>
              <w:bottom w:val="nil"/>
            </w:tcBorders>
            <w:shd w:val="clear" w:color="auto" w:fill="D9D9D9"/>
          </w:tcPr>
          <w:p w14:paraId="2E226C0F" w14:textId="0A8C4184" w:rsidR="00AD72CC" w:rsidRPr="00BC0D1F" w:rsidRDefault="00AD72CC">
            <w:pPr>
              <w:pStyle w:val="TableText"/>
              <w:ind w:right="113"/>
              <w:jc w:val="right"/>
            </w:pPr>
            <w:r w:rsidRPr="00BC0D1F">
              <w:t>88.9%</w:t>
            </w:r>
            <w:r w:rsidR="00B621AF" w:rsidRPr="00BC0D1F">
              <w:br/>
            </w:r>
            <w:r w:rsidRPr="00BC0D1F">
              <w:t xml:space="preserve">(see Note </w:t>
            </w:r>
            <w:r w:rsidR="00726113">
              <w:t>A</w:t>
            </w:r>
            <w:r w:rsidRPr="00BC0D1F">
              <w:t>)</w:t>
            </w:r>
          </w:p>
        </w:tc>
      </w:tr>
      <w:tr w:rsidR="00AD72CC" w:rsidRPr="00BC0D1F" w14:paraId="71BCC4C3" w14:textId="77777777" w:rsidTr="00493A42">
        <w:trPr>
          <w:cantSplit/>
        </w:trPr>
        <w:tc>
          <w:tcPr>
            <w:tcW w:w="685" w:type="pct"/>
            <w:tcBorders>
              <w:top w:val="nil"/>
              <w:bottom w:val="nil"/>
              <w:right w:val="nil"/>
            </w:tcBorders>
          </w:tcPr>
          <w:p w14:paraId="618606A7" w14:textId="77777777" w:rsidR="00AD72CC" w:rsidRPr="00BC0D1F" w:rsidRDefault="00AD72CC" w:rsidP="00493A42">
            <w:pPr>
              <w:pStyle w:val="TableText"/>
              <w:spacing w:before="120"/>
              <w:ind w:right="284"/>
              <w:jc w:val="right"/>
              <w:rPr>
                <w:b/>
              </w:rPr>
            </w:pPr>
          </w:p>
        </w:tc>
        <w:tc>
          <w:tcPr>
            <w:tcW w:w="2853" w:type="pct"/>
            <w:tcBorders>
              <w:top w:val="nil"/>
              <w:left w:val="nil"/>
              <w:bottom w:val="nil"/>
              <w:right w:val="nil"/>
            </w:tcBorders>
          </w:tcPr>
          <w:p w14:paraId="6DBA14A6" w14:textId="77777777" w:rsidR="00AD72CC" w:rsidRPr="00BC0D1F" w:rsidRDefault="00AD72CC" w:rsidP="00493A42">
            <w:pPr>
              <w:pStyle w:val="TableText"/>
              <w:spacing w:before="120"/>
              <w:rPr>
                <w:b/>
              </w:rPr>
            </w:pPr>
            <w:r w:rsidRPr="00BC0D1F">
              <w:rPr>
                <w:b/>
              </w:rPr>
              <w:t>Policy advice</w:t>
            </w:r>
          </w:p>
        </w:tc>
        <w:tc>
          <w:tcPr>
            <w:tcW w:w="770" w:type="pct"/>
            <w:tcBorders>
              <w:top w:val="nil"/>
              <w:left w:val="nil"/>
              <w:bottom w:val="nil"/>
              <w:right w:val="nil"/>
            </w:tcBorders>
          </w:tcPr>
          <w:p w14:paraId="16B7184C" w14:textId="77777777" w:rsidR="00AD72CC" w:rsidRPr="00BC0D1F" w:rsidRDefault="00AD72CC" w:rsidP="00493A42">
            <w:pPr>
              <w:pStyle w:val="TableText"/>
              <w:spacing w:before="120"/>
              <w:ind w:right="113"/>
              <w:jc w:val="right"/>
              <w:rPr>
                <w:b/>
              </w:rPr>
            </w:pPr>
          </w:p>
        </w:tc>
        <w:tc>
          <w:tcPr>
            <w:tcW w:w="692" w:type="pct"/>
            <w:tcBorders>
              <w:top w:val="nil"/>
              <w:left w:val="nil"/>
              <w:bottom w:val="nil"/>
            </w:tcBorders>
            <w:shd w:val="clear" w:color="auto" w:fill="D9D9D9"/>
          </w:tcPr>
          <w:p w14:paraId="092BD5FB" w14:textId="77777777" w:rsidR="00AD72CC" w:rsidRPr="00BC0D1F" w:rsidRDefault="00AD72CC" w:rsidP="00493A42">
            <w:pPr>
              <w:pStyle w:val="TableText"/>
              <w:spacing w:before="120"/>
              <w:ind w:right="113"/>
              <w:jc w:val="right"/>
              <w:rPr>
                <w:b/>
              </w:rPr>
            </w:pPr>
          </w:p>
        </w:tc>
      </w:tr>
      <w:tr w:rsidR="00AD72CC" w:rsidRPr="00BC0D1F" w14:paraId="74D1E9B2" w14:textId="77777777" w:rsidTr="00493A42">
        <w:trPr>
          <w:cantSplit/>
        </w:trPr>
        <w:tc>
          <w:tcPr>
            <w:tcW w:w="685" w:type="pct"/>
            <w:tcBorders>
              <w:top w:val="nil"/>
              <w:bottom w:val="nil"/>
              <w:right w:val="nil"/>
            </w:tcBorders>
          </w:tcPr>
          <w:p w14:paraId="71D57116" w14:textId="77777777" w:rsidR="00AD72CC" w:rsidRPr="00BC0D1F" w:rsidRDefault="00AD72CC" w:rsidP="00493A42">
            <w:pPr>
              <w:pStyle w:val="TableText"/>
              <w:ind w:right="284"/>
              <w:jc w:val="right"/>
            </w:pPr>
          </w:p>
        </w:tc>
        <w:tc>
          <w:tcPr>
            <w:tcW w:w="2853" w:type="pct"/>
            <w:tcBorders>
              <w:top w:val="nil"/>
              <w:left w:val="nil"/>
              <w:bottom w:val="nil"/>
              <w:right w:val="nil"/>
            </w:tcBorders>
          </w:tcPr>
          <w:p w14:paraId="246049C3" w14:textId="77777777" w:rsidR="00AD72CC" w:rsidRPr="00BC0D1F" w:rsidRDefault="00AD72CC" w:rsidP="00493A42">
            <w:pPr>
              <w:pStyle w:val="TableText"/>
              <w:rPr>
                <w:rFonts w:ascii="Arial Narrow" w:hAnsi="Arial Narrow" w:cs="Arial Narrow"/>
                <w:szCs w:val="18"/>
                <w:lang w:eastAsia="en-NZ"/>
              </w:rPr>
            </w:pPr>
            <w:r w:rsidRPr="00BC0D1F">
              <w:t>This category is intended to achieve the following: Ministers are provided with policy advice that appropriately informs them about issues affecting the health portfolio, Government priorities, and when otherwise appropriate</w:t>
            </w:r>
          </w:p>
        </w:tc>
        <w:tc>
          <w:tcPr>
            <w:tcW w:w="770" w:type="pct"/>
            <w:tcBorders>
              <w:top w:val="nil"/>
              <w:left w:val="nil"/>
              <w:bottom w:val="nil"/>
              <w:right w:val="nil"/>
            </w:tcBorders>
          </w:tcPr>
          <w:p w14:paraId="1CFA7F8E" w14:textId="77777777" w:rsidR="00AD72CC" w:rsidRPr="00BC0D1F" w:rsidRDefault="00AD72CC" w:rsidP="00493A42">
            <w:pPr>
              <w:pStyle w:val="TableText"/>
              <w:ind w:right="113"/>
              <w:jc w:val="right"/>
            </w:pPr>
          </w:p>
        </w:tc>
        <w:tc>
          <w:tcPr>
            <w:tcW w:w="692" w:type="pct"/>
            <w:tcBorders>
              <w:top w:val="nil"/>
              <w:left w:val="nil"/>
              <w:bottom w:val="nil"/>
            </w:tcBorders>
            <w:shd w:val="clear" w:color="auto" w:fill="D9D9D9"/>
          </w:tcPr>
          <w:p w14:paraId="50FC2986" w14:textId="77777777" w:rsidR="00AD72CC" w:rsidRPr="00BC0D1F" w:rsidRDefault="00AD72CC" w:rsidP="00493A42">
            <w:pPr>
              <w:pStyle w:val="TableText"/>
              <w:ind w:right="113"/>
              <w:jc w:val="right"/>
            </w:pPr>
          </w:p>
        </w:tc>
      </w:tr>
      <w:tr w:rsidR="00AD72CC" w:rsidRPr="00BC0D1F" w14:paraId="612E6FEB" w14:textId="77777777" w:rsidTr="00493A42">
        <w:trPr>
          <w:cantSplit/>
        </w:trPr>
        <w:tc>
          <w:tcPr>
            <w:tcW w:w="685" w:type="pct"/>
            <w:tcBorders>
              <w:top w:val="nil"/>
              <w:bottom w:val="nil"/>
              <w:right w:val="nil"/>
            </w:tcBorders>
          </w:tcPr>
          <w:p w14:paraId="33FF40B5" w14:textId="77777777" w:rsidR="00AD72CC" w:rsidRPr="00BC0D1F" w:rsidRDefault="00AD72CC" w:rsidP="00493A42">
            <w:pPr>
              <w:pStyle w:val="TableText"/>
              <w:ind w:right="284"/>
              <w:jc w:val="right"/>
            </w:pPr>
            <w:r w:rsidRPr="00BC0D1F">
              <w:t>7.43</w:t>
            </w:r>
          </w:p>
        </w:tc>
        <w:tc>
          <w:tcPr>
            <w:tcW w:w="2853" w:type="pct"/>
            <w:tcBorders>
              <w:top w:val="nil"/>
              <w:left w:val="nil"/>
              <w:bottom w:val="nil"/>
              <w:right w:val="nil"/>
            </w:tcBorders>
          </w:tcPr>
          <w:p w14:paraId="62624115" w14:textId="77777777" w:rsidR="00AD72CC" w:rsidRPr="00BC0D1F" w:rsidRDefault="00AD72CC" w:rsidP="00493A42">
            <w:pPr>
              <w:pStyle w:val="TableText"/>
            </w:pPr>
            <w:r w:rsidRPr="00BC0D1F">
              <w:t>The average score attained by written policy advice as assessed by an external reviewer</w:t>
            </w:r>
          </w:p>
        </w:tc>
        <w:tc>
          <w:tcPr>
            <w:tcW w:w="770" w:type="pct"/>
            <w:tcBorders>
              <w:top w:val="nil"/>
              <w:left w:val="nil"/>
              <w:bottom w:val="nil"/>
              <w:right w:val="nil"/>
            </w:tcBorders>
          </w:tcPr>
          <w:p w14:paraId="6E67C0F5" w14:textId="41BA1E20" w:rsidR="00AD72CC" w:rsidRPr="00BC0D1F" w:rsidRDefault="004D50A0">
            <w:pPr>
              <w:pStyle w:val="TableText"/>
              <w:ind w:right="113"/>
              <w:jc w:val="right"/>
            </w:pPr>
            <w:r>
              <w:t>&gt;</w:t>
            </w:r>
            <w:r w:rsidR="00AD72CC" w:rsidRPr="00BC0D1F">
              <w:t>7 out of 10</w:t>
            </w:r>
          </w:p>
        </w:tc>
        <w:tc>
          <w:tcPr>
            <w:tcW w:w="692" w:type="pct"/>
            <w:tcBorders>
              <w:top w:val="nil"/>
              <w:left w:val="nil"/>
              <w:bottom w:val="nil"/>
            </w:tcBorders>
            <w:shd w:val="clear" w:color="auto" w:fill="D9D9D9"/>
          </w:tcPr>
          <w:p w14:paraId="1D625A49" w14:textId="77777777" w:rsidR="00AD72CC" w:rsidRPr="00BC0D1F" w:rsidRDefault="00AD72CC" w:rsidP="00493A42">
            <w:pPr>
              <w:pStyle w:val="TableText"/>
              <w:ind w:right="113"/>
              <w:jc w:val="right"/>
            </w:pPr>
            <w:r w:rsidRPr="00BC0D1F">
              <w:t>7.1</w:t>
            </w:r>
          </w:p>
        </w:tc>
      </w:tr>
      <w:tr w:rsidR="00AD72CC" w:rsidRPr="00BC0D1F" w14:paraId="68F143B5" w14:textId="77777777" w:rsidTr="00493A42">
        <w:trPr>
          <w:cantSplit/>
        </w:trPr>
        <w:tc>
          <w:tcPr>
            <w:tcW w:w="685" w:type="pct"/>
            <w:tcBorders>
              <w:top w:val="nil"/>
              <w:bottom w:val="single" w:sz="4" w:space="0" w:color="auto"/>
              <w:right w:val="nil"/>
            </w:tcBorders>
          </w:tcPr>
          <w:p w14:paraId="4D887C90" w14:textId="77777777" w:rsidR="00AD72CC" w:rsidRPr="00BC0D1F" w:rsidRDefault="00AD72CC" w:rsidP="00493A42">
            <w:pPr>
              <w:pStyle w:val="TableText"/>
              <w:spacing w:after="120"/>
              <w:ind w:right="284"/>
              <w:jc w:val="right"/>
            </w:pPr>
            <w:r w:rsidRPr="00BC0D1F">
              <w:t>$167.06</w:t>
            </w:r>
          </w:p>
        </w:tc>
        <w:tc>
          <w:tcPr>
            <w:tcW w:w="2853" w:type="pct"/>
            <w:tcBorders>
              <w:top w:val="nil"/>
              <w:left w:val="nil"/>
              <w:bottom w:val="single" w:sz="4" w:space="0" w:color="auto"/>
              <w:right w:val="nil"/>
            </w:tcBorders>
          </w:tcPr>
          <w:p w14:paraId="081F7343" w14:textId="77777777" w:rsidR="00AD72CC" w:rsidRPr="00BC0D1F" w:rsidRDefault="00AD72CC" w:rsidP="00493A42">
            <w:pPr>
              <w:pStyle w:val="TableText"/>
              <w:spacing w:after="120"/>
            </w:pPr>
            <w:r w:rsidRPr="00BC0D1F">
              <w:t>Total policy function cost per output hour</w:t>
            </w:r>
          </w:p>
        </w:tc>
        <w:tc>
          <w:tcPr>
            <w:tcW w:w="770" w:type="pct"/>
            <w:tcBorders>
              <w:top w:val="nil"/>
              <w:left w:val="nil"/>
              <w:bottom w:val="single" w:sz="4" w:space="0" w:color="auto"/>
              <w:right w:val="nil"/>
            </w:tcBorders>
          </w:tcPr>
          <w:p w14:paraId="399587BD" w14:textId="77777777" w:rsidR="00AD72CC" w:rsidRPr="00BC0D1F" w:rsidRDefault="00AD72CC" w:rsidP="00493A42">
            <w:pPr>
              <w:pStyle w:val="TableText"/>
              <w:spacing w:after="120"/>
              <w:ind w:right="113"/>
              <w:jc w:val="right"/>
            </w:pPr>
            <w:r w:rsidRPr="00BC0D1F">
              <w:t>$165 to $175</w:t>
            </w:r>
          </w:p>
        </w:tc>
        <w:tc>
          <w:tcPr>
            <w:tcW w:w="692" w:type="pct"/>
            <w:tcBorders>
              <w:top w:val="nil"/>
              <w:left w:val="nil"/>
              <w:bottom w:val="single" w:sz="4" w:space="0" w:color="auto"/>
            </w:tcBorders>
            <w:shd w:val="clear" w:color="auto" w:fill="D9D9D9"/>
          </w:tcPr>
          <w:p w14:paraId="3885328E" w14:textId="1C227BCE" w:rsidR="00AD72CC" w:rsidRPr="00BC0D1F" w:rsidRDefault="00AD72CC" w:rsidP="00493A42">
            <w:pPr>
              <w:pStyle w:val="TableText"/>
              <w:spacing w:after="120"/>
              <w:ind w:right="113"/>
              <w:jc w:val="right"/>
            </w:pPr>
            <w:r w:rsidRPr="00726113">
              <w:t>$</w:t>
            </w:r>
            <w:r w:rsidR="00726113">
              <w:t>178.98</w:t>
            </w:r>
          </w:p>
        </w:tc>
      </w:tr>
    </w:tbl>
    <w:p w14:paraId="0ABF5398" w14:textId="77777777" w:rsidR="00AD72CC" w:rsidRPr="00BC0D1F" w:rsidRDefault="00AD72CC" w:rsidP="00B621AF"/>
    <w:p w14:paraId="68F6A3B7" w14:textId="77777777" w:rsidR="00AD72CC" w:rsidRPr="00BC0D1F" w:rsidRDefault="00AD72CC" w:rsidP="00B621AF">
      <w:pPr>
        <w:pStyle w:val="Heading4"/>
      </w:pPr>
      <w:r w:rsidRPr="00BC0D1F">
        <w:t>Policy advice</w:t>
      </w:r>
    </w:p>
    <w:p w14:paraId="58F397D8" w14:textId="71F460EE" w:rsidR="00DF4B9A" w:rsidRPr="00BC0D1F" w:rsidRDefault="00AD72CC" w:rsidP="00B621AF">
      <w:r w:rsidRPr="00BC0D1F">
        <w:t>The Ministry surveys the Minister on the degree to which the Ministry</w:t>
      </w:r>
      <w:r w:rsidR="00DF4B9A" w:rsidRPr="00BC0D1F">
        <w:t>’</w:t>
      </w:r>
      <w:r w:rsidRPr="00BC0D1F">
        <w:t xml:space="preserve">s verbal and written advice met his expectations, using a five-point scoring system, with 5 being the highest score. Generally, the Ministry undertakes the survey at </w:t>
      </w:r>
      <w:r w:rsidR="00AC0260">
        <w:t>four-monthly</w:t>
      </w:r>
      <w:r w:rsidRPr="00BC0D1F">
        <w:t>.</w:t>
      </w:r>
    </w:p>
    <w:p w14:paraId="141516AF" w14:textId="77777777" w:rsidR="00AD72CC" w:rsidRPr="00BC0D1F" w:rsidRDefault="00AD72CC" w:rsidP="00B621AF"/>
    <w:p w14:paraId="0813E98E" w14:textId="77777777" w:rsidR="00AD72CC" w:rsidRPr="00BC0D1F" w:rsidRDefault="00AD72CC" w:rsidP="00B621AF">
      <w:r w:rsidRPr="00BC0D1F">
        <w:t>As part of the Ministry</w:t>
      </w:r>
      <w:r w:rsidR="00DF4B9A" w:rsidRPr="00BC0D1F">
        <w:t>’</w:t>
      </w:r>
      <w:r w:rsidRPr="00BC0D1F">
        <w:t>s commitment to improving its performance, each year it asks an independent assessor to review the quality of its written advice to Ministers. Papers were randomly selected for this purpose. In the latest review report, the independent assessor noted:</w:t>
      </w:r>
    </w:p>
    <w:p w14:paraId="7EF3A5FA" w14:textId="77777777" w:rsidR="00DF4B9A" w:rsidRPr="00BC0D1F" w:rsidRDefault="00AD72CC" w:rsidP="00B621AF">
      <w:pPr>
        <w:pStyle w:val="Quote"/>
      </w:pPr>
      <w:r w:rsidRPr="00BC0D1F">
        <w:t>The sample indicates that the upward trend of quality that we have seen over the past few years has hit a speed bump. The average score slipped to 7.1 this year from 7.5 last year.</w:t>
      </w:r>
    </w:p>
    <w:p w14:paraId="64336D44" w14:textId="77777777" w:rsidR="00AD72CC" w:rsidRPr="00BC0D1F" w:rsidRDefault="00AD72CC" w:rsidP="00B621AF">
      <w:pPr>
        <w:pStyle w:val="Quote"/>
      </w:pPr>
      <w:r w:rsidRPr="00BC0D1F">
        <w:t>This should not be a cause of huge concern – there are still plenty of positive signs and we know you have the capability to perform – but it is a useful reminder that you need to keep innovating and thinking carefully about what good quality advice looks like.</w:t>
      </w:r>
    </w:p>
    <w:p w14:paraId="23F3B6E0" w14:textId="77777777" w:rsidR="00AD72CC" w:rsidRPr="00BC0D1F" w:rsidRDefault="00AD72CC" w:rsidP="00B621AF"/>
    <w:p w14:paraId="57BB7BCD" w14:textId="77777777" w:rsidR="00AD72CC" w:rsidRPr="00BC0D1F" w:rsidRDefault="00AD72CC" w:rsidP="00B621AF">
      <w:pPr>
        <w:pStyle w:val="Heading4"/>
      </w:pPr>
      <w:r w:rsidRPr="00BC0D1F">
        <w:lastRenderedPageBreak/>
        <w:t>Ministerial servicing</w:t>
      </w:r>
    </w:p>
    <w:p w14:paraId="4E894BCD" w14:textId="77777777" w:rsidR="00DF4B9A" w:rsidRPr="00BC0D1F" w:rsidRDefault="00AD72CC" w:rsidP="00B621AF">
      <w:r w:rsidRPr="00BC0D1F">
        <w:t>The Ministry provides a wide range of advice and services to ministers. During 2015/16 the Ministry responded to 3963 pieces of ministerial correspondence (made up of direct replies, written parliamentary questions and ministerial letters). Of the 646 requested briefings drafted by the Ministry, 540 were completed on time.</w:t>
      </w:r>
    </w:p>
    <w:p w14:paraId="7C8DDE8C" w14:textId="77777777" w:rsidR="00AD72CC" w:rsidRPr="00BC0D1F" w:rsidRDefault="00AD72CC" w:rsidP="00B621AF">
      <w:pPr>
        <w:rPr>
          <w:highlight w:val="yellow"/>
        </w:rPr>
      </w:pPr>
    </w:p>
    <w:p w14:paraId="699F98AB" w14:textId="77777777" w:rsidR="00AD72CC" w:rsidRPr="00BC0D1F" w:rsidRDefault="00AD72CC" w:rsidP="00B621AF">
      <w:pPr>
        <w:pStyle w:val="Heading4"/>
      </w:pPr>
      <w:r w:rsidRPr="00BC0D1F">
        <w:t>Official Information Act (OIA) requests</w:t>
      </w:r>
    </w:p>
    <w:p w14:paraId="2AB0C30C" w14:textId="49657696" w:rsidR="00AD72CC" w:rsidRPr="00BC0D1F" w:rsidRDefault="00AD72CC" w:rsidP="00B621AF">
      <w:r w:rsidRPr="00BC0D1F">
        <w:t xml:space="preserve">Note </w:t>
      </w:r>
      <w:r w:rsidR="00726113">
        <w:t>A</w:t>
      </w:r>
      <w:r w:rsidRPr="00BC0D1F">
        <w:t>: During 2015/16 the Ministry responded to 1081 OIA requests, meeting the agreed timeframe for 962 of those. The Ministry was tracking against target until the last three months of the year, when there was a noticeably higher level of overdue OIA responses. A significant percentage of the overdue OIAs were only overdue by one or two days.</w:t>
      </w:r>
    </w:p>
    <w:p w14:paraId="5A375E8D" w14:textId="77777777" w:rsidR="00AD72CC" w:rsidRPr="00BC0D1F" w:rsidRDefault="00AD72CC" w:rsidP="00B621AF"/>
    <w:p w14:paraId="19333419" w14:textId="77777777" w:rsidR="00AD72CC" w:rsidRPr="00BC0D1F" w:rsidRDefault="00AD72CC" w:rsidP="00B621AF">
      <w:pPr>
        <w:pStyle w:val="Table"/>
      </w:pPr>
      <w:bookmarkStart w:id="140" w:name="_Toc462926721"/>
      <w:r w:rsidRPr="00BC0D1F">
        <w:t>Table 16: Financial performance for policy advice</w:t>
      </w:r>
      <w:bookmarkEnd w:id="140"/>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560"/>
        <w:gridCol w:w="3826"/>
        <w:gridCol w:w="1323"/>
        <w:gridCol w:w="1323"/>
        <w:gridCol w:w="1324"/>
      </w:tblGrid>
      <w:tr w:rsidR="00AD72CC" w:rsidRPr="00BC0D1F" w14:paraId="3894EA0B" w14:textId="77777777" w:rsidTr="00493A42">
        <w:trPr>
          <w:cantSplit/>
        </w:trPr>
        <w:tc>
          <w:tcPr>
            <w:tcW w:w="1560" w:type="dxa"/>
            <w:tcBorders>
              <w:top w:val="single" w:sz="4" w:space="0" w:color="auto"/>
              <w:bottom w:val="single" w:sz="4" w:space="0" w:color="auto"/>
              <w:right w:val="nil"/>
            </w:tcBorders>
            <w:shd w:val="solid" w:color="FFFFFF" w:fill="auto"/>
          </w:tcPr>
          <w:p w14:paraId="5C6253A2" w14:textId="77777777" w:rsidR="00AD72CC" w:rsidRPr="00BC0D1F" w:rsidRDefault="00AD72CC" w:rsidP="00493A4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30/06/2015</w:t>
            </w:r>
            <w:r w:rsidRPr="00BC0D1F">
              <w:rPr>
                <w:b/>
                <w:lang w:eastAsia="en-NZ"/>
              </w:rPr>
              <w:br/>
              <w:t>$000</w:t>
            </w:r>
          </w:p>
        </w:tc>
        <w:tc>
          <w:tcPr>
            <w:tcW w:w="3826" w:type="dxa"/>
            <w:tcBorders>
              <w:top w:val="single" w:sz="4" w:space="0" w:color="auto"/>
              <w:left w:val="nil"/>
              <w:bottom w:val="single" w:sz="4" w:space="0" w:color="auto"/>
            </w:tcBorders>
            <w:shd w:val="solid" w:color="FFFFFF" w:fill="auto"/>
          </w:tcPr>
          <w:p w14:paraId="432F62AA" w14:textId="77777777" w:rsidR="00AD72CC" w:rsidRPr="00BC0D1F" w:rsidRDefault="00AD72CC" w:rsidP="00493A42">
            <w:pPr>
              <w:pStyle w:val="TableText"/>
              <w:rPr>
                <w:b/>
                <w:lang w:eastAsia="en-NZ"/>
              </w:rPr>
            </w:pPr>
          </w:p>
        </w:tc>
        <w:tc>
          <w:tcPr>
            <w:tcW w:w="1323" w:type="dxa"/>
            <w:tcBorders>
              <w:top w:val="single" w:sz="4" w:space="0" w:color="auto"/>
              <w:bottom w:val="single" w:sz="4" w:space="0" w:color="auto"/>
            </w:tcBorders>
            <w:shd w:val="clear" w:color="E3E3E3" w:fill="D9D9D9"/>
          </w:tcPr>
          <w:p w14:paraId="0BE8F46B" w14:textId="77777777" w:rsidR="00AD72CC" w:rsidRPr="00BC0D1F" w:rsidRDefault="00AD72CC" w:rsidP="00493A4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30/06/2016</w:t>
            </w:r>
            <w:r w:rsidRPr="00BC0D1F">
              <w:rPr>
                <w:b/>
                <w:lang w:eastAsia="en-NZ"/>
              </w:rPr>
              <w:br/>
              <w:t>$000</w:t>
            </w:r>
          </w:p>
        </w:tc>
        <w:tc>
          <w:tcPr>
            <w:tcW w:w="1323" w:type="dxa"/>
            <w:tcBorders>
              <w:top w:val="single" w:sz="4" w:space="0" w:color="auto"/>
              <w:bottom w:val="single" w:sz="4" w:space="0" w:color="auto"/>
            </w:tcBorders>
            <w:shd w:val="solid" w:color="FFFFFF" w:fill="auto"/>
          </w:tcPr>
          <w:p w14:paraId="02F56C7D" w14:textId="77777777" w:rsidR="00AD72CC" w:rsidRPr="00BC0D1F" w:rsidRDefault="00AD72CC" w:rsidP="00493A42">
            <w:pPr>
              <w:pStyle w:val="TableText"/>
              <w:jc w:val="right"/>
              <w:rPr>
                <w:b/>
                <w:lang w:eastAsia="en-NZ"/>
              </w:rPr>
            </w:pPr>
            <w:r w:rsidRPr="00BC0D1F">
              <w:rPr>
                <w:b/>
                <w:lang w:eastAsia="en-NZ"/>
              </w:rPr>
              <w:t>Main</w:t>
            </w:r>
            <w:r w:rsidRPr="00BC0D1F">
              <w:rPr>
                <w:b/>
                <w:lang w:eastAsia="en-NZ"/>
              </w:rPr>
              <w:br/>
              <w:t>Estimates</w:t>
            </w:r>
            <w:r w:rsidRPr="00BC0D1F">
              <w:rPr>
                <w:b/>
                <w:lang w:eastAsia="en-NZ"/>
              </w:rPr>
              <w:br/>
              <w:t>30/06/2016</w:t>
            </w:r>
            <w:r w:rsidRPr="00BC0D1F">
              <w:rPr>
                <w:b/>
                <w:lang w:eastAsia="en-NZ"/>
              </w:rPr>
              <w:br/>
              <w:t>$000</w:t>
            </w:r>
          </w:p>
        </w:tc>
        <w:tc>
          <w:tcPr>
            <w:tcW w:w="1324" w:type="dxa"/>
            <w:tcBorders>
              <w:top w:val="single" w:sz="4" w:space="0" w:color="auto"/>
              <w:bottom w:val="single" w:sz="4" w:space="0" w:color="auto"/>
            </w:tcBorders>
            <w:shd w:val="solid" w:color="FFFFFF" w:fill="auto"/>
          </w:tcPr>
          <w:p w14:paraId="1C4FB30E" w14:textId="77777777" w:rsidR="00AD72CC" w:rsidRPr="00BC0D1F" w:rsidRDefault="00AD72CC" w:rsidP="00493A42">
            <w:pPr>
              <w:pStyle w:val="TableText"/>
              <w:jc w:val="right"/>
              <w:rPr>
                <w:b/>
                <w:lang w:eastAsia="en-NZ"/>
              </w:rPr>
            </w:pPr>
            <w:r w:rsidRPr="00BC0D1F">
              <w:rPr>
                <w:b/>
                <w:lang w:eastAsia="en-NZ"/>
              </w:rPr>
              <w:t>Supp. Estimates</w:t>
            </w:r>
            <w:r w:rsidRPr="00BC0D1F">
              <w:rPr>
                <w:b/>
                <w:lang w:eastAsia="en-NZ"/>
              </w:rPr>
              <w:br/>
              <w:t>30/06/2016</w:t>
            </w:r>
            <w:r w:rsidRPr="00BC0D1F">
              <w:rPr>
                <w:b/>
                <w:lang w:eastAsia="en-NZ"/>
              </w:rPr>
              <w:br/>
              <w:t>$000</w:t>
            </w:r>
          </w:p>
        </w:tc>
      </w:tr>
      <w:tr w:rsidR="00AD72CC" w:rsidRPr="00BC0D1F" w14:paraId="5709DBAA" w14:textId="77777777" w:rsidTr="00B621AF">
        <w:trPr>
          <w:cantSplit/>
        </w:trPr>
        <w:tc>
          <w:tcPr>
            <w:tcW w:w="1560" w:type="dxa"/>
            <w:tcBorders>
              <w:top w:val="single" w:sz="4" w:space="0" w:color="auto"/>
              <w:right w:val="nil"/>
            </w:tcBorders>
            <w:shd w:val="solid" w:color="FFFFFF" w:fill="auto"/>
          </w:tcPr>
          <w:p w14:paraId="43E37D31" w14:textId="77777777" w:rsidR="00AD72CC" w:rsidRPr="00BC0D1F" w:rsidRDefault="00AD72CC" w:rsidP="00B621AF">
            <w:pPr>
              <w:pStyle w:val="TableText"/>
              <w:ind w:right="284"/>
              <w:jc w:val="right"/>
            </w:pPr>
            <w:r w:rsidRPr="00BC0D1F">
              <w:t>21,188</w:t>
            </w:r>
          </w:p>
        </w:tc>
        <w:tc>
          <w:tcPr>
            <w:tcW w:w="3826" w:type="dxa"/>
            <w:tcBorders>
              <w:top w:val="single" w:sz="4" w:space="0" w:color="auto"/>
              <w:left w:val="nil"/>
            </w:tcBorders>
            <w:shd w:val="solid" w:color="FFFFFF" w:fill="auto"/>
          </w:tcPr>
          <w:p w14:paraId="09468870" w14:textId="54832A3D" w:rsidR="00AD72CC" w:rsidRPr="00BC0D1F" w:rsidRDefault="00726113" w:rsidP="00493A42">
            <w:pPr>
              <w:pStyle w:val="TableText"/>
            </w:pPr>
            <w:r>
              <w:rPr>
                <w:rFonts w:cs="Arial"/>
                <w:color w:val="000000"/>
                <w:szCs w:val="18"/>
              </w:rPr>
              <w:t>Revenue Crown</w:t>
            </w:r>
          </w:p>
        </w:tc>
        <w:tc>
          <w:tcPr>
            <w:tcW w:w="1323" w:type="dxa"/>
            <w:tcBorders>
              <w:top w:val="single" w:sz="4" w:space="0" w:color="auto"/>
            </w:tcBorders>
            <w:shd w:val="clear" w:color="E3E3E3" w:fill="D9D9D9"/>
          </w:tcPr>
          <w:p w14:paraId="71ECD6AC" w14:textId="77777777" w:rsidR="00AD72CC" w:rsidRPr="00BC0D1F" w:rsidRDefault="00AD72CC" w:rsidP="00B621AF">
            <w:pPr>
              <w:pStyle w:val="TableText"/>
              <w:ind w:right="113"/>
              <w:jc w:val="right"/>
            </w:pPr>
            <w:r w:rsidRPr="00BC0D1F">
              <w:t>20,768</w:t>
            </w:r>
          </w:p>
        </w:tc>
        <w:tc>
          <w:tcPr>
            <w:tcW w:w="1323" w:type="dxa"/>
            <w:tcBorders>
              <w:top w:val="single" w:sz="4" w:space="0" w:color="auto"/>
            </w:tcBorders>
          </w:tcPr>
          <w:p w14:paraId="25F48836" w14:textId="77777777" w:rsidR="00AD72CC" w:rsidRPr="00BC0D1F" w:rsidRDefault="00AD72CC" w:rsidP="00B621AF">
            <w:pPr>
              <w:pStyle w:val="TableText"/>
              <w:jc w:val="right"/>
            </w:pPr>
            <w:r w:rsidRPr="00BC0D1F">
              <w:t>21,188</w:t>
            </w:r>
          </w:p>
        </w:tc>
        <w:tc>
          <w:tcPr>
            <w:tcW w:w="1324" w:type="dxa"/>
            <w:tcBorders>
              <w:top w:val="single" w:sz="4" w:space="0" w:color="auto"/>
            </w:tcBorders>
          </w:tcPr>
          <w:p w14:paraId="311A3FAF" w14:textId="77777777" w:rsidR="00AD72CC" w:rsidRPr="00BC0D1F" w:rsidRDefault="00AD72CC" w:rsidP="00B621AF">
            <w:pPr>
              <w:pStyle w:val="TableText"/>
              <w:jc w:val="right"/>
            </w:pPr>
            <w:r w:rsidRPr="00BC0D1F">
              <w:t>20,768</w:t>
            </w:r>
          </w:p>
        </w:tc>
      </w:tr>
      <w:tr w:rsidR="00AD72CC" w:rsidRPr="00BC0D1F" w14:paraId="1D244175" w14:textId="77777777" w:rsidTr="00B621AF">
        <w:trPr>
          <w:cantSplit/>
        </w:trPr>
        <w:tc>
          <w:tcPr>
            <w:tcW w:w="1560" w:type="dxa"/>
            <w:tcBorders>
              <w:right w:val="nil"/>
            </w:tcBorders>
            <w:shd w:val="solid" w:color="FFFFFF" w:fill="auto"/>
          </w:tcPr>
          <w:p w14:paraId="303CE05A" w14:textId="77777777" w:rsidR="00AD72CC" w:rsidRPr="00BC0D1F" w:rsidRDefault="00AD72CC" w:rsidP="00B621AF">
            <w:pPr>
              <w:pStyle w:val="TableText"/>
              <w:ind w:right="284"/>
              <w:jc w:val="right"/>
            </w:pPr>
            <w:r w:rsidRPr="00BC0D1F">
              <w:t>0</w:t>
            </w:r>
          </w:p>
        </w:tc>
        <w:tc>
          <w:tcPr>
            <w:tcW w:w="3826" w:type="dxa"/>
            <w:tcBorders>
              <w:left w:val="nil"/>
            </w:tcBorders>
            <w:shd w:val="solid" w:color="FFFFFF" w:fill="auto"/>
          </w:tcPr>
          <w:p w14:paraId="2A779D23" w14:textId="77777777" w:rsidR="00AD72CC" w:rsidRPr="00BC0D1F" w:rsidRDefault="00AD72CC" w:rsidP="00493A42">
            <w:pPr>
              <w:pStyle w:val="TableText"/>
            </w:pPr>
            <w:r w:rsidRPr="00BC0D1F">
              <w:rPr>
                <w:rFonts w:cs="Arial"/>
                <w:color w:val="000000"/>
                <w:szCs w:val="18"/>
              </w:rPr>
              <w:t>Third-party revenue</w:t>
            </w:r>
          </w:p>
        </w:tc>
        <w:tc>
          <w:tcPr>
            <w:tcW w:w="1323" w:type="dxa"/>
            <w:shd w:val="clear" w:color="E3E3E3" w:fill="D9D9D9"/>
          </w:tcPr>
          <w:p w14:paraId="49D40348" w14:textId="77777777" w:rsidR="00AD72CC" w:rsidRPr="00BC0D1F" w:rsidRDefault="00AD72CC" w:rsidP="00B621AF">
            <w:pPr>
              <w:pStyle w:val="TableText"/>
              <w:ind w:right="113"/>
              <w:jc w:val="right"/>
            </w:pPr>
            <w:r w:rsidRPr="00BC0D1F">
              <w:t>0</w:t>
            </w:r>
          </w:p>
        </w:tc>
        <w:tc>
          <w:tcPr>
            <w:tcW w:w="1323" w:type="dxa"/>
          </w:tcPr>
          <w:p w14:paraId="658ECA81" w14:textId="77777777" w:rsidR="00AD72CC" w:rsidRPr="00BC0D1F" w:rsidRDefault="00AD72CC" w:rsidP="00B621AF">
            <w:pPr>
              <w:pStyle w:val="TableText"/>
              <w:jc w:val="right"/>
            </w:pPr>
            <w:r w:rsidRPr="00BC0D1F">
              <w:t>0</w:t>
            </w:r>
          </w:p>
        </w:tc>
        <w:tc>
          <w:tcPr>
            <w:tcW w:w="1324" w:type="dxa"/>
          </w:tcPr>
          <w:p w14:paraId="31FB9F8A" w14:textId="77777777" w:rsidR="00AD72CC" w:rsidRPr="00BC0D1F" w:rsidRDefault="00AD72CC" w:rsidP="00B621AF">
            <w:pPr>
              <w:pStyle w:val="TableText"/>
              <w:jc w:val="right"/>
            </w:pPr>
            <w:r w:rsidRPr="00BC0D1F">
              <w:t>0</w:t>
            </w:r>
          </w:p>
        </w:tc>
      </w:tr>
      <w:tr w:rsidR="00AD72CC" w:rsidRPr="00BC0D1F" w14:paraId="515A5705" w14:textId="77777777" w:rsidTr="00B621AF">
        <w:trPr>
          <w:cantSplit/>
        </w:trPr>
        <w:tc>
          <w:tcPr>
            <w:tcW w:w="1560" w:type="dxa"/>
            <w:tcBorders>
              <w:right w:val="nil"/>
            </w:tcBorders>
            <w:shd w:val="solid" w:color="FFFFFF" w:fill="auto"/>
          </w:tcPr>
          <w:p w14:paraId="12EFF48E" w14:textId="77777777" w:rsidR="00AD72CC" w:rsidRPr="00BC0D1F" w:rsidRDefault="00AD72CC" w:rsidP="00B621AF">
            <w:pPr>
              <w:pStyle w:val="TableText"/>
              <w:ind w:right="284"/>
              <w:jc w:val="right"/>
              <w:rPr>
                <w:b/>
              </w:rPr>
            </w:pPr>
            <w:r w:rsidRPr="00BC0D1F">
              <w:rPr>
                <w:b/>
                <w:bCs/>
              </w:rPr>
              <w:t>21,188</w:t>
            </w:r>
          </w:p>
        </w:tc>
        <w:tc>
          <w:tcPr>
            <w:tcW w:w="3826" w:type="dxa"/>
            <w:tcBorders>
              <w:left w:val="nil"/>
            </w:tcBorders>
            <w:shd w:val="solid" w:color="FFFFFF" w:fill="auto"/>
          </w:tcPr>
          <w:p w14:paraId="1A85B744" w14:textId="77777777" w:rsidR="00AD72CC" w:rsidRPr="00BC0D1F" w:rsidRDefault="00AD72CC" w:rsidP="00493A42">
            <w:pPr>
              <w:pStyle w:val="TableText"/>
              <w:rPr>
                <w:b/>
              </w:rPr>
            </w:pPr>
            <w:r w:rsidRPr="00BC0D1F">
              <w:rPr>
                <w:rFonts w:cs="Arial"/>
                <w:b/>
                <w:bCs/>
                <w:color w:val="000000"/>
                <w:szCs w:val="18"/>
              </w:rPr>
              <w:t>Total revenue</w:t>
            </w:r>
          </w:p>
        </w:tc>
        <w:tc>
          <w:tcPr>
            <w:tcW w:w="1323" w:type="dxa"/>
            <w:shd w:val="clear" w:color="E3E3E3" w:fill="D9D9D9"/>
          </w:tcPr>
          <w:p w14:paraId="16D470B7" w14:textId="77777777" w:rsidR="00AD72CC" w:rsidRPr="00BC0D1F" w:rsidRDefault="00AD72CC" w:rsidP="00B621AF">
            <w:pPr>
              <w:pStyle w:val="TableText"/>
              <w:ind w:right="113"/>
              <w:jc w:val="right"/>
              <w:rPr>
                <w:b/>
              </w:rPr>
            </w:pPr>
            <w:r w:rsidRPr="00BC0D1F">
              <w:rPr>
                <w:b/>
                <w:bCs/>
              </w:rPr>
              <w:t>20,768</w:t>
            </w:r>
          </w:p>
        </w:tc>
        <w:tc>
          <w:tcPr>
            <w:tcW w:w="1323" w:type="dxa"/>
          </w:tcPr>
          <w:p w14:paraId="6EF4DB1E" w14:textId="77777777" w:rsidR="00AD72CC" w:rsidRPr="00BC0D1F" w:rsidRDefault="00AD72CC" w:rsidP="00B621AF">
            <w:pPr>
              <w:pStyle w:val="TableText"/>
              <w:jc w:val="right"/>
              <w:rPr>
                <w:b/>
              </w:rPr>
            </w:pPr>
            <w:r w:rsidRPr="00BC0D1F">
              <w:rPr>
                <w:b/>
                <w:bCs/>
              </w:rPr>
              <w:t>21,188</w:t>
            </w:r>
          </w:p>
        </w:tc>
        <w:tc>
          <w:tcPr>
            <w:tcW w:w="1324" w:type="dxa"/>
          </w:tcPr>
          <w:p w14:paraId="42870868" w14:textId="77777777" w:rsidR="00AD72CC" w:rsidRPr="00BC0D1F" w:rsidRDefault="00AD72CC" w:rsidP="00B621AF">
            <w:pPr>
              <w:pStyle w:val="TableText"/>
              <w:jc w:val="right"/>
              <w:rPr>
                <w:b/>
              </w:rPr>
            </w:pPr>
            <w:r w:rsidRPr="00BC0D1F">
              <w:rPr>
                <w:b/>
                <w:bCs/>
              </w:rPr>
              <w:t>20,768</w:t>
            </w:r>
          </w:p>
        </w:tc>
      </w:tr>
      <w:tr w:rsidR="00AD72CC" w:rsidRPr="00BC0D1F" w14:paraId="65CBC589" w14:textId="77777777" w:rsidTr="00B621AF">
        <w:trPr>
          <w:cantSplit/>
        </w:trPr>
        <w:tc>
          <w:tcPr>
            <w:tcW w:w="1560" w:type="dxa"/>
            <w:tcBorders>
              <w:right w:val="nil"/>
            </w:tcBorders>
          </w:tcPr>
          <w:p w14:paraId="11C94179" w14:textId="77777777" w:rsidR="00AD72CC" w:rsidRPr="00BC0D1F" w:rsidRDefault="00AD72CC" w:rsidP="00B621AF">
            <w:pPr>
              <w:pStyle w:val="TableText"/>
              <w:ind w:right="284"/>
              <w:jc w:val="right"/>
            </w:pPr>
            <w:r w:rsidRPr="00BC0D1F">
              <w:t>20,878</w:t>
            </w:r>
          </w:p>
        </w:tc>
        <w:tc>
          <w:tcPr>
            <w:tcW w:w="3826" w:type="dxa"/>
            <w:tcBorders>
              <w:left w:val="nil"/>
            </w:tcBorders>
            <w:shd w:val="solid" w:color="FFFFFF" w:fill="auto"/>
          </w:tcPr>
          <w:p w14:paraId="70E16C96" w14:textId="77777777" w:rsidR="00AD72CC" w:rsidRPr="00BC0D1F" w:rsidRDefault="00AD72CC" w:rsidP="00493A42">
            <w:pPr>
              <w:pStyle w:val="TableText"/>
            </w:pPr>
            <w:r w:rsidRPr="00BC0D1F">
              <w:rPr>
                <w:rFonts w:cs="Arial"/>
                <w:color w:val="000000"/>
                <w:szCs w:val="18"/>
              </w:rPr>
              <w:t>Total expenditure</w:t>
            </w:r>
          </w:p>
        </w:tc>
        <w:tc>
          <w:tcPr>
            <w:tcW w:w="1323" w:type="dxa"/>
            <w:shd w:val="clear" w:color="E3E3E3" w:fill="D9D9D9"/>
          </w:tcPr>
          <w:p w14:paraId="130FA816" w14:textId="77777777" w:rsidR="00AD72CC" w:rsidRPr="00BC0D1F" w:rsidRDefault="00AD72CC" w:rsidP="00B621AF">
            <w:pPr>
              <w:pStyle w:val="TableText"/>
              <w:ind w:right="113"/>
              <w:jc w:val="right"/>
            </w:pPr>
            <w:r w:rsidRPr="00BC0D1F">
              <w:t>20,705</w:t>
            </w:r>
          </w:p>
        </w:tc>
        <w:tc>
          <w:tcPr>
            <w:tcW w:w="1323" w:type="dxa"/>
          </w:tcPr>
          <w:p w14:paraId="5AB0158E" w14:textId="77777777" w:rsidR="00AD72CC" w:rsidRPr="00BC0D1F" w:rsidRDefault="00AD72CC" w:rsidP="00B621AF">
            <w:pPr>
              <w:pStyle w:val="TableText"/>
              <w:jc w:val="right"/>
            </w:pPr>
            <w:r w:rsidRPr="00BC0D1F">
              <w:t>21,188</w:t>
            </w:r>
          </w:p>
        </w:tc>
        <w:tc>
          <w:tcPr>
            <w:tcW w:w="1324" w:type="dxa"/>
          </w:tcPr>
          <w:p w14:paraId="3037BFF4" w14:textId="77777777" w:rsidR="00AD72CC" w:rsidRPr="00BC0D1F" w:rsidRDefault="00AD72CC" w:rsidP="00B621AF">
            <w:pPr>
              <w:pStyle w:val="TableText"/>
              <w:jc w:val="right"/>
            </w:pPr>
            <w:r w:rsidRPr="00BC0D1F">
              <w:t>20,768</w:t>
            </w:r>
          </w:p>
        </w:tc>
      </w:tr>
      <w:tr w:rsidR="00AD72CC" w:rsidRPr="00BC0D1F" w14:paraId="01FD78E4" w14:textId="77777777" w:rsidTr="00B621AF">
        <w:trPr>
          <w:cantSplit/>
        </w:trPr>
        <w:tc>
          <w:tcPr>
            <w:tcW w:w="1560" w:type="dxa"/>
            <w:tcBorders>
              <w:bottom w:val="single" w:sz="4" w:space="0" w:color="auto"/>
              <w:right w:val="nil"/>
            </w:tcBorders>
            <w:shd w:val="solid" w:color="FFFFFF" w:fill="auto"/>
          </w:tcPr>
          <w:p w14:paraId="55660710" w14:textId="77777777" w:rsidR="00AD72CC" w:rsidRPr="00BC0D1F" w:rsidRDefault="00AD72CC" w:rsidP="00B621AF">
            <w:pPr>
              <w:pStyle w:val="TableText"/>
              <w:ind w:right="284"/>
              <w:jc w:val="right"/>
              <w:rPr>
                <w:b/>
              </w:rPr>
            </w:pPr>
            <w:r w:rsidRPr="00BC0D1F">
              <w:rPr>
                <w:b/>
                <w:bCs/>
              </w:rPr>
              <w:t>310</w:t>
            </w:r>
          </w:p>
        </w:tc>
        <w:tc>
          <w:tcPr>
            <w:tcW w:w="3826" w:type="dxa"/>
            <w:tcBorders>
              <w:left w:val="nil"/>
              <w:bottom w:val="single" w:sz="4" w:space="0" w:color="auto"/>
            </w:tcBorders>
            <w:shd w:val="solid" w:color="FFFFFF" w:fill="auto"/>
          </w:tcPr>
          <w:p w14:paraId="4629D90A" w14:textId="77777777" w:rsidR="00AD72CC" w:rsidRPr="00BC0D1F" w:rsidRDefault="00AD72CC" w:rsidP="00493A42">
            <w:pPr>
              <w:pStyle w:val="TableText"/>
              <w:rPr>
                <w:b/>
              </w:rPr>
            </w:pPr>
            <w:r w:rsidRPr="00BC0D1F">
              <w:rPr>
                <w:rFonts w:cs="Arial"/>
                <w:b/>
                <w:bCs/>
                <w:color w:val="000000"/>
                <w:szCs w:val="18"/>
              </w:rPr>
              <w:t>Net surplus</w:t>
            </w:r>
          </w:p>
        </w:tc>
        <w:tc>
          <w:tcPr>
            <w:tcW w:w="1323" w:type="dxa"/>
            <w:tcBorders>
              <w:bottom w:val="single" w:sz="4" w:space="0" w:color="auto"/>
            </w:tcBorders>
            <w:shd w:val="clear" w:color="E3E3E3" w:fill="D9D9D9"/>
          </w:tcPr>
          <w:p w14:paraId="4E782182" w14:textId="77777777" w:rsidR="00AD72CC" w:rsidRPr="00BC0D1F" w:rsidRDefault="00AD72CC" w:rsidP="00B621AF">
            <w:pPr>
              <w:pStyle w:val="TableText"/>
              <w:ind w:right="113"/>
              <w:jc w:val="right"/>
              <w:rPr>
                <w:b/>
              </w:rPr>
            </w:pPr>
            <w:r w:rsidRPr="00BC0D1F">
              <w:rPr>
                <w:b/>
                <w:bCs/>
              </w:rPr>
              <w:t>63</w:t>
            </w:r>
          </w:p>
        </w:tc>
        <w:tc>
          <w:tcPr>
            <w:tcW w:w="1323" w:type="dxa"/>
            <w:tcBorders>
              <w:bottom w:val="single" w:sz="4" w:space="0" w:color="auto"/>
            </w:tcBorders>
          </w:tcPr>
          <w:p w14:paraId="71AA6000" w14:textId="77777777" w:rsidR="00AD72CC" w:rsidRPr="00BC0D1F" w:rsidRDefault="00AD72CC" w:rsidP="00B621AF">
            <w:pPr>
              <w:pStyle w:val="TableText"/>
              <w:jc w:val="right"/>
              <w:rPr>
                <w:b/>
              </w:rPr>
            </w:pPr>
            <w:r w:rsidRPr="00BC0D1F">
              <w:rPr>
                <w:b/>
                <w:bCs/>
              </w:rPr>
              <w:t>0</w:t>
            </w:r>
          </w:p>
        </w:tc>
        <w:tc>
          <w:tcPr>
            <w:tcW w:w="1324" w:type="dxa"/>
            <w:tcBorders>
              <w:bottom w:val="single" w:sz="4" w:space="0" w:color="auto"/>
            </w:tcBorders>
          </w:tcPr>
          <w:p w14:paraId="3031CFCB" w14:textId="77777777" w:rsidR="00AD72CC" w:rsidRPr="00BC0D1F" w:rsidRDefault="00AD72CC" w:rsidP="00B621AF">
            <w:pPr>
              <w:pStyle w:val="TableText"/>
              <w:jc w:val="right"/>
              <w:rPr>
                <w:b/>
              </w:rPr>
            </w:pPr>
            <w:r w:rsidRPr="00BC0D1F">
              <w:rPr>
                <w:b/>
                <w:bCs/>
              </w:rPr>
              <w:t>0</w:t>
            </w:r>
          </w:p>
        </w:tc>
      </w:tr>
    </w:tbl>
    <w:p w14:paraId="741363A5" w14:textId="77777777" w:rsidR="00AD72CC" w:rsidRPr="00BC0D1F" w:rsidRDefault="00AD72CC" w:rsidP="00B621AF"/>
    <w:p w14:paraId="26E2A037" w14:textId="77777777" w:rsidR="00AD72CC" w:rsidRPr="00BC0D1F" w:rsidRDefault="00AD72CC" w:rsidP="00B621AF">
      <w:pPr>
        <w:pStyle w:val="Heading1"/>
      </w:pPr>
      <w:bookmarkStart w:id="141" w:name="_Toc419977161"/>
      <w:bookmarkStart w:id="142" w:name="_Toc430768835"/>
      <w:bookmarkStart w:id="143" w:name="_Toc459730024"/>
      <w:bookmarkStart w:id="144" w:name="_Toc461544297"/>
      <w:bookmarkStart w:id="145" w:name="_Toc463507927"/>
      <w:bookmarkEnd w:id="92"/>
      <w:bookmarkEnd w:id="93"/>
      <w:bookmarkEnd w:id="94"/>
      <w:bookmarkEnd w:id="95"/>
      <w:bookmarkEnd w:id="96"/>
      <w:bookmarkEnd w:id="97"/>
      <w:bookmarkEnd w:id="107"/>
      <w:r w:rsidRPr="00BC0D1F">
        <w:lastRenderedPageBreak/>
        <w:t>Statement of responsibility</w:t>
      </w:r>
      <w:bookmarkEnd w:id="141"/>
      <w:bookmarkEnd w:id="142"/>
      <w:bookmarkEnd w:id="143"/>
      <w:bookmarkEnd w:id="144"/>
      <w:bookmarkEnd w:id="145"/>
    </w:p>
    <w:p w14:paraId="5F291E58" w14:textId="77777777" w:rsidR="00AD72CC" w:rsidRPr="00BC0D1F" w:rsidRDefault="00AD72CC" w:rsidP="00913F68">
      <w:pPr>
        <w:rPr>
          <w:lang w:eastAsia="en-NZ"/>
        </w:rPr>
      </w:pPr>
      <w:r w:rsidRPr="00BC0D1F">
        <w:rPr>
          <w:lang w:eastAsia="en-NZ"/>
        </w:rPr>
        <w:t>I am responsible, as Director-General of Health and Chief Executive of the Ministry of Health (the Ministry), for:</w:t>
      </w:r>
    </w:p>
    <w:p w14:paraId="477DF0EE" w14:textId="77777777" w:rsidR="00AD72CC" w:rsidRPr="00BC0D1F" w:rsidRDefault="00AD72CC" w:rsidP="00913F68">
      <w:pPr>
        <w:pStyle w:val="Bullet"/>
        <w:rPr>
          <w:lang w:eastAsia="en-NZ"/>
        </w:rPr>
      </w:pPr>
      <w:r w:rsidRPr="00BC0D1F">
        <w:rPr>
          <w:lang w:eastAsia="en-NZ"/>
        </w:rPr>
        <w:t>the preparation of the Ministry</w:t>
      </w:r>
      <w:r w:rsidR="00DF4B9A" w:rsidRPr="00BC0D1F">
        <w:rPr>
          <w:lang w:eastAsia="en-NZ"/>
        </w:rPr>
        <w:t>’</w:t>
      </w:r>
      <w:r w:rsidRPr="00BC0D1F">
        <w:rPr>
          <w:lang w:eastAsia="en-NZ"/>
        </w:rPr>
        <w:t>s financial statements, and statements of expenses and capital expenditure, and for the judgements expressed in them</w:t>
      </w:r>
    </w:p>
    <w:p w14:paraId="4590C7EE" w14:textId="77777777" w:rsidR="00AD72CC" w:rsidRPr="00BC0D1F" w:rsidRDefault="00AD72CC" w:rsidP="00913F68">
      <w:pPr>
        <w:pStyle w:val="Bullet"/>
        <w:rPr>
          <w:lang w:eastAsia="en-NZ"/>
        </w:rPr>
      </w:pPr>
      <w:r w:rsidRPr="00BC0D1F">
        <w:rPr>
          <w:lang w:eastAsia="en-NZ"/>
        </w:rPr>
        <w:t>having in place a system of internal control designed to provide reasonable assurance as to the integrity and reliability of financial reporting</w:t>
      </w:r>
    </w:p>
    <w:p w14:paraId="5E52DDC2" w14:textId="77777777" w:rsidR="00AD72CC" w:rsidRPr="00BC0D1F" w:rsidRDefault="00AD72CC" w:rsidP="00913F68">
      <w:pPr>
        <w:pStyle w:val="Bullet"/>
        <w:rPr>
          <w:lang w:eastAsia="en-NZ"/>
        </w:rPr>
      </w:pPr>
      <w:r w:rsidRPr="00BC0D1F">
        <w:rPr>
          <w:lang w:eastAsia="en-NZ"/>
        </w:rPr>
        <w:t>ensuring that end-of-year performance information on each appropriation administered by the Ministry is provided in accordance with sections 19A to 19C of the Public Finance Act 1989, whether or not that information is included in this annual report</w:t>
      </w:r>
    </w:p>
    <w:p w14:paraId="2C1255B0" w14:textId="77777777" w:rsidR="00AD72CC" w:rsidRPr="00BC0D1F" w:rsidRDefault="00AD72CC" w:rsidP="00913F68">
      <w:pPr>
        <w:pStyle w:val="Bullet"/>
        <w:rPr>
          <w:lang w:eastAsia="en-NZ"/>
        </w:rPr>
      </w:pPr>
      <w:proofErr w:type="gramStart"/>
      <w:r w:rsidRPr="00BC0D1F">
        <w:rPr>
          <w:lang w:eastAsia="en-NZ"/>
        </w:rPr>
        <w:t>the</w:t>
      </w:r>
      <w:proofErr w:type="gramEnd"/>
      <w:r w:rsidRPr="00BC0D1F">
        <w:rPr>
          <w:lang w:eastAsia="en-NZ"/>
        </w:rPr>
        <w:t xml:space="preserve"> accuracy of any end-of-year performance information prepared by the Ministry, whether or not that information is included in the annual report.</w:t>
      </w:r>
    </w:p>
    <w:p w14:paraId="566DFE3A" w14:textId="77777777" w:rsidR="00AD72CC" w:rsidRPr="00BC0D1F" w:rsidRDefault="00AD72CC" w:rsidP="00913F68">
      <w:pPr>
        <w:rPr>
          <w:lang w:eastAsia="en-NZ"/>
        </w:rPr>
      </w:pPr>
    </w:p>
    <w:p w14:paraId="54BEE73D" w14:textId="77777777" w:rsidR="00AD72CC" w:rsidRPr="00BC0D1F" w:rsidRDefault="00AD72CC" w:rsidP="00913F68">
      <w:pPr>
        <w:rPr>
          <w:lang w:eastAsia="en-NZ"/>
        </w:rPr>
      </w:pPr>
      <w:r w:rsidRPr="00BC0D1F">
        <w:rPr>
          <w:lang w:eastAsia="en-NZ"/>
        </w:rPr>
        <w:t>In my opinion:</w:t>
      </w:r>
    </w:p>
    <w:p w14:paraId="3AB9E5C7" w14:textId="77777777" w:rsidR="00DF4B9A" w:rsidRPr="00BC0D1F" w:rsidRDefault="00AD72CC" w:rsidP="00913F68">
      <w:pPr>
        <w:pStyle w:val="Bullet"/>
      </w:pPr>
      <w:r w:rsidRPr="00BC0D1F">
        <w:t>the financial statements fairly reflect the financial position of the Ministry as at 30 June 2016 and its operations for the year ended on that date</w:t>
      </w:r>
    </w:p>
    <w:p w14:paraId="08B0DC3D" w14:textId="77777777" w:rsidR="00AD72CC" w:rsidRPr="00BC0D1F" w:rsidRDefault="00AD72CC" w:rsidP="00913F68">
      <w:pPr>
        <w:pStyle w:val="Bullet"/>
      </w:pPr>
      <w:proofErr w:type="gramStart"/>
      <w:r w:rsidRPr="00BC0D1F">
        <w:t>the</w:t>
      </w:r>
      <w:proofErr w:type="gramEnd"/>
      <w:r w:rsidRPr="00BC0D1F">
        <w:t xml:space="preserve"> forecast financial statements fairly reflect the forecast financial position of the Ministry as at 30 June 2017 and its operations for the year ending on that date.</w:t>
      </w:r>
    </w:p>
    <w:p w14:paraId="03FDB494" w14:textId="77777777" w:rsidR="00AD72CC" w:rsidRDefault="00AD72CC" w:rsidP="00913F68">
      <w:pPr>
        <w:rPr>
          <w:lang w:eastAsia="en-NZ"/>
        </w:rPr>
      </w:pPr>
    </w:p>
    <w:p w14:paraId="730AC331" w14:textId="77777777" w:rsidR="00A22BD7" w:rsidRDefault="00A22BD7" w:rsidP="00913F68">
      <w:pPr>
        <w:rPr>
          <w:lang w:eastAsia="en-NZ"/>
        </w:rPr>
      </w:pPr>
    </w:p>
    <w:p w14:paraId="7581BF82" w14:textId="77777777" w:rsidR="00A22BD7" w:rsidRDefault="00A22BD7" w:rsidP="00913F68">
      <w:pPr>
        <w:rPr>
          <w:lang w:eastAsia="en-NZ"/>
        </w:rPr>
      </w:pPr>
    </w:p>
    <w:p w14:paraId="0D9CD6DD" w14:textId="77777777" w:rsidR="00A22BD7" w:rsidRDefault="00A22BD7" w:rsidP="00913F68">
      <w:pPr>
        <w:rPr>
          <w:lang w:eastAsia="en-NZ"/>
        </w:rPr>
      </w:pPr>
    </w:p>
    <w:p w14:paraId="54EBA0D8" w14:textId="77777777" w:rsidR="00A22BD7" w:rsidRPr="00BC0D1F" w:rsidRDefault="00A22BD7" w:rsidP="00913F68">
      <w:pPr>
        <w:rPr>
          <w:lang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22BD7" w14:paraId="593BFCCB" w14:textId="77777777" w:rsidTr="00A22BD7">
        <w:tc>
          <w:tcPr>
            <w:tcW w:w="4672" w:type="dxa"/>
          </w:tcPr>
          <w:p w14:paraId="6E352880" w14:textId="15A231BA" w:rsidR="00A22BD7" w:rsidRDefault="00A22BD7" w:rsidP="00913F68">
            <w:pPr>
              <w:rPr>
                <w:lang w:eastAsia="en-NZ"/>
              </w:rPr>
            </w:pPr>
            <w:r>
              <w:rPr>
                <w:noProof/>
                <w:lang w:eastAsia="en-NZ"/>
              </w:rPr>
              <w:drawing>
                <wp:inline distT="0" distB="0" distL="0" distR="0" wp14:anchorId="0A5A6C6A" wp14:editId="49FDC8B1">
                  <wp:extent cx="2490216" cy="8382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iSig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0216" cy="838200"/>
                          </a:xfrm>
                          <a:prstGeom prst="rect">
                            <a:avLst/>
                          </a:prstGeom>
                        </pic:spPr>
                      </pic:pic>
                    </a:graphicData>
                  </a:graphic>
                </wp:inline>
              </w:drawing>
            </w:r>
          </w:p>
        </w:tc>
        <w:tc>
          <w:tcPr>
            <w:tcW w:w="4673" w:type="dxa"/>
          </w:tcPr>
          <w:p w14:paraId="085FAB51" w14:textId="6A1836B3" w:rsidR="00A22BD7" w:rsidRDefault="00A22BD7" w:rsidP="00913F68">
            <w:pPr>
              <w:rPr>
                <w:lang w:eastAsia="en-NZ"/>
              </w:rPr>
            </w:pPr>
            <w:r w:rsidRPr="003E0F85">
              <w:rPr>
                <w:noProof/>
                <w:lang w:eastAsia="en-NZ"/>
              </w:rPr>
              <w:drawing>
                <wp:inline distT="0" distB="0" distL="0" distR="0" wp14:anchorId="3DF7689D" wp14:editId="577524FA">
                  <wp:extent cx="2238244" cy="810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71137" cy="822168"/>
                          </a:xfrm>
                          <a:prstGeom prst="rect">
                            <a:avLst/>
                          </a:prstGeom>
                          <a:noFill/>
                          <a:ln>
                            <a:noFill/>
                          </a:ln>
                        </pic:spPr>
                      </pic:pic>
                    </a:graphicData>
                  </a:graphic>
                </wp:inline>
              </w:drawing>
            </w:r>
          </w:p>
        </w:tc>
      </w:tr>
      <w:tr w:rsidR="00A22BD7" w14:paraId="1D4753D8" w14:textId="77777777" w:rsidTr="00A22BD7">
        <w:tc>
          <w:tcPr>
            <w:tcW w:w="4672" w:type="dxa"/>
          </w:tcPr>
          <w:p w14:paraId="202277DC" w14:textId="77777777" w:rsidR="00A22BD7" w:rsidRDefault="00A22BD7" w:rsidP="00913F68">
            <w:pPr>
              <w:rPr>
                <w:lang w:eastAsia="en-NZ"/>
              </w:rPr>
            </w:pPr>
          </w:p>
          <w:p w14:paraId="441871C6" w14:textId="78D1826E" w:rsidR="00A22BD7" w:rsidRDefault="00A22BD7" w:rsidP="00913F68">
            <w:pPr>
              <w:rPr>
                <w:lang w:eastAsia="en-NZ"/>
              </w:rPr>
            </w:pPr>
            <w:r>
              <w:rPr>
                <w:lang w:eastAsia="en-NZ"/>
              </w:rPr>
              <w:t xml:space="preserve">Chai </w:t>
            </w:r>
            <w:proofErr w:type="spellStart"/>
            <w:r>
              <w:rPr>
                <w:lang w:eastAsia="en-NZ"/>
              </w:rPr>
              <w:t>Chuah</w:t>
            </w:r>
            <w:proofErr w:type="spellEnd"/>
          </w:p>
          <w:p w14:paraId="3EFA87C8" w14:textId="77777777" w:rsidR="00A22BD7" w:rsidRDefault="00A22BD7" w:rsidP="00913F68">
            <w:pPr>
              <w:rPr>
                <w:lang w:eastAsia="en-NZ"/>
              </w:rPr>
            </w:pPr>
            <w:r w:rsidRPr="00BC0D1F">
              <w:rPr>
                <w:lang w:eastAsia="en-NZ"/>
              </w:rPr>
              <w:t>Director-General of Health</w:t>
            </w:r>
          </w:p>
          <w:p w14:paraId="655D0305" w14:textId="77777777" w:rsidR="00A22BD7" w:rsidRDefault="00A22BD7" w:rsidP="00913F68">
            <w:pPr>
              <w:rPr>
                <w:lang w:eastAsia="en-NZ"/>
              </w:rPr>
            </w:pPr>
            <w:r w:rsidRPr="00BC0D1F">
              <w:rPr>
                <w:lang w:eastAsia="en-NZ"/>
              </w:rPr>
              <w:t>30 September 2016</w:t>
            </w:r>
          </w:p>
          <w:p w14:paraId="6D5DE4B0" w14:textId="51A2D74D" w:rsidR="00A22BD7" w:rsidRDefault="00A22BD7" w:rsidP="00913F68">
            <w:pPr>
              <w:rPr>
                <w:lang w:eastAsia="en-NZ"/>
              </w:rPr>
            </w:pPr>
          </w:p>
        </w:tc>
        <w:tc>
          <w:tcPr>
            <w:tcW w:w="4673" w:type="dxa"/>
          </w:tcPr>
          <w:p w14:paraId="4BD8A5FE" w14:textId="77777777" w:rsidR="00A22BD7" w:rsidRDefault="00A22BD7" w:rsidP="00A22BD7">
            <w:pPr>
              <w:rPr>
                <w:rFonts w:cs="Arial"/>
                <w:noProof/>
                <w:szCs w:val="22"/>
              </w:rPr>
            </w:pPr>
          </w:p>
          <w:p w14:paraId="26784F16" w14:textId="77777777" w:rsidR="00A22BD7" w:rsidRDefault="00A22BD7" w:rsidP="00A22BD7">
            <w:pPr>
              <w:rPr>
                <w:rFonts w:cs="Arial"/>
                <w:noProof/>
                <w:szCs w:val="22"/>
              </w:rPr>
            </w:pPr>
            <w:r>
              <w:rPr>
                <w:rFonts w:cs="Arial"/>
                <w:noProof/>
                <w:szCs w:val="22"/>
              </w:rPr>
              <w:t>Stephen O’Keefe</w:t>
            </w:r>
          </w:p>
          <w:p w14:paraId="16C531A8" w14:textId="77777777" w:rsidR="00A22BD7" w:rsidRDefault="00A22BD7" w:rsidP="00A22BD7">
            <w:pPr>
              <w:rPr>
                <w:rFonts w:cs="Arial"/>
                <w:szCs w:val="22"/>
              </w:rPr>
            </w:pPr>
            <w:r w:rsidRPr="00697CBF">
              <w:rPr>
                <w:rFonts w:cs="Arial"/>
                <w:szCs w:val="22"/>
              </w:rPr>
              <w:t>Chief Financial Officer</w:t>
            </w:r>
          </w:p>
          <w:p w14:paraId="3C49B753" w14:textId="77777777" w:rsidR="00A22BD7" w:rsidRDefault="00A22BD7" w:rsidP="00A22BD7">
            <w:pPr>
              <w:rPr>
                <w:lang w:eastAsia="en-NZ"/>
              </w:rPr>
            </w:pPr>
            <w:r w:rsidRPr="00BC0D1F">
              <w:rPr>
                <w:lang w:eastAsia="en-NZ"/>
              </w:rPr>
              <w:t>30 September 2016</w:t>
            </w:r>
          </w:p>
          <w:p w14:paraId="461B3830" w14:textId="260EC82F" w:rsidR="00A22BD7" w:rsidRDefault="00A22BD7" w:rsidP="00A22BD7">
            <w:pPr>
              <w:rPr>
                <w:lang w:eastAsia="en-NZ"/>
              </w:rPr>
            </w:pPr>
          </w:p>
        </w:tc>
      </w:tr>
    </w:tbl>
    <w:p w14:paraId="5E4885AD" w14:textId="75D6EDB1" w:rsidR="00AD72CC" w:rsidRPr="00BC0D1F" w:rsidRDefault="00AD72CC" w:rsidP="00913F68">
      <w:pPr>
        <w:pStyle w:val="Heading1"/>
      </w:pPr>
      <w:bookmarkStart w:id="146" w:name="_Toc430768836"/>
      <w:bookmarkStart w:id="147" w:name="_Toc459730025"/>
      <w:bookmarkStart w:id="148" w:name="_Toc461544298"/>
      <w:bookmarkStart w:id="149" w:name="_Toc463507928"/>
      <w:r w:rsidRPr="00BC0D1F">
        <w:lastRenderedPageBreak/>
        <w:t>Independent auditor</w:t>
      </w:r>
      <w:r w:rsidR="00DF4B9A" w:rsidRPr="00BC0D1F">
        <w:t>’</w:t>
      </w:r>
      <w:r w:rsidRPr="00BC0D1F">
        <w:t>s report</w:t>
      </w:r>
      <w:bookmarkEnd w:id="146"/>
      <w:bookmarkEnd w:id="147"/>
      <w:bookmarkEnd w:id="148"/>
      <w:bookmarkEnd w:id="149"/>
    </w:p>
    <w:p w14:paraId="1430F2E4" w14:textId="77777777" w:rsidR="00081AA5" w:rsidRDefault="00081AA5" w:rsidP="00081AA5">
      <w:pPr>
        <w:rPr>
          <w:lang w:val="en-AU"/>
        </w:rPr>
      </w:pPr>
      <w:bookmarkStart w:id="150" w:name="_Toc399405928"/>
      <w:bookmarkStart w:id="151" w:name="_Toc388007473"/>
      <w:bookmarkStart w:id="152" w:name="_Toc388008166"/>
      <w:bookmarkStart w:id="153" w:name="_Toc396999842"/>
    </w:p>
    <w:p w14:paraId="34E2D292" w14:textId="77777777" w:rsidR="00081AA5" w:rsidRDefault="00081AA5" w:rsidP="00081AA5">
      <w:pPr>
        <w:rPr>
          <w:lang w:val="en-AU"/>
        </w:rPr>
      </w:pPr>
    </w:p>
    <w:p w14:paraId="156141A5" w14:textId="5169935E" w:rsidR="00081AA5" w:rsidRPr="00933A96" w:rsidRDefault="00081AA5" w:rsidP="00081AA5">
      <w:pPr>
        <w:rPr>
          <w:lang w:val="en-AU"/>
        </w:rPr>
      </w:pPr>
      <w:r w:rsidRPr="00092B2F">
        <w:rPr>
          <w:noProof/>
          <w:lang w:eastAsia="en-NZ"/>
        </w:rPr>
        <w:drawing>
          <wp:anchor distT="0" distB="0" distL="114300" distR="114300" simplePos="0" relativeHeight="251661824" behindDoc="0" locked="0" layoutInCell="1" allowOverlap="1" wp14:anchorId="760A60A3" wp14:editId="4B04DA21">
            <wp:simplePos x="0" y="0"/>
            <wp:positionH relativeFrom="column">
              <wp:posOffset>4476750</wp:posOffset>
            </wp:positionH>
            <wp:positionV relativeFrom="page">
              <wp:posOffset>1559560</wp:posOffset>
            </wp:positionV>
            <wp:extent cx="1822450" cy="3003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_nz_black_(new).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22450" cy="300355"/>
                    </a:xfrm>
                    <a:prstGeom prst="rect">
                      <a:avLst/>
                    </a:prstGeom>
                  </pic:spPr>
                </pic:pic>
              </a:graphicData>
            </a:graphic>
            <wp14:sizeRelH relativeFrom="page">
              <wp14:pctWidth>0</wp14:pctWidth>
            </wp14:sizeRelH>
            <wp14:sizeRelV relativeFrom="page">
              <wp14:pctHeight>0</wp14:pctHeight>
            </wp14:sizeRelV>
          </wp:anchor>
        </w:drawing>
      </w:r>
    </w:p>
    <w:p w14:paraId="4F202158" w14:textId="4F357C27" w:rsidR="00081AA5" w:rsidRPr="00933A96" w:rsidRDefault="00081AA5" w:rsidP="00081AA5">
      <w:pPr>
        <w:pStyle w:val="ANZHeading-L1"/>
        <w:spacing w:after="0"/>
        <w:jc w:val="center"/>
        <w:rPr>
          <w:lang w:val="en-GB"/>
        </w:rPr>
      </w:pPr>
      <w:r w:rsidRPr="00933A96">
        <w:rPr>
          <w:lang w:val="en-GB"/>
        </w:rPr>
        <w:t xml:space="preserve">Independent </w:t>
      </w:r>
      <w:r>
        <w:rPr>
          <w:lang w:val="en-GB"/>
        </w:rPr>
        <w:t>A</w:t>
      </w:r>
      <w:r w:rsidRPr="00933A96">
        <w:rPr>
          <w:lang w:val="en-GB"/>
        </w:rPr>
        <w:t xml:space="preserve">uditor’s </w:t>
      </w:r>
      <w:r>
        <w:rPr>
          <w:lang w:val="en-GB"/>
        </w:rPr>
        <w:t>R</w:t>
      </w:r>
      <w:r w:rsidRPr="00933A96">
        <w:rPr>
          <w:lang w:val="en-GB"/>
        </w:rPr>
        <w:t>eport</w:t>
      </w:r>
    </w:p>
    <w:p w14:paraId="1EAC14F9" w14:textId="77777777" w:rsidR="00081AA5" w:rsidRPr="00933A96" w:rsidRDefault="00081AA5" w:rsidP="00081AA5">
      <w:pPr>
        <w:pStyle w:val="ANZHeading-L1"/>
        <w:spacing w:after="0"/>
        <w:jc w:val="center"/>
        <w:rPr>
          <w:lang w:val="en-GB"/>
        </w:rPr>
      </w:pPr>
    </w:p>
    <w:p w14:paraId="4AAD4C6E" w14:textId="77777777" w:rsidR="00081AA5" w:rsidRPr="00933A96" w:rsidRDefault="00081AA5" w:rsidP="00081AA5">
      <w:pPr>
        <w:pStyle w:val="ANZHeading-L1"/>
        <w:spacing w:after="0"/>
        <w:jc w:val="center"/>
        <w:rPr>
          <w:lang w:val="en-GB"/>
        </w:rPr>
      </w:pPr>
      <w:r w:rsidRPr="00933A96">
        <w:rPr>
          <w:lang w:val="en-GB"/>
        </w:rPr>
        <w:t>To the readers of</w:t>
      </w:r>
    </w:p>
    <w:p w14:paraId="7559E5BC" w14:textId="77777777" w:rsidR="00081AA5" w:rsidRPr="00933A96" w:rsidRDefault="00081AA5" w:rsidP="00081AA5">
      <w:pPr>
        <w:pStyle w:val="ANZHeading-L1"/>
        <w:spacing w:after="0"/>
        <w:jc w:val="center"/>
        <w:rPr>
          <w:lang w:val="en-GB"/>
        </w:rPr>
      </w:pPr>
      <w:r>
        <w:rPr>
          <w:lang w:val="en-GB"/>
        </w:rPr>
        <w:t>Ministry of Health</w:t>
      </w:r>
      <w:r w:rsidRPr="00933A96">
        <w:rPr>
          <w:lang w:val="en-GB"/>
        </w:rPr>
        <w:t>’s</w:t>
      </w:r>
    </w:p>
    <w:p w14:paraId="14CF4BF8" w14:textId="77777777" w:rsidR="00081AA5" w:rsidRPr="00933A96" w:rsidRDefault="00081AA5" w:rsidP="00081AA5">
      <w:pPr>
        <w:pStyle w:val="ANZHeading-L1"/>
        <w:spacing w:after="0"/>
        <w:jc w:val="center"/>
        <w:rPr>
          <w:lang w:val="en-GB"/>
        </w:rPr>
      </w:pPr>
      <w:proofErr w:type="gramStart"/>
      <w:r>
        <w:rPr>
          <w:lang w:val="en-AU"/>
        </w:rPr>
        <w:t>a</w:t>
      </w:r>
      <w:r w:rsidRPr="00933A96">
        <w:rPr>
          <w:lang w:val="en-AU"/>
        </w:rPr>
        <w:t>nnual</w:t>
      </w:r>
      <w:proofErr w:type="gramEnd"/>
      <w:r w:rsidRPr="00933A96">
        <w:rPr>
          <w:lang w:val="en-AU"/>
        </w:rPr>
        <w:t xml:space="preserve"> report</w:t>
      </w:r>
      <w:r w:rsidRPr="00933A96">
        <w:rPr>
          <w:lang w:val="en-GB"/>
        </w:rPr>
        <w:t xml:space="preserve"> for the year ended </w:t>
      </w:r>
      <w:r>
        <w:rPr>
          <w:lang w:val="en-GB"/>
        </w:rPr>
        <w:t>30 June 2016</w:t>
      </w:r>
    </w:p>
    <w:p w14:paraId="15881349" w14:textId="77777777" w:rsidR="00AE3BCF" w:rsidRPr="00081AA5" w:rsidRDefault="00AE3BCF" w:rsidP="00AE3BCF">
      <w:pPr>
        <w:rPr>
          <w:rFonts w:ascii="Tw Cen MT Mi" w:hAnsi="Tw Cen MT Mi"/>
          <w:sz w:val="24"/>
          <w:szCs w:val="22"/>
          <w:lang w:val="en-AU"/>
        </w:rPr>
      </w:pPr>
    </w:p>
    <w:p w14:paraId="20589BA2" w14:textId="77777777" w:rsidR="00AE3BCF" w:rsidRPr="00FF394D" w:rsidRDefault="00AE3BCF" w:rsidP="00AE3BCF">
      <w:pPr>
        <w:spacing w:after="240"/>
        <w:rPr>
          <w:rFonts w:ascii="Tw Cen MT Mi" w:eastAsiaTheme="minorHAnsi" w:hAnsi="Tw Cen MT Mi"/>
          <w:sz w:val="24"/>
          <w:szCs w:val="24"/>
          <w:lang w:val="en-GB" w:eastAsia="en-NZ"/>
        </w:rPr>
      </w:pPr>
      <w:r w:rsidRPr="00FF394D">
        <w:rPr>
          <w:rFonts w:ascii="Tw Cen MT Mi" w:eastAsiaTheme="minorHAnsi" w:hAnsi="Tw Cen MT Mi"/>
          <w:sz w:val="24"/>
          <w:szCs w:val="24"/>
          <w:lang w:val="en-GB" w:eastAsia="en-NZ"/>
        </w:rPr>
        <w:t>The Auditor</w:t>
      </w:r>
      <w:r w:rsidRPr="00FF394D">
        <w:rPr>
          <w:rFonts w:ascii="Tw Cen MT Mi" w:eastAsiaTheme="minorHAnsi" w:hAnsi="Tw Cen MT Mi"/>
          <w:sz w:val="24"/>
          <w:szCs w:val="24"/>
          <w:lang w:val="en-GB" w:eastAsia="en-NZ"/>
        </w:rPr>
        <w:noBreakHyphen/>
        <w:t>General is the auditor of Ministry of Health (the Ministry). The Auditor</w:t>
      </w:r>
      <w:r w:rsidRPr="00FF394D">
        <w:rPr>
          <w:rFonts w:ascii="Tw Cen MT Mi" w:eastAsiaTheme="minorHAnsi" w:hAnsi="Tw Cen MT Mi"/>
          <w:sz w:val="24"/>
          <w:szCs w:val="24"/>
          <w:lang w:val="en-GB" w:eastAsia="en-NZ"/>
        </w:rPr>
        <w:noBreakHyphen/>
        <w:t>General has appointed me, Kelly Rushton, using the staff and resources of Audit New Zealand, to carry out the audit on her behalf of:</w:t>
      </w:r>
    </w:p>
    <w:p w14:paraId="02574D9A" w14:textId="77777777" w:rsidR="00AE3BCF" w:rsidRPr="00933A96" w:rsidRDefault="00AE3BCF" w:rsidP="00AE3BCF">
      <w:pPr>
        <w:pStyle w:val="ANZBulletLevel1"/>
        <w:rPr>
          <w:lang w:val="en-AU"/>
        </w:rPr>
      </w:pPr>
      <w:r w:rsidRPr="00933A96">
        <w:rPr>
          <w:lang w:val="en-AU"/>
        </w:rPr>
        <w:t xml:space="preserve">the financial statements of the </w:t>
      </w:r>
      <w:r>
        <w:rPr>
          <w:lang w:val="en-AU"/>
        </w:rPr>
        <w:t>Ministry</w:t>
      </w:r>
      <w:r w:rsidRPr="00933A96">
        <w:rPr>
          <w:lang w:val="en-AU"/>
        </w:rPr>
        <w:t xml:space="preserve"> on pages </w:t>
      </w:r>
      <w:r>
        <w:rPr>
          <w:lang w:val="en-AU"/>
        </w:rPr>
        <w:t>82</w:t>
      </w:r>
      <w:r w:rsidRPr="00933A96">
        <w:rPr>
          <w:lang w:val="en-AU"/>
        </w:rPr>
        <w:t xml:space="preserve"> to </w:t>
      </w:r>
      <w:r>
        <w:rPr>
          <w:lang w:val="en-AU"/>
        </w:rPr>
        <w:t xml:space="preserve">104, that comprise the </w:t>
      </w:r>
      <w:r w:rsidRPr="00933A96">
        <w:rPr>
          <w:lang w:val="en-AU"/>
        </w:rPr>
        <w:t xml:space="preserve">statement of financial position, statement of commitments, statement of contingent liabilities and contingent assets as at </w:t>
      </w:r>
      <w:r>
        <w:rPr>
          <w:lang w:val="en-AU"/>
        </w:rPr>
        <w:t xml:space="preserve">30 June 2016, the </w:t>
      </w:r>
      <w:r w:rsidRPr="00933A96">
        <w:rPr>
          <w:lang w:val="en-AU"/>
        </w:rPr>
        <w:t xml:space="preserve">statement of comprehensive revenue and expense, statement of </w:t>
      </w:r>
      <w:r>
        <w:rPr>
          <w:lang w:val="en-AU"/>
        </w:rPr>
        <w:t xml:space="preserve">movements </w:t>
      </w:r>
      <w:r w:rsidRPr="00933A96">
        <w:rPr>
          <w:lang w:val="en-AU"/>
        </w:rPr>
        <w:t>in equity, and statement of cash flows for t</w:t>
      </w:r>
      <w:r>
        <w:rPr>
          <w:lang w:val="en-AU"/>
        </w:rPr>
        <w:t xml:space="preserve">he year ended on that date and </w:t>
      </w:r>
      <w:r w:rsidRPr="00933A96">
        <w:rPr>
          <w:lang w:val="en-AU"/>
        </w:rPr>
        <w:t>the notes to the financial statements that include accounting policies and other explanatory information;</w:t>
      </w:r>
    </w:p>
    <w:p w14:paraId="6A48C5D0" w14:textId="77777777" w:rsidR="00AE3BCF" w:rsidRPr="00933A96" w:rsidRDefault="00AE3BCF" w:rsidP="00AE3BCF">
      <w:pPr>
        <w:pStyle w:val="ANZBulletLevel1"/>
        <w:rPr>
          <w:lang w:val="en-AU"/>
        </w:rPr>
      </w:pPr>
      <w:r w:rsidRPr="00933A96">
        <w:rPr>
          <w:lang w:val="en-AU"/>
        </w:rPr>
        <w:t xml:space="preserve">the performance information prepared by the </w:t>
      </w:r>
      <w:r>
        <w:rPr>
          <w:lang w:val="en-AU"/>
        </w:rPr>
        <w:t xml:space="preserve">Ministry </w:t>
      </w:r>
      <w:r w:rsidRPr="00933A96">
        <w:rPr>
          <w:lang w:val="en-AU"/>
        </w:rPr>
        <w:t xml:space="preserve">for the year ended </w:t>
      </w:r>
      <w:r>
        <w:rPr>
          <w:lang w:val="en-AU"/>
        </w:rPr>
        <w:t>30 June 2016</w:t>
      </w:r>
      <w:r w:rsidRPr="00933A96">
        <w:rPr>
          <w:lang w:val="en-AU"/>
        </w:rPr>
        <w:t xml:space="preserve"> on pages </w:t>
      </w:r>
      <w:r>
        <w:rPr>
          <w:lang w:val="en-AU"/>
        </w:rPr>
        <w:t xml:space="preserve">12 </w:t>
      </w:r>
      <w:r w:rsidRPr="00933A96">
        <w:rPr>
          <w:lang w:val="en-AU"/>
        </w:rPr>
        <w:t xml:space="preserve">to </w:t>
      </w:r>
      <w:r>
        <w:rPr>
          <w:lang w:val="en-AU"/>
        </w:rPr>
        <w:t>20 and 38 to 71</w:t>
      </w:r>
      <w:r w:rsidRPr="00933A96">
        <w:rPr>
          <w:lang w:val="en-AU"/>
        </w:rPr>
        <w:t xml:space="preserve">; </w:t>
      </w:r>
    </w:p>
    <w:p w14:paraId="04D9B79A" w14:textId="77777777" w:rsidR="00AE3BCF" w:rsidRPr="00933A96" w:rsidRDefault="00AE3BCF" w:rsidP="00AE3BCF">
      <w:pPr>
        <w:pStyle w:val="ANZBulletLevel1"/>
        <w:rPr>
          <w:lang w:val="en-AU"/>
        </w:rPr>
      </w:pPr>
      <w:r>
        <w:rPr>
          <w:lang w:val="en-AU"/>
        </w:rPr>
        <w:t>the statement</w:t>
      </w:r>
      <w:r w:rsidRPr="00933A96">
        <w:rPr>
          <w:lang w:val="en-AU"/>
        </w:rPr>
        <w:t xml:space="preserve"> of </w:t>
      </w:r>
      <w:r>
        <w:rPr>
          <w:lang w:val="en-AU"/>
        </w:rPr>
        <w:t xml:space="preserve">budgeted and actual expenses and </w:t>
      </w:r>
      <w:r w:rsidRPr="00933A96">
        <w:rPr>
          <w:lang w:val="en-AU"/>
        </w:rPr>
        <w:t xml:space="preserve">capital expenditure </w:t>
      </w:r>
      <w:r>
        <w:rPr>
          <w:lang w:val="en-AU"/>
        </w:rPr>
        <w:t xml:space="preserve">against appropriation </w:t>
      </w:r>
      <w:r w:rsidRPr="00933A96">
        <w:rPr>
          <w:lang w:val="en-AU"/>
        </w:rPr>
        <w:t xml:space="preserve">of the </w:t>
      </w:r>
      <w:r>
        <w:rPr>
          <w:lang w:val="en-AU"/>
        </w:rPr>
        <w:t>Ministry</w:t>
      </w:r>
      <w:r w:rsidRPr="00933A96">
        <w:rPr>
          <w:lang w:val="en-AU"/>
        </w:rPr>
        <w:t xml:space="preserve"> for the year ended </w:t>
      </w:r>
      <w:r>
        <w:rPr>
          <w:lang w:val="en-AU"/>
        </w:rPr>
        <w:t>30 June 2016</w:t>
      </w:r>
      <w:r w:rsidRPr="00933A96">
        <w:rPr>
          <w:lang w:val="en-AU"/>
        </w:rPr>
        <w:t xml:space="preserve"> on pages </w:t>
      </w:r>
      <w:r>
        <w:rPr>
          <w:lang w:val="en-AU"/>
        </w:rPr>
        <w:t>79</w:t>
      </w:r>
      <w:r w:rsidRPr="00933A96">
        <w:rPr>
          <w:lang w:val="en-AU"/>
        </w:rPr>
        <w:t xml:space="preserve"> to </w:t>
      </w:r>
      <w:r>
        <w:rPr>
          <w:lang w:val="en-AU"/>
        </w:rPr>
        <w:t>81</w:t>
      </w:r>
      <w:r w:rsidRPr="00933A96">
        <w:rPr>
          <w:lang w:val="en-AU"/>
        </w:rPr>
        <w:t>; and</w:t>
      </w:r>
    </w:p>
    <w:p w14:paraId="2F653CCE" w14:textId="77777777" w:rsidR="00AE3BCF" w:rsidRPr="00933A96" w:rsidRDefault="00AE3BCF" w:rsidP="00AE3BCF">
      <w:pPr>
        <w:pStyle w:val="ANZBulletLevel1"/>
        <w:rPr>
          <w:lang w:val="en-AU"/>
        </w:rPr>
      </w:pPr>
      <w:r w:rsidRPr="00933A96">
        <w:rPr>
          <w:lang w:val="en-AU"/>
        </w:rPr>
        <w:t>the schedules of non</w:t>
      </w:r>
      <w:r>
        <w:rPr>
          <w:lang w:val="en-AU"/>
        </w:rPr>
        <w:noBreakHyphen/>
      </w:r>
      <w:r w:rsidRPr="00933A96">
        <w:rPr>
          <w:lang w:val="en-AU"/>
        </w:rPr>
        <w:t xml:space="preserve">departmental activities which are managed by the </w:t>
      </w:r>
      <w:r>
        <w:rPr>
          <w:lang w:val="en-AU"/>
        </w:rPr>
        <w:t>Ministry</w:t>
      </w:r>
      <w:r w:rsidRPr="00933A96">
        <w:rPr>
          <w:lang w:val="en-AU"/>
        </w:rPr>
        <w:t xml:space="preserve"> </w:t>
      </w:r>
      <w:r>
        <w:rPr>
          <w:lang w:val="en-AU"/>
        </w:rPr>
        <w:t>o</w:t>
      </w:r>
      <w:r w:rsidRPr="00933A96">
        <w:rPr>
          <w:lang w:val="en-AU"/>
        </w:rPr>
        <w:t xml:space="preserve">n behalf of the Crown on pages </w:t>
      </w:r>
      <w:r>
        <w:rPr>
          <w:lang w:val="en-AU"/>
        </w:rPr>
        <w:t>105</w:t>
      </w:r>
      <w:r w:rsidRPr="00933A96">
        <w:rPr>
          <w:lang w:val="en-AU"/>
        </w:rPr>
        <w:t xml:space="preserve"> to</w:t>
      </w:r>
      <w:r>
        <w:rPr>
          <w:lang w:val="en-AU"/>
        </w:rPr>
        <w:t xml:space="preserve"> 114 </w:t>
      </w:r>
      <w:r w:rsidRPr="00933A96">
        <w:rPr>
          <w:lang w:val="en-AU"/>
        </w:rPr>
        <w:t>that comprise:</w:t>
      </w:r>
    </w:p>
    <w:p w14:paraId="59DA649B" w14:textId="77777777" w:rsidR="00AE3BCF" w:rsidRDefault="00AE3BCF" w:rsidP="00AE3BCF">
      <w:pPr>
        <w:pStyle w:val="ANZBulletLevel2"/>
        <w:rPr>
          <w:lang w:val="en-AU"/>
        </w:rPr>
      </w:pPr>
      <w:r w:rsidRPr="00933A96">
        <w:rPr>
          <w:lang w:val="en-AU"/>
        </w:rPr>
        <w:t>the schedules of assets</w:t>
      </w:r>
      <w:r>
        <w:rPr>
          <w:lang w:val="en-AU"/>
        </w:rPr>
        <w:t>,</w:t>
      </w:r>
      <w:r w:rsidRPr="00933A96">
        <w:rPr>
          <w:lang w:val="en-AU"/>
        </w:rPr>
        <w:t xml:space="preserve"> liabilities</w:t>
      </w:r>
      <w:r>
        <w:rPr>
          <w:lang w:val="en-AU"/>
        </w:rPr>
        <w:t>,</w:t>
      </w:r>
      <w:r w:rsidRPr="00933A96">
        <w:rPr>
          <w:lang w:val="en-AU"/>
        </w:rPr>
        <w:t xml:space="preserve"> commitments</w:t>
      </w:r>
      <w:r>
        <w:rPr>
          <w:lang w:val="en-AU"/>
        </w:rPr>
        <w:t xml:space="preserve">, </w:t>
      </w:r>
      <w:r w:rsidRPr="00933A96">
        <w:rPr>
          <w:lang w:val="en-AU"/>
        </w:rPr>
        <w:t>contingen</w:t>
      </w:r>
      <w:r>
        <w:rPr>
          <w:lang w:val="en-AU"/>
        </w:rPr>
        <w:t>t liabilities and contingent assets as at 30 June 2016;</w:t>
      </w:r>
      <w:r w:rsidRPr="00933A96">
        <w:rPr>
          <w:lang w:val="en-AU"/>
        </w:rPr>
        <w:t xml:space="preserve"> </w:t>
      </w:r>
    </w:p>
    <w:p w14:paraId="2A5269DF" w14:textId="77777777" w:rsidR="00AE3BCF" w:rsidRDefault="00AE3BCF" w:rsidP="00AE3BCF">
      <w:pPr>
        <w:pStyle w:val="ANZBulletLevel2"/>
        <w:rPr>
          <w:lang w:val="en-AU"/>
        </w:rPr>
      </w:pPr>
      <w:r>
        <w:rPr>
          <w:lang w:val="en-AU"/>
        </w:rPr>
        <w:t xml:space="preserve">the schedules of </w:t>
      </w:r>
      <w:r w:rsidRPr="00933A96">
        <w:rPr>
          <w:lang w:val="en-AU"/>
        </w:rPr>
        <w:t>expenses</w:t>
      </w:r>
      <w:r>
        <w:rPr>
          <w:lang w:val="en-AU"/>
        </w:rPr>
        <w:t xml:space="preserve">, </w:t>
      </w:r>
      <w:r w:rsidRPr="00933A96">
        <w:rPr>
          <w:lang w:val="en-AU"/>
        </w:rPr>
        <w:t>revenue</w:t>
      </w:r>
      <w:r>
        <w:rPr>
          <w:lang w:val="en-AU"/>
        </w:rPr>
        <w:t xml:space="preserve"> and capital receipts</w:t>
      </w:r>
      <w:r w:rsidRPr="00933A96">
        <w:rPr>
          <w:lang w:val="en-AU"/>
        </w:rPr>
        <w:t xml:space="preserve"> for the year ended </w:t>
      </w:r>
      <w:r>
        <w:rPr>
          <w:lang w:val="en-AU"/>
        </w:rPr>
        <w:t>30 June 2016</w:t>
      </w:r>
      <w:r w:rsidRPr="00933A96">
        <w:rPr>
          <w:lang w:val="en-AU"/>
        </w:rPr>
        <w:t>;</w:t>
      </w:r>
    </w:p>
    <w:p w14:paraId="36B46881" w14:textId="77777777" w:rsidR="00AE3BCF" w:rsidRPr="00933A96" w:rsidRDefault="00AE3BCF" w:rsidP="00AE3BCF">
      <w:pPr>
        <w:pStyle w:val="ANZBulletLevel2"/>
        <w:numPr>
          <w:ilvl w:val="0"/>
          <w:numId w:val="0"/>
        </w:numPr>
        <w:ind w:left="1701"/>
        <w:rPr>
          <w:lang w:val="en-AU"/>
        </w:rPr>
      </w:pPr>
    </w:p>
    <w:p w14:paraId="4219E432" w14:textId="77777777" w:rsidR="00AE3BCF" w:rsidRDefault="00AE3BCF" w:rsidP="00AE3BCF">
      <w:pPr>
        <w:pStyle w:val="ANZBulletLevel2"/>
        <w:rPr>
          <w:lang w:val="en-AU"/>
        </w:rPr>
      </w:pPr>
      <w:r w:rsidRPr="00933A96">
        <w:rPr>
          <w:lang w:val="en-AU"/>
        </w:rPr>
        <w:t xml:space="preserve">the statement of trust monies for the year ended </w:t>
      </w:r>
      <w:r>
        <w:rPr>
          <w:lang w:val="en-AU"/>
        </w:rPr>
        <w:t>30 June 2016</w:t>
      </w:r>
      <w:r w:rsidRPr="00933A96">
        <w:rPr>
          <w:lang w:val="en-AU"/>
        </w:rPr>
        <w:t>;</w:t>
      </w:r>
    </w:p>
    <w:p w14:paraId="76542901" w14:textId="77777777" w:rsidR="00AE3BCF" w:rsidRDefault="00AE3BCF" w:rsidP="00AE3BCF">
      <w:pPr>
        <w:pStyle w:val="ANZBulletLevel2"/>
        <w:rPr>
          <w:lang w:val="en-AU"/>
        </w:rPr>
      </w:pPr>
      <w:r>
        <w:rPr>
          <w:lang w:val="en-AU"/>
        </w:rPr>
        <w:t>statement of expenses and capital expenditure against appropriations for the year ended 30 June 2016;</w:t>
      </w:r>
    </w:p>
    <w:p w14:paraId="15B5F936" w14:textId="77777777" w:rsidR="00AE3BCF" w:rsidRDefault="00AE3BCF" w:rsidP="00AE3BCF">
      <w:pPr>
        <w:pStyle w:val="ANZBulletLevel2"/>
        <w:rPr>
          <w:lang w:val="en-AU"/>
        </w:rPr>
      </w:pPr>
      <w:r w:rsidRPr="00BC27CF">
        <w:rPr>
          <w:lang w:val="en-AU"/>
        </w:rPr>
        <w:t>Problem Gambling levy report for the year ended 30 June 2016;</w:t>
      </w:r>
    </w:p>
    <w:p w14:paraId="01264B30" w14:textId="77777777" w:rsidR="00AE3BCF" w:rsidRPr="00BC27CF" w:rsidRDefault="00AE3BCF" w:rsidP="00AE3BCF">
      <w:pPr>
        <w:pStyle w:val="ANZBulletLevel2"/>
        <w:rPr>
          <w:lang w:val="en-AU"/>
        </w:rPr>
      </w:pPr>
      <w:r>
        <w:rPr>
          <w:lang w:val="en-AU"/>
        </w:rPr>
        <w:t>statement of unappropriated expenses and capital expenditure for the year ended 30 June 2016; and</w:t>
      </w:r>
    </w:p>
    <w:p w14:paraId="351F1740" w14:textId="77777777" w:rsidR="00AE3BCF" w:rsidRPr="00BA00BD" w:rsidRDefault="00AE3BCF" w:rsidP="00AE3BCF">
      <w:pPr>
        <w:pStyle w:val="ANZBulletLevel2"/>
        <w:rPr>
          <w:lang w:val="en-AU"/>
        </w:rPr>
      </w:pPr>
      <w:proofErr w:type="gramStart"/>
      <w:r w:rsidRPr="00BA00BD">
        <w:rPr>
          <w:lang w:val="en-AU"/>
        </w:rPr>
        <w:t>the</w:t>
      </w:r>
      <w:proofErr w:type="gramEnd"/>
      <w:r w:rsidRPr="00BA00BD">
        <w:rPr>
          <w:lang w:val="en-AU"/>
        </w:rPr>
        <w:t xml:space="preserve"> notes to the schedules that include accounting policies and other explanatory information</w:t>
      </w:r>
      <w:r>
        <w:rPr>
          <w:lang w:val="en-AU"/>
        </w:rPr>
        <w:t>.</w:t>
      </w:r>
    </w:p>
    <w:p w14:paraId="04CBCF8A" w14:textId="77777777" w:rsidR="00AE3BCF" w:rsidRPr="00933A96" w:rsidRDefault="00AE3BCF" w:rsidP="00AE3BCF">
      <w:pPr>
        <w:pStyle w:val="ANZHeading-L1"/>
        <w:rPr>
          <w:lang w:val="en-AU"/>
        </w:rPr>
      </w:pPr>
      <w:r w:rsidRPr="00933A96">
        <w:rPr>
          <w:lang w:val="en-AU"/>
        </w:rPr>
        <w:t>Opinion</w:t>
      </w:r>
    </w:p>
    <w:p w14:paraId="19E5A595" w14:textId="77777777" w:rsidR="00AE3BCF" w:rsidRPr="00933A96" w:rsidRDefault="00AE3BCF" w:rsidP="00AE3BCF">
      <w:pPr>
        <w:pStyle w:val="ANZBulletLevel1"/>
        <w:numPr>
          <w:ilvl w:val="0"/>
          <w:numId w:val="0"/>
        </w:numPr>
        <w:rPr>
          <w:lang w:val="en-AU"/>
        </w:rPr>
      </w:pPr>
      <w:r w:rsidRPr="00081AA5">
        <w:t>In our opinion:</w:t>
      </w:r>
    </w:p>
    <w:p w14:paraId="1A0E090E" w14:textId="77777777" w:rsidR="00AE3BCF" w:rsidRPr="00933A96" w:rsidRDefault="00AE3BCF" w:rsidP="00AE3BCF">
      <w:pPr>
        <w:pStyle w:val="ANZBulletLevel1"/>
        <w:rPr>
          <w:lang w:val="en-AU"/>
        </w:rPr>
      </w:pPr>
      <w:r w:rsidRPr="00933A96">
        <w:rPr>
          <w:lang w:val="en-AU"/>
        </w:rPr>
        <w:t xml:space="preserve">the financial statements of the </w:t>
      </w:r>
      <w:r>
        <w:rPr>
          <w:lang w:val="en-AU"/>
        </w:rPr>
        <w:t>Ministry on pages 82 to 104</w:t>
      </w:r>
      <w:r w:rsidRPr="00933A96">
        <w:rPr>
          <w:lang w:val="en-AU"/>
        </w:rPr>
        <w:t>:</w:t>
      </w:r>
    </w:p>
    <w:p w14:paraId="277E1798" w14:textId="77777777" w:rsidR="00AE3BCF" w:rsidRPr="00933A96" w:rsidRDefault="00AE3BCF" w:rsidP="00AE3BCF">
      <w:pPr>
        <w:pStyle w:val="ANZBulletLevel2"/>
        <w:rPr>
          <w:lang w:val="en-AU"/>
        </w:rPr>
      </w:pPr>
      <w:r w:rsidRPr="00933A96">
        <w:rPr>
          <w:lang w:val="en-AU"/>
        </w:rPr>
        <w:t>present fairly, in all material respects:</w:t>
      </w:r>
    </w:p>
    <w:p w14:paraId="2B5BF893" w14:textId="77777777" w:rsidR="00AE3BCF" w:rsidRPr="00933A96" w:rsidRDefault="00AE3BCF" w:rsidP="00AE3BCF">
      <w:pPr>
        <w:pStyle w:val="ANZBulletLevel3"/>
        <w:rPr>
          <w:lang w:val="en-AU"/>
        </w:rPr>
      </w:pPr>
      <w:r w:rsidRPr="00933A96">
        <w:rPr>
          <w:lang w:val="en-AU"/>
        </w:rPr>
        <w:t xml:space="preserve">its financial position as at </w:t>
      </w:r>
      <w:r>
        <w:rPr>
          <w:lang w:val="en-AU"/>
        </w:rPr>
        <w:t>30 June 2016</w:t>
      </w:r>
      <w:r w:rsidRPr="00933A96">
        <w:rPr>
          <w:lang w:val="en-AU"/>
        </w:rPr>
        <w:t xml:space="preserve">; </w:t>
      </w:r>
    </w:p>
    <w:p w14:paraId="025BF324" w14:textId="77777777" w:rsidR="00AE3BCF" w:rsidRPr="00933A96" w:rsidRDefault="00AE3BCF" w:rsidP="00AE3BCF">
      <w:pPr>
        <w:pStyle w:val="ANZBulletLevel3"/>
        <w:rPr>
          <w:lang w:val="en-AU"/>
        </w:rPr>
      </w:pPr>
      <w:r w:rsidRPr="00933A96">
        <w:rPr>
          <w:lang w:val="en-AU"/>
        </w:rPr>
        <w:t xml:space="preserve">its financial performance and cash flows for the year ended on that date; </w:t>
      </w:r>
      <w:r>
        <w:rPr>
          <w:lang w:val="en-AU"/>
        </w:rPr>
        <w:t>and</w:t>
      </w:r>
    </w:p>
    <w:p w14:paraId="1C8B4BBD" w14:textId="77777777" w:rsidR="00AE3BCF" w:rsidRDefault="00AE3BCF" w:rsidP="00AE3BCF">
      <w:pPr>
        <w:pStyle w:val="ANZBulletLevel2"/>
        <w:rPr>
          <w:lang w:val="en-AU"/>
        </w:rPr>
      </w:pPr>
      <w:proofErr w:type="gramStart"/>
      <w:r w:rsidRPr="00933A96">
        <w:rPr>
          <w:lang w:val="en-AU"/>
        </w:rPr>
        <w:t>comply</w:t>
      </w:r>
      <w:proofErr w:type="gramEnd"/>
      <w:r w:rsidRPr="00933A96">
        <w:rPr>
          <w:lang w:val="en-AU"/>
        </w:rPr>
        <w:t xml:space="preserve"> with generally accepted accounting practice in </w:t>
      </w:r>
      <w:r>
        <w:rPr>
          <w:lang w:val="en-AU"/>
        </w:rPr>
        <w:t>New Zealand</w:t>
      </w:r>
      <w:r w:rsidRPr="00933A96">
        <w:rPr>
          <w:lang w:val="en-AU"/>
        </w:rPr>
        <w:t xml:space="preserve"> </w:t>
      </w:r>
      <w:r w:rsidRPr="00933A96">
        <w:t xml:space="preserve">and have been </w:t>
      </w:r>
      <w:r>
        <w:t>prepared in accordance with the Public Benefit Entity Reporting Standards</w:t>
      </w:r>
      <w:r w:rsidRPr="00933A96">
        <w:t>.</w:t>
      </w:r>
      <w:r w:rsidRPr="00933A96">
        <w:rPr>
          <w:lang w:val="en-AU"/>
        </w:rPr>
        <w:t xml:space="preserve"> </w:t>
      </w:r>
    </w:p>
    <w:p w14:paraId="26E54E78" w14:textId="77777777" w:rsidR="00AE3BCF" w:rsidRPr="007E604F" w:rsidRDefault="00AE3BCF" w:rsidP="00AE3BCF">
      <w:pPr>
        <w:pStyle w:val="ANZHeading-L1"/>
        <w:rPr>
          <w:lang w:val="en-AU"/>
        </w:rPr>
      </w:pPr>
      <w:r w:rsidRPr="007E604F">
        <w:rPr>
          <w:lang w:val="en-AU"/>
        </w:rPr>
        <w:t>Qualified opinion on the performance information because of limited control on information from third-party health providers</w:t>
      </w:r>
    </w:p>
    <w:p w14:paraId="4600184A" w14:textId="77777777" w:rsidR="00AE3BCF" w:rsidRPr="00933A96" w:rsidRDefault="00AE3BCF" w:rsidP="00AE3BCF">
      <w:pPr>
        <w:pStyle w:val="ANZBulletLevel1"/>
        <w:numPr>
          <w:ilvl w:val="0"/>
          <w:numId w:val="0"/>
        </w:numPr>
        <w:rPr>
          <w:lang w:val="en-AU"/>
        </w:rPr>
      </w:pPr>
      <w:r>
        <w:t>Some significant performance measures of the Ministry of Health, (including the national health targets relating to increased immunisation, better help for smokers to quit, and more heart and diabetes checks) rely on information from third-party health providers, such as primary health organisations. The Ministry of Health’s control over much of this information for the current year and the previous year is limited, and there are no practical audit procedures to determine the effect of this limited control.</w:t>
      </w:r>
    </w:p>
    <w:p w14:paraId="0CB0A40B" w14:textId="77777777" w:rsidR="00AE3BCF" w:rsidRDefault="00AE3BCF" w:rsidP="00AE3BCF">
      <w:pPr>
        <w:pStyle w:val="ANZBulletLevel1"/>
        <w:numPr>
          <w:ilvl w:val="0"/>
          <w:numId w:val="0"/>
        </w:numPr>
        <w:rPr>
          <w:lang w:val="en-AU"/>
        </w:rPr>
      </w:pPr>
      <w:r>
        <w:rPr>
          <w:lang w:val="en-AU"/>
        </w:rPr>
        <w:t xml:space="preserve">In our opinion, except for the effect of the matter described above, the performance information of the Ministry on </w:t>
      </w:r>
      <w:r w:rsidRPr="00933A96">
        <w:rPr>
          <w:lang w:val="en-AU"/>
        </w:rPr>
        <w:t xml:space="preserve">pages </w:t>
      </w:r>
      <w:r>
        <w:rPr>
          <w:lang w:val="en-AU"/>
        </w:rPr>
        <w:t xml:space="preserve">12 </w:t>
      </w:r>
      <w:r w:rsidRPr="00933A96">
        <w:rPr>
          <w:lang w:val="en-AU"/>
        </w:rPr>
        <w:t xml:space="preserve">to </w:t>
      </w:r>
      <w:r>
        <w:rPr>
          <w:lang w:val="en-AU"/>
        </w:rPr>
        <w:t>20 and 38 to 71:</w:t>
      </w:r>
    </w:p>
    <w:p w14:paraId="6F91EAFF" w14:textId="77777777" w:rsidR="00AE3BCF" w:rsidRPr="00933A96" w:rsidRDefault="00AE3BCF" w:rsidP="00AE3BCF">
      <w:pPr>
        <w:pStyle w:val="ANZBulletLevel1"/>
        <w:rPr>
          <w:lang w:val="en-AU"/>
        </w:rPr>
      </w:pPr>
      <w:r w:rsidRPr="00933A96">
        <w:rPr>
          <w:lang w:val="en-AU"/>
        </w:rPr>
        <w:lastRenderedPageBreak/>
        <w:t xml:space="preserve">presents fairly, in all material respects, for the year ended </w:t>
      </w:r>
      <w:r>
        <w:rPr>
          <w:lang w:val="en-AU"/>
        </w:rPr>
        <w:t>30 June 2016</w:t>
      </w:r>
      <w:r w:rsidRPr="00933A96">
        <w:rPr>
          <w:lang w:val="en-AU"/>
        </w:rPr>
        <w:t>:</w:t>
      </w:r>
    </w:p>
    <w:p w14:paraId="4BF130E5" w14:textId="77777777" w:rsidR="00AE3BCF" w:rsidRPr="00933A96" w:rsidRDefault="00AE3BCF" w:rsidP="00AE3BCF">
      <w:pPr>
        <w:pStyle w:val="ANZBulletLevel2"/>
        <w:rPr>
          <w:lang w:val="en-AU"/>
        </w:rPr>
      </w:pPr>
      <w:r w:rsidRPr="00933A96">
        <w:rPr>
          <w:lang w:val="en-AU"/>
        </w:rPr>
        <w:t>what has been achieved with the appropriation; and</w:t>
      </w:r>
    </w:p>
    <w:p w14:paraId="7EEDAF8F" w14:textId="77777777" w:rsidR="00AE3BCF" w:rsidRPr="00933A96" w:rsidRDefault="00AE3BCF" w:rsidP="00AE3BCF">
      <w:pPr>
        <w:pStyle w:val="ANZBulletLevel2"/>
        <w:rPr>
          <w:lang w:val="en-AU"/>
        </w:rPr>
      </w:pPr>
      <w:proofErr w:type="gramStart"/>
      <w:r w:rsidRPr="00933A96">
        <w:rPr>
          <w:lang w:val="en-AU"/>
        </w:rPr>
        <w:t>the</w:t>
      </w:r>
      <w:proofErr w:type="gramEnd"/>
      <w:r w:rsidRPr="00933A96">
        <w:rPr>
          <w:lang w:val="en-AU"/>
        </w:rPr>
        <w:t xml:space="preserve"> actual expenses or capital expenditure incurred compared with the appropriated or forecast expenses or capital expenditure</w:t>
      </w:r>
      <w:r>
        <w:rPr>
          <w:lang w:val="en-AU"/>
        </w:rPr>
        <w:t>.</w:t>
      </w:r>
    </w:p>
    <w:p w14:paraId="7F74F024" w14:textId="77777777" w:rsidR="00AE3BCF" w:rsidRDefault="00AE3BCF" w:rsidP="00AE3BCF">
      <w:pPr>
        <w:pStyle w:val="ANZBulletLevel1"/>
        <w:rPr>
          <w:lang w:val="en-AU"/>
        </w:rPr>
      </w:pPr>
      <w:proofErr w:type="gramStart"/>
      <w:r w:rsidRPr="00933A96">
        <w:rPr>
          <w:lang w:val="en-AU"/>
        </w:rPr>
        <w:t>complies</w:t>
      </w:r>
      <w:proofErr w:type="gramEnd"/>
      <w:r w:rsidRPr="00933A96">
        <w:rPr>
          <w:lang w:val="en-AU"/>
        </w:rPr>
        <w:t xml:space="preserve"> with generally accepted accounting practice in </w:t>
      </w:r>
      <w:r>
        <w:rPr>
          <w:lang w:val="en-AU"/>
        </w:rPr>
        <w:t>New Zealand</w:t>
      </w:r>
      <w:r w:rsidRPr="00933A96">
        <w:rPr>
          <w:lang w:val="en-AU"/>
        </w:rPr>
        <w:t>.</w:t>
      </w:r>
    </w:p>
    <w:p w14:paraId="442D8432" w14:textId="77777777" w:rsidR="00AE3BCF" w:rsidRPr="000A54C0" w:rsidRDefault="00AE3BCF" w:rsidP="00AE3BCF">
      <w:pPr>
        <w:pStyle w:val="ANZBulletLevel1"/>
        <w:numPr>
          <w:ilvl w:val="0"/>
          <w:numId w:val="0"/>
        </w:numPr>
        <w:rPr>
          <w:b/>
          <w:kern w:val="28"/>
          <w:sz w:val="28"/>
          <w:szCs w:val="20"/>
          <w:lang w:val="en-AU" w:eastAsia="en-US"/>
        </w:rPr>
      </w:pPr>
      <w:r w:rsidRPr="000A54C0">
        <w:rPr>
          <w:b/>
          <w:kern w:val="28"/>
          <w:sz w:val="28"/>
          <w:szCs w:val="20"/>
          <w:lang w:val="en-AU" w:eastAsia="en-US"/>
        </w:rPr>
        <w:t>Opinion on the statement</w:t>
      </w:r>
      <w:r>
        <w:rPr>
          <w:b/>
          <w:kern w:val="28"/>
          <w:sz w:val="28"/>
          <w:szCs w:val="20"/>
          <w:lang w:val="en-AU" w:eastAsia="en-US"/>
        </w:rPr>
        <w:t>s of expenses and capital expenditure</w:t>
      </w:r>
    </w:p>
    <w:p w14:paraId="21355A64" w14:textId="77777777" w:rsidR="00AE3BCF" w:rsidRDefault="00AE3BCF" w:rsidP="00AE3BCF">
      <w:pPr>
        <w:pStyle w:val="ANZBulletLevel1"/>
        <w:numPr>
          <w:ilvl w:val="0"/>
          <w:numId w:val="0"/>
        </w:numPr>
        <w:rPr>
          <w:lang w:val="en-AU"/>
        </w:rPr>
      </w:pPr>
      <w:r>
        <w:rPr>
          <w:lang w:val="en-AU"/>
        </w:rPr>
        <w:t>The statements</w:t>
      </w:r>
      <w:r w:rsidRPr="00933A96">
        <w:rPr>
          <w:lang w:val="en-AU"/>
        </w:rPr>
        <w:t xml:space="preserve"> of </w:t>
      </w:r>
      <w:r>
        <w:rPr>
          <w:lang w:val="en-AU"/>
        </w:rPr>
        <w:t xml:space="preserve">budgeted and actual expenses </w:t>
      </w:r>
      <w:r w:rsidRPr="00933A96">
        <w:rPr>
          <w:lang w:val="en-AU"/>
        </w:rPr>
        <w:t>and capital expenditure</w:t>
      </w:r>
      <w:r>
        <w:rPr>
          <w:lang w:val="en-AU"/>
        </w:rPr>
        <w:t xml:space="preserve"> against appropriations</w:t>
      </w:r>
      <w:r w:rsidRPr="00933A96">
        <w:rPr>
          <w:lang w:val="en-AU"/>
        </w:rPr>
        <w:t xml:space="preserve"> of the </w:t>
      </w:r>
      <w:r>
        <w:rPr>
          <w:lang w:val="en-AU"/>
        </w:rPr>
        <w:t>Ministry</w:t>
      </w:r>
      <w:r w:rsidRPr="00933A96">
        <w:rPr>
          <w:lang w:val="en-AU"/>
        </w:rPr>
        <w:t xml:space="preserve"> on pages </w:t>
      </w:r>
      <w:r>
        <w:rPr>
          <w:lang w:val="en-AU"/>
        </w:rPr>
        <w:t>79 to 81</w:t>
      </w:r>
      <w:r w:rsidRPr="00933A96">
        <w:rPr>
          <w:lang w:val="en-AU"/>
        </w:rPr>
        <w:t xml:space="preserve"> are presented fairly, in all material respects, in accordance with the requirements of section 45A of the Public Finance Act 1989.</w:t>
      </w:r>
    </w:p>
    <w:p w14:paraId="16D97B35" w14:textId="77777777" w:rsidR="00AE3BCF" w:rsidRPr="000A54C0" w:rsidRDefault="00AE3BCF" w:rsidP="00AE3BCF">
      <w:pPr>
        <w:pStyle w:val="ANZBulletLevel1"/>
        <w:numPr>
          <w:ilvl w:val="0"/>
          <w:numId w:val="0"/>
        </w:numPr>
        <w:rPr>
          <w:b/>
          <w:kern w:val="28"/>
          <w:sz w:val="28"/>
          <w:szCs w:val="20"/>
          <w:lang w:val="en-AU" w:eastAsia="en-US"/>
        </w:rPr>
      </w:pPr>
      <w:r w:rsidRPr="000A54C0">
        <w:rPr>
          <w:b/>
          <w:kern w:val="28"/>
          <w:sz w:val="28"/>
          <w:szCs w:val="20"/>
          <w:lang w:val="en-AU" w:eastAsia="en-US"/>
        </w:rPr>
        <w:t>Opinion on the schedules of non-departmental activities</w:t>
      </w:r>
    </w:p>
    <w:p w14:paraId="305861AB" w14:textId="77777777" w:rsidR="00AE3BCF" w:rsidRPr="00933A96" w:rsidRDefault="00AE3BCF" w:rsidP="00AE3BCF">
      <w:pPr>
        <w:pStyle w:val="ANZBulletLevel1"/>
        <w:numPr>
          <w:ilvl w:val="0"/>
          <w:numId w:val="0"/>
        </w:numPr>
        <w:rPr>
          <w:lang w:val="en-AU"/>
        </w:rPr>
      </w:pPr>
      <w:r>
        <w:rPr>
          <w:lang w:val="en-AU"/>
        </w:rPr>
        <w:t>T</w:t>
      </w:r>
      <w:r w:rsidRPr="00933A96">
        <w:rPr>
          <w:lang w:val="en-AU"/>
        </w:rPr>
        <w:t>he schedules of non</w:t>
      </w:r>
      <w:r>
        <w:rPr>
          <w:lang w:val="en-AU"/>
        </w:rPr>
        <w:noBreakHyphen/>
      </w:r>
      <w:r w:rsidRPr="00933A96">
        <w:rPr>
          <w:lang w:val="en-AU"/>
        </w:rPr>
        <w:t xml:space="preserve">departmental activities which are managed by the </w:t>
      </w:r>
      <w:r>
        <w:rPr>
          <w:lang w:val="en-AU"/>
        </w:rPr>
        <w:t>Ministry</w:t>
      </w:r>
      <w:r w:rsidRPr="00933A96">
        <w:rPr>
          <w:lang w:val="en-AU"/>
        </w:rPr>
        <w:t xml:space="preserve"> on behalf of the Crown on pages </w:t>
      </w:r>
      <w:r>
        <w:rPr>
          <w:lang w:val="en-AU"/>
        </w:rPr>
        <w:t xml:space="preserve">105 </w:t>
      </w:r>
      <w:r w:rsidRPr="00933A96">
        <w:rPr>
          <w:lang w:val="en-AU"/>
        </w:rPr>
        <w:t xml:space="preserve">to </w:t>
      </w:r>
      <w:r>
        <w:rPr>
          <w:lang w:val="en-AU"/>
        </w:rPr>
        <w:t xml:space="preserve">114 </w:t>
      </w:r>
      <w:r w:rsidRPr="00933A96">
        <w:rPr>
          <w:lang w:val="en-AU"/>
        </w:rPr>
        <w:t>present fairly, in all material respects, in accordance with the Treasury Instructions:</w:t>
      </w:r>
    </w:p>
    <w:p w14:paraId="49A7A68D" w14:textId="77777777" w:rsidR="00AE3BCF" w:rsidRDefault="00AE3BCF" w:rsidP="00AE3BCF">
      <w:pPr>
        <w:pStyle w:val="ANZBulletLevel1"/>
        <w:rPr>
          <w:lang w:val="en-AU"/>
        </w:rPr>
      </w:pPr>
      <w:r>
        <w:rPr>
          <w:lang w:val="en-AU"/>
        </w:rPr>
        <w:t>the schedules of assets, liabilities, commitments, contingent liabilities and contingent assets as at 30 June 2016;</w:t>
      </w:r>
    </w:p>
    <w:p w14:paraId="3FAD495D" w14:textId="77777777" w:rsidR="00AE3BCF" w:rsidRDefault="00AE3BCF" w:rsidP="00AE3BCF">
      <w:pPr>
        <w:pStyle w:val="ANZBulletLevel1"/>
        <w:rPr>
          <w:lang w:val="en-AU"/>
        </w:rPr>
      </w:pPr>
      <w:r>
        <w:rPr>
          <w:lang w:val="en-AU"/>
        </w:rPr>
        <w:t>the schedules of expenses, revenue and capital receipts for the year ended 30 June 2016;</w:t>
      </w:r>
    </w:p>
    <w:p w14:paraId="75E43BF7" w14:textId="77777777" w:rsidR="00AE3BCF" w:rsidRPr="00933A96" w:rsidRDefault="00AE3BCF" w:rsidP="00AE3BCF">
      <w:pPr>
        <w:pStyle w:val="ANZBulletLevel1"/>
        <w:rPr>
          <w:lang w:val="en-AU"/>
        </w:rPr>
      </w:pPr>
      <w:r w:rsidRPr="00933A96">
        <w:rPr>
          <w:lang w:val="en-AU"/>
        </w:rPr>
        <w:t>the statement of t</w:t>
      </w:r>
      <w:r>
        <w:rPr>
          <w:lang w:val="en-AU"/>
        </w:rPr>
        <w:t>rust monies for the year ended 30 June 2016</w:t>
      </w:r>
    </w:p>
    <w:p w14:paraId="4FDD6200" w14:textId="77777777" w:rsidR="00AE3BCF" w:rsidRDefault="00AE3BCF" w:rsidP="00AE3BCF">
      <w:pPr>
        <w:pStyle w:val="ANZBulletLevel1"/>
        <w:rPr>
          <w:lang w:val="en-AU"/>
        </w:rPr>
      </w:pPr>
      <w:r>
        <w:rPr>
          <w:lang w:val="en-AU"/>
        </w:rPr>
        <w:t>statement of expenses and capital expenditure against appropriations for the year ended 30 June 2016;</w:t>
      </w:r>
    </w:p>
    <w:p w14:paraId="7B0569CC" w14:textId="77777777" w:rsidR="00AE3BCF" w:rsidRDefault="00AE3BCF" w:rsidP="00AE3BCF">
      <w:pPr>
        <w:pStyle w:val="ANZBulletLevel1"/>
        <w:rPr>
          <w:lang w:val="en-AU"/>
        </w:rPr>
      </w:pPr>
      <w:r>
        <w:rPr>
          <w:lang w:val="en-AU"/>
        </w:rPr>
        <w:t>Problem Gambling levy report for the year ended 30 June 2016;</w:t>
      </w:r>
    </w:p>
    <w:p w14:paraId="19B8A21C" w14:textId="77777777" w:rsidR="00AE3BCF" w:rsidRDefault="00AE3BCF" w:rsidP="00AE3BCF">
      <w:pPr>
        <w:pStyle w:val="ANZBulletLevel1"/>
        <w:rPr>
          <w:lang w:val="en-AU"/>
        </w:rPr>
      </w:pPr>
      <w:r w:rsidRPr="004F3602">
        <w:rPr>
          <w:lang w:val="en-AU"/>
        </w:rPr>
        <w:t>statement of unappropriated expenses and capital expenditure for the year ended 30 June 2016; and</w:t>
      </w:r>
    </w:p>
    <w:p w14:paraId="5B2FCE55" w14:textId="77777777" w:rsidR="00AE3BCF" w:rsidRPr="004F3602" w:rsidRDefault="00AE3BCF" w:rsidP="00AE3BCF">
      <w:pPr>
        <w:pStyle w:val="ANZBulletLevel1"/>
        <w:rPr>
          <w:lang w:val="en-AU"/>
        </w:rPr>
      </w:pPr>
      <w:proofErr w:type="gramStart"/>
      <w:r>
        <w:rPr>
          <w:lang w:val="en-AU"/>
        </w:rPr>
        <w:t>the</w:t>
      </w:r>
      <w:proofErr w:type="gramEnd"/>
      <w:r>
        <w:rPr>
          <w:lang w:val="en-AU"/>
        </w:rPr>
        <w:t xml:space="preserve"> notes to the schedules that include accounting policies and other explanatory information.</w:t>
      </w:r>
    </w:p>
    <w:p w14:paraId="540B7BA1" w14:textId="77777777" w:rsidR="00AE3BCF" w:rsidRDefault="00AE3BCF" w:rsidP="00AE3BCF">
      <w:pPr>
        <w:rPr>
          <w:rFonts w:ascii="Tw Cen MT Mi" w:hAnsi="Tw Cen MT Mi"/>
          <w:sz w:val="24"/>
          <w:szCs w:val="22"/>
          <w:lang w:val="en-AU"/>
        </w:rPr>
      </w:pPr>
      <w:r w:rsidRPr="00081AA5">
        <w:rPr>
          <w:rFonts w:ascii="Tw Cen MT Mi" w:hAnsi="Tw Cen MT Mi"/>
          <w:sz w:val="24"/>
          <w:szCs w:val="22"/>
          <w:lang w:val="en-AU"/>
        </w:rPr>
        <w:t>Our audit was completed on 30 September 2016. This is the date at which our opinion is expressed.</w:t>
      </w:r>
    </w:p>
    <w:p w14:paraId="5792A6C7" w14:textId="77777777" w:rsidR="00AE3BCF" w:rsidRPr="00081AA5" w:rsidRDefault="00AE3BCF" w:rsidP="00AE3BCF">
      <w:pPr>
        <w:rPr>
          <w:rFonts w:ascii="Tw Cen MT Mi" w:hAnsi="Tw Cen MT Mi"/>
          <w:sz w:val="24"/>
          <w:szCs w:val="22"/>
          <w:lang w:val="en-AU"/>
        </w:rPr>
      </w:pPr>
    </w:p>
    <w:p w14:paraId="30151196" w14:textId="77777777" w:rsidR="00AE3BCF" w:rsidRPr="00081AA5" w:rsidRDefault="00AE3BCF" w:rsidP="00AE3BCF">
      <w:pPr>
        <w:spacing w:after="240"/>
        <w:rPr>
          <w:rFonts w:ascii="Tw Cen MT Mi" w:hAnsi="Tw Cen MT Mi"/>
          <w:sz w:val="24"/>
          <w:szCs w:val="22"/>
          <w:lang w:val="en-AU"/>
        </w:rPr>
      </w:pPr>
      <w:r w:rsidRPr="00081AA5">
        <w:rPr>
          <w:rFonts w:ascii="Tw Cen MT Mi" w:hAnsi="Tw Cen MT Mi"/>
          <w:sz w:val="24"/>
          <w:szCs w:val="22"/>
          <w:lang w:val="en-AU"/>
        </w:rPr>
        <w:t>The basis of our opinion is explained below. In addition, we outline the responsibilities of the Director-General of Health and our responsibilities, and we explain our independence.</w:t>
      </w:r>
    </w:p>
    <w:p w14:paraId="3350738C" w14:textId="77777777" w:rsidR="00AE3BCF" w:rsidRPr="00933A96" w:rsidRDefault="00AE3BCF" w:rsidP="00AE3BCF">
      <w:pPr>
        <w:pStyle w:val="ANZHeading-L1"/>
        <w:rPr>
          <w:lang w:val="en-AU"/>
        </w:rPr>
      </w:pPr>
      <w:r w:rsidRPr="00933A96">
        <w:rPr>
          <w:lang w:val="en-AU"/>
        </w:rPr>
        <w:t>Basis of opinion</w:t>
      </w:r>
    </w:p>
    <w:p w14:paraId="306D8359"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We carried out our audit in accordance with the Auditor</w:t>
      </w:r>
      <w:r w:rsidRPr="00081AA5">
        <w:rPr>
          <w:rFonts w:ascii="Tw Cen MT Mi" w:hAnsi="Tw Cen MT Mi"/>
          <w:sz w:val="24"/>
          <w:szCs w:val="22"/>
          <w:lang w:val="en-AU"/>
        </w:rPr>
        <w:noBreakHyphen/>
        <w:t xml:space="preserve">General’s Auditing Standards, which incorporate the International Standards on Auditing (New Zealand). Those standards require that we comply with ethical requirements and plan and carry out our audit to obtain reasonable assurance about whether the information we audited is free from material misstatement. </w:t>
      </w:r>
    </w:p>
    <w:p w14:paraId="7454BDBA" w14:textId="77777777" w:rsidR="00AE3BCF" w:rsidRDefault="00AE3BCF" w:rsidP="00AE3BCF">
      <w:pPr>
        <w:rPr>
          <w:rFonts w:ascii="Tw Cen MT Mi" w:hAnsi="Tw Cen MT Mi"/>
          <w:sz w:val="24"/>
          <w:szCs w:val="22"/>
          <w:lang w:val="en-AU"/>
        </w:rPr>
      </w:pPr>
    </w:p>
    <w:p w14:paraId="71FF84F3"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Material misstatements are differences or omissions of amounts and disclosures that, in our judgement, are likely to influence readers’ overall understanding of the information we audited. We were unable to determine whether there are material misstatements in the performance information because the scope of our audit work was limited, as we referred to in our opinion.</w:t>
      </w:r>
    </w:p>
    <w:p w14:paraId="729C4C32" w14:textId="77777777" w:rsidR="00AE3BCF" w:rsidRDefault="00AE3BCF" w:rsidP="00AE3BCF">
      <w:pPr>
        <w:rPr>
          <w:rFonts w:ascii="Tw Cen MT Mi" w:hAnsi="Tw Cen MT Mi"/>
          <w:sz w:val="24"/>
          <w:szCs w:val="22"/>
          <w:lang w:val="en-AU"/>
        </w:rPr>
      </w:pPr>
    </w:p>
    <w:p w14:paraId="712405FC"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An audit involves carrying out procedures to obtain audit evidence about the amounts and disclosures in the information we audited. The procedures selected depend on our judgement, including our assessment of risks of material misstatement of the information we audited, whether due to fraud or error. In making those risk assessments, we consider internal control relevant to the Ministry’s preparation of the information we audited in order to design audit procedures that are appropriate in the circumstances, but not for the purpose of expressing an opinion on the effectiveness of the Ministry’s internal control.</w:t>
      </w:r>
    </w:p>
    <w:p w14:paraId="0E067D13" w14:textId="77777777" w:rsidR="00AE3BCF" w:rsidRDefault="00AE3BCF" w:rsidP="00AE3BCF">
      <w:pPr>
        <w:rPr>
          <w:rFonts w:ascii="Tw Cen MT Mi" w:hAnsi="Tw Cen MT Mi"/>
          <w:sz w:val="24"/>
          <w:szCs w:val="22"/>
          <w:lang w:val="en-AU"/>
        </w:rPr>
      </w:pPr>
    </w:p>
    <w:p w14:paraId="29F9045E"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An audit also involves evaluating:</w:t>
      </w:r>
    </w:p>
    <w:p w14:paraId="5129420B" w14:textId="77777777" w:rsidR="00AE3BCF" w:rsidRPr="00933A96" w:rsidRDefault="00AE3BCF" w:rsidP="00AE3BCF">
      <w:pPr>
        <w:pStyle w:val="ANZBulletLevel1"/>
        <w:rPr>
          <w:lang w:val="en-AU"/>
        </w:rPr>
      </w:pPr>
      <w:r w:rsidRPr="00933A96">
        <w:rPr>
          <w:lang w:val="en-AU"/>
        </w:rPr>
        <w:t>the appropriateness of accounting policies used and whether they have been consistently applied;</w:t>
      </w:r>
    </w:p>
    <w:p w14:paraId="36D78D2B" w14:textId="77777777" w:rsidR="00AE3BCF" w:rsidRPr="00933A96" w:rsidRDefault="00AE3BCF" w:rsidP="00AE3BCF">
      <w:pPr>
        <w:pStyle w:val="ANZBulletLevel1"/>
        <w:rPr>
          <w:lang w:val="en-AU"/>
        </w:rPr>
      </w:pPr>
      <w:r w:rsidRPr="00933A96">
        <w:rPr>
          <w:lang w:val="en-AU"/>
        </w:rPr>
        <w:t xml:space="preserve">the reasonableness of the significant accounting estimates and judgements made by the </w:t>
      </w:r>
      <w:r>
        <w:rPr>
          <w:bCs/>
          <w:lang w:val="en-GB"/>
        </w:rPr>
        <w:t>Director-General of Health</w:t>
      </w:r>
      <w:r w:rsidRPr="00933A96">
        <w:rPr>
          <w:lang w:val="en-AU"/>
        </w:rPr>
        <w:t>;</w:t>
      </w:r>
    </w:p>
    <w:p w14:paraId="064F770D" w14:textId="77777777" w:rsidR="00AE3BCF" w:rsidRPr="00933A96" w:rsidRDefault="00AE3BCF" w:rsidP="00AE3BCF">
      <w:pPr>
        <w:pStyle w:val="ANZBulletLevel1"/>
        <w:rPr>
          <w:lang w:val="en-AU"/>
        </w:rPr>
      </w:pPr>
      <w:r w:rsidRPr="00933A96">
        <w:rPr>
          <w:lang w:val="en-AU"/>
        </w:rPr>
        <w:lastRenderedPageBreak/>
        <w:t xml:space="preserve">the appropriateness of the reported performance information within the </w:t>
      </w:r>
      <w:r>
        <w:rPr>
          <w:lang w:val="en-AU"/>
        </w:rPr>
        <w:t>Ministry</w:t>
      </w:r>
      <w:r w:rsidRPr="00933A96">
        <w:rPr>
          <w:lang w:val="en-AU"/>
        </w:rPr>
        <w:t>’s framework for reporting performance;</w:t>
      </w:r>
    </w:p>
    <w:p w14:paraId="3196EBB1" w14:textId="77777777" w:rsidR="00AE3BCF" w:rsidRPr="00933A96" w:rsidRDefault="00AE3BCF" w:rsidP="00AE3BCF">
      <w:pPr>
        <w:pStyle w:val="ANZBulletLevel1"/>
        <w:rPr>
          <w:lang w:val="en-AU"/>
        </w:rPr>
      </w:pPr>
      <w:r w:rsidRPr="00933A96">
        <w:rPr>
          <w:lang w:val="en-AU"/>
        </w:rPr>
        <w:t>the adequacy of the disclosures in the information we audited; and</w:t>
      </w:r>
    </w:p>
    <w:p w14:paraId="05DCA119" w14:textId="77777777" w:rsidR="00AE3BCF" w:rsidRPr="00933A96" w:rsidRDefault="00AE3BCF" w:rsidP="00AE3BCF">
      <w:pPr>
        <w:pStyle w:val="ANZBulletLevel1"/>
        <w:rPr>
          <w:lang w:val="en-AU"/>
        </w:rPr>
      </w:pPr>
      <w:proofErr w:type="gramStart"/>
      <w:r w:rsidRPr="00933A96">
        <w:rPr>
          <w:lang w:val="en-AU"/>
        </w:rPr>
        <w:t>the</w:t>
      </w:r>
      <w:proofErr w:type="gramEnd"/>
      <w:r w:rsidRPr="00933A96">
        <w:rPr>
          <w:lang w:val="en-AU"/>
        </w:rPr>
        <w:t xml:space="preserve"> overall presentation of the information we audited.</w:t>
      </w:r>
    </w:p>
    <w:p w14:paraId="7C1CED9B"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We did not examine every transaction, nor do we guarantee complete accuracy of the information we audited. Also, we did not evaluate the security and controls over the electronic publication of the information we audited.</w:t>
      </w:r>
    </w:p>
    <w:p w14:paraId="7CD455FB" w14:textId="77777777" w:rsidR="00AE3BCF" w:rsidRDefault="00AE3BCF" w:rsidP="00AE3BCF">
      <w:pPr>
        <w:rPr>
          <w:rFonts w:ascii="Tw Cen MT Mi" w:hAnsi="Tw Cen MT Mi"/>
          <w:sz w:val="24"/>
          <w:szCs w:val="22"/>
          <w:lang w:val="en-AU"/>
        </w:rPr>
      </w:pPr>
    </w:p>
    <w:p w14:paraId="78F375FE" w14:textId="77777777" w:rsidR="00AE3BCF" w:rsidRDefault="00AE3BCF" w:rsidP="00AE3BCF">
      <w:pPr>
        <w:rPr>
          <w:rFonts w:ascii="Tw Cen MT Mi" w:hAnsi="Tw Cen MT Mi"/>
          <w:sz w:val="24"/>
          <w:szCs w:val="22"/>
          <w:lang w:val="en-AU"/>
        </w:rPr>
      </w:pPr>
      <w:r w:rsidRPr="00081AA5">
        <w:rPr>
          <w:rFonts w:ascii="Tw Cen MT Mi" w:hAnsi="Tw Cen MT Mi"/>
          <w:sz w:val="24"/>
          <w:szCs w:val="22"/>
          <w:lang w:val="en-AU"/>
        </w:rPr>
        <w:t>We believe that the audit evidence we have obtained is sufficient and appropriate to provide a basis for our unmodified audit opinions on the Ministry’s financial statements, statements of expenses and capital expenditure and schedules of non-departmental activities, and our qualified audit opinion on the Ministry’s performance information.</w:t>
      </w:r>
    </w:p>
    <w:p w14:paraId="2F027C33" w14:textId="77777777" w:rsidR="00AE3BCF" w:rsidRPr="00081AA5" w:rsidRDefault="00AE3BCF" w:rsidP="00AE3BCF">
      <w:pPr>
        <w:rPr>
          <w:rFonts w:ascii="Tw Cen MT Mi" w:hAnsi="Tw Cen MT Mi"/>
          <w:sz w:val="24"/>
          <w:szCs w:val="22"/>
          <w:lang w:val="en-AU"/>
        </w:rPr>
      </w:pPr>
    </w:p>
    <w:p w14:paraId="0D636BCD" w14:textId="77777777" w:rsidR="00AE3BCF" w:rsidRPr="00933A96" w:rsidRDefault="00AE3BCF" w:rsidP="00AE3BCF">
      <w:pPr>
        <w:pStyle w:val="ANZHeading-L1"/>
        <w:rPr>
          <w:lang w:val="en-AU"/>
        </w:rPr>
      </w:pPr>
      <w:r w:rsidRPr="00933A96">
        <w:rPr>
          <w:lang w:val="en-AU"/>
        </w:rPr>
        <w:t xml:space="preserve">Responsibilities of the </w:t>
      </w:r>
      <w:r>
        <w:rPr>
          <w:bCs/>
          <w:lang w:val="en-GB"/>
        </w:rPr>
        <w:t>Director-General of Health</w:t>
      </w:r>
    </w:p>
    <w:p w14:paraId="3A2B3E96"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The Director-General of Health is responsible for preparing:</w:t>
      </w:r>
    </w:p>
    <w:p w14:paraId="280CD34A" w14:textId="77777777" w:rsidR="00AE3BCF" w:rsidRPr="00933A96" w:rsidRDefault="00AE3BCF" w:rsidP="00AE3BCF">
      <w:pPr>
        <w:pStyle w:val="ANZBulletLevel1"/>
        <w:rPr>
          <w:lang w:val="en-AU"/>
        </w:rPr>
      </w:pPr>
      <w:r>
        <w:rPr>
          <w:lang w:val="en-AU"/>
        </w:rPr>
        <w:t>f</w:t>
      </w:r>
      <w:r w:rsidRPr="00933A96">
        <w:rPr>
          <w:lang w:val="en-AU"/>
        </w:rPr>
        <w:t xml:space="preserve">inancial statements that present fairly the </w:t>
      </w:r>
      <w:r>
        <w:rPr>
          <w:lang w:val="en-AU"/>
        </w:rPr>
        <w:t>Ministry</w:t>
      </w:r>
      <w:r w:rsidRPr="00933A96">
        <w:rPr>
          <w:lang w:val="en-AU"/>
        </w:rPr>
        <w:t xml:space="preserve">’s financial position, financial performance, and its cash flows, and that comply with generally accepted accounting practice in </w:t>
      </w:r>
      <w:r>
        <w:rPr>
          <w:lang w:val="en-AU"/>
        </w:rPr>
        <w:t>New Zealand;</w:t>
      </w:r>
    </w:p>
    <w:p w14:paraId="0F128CB6" w14:textId="77777777" w:rsidR="00AE3BCF" w:rsidRPr="00933A96" w:rsidRDefault="00AE3BCF" w:rsidP="00AE3BCF">
      <w:pPr>
        <w:pStyle w:val="ANZBulletLevel1"/>
        <w:rPr>
          <w:lang w:val="en-AU"/>
        </w:rPr>
      </w:pPr>
      <w:r w:rsidRPr="00933A96">
        <w:rPr>
          <w:lang w:val="en-AU"/>
        </w:rPr>
        <w:t xml:space="preserve">performance information that presents fairly what has been achieved with each appropriation, the expenditure incurred as compared with expenditure expected to be incurred, and that complies with generally accepted accounting practice in </w:t>
      </w:r>
      <w:r>
        <w:rPr>
          <w:lang w:val="en-AU"/>
        </w:rPr>
        <w:t>New Zealand;</w:t>
      </w:r>
    </w:p>
    <w:p w14:paraId="55ACD8E4" w14:textId="77777777" w:rsidR="00AE3BCF" w:rsidRPr="00933A96" w:rsidRDefault="00AE3BCF" w:rsidP="00AE3BCF">
      <w:pPr>
        <w:pStyle w:val="ANZBulletLevel1"/>
        <w:rPr>
          <w:lang w:val="en-AU"/>
        </w:rPr>
      </w:pPr>
      <w:r>
        <w:rPr>
          <w:lang w:val="en-AU"/>
        </w:rPr>
        <w:t>s</w:t>
      </w:r>
      <w:r w:rsidRPr="00933A96">
        <w:rPr>
          <w:lang w:val="en-AU"/>
        </w:rPr>
        <w:t xml:space="preserve">tatements of expenses and capital expenditure of the </w:t>
      </w:r>
      <w:r>
        <w:rPr>
          <w:lang w:val="en-AU"/>
        </w:rPr>
        <w:t>Ministry</w:t>
      </w:r>
      <w:r w:rsidRPr="00933A96">
        <w:rPr>
          <w:lang w:val="en-AU"/>
        </w:rPr>
        <w:t>, that are presented fairly, in accordance with the requirements of the Public Finance Act 1989</w:t>
      </w:r>
      <w:r>
        <w:rPr>
          <w:lang w:val="en-AU"/>
        </w:rPr>
        <w:t>; and</w:t>
      </w:r>
    </w:p>
    <w:p w14:paraId="63097433" w14:textId="77777777" w:rsidR="00AE3BCF" w:rsidRPr="00933A96" w:rsidRDefault="00AE3BCF" w:rsidP="00AE3BCF">
      <w:pPr>
        <w:pStyle w:val="ANZBulletLevel1"/>
        <w:rPr>
          <w:lang w:val="en-AU"/>
        </w:rPr>
      </w:pPr>
      <w:proofErr w:type="gramStart"/>
      <w:r w:rsidRPr="00933A96">
        <w:rPr>
          <w:lang w:val="en-AU"/>
        </w:rPr>
        <w:t>schedules</w:t>
      </w:r>
      <w:proofErr w:type="gramEnd"/>
      <w:r w:rsidRPr="00933A96">
        <w:rPr>
          <w:lang w:val="en-AU"/>
        </w:rPr>
        <w:t xml:space="preserve"> of non</w:t>
      </w:r>
      <w:r>
        <w:rPr>
          <w:lang w:val="en-AU"/>
        </w:rPr>
        <w:noBreakHyphen/>
      </w:r>
      <w:r w:rsidRPr="00933A96">
        <w:rPr>
          <w:lang w:val="en-AU"/>
        </w:rPr>
        <w:t xml:space="preserve">departmental activities, in accordance with the Treasury Instructions, that present fairly those activities managed by the </w:t>
      </w:r>
      <w:r>
        <w:rPr>
          <w:lang w:val="en-AU"/>
        </w:rPr>
        <w:t>Ministry</w:t>
      </w:r>
      <w:r w:rsidRPr="00933A96">
        <w:rPr>
          <w:lang w:val="en-AU"/>
        </w:rPr>
        <w:t xml:space="preserve"> on behalf of the Crown.</w:t>
      </w:r>
    </w:p>
    <w:p w14:paraId="7CBBAC67"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The Director-General of Health’s responsibilities arise from the Public Finance Act 1989.</w:t>
      </w:r>
    </w:p>
    <w:p w14:paraId="46D1F07E" w14:textId="77777777" w:rsidR="00AE3BCF" w:rsidRDefault="00AE3BCF" w:rsidP="00AE3BCF">
      <w:pPr>
        <w:rPr>
          <w:rFonts w:ascii="Tw Cen MT Mi" w:hAnsi="Tw Cen MT Mi"/>
          <w:sz w:val="24"/>
          <w:szCs w:val="22"/>
          <w:lang w:val="en-AU"/>
        </w:rPr>
      </w:pPr>
    </w:p>
    <w:p w14:paraId="7F03DC06" w14:textId="77777777" w:rsidR="00AE3BCF" w:rsidRDefault="00AE3BCF" w:rsidP="00AE3BCF">
      <w:pPr>
        <w:rPr>
          <w:rFonts w:ascii="Tw Cen MT Mi" w:hAnsi="Tw Cen MT Mi"/>
          <w:sz w:val="24"/>
          <w:szCs w:val="22"/>
          <w:lang w:val="en-AU"/>
        </w:rPr>
      </w:pPr>
      <w:r w:rsidRPr="00081AA5">
        <w:rPr>
          <w:rFonts w:ascii="Tw Cen MT Mi" w:hAnsi="Tw Cen MT Mi"/>
          <w:sz w:val="24"/>
          <w:szCs w:val="22"/>
          <w:lang w:val="en-AU"/>
        </w:rPr>
        <w:lastRenderedPageBreak/>
        <w:t>The Director-General of Health is responsible for such internal control as is determined is necessary to ensure that the annual report is free from material misstatement, whether due to fraud or error. The Director-General of Health is also responsible for the publication of the annual report, whether in printed or electronic form.</w:t>
      </w:r>
    </w:p>
    <w:p w14:paraId="521CD29B" w14:textId="77777777" w:rsidR="00AE3BCF" w:rsidRPr="00081AA5" w:rsidRDefault="00AE3BCF" w:rsidP="00AE3BCF">
      <w:pPr>
        <w:rPr>
          <w:rFonts w:ascii="Tw Cen MT Mi" w:hAnsi="Tw Cen MT Mi"/>
          <w:sz w:val="24"/>
          <w:szCs w:val="22"/>
          <w:lang w:val="en-AU"/>
        </w:rPr>
      </w:pPr>
    </w:p>
    <w:p w14:paraId="36C86B09" w14:textId="77777777" w:rsidR="00AE3BCF" w:rsidRPr="00933A96" w:rsidRDefault="00AE3BCF" w:rsidP="00AE3BCF">
      <w:pPr>
        <w:pStyle w:val="ANZHeading-L1"/>
        <w:rPr>
          <w:lang w:val="en-AU"/>
        </w:rPr>
      </w:pPr>
      <w:r w:rsidRPr="00933A96">
        <w:rPr>
          <w:lang w:val="en-AU"/>
        </w:rPr>
        <w:t>Responsibilities of the Auditor</w:t>
      </w:r>
    </w:p>
    <w:p w14:paraId="41BF133C" w14:textId="77777777" w:rsidR="00AE3BCF" w:rsidRDefault="00AE3BCF" w:rsidP="00AE3BCF">
      <w:pPr>
        <w:rPr>
          <w:rFonts w:ascii="Tw Cen MT Mi" w:hAnsi="Tw Cen MT Mi"/>
          <w:sz w:val="24"/>
          <w:szCs w:val="22"/>
          <w:lang w:val="en-AU"/>
        </w:rPr>
      </w:pPr>
      <w:r w:rsidRPr="00081AA5">
        <w:rPr>
          <w:rFonts w:ascii="Tw Cen MT Mi" w:hAnsi="Tw Cen MT Mi"/>
          <w:sz w:val="24"/>
          <w:szCs w:val="22"/>
          <w:lang w:val="en-AU"/>
        </w:rPr>
        <w:t>We are responsible for expressing an independent opinion on the information we are required to audit, and reporting that opinion to you based on our audit. Our responsibility arises from the Public Audit Act 2001.</w:t>
      </w:r>
    </w:p>
    <w:p w14:paraId="5A51ABE7" w14:textId="77777777" w:rsidR="00AE3BCF" w:rsidRPr="00933A96" w:rsidRDefault="00AE3BCF" w:rsidP="00AE3BCF">
      <w:pPr>
        <w:spacing w:line="240" w:lineRule="auto"/>
        <w:rPr>
          <w:lang w:val="en-GB"/>
        </w:rPr>
      </w:pPr>
    </w:p>
    <w:p w14:paraId="0A3CA539" w14:textId="77777777" w:rsidR="00AE3BCF" w:rsidRPr="00933A96" w:rsidRDefault="00AE3BCF" w:rsidP="00AE3BCF">
      <w:pPr>
        <w:pStyle w:val="ANZHeading-L1"/>
        <w:rPr>
          <w:lang w:val="en-AU"/>
        </w:rPr>
      </w:pPr>
      <w:r w:rsidRPr="00933A96">
        <w:rPr>
          <w:lang w:val="en-AU"/>
        </w:rPr>
        <w:t>Independence</w:t>
      </w:r>
    </w:p>
    <w:p w14:paraId="539B2930"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When carrying out the audit, we followed the independence requirements of the Auditor</w:t>
      </w:r>
      <w:r w:rsidRPr="00081AA5">
        <w:rPr>
          <w:rFonts w:ascii="Tw Cen MT Mi" w:hAnsi="Tw Cen MT Mi"/>
          <w:sz w:val="24"/>
          <w:szCs w:val="22"/>
          <w:lang w:val="en-AU"/>
        </w:rPr>
        <w:noBreakHyphen/>
        <w:t>General, which incorporate the independence requirements of the External Reporting Board.</w:t>
      </w:r>
    </w:p>
    <w:p w14:paraId="0287FA19" w14:textId="77777777" w:rsidR="00AE3BCF" w:rsidRDefault="00AE3BCF" w:rsidP="00AE3BCF">
      <w:pPr>
        <w:rPr>
          <w:rFonts w:ascii="Tw Cen MT Mi" w:hAnsi="Tw Cen MT Mi"/>
          <w:sz w:val="24"/>
          <w:szCs w:val="22"/>
          <w:lang w:val="en-AU"/>
        </w:rPr>
      </w:pPr>
    </w:p>
    <w:p w14:paraId="35923486" w14:textId="77777777" w:rsidR="00AE3BCF" w:rsidRPr="00081AA5" w:rsidRDefault="00AE3BCF" w:rsidP="00AE3BCF">
      <w:pPr>
        <w:rPr>
          <w:rFonts w:ascii="Tw Cen MT Mi" w:hAnsi="Tw Cen MT Mi"/>
          <w:sz w:val="24"/>
          <w:szCs w:val="22"/>
          <w:lang w:val="en-AU"/>
        </w:rPr>
      </w:pPr>
      <w:r w:rsidRPr="00081AA5">
        <w:rPr>
          <w:rFonts w:ascii="Tw Cen MT Mi" w:hAnsi="Tw Cen MT Mi"/>
          <w:sz w:val="24"/>
          <w:szCs w:val="22"/>
          <w:lang w:val="en-AU"/>
        </w:rPr>
        <w:t>Other than the audit, we have no relationship with or interests in the Ministry.</w:t>
      </w:r>
    </w:p>
    <w:p w14:paraId="38C2677C" w14:textId="77777777" w:rsidR="00081AA5" w:rsidRPr="00933A96" w:rsidRDefault="00081AA5" w:rsidP="00081AA5">
      <w:pPr>
        <w:rPr>
          <w:lang w:val="en-AU"/>
        </w:rPr>
      </w:pPr>
      <w:r>
        <w:rPr>
          <w:noProof/>
          <w:lang w:eastAsia="en-NZ"/>
        </w:rPr>
        <w:drawing>
          <wp:inline distT="0" distB="0" distL="0" distR="0" wp14:anchorId="7BE05F83" wp14:editId="69BD26D0">
            <wp:extent cx="1126657" cy="783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140024" cy="792293"/>
                    </a:xfrm>
                    <a:prstGeom prst="rect">
                      <a:avLst/>
                    </a:prstGeom>
                  </pic:spPr>
                </pic:pic>
              </a:graphicData>
            </a:graphic>
          </wp:inline>
        </w:drawing>
      </w:r>
    </w:p>
    <w:p w14:paraId="1508CA61" w14:textId="77777777" w:rsidR="00081AA5" w:rsidRPr="00FF394D" w:rsidRDefault="00081AA5" w:rsidP="00081AA5">
      <w:pPr>
        <w:rPr>
          <w:rFonts w:ascii="Tw Cen MT Mi" w:hAnsi="Tw Cen MT Mi"/>
          <w:sz w:val="24"/>
          <w:szCs w:val="22"/>
          <w:lang w:val="en-AU"/>
        </w:rPr>
      </w:pPr>
      <w:r w:rsidRPr="00FF394D">
        <w:rPr>
          <w:rFonts w:ascii="Tw Cen MT Mi" w:hAnsi="Tw Cen MT Mi"/>
          <w:sz w:val="24"/>
          <w:szCs w:val="22"/>
          <w:lang w:val="en-AU"/>
        </w:rPr>
        <w:t>Kelly Rushton</w:t>
      </w:r>
    </w:p>
    <w:p w14:paraId="0D48A5E9" w14:textId="77777777" w:rsidR="00081AA5" w:rsidRPr="00FF394D" w:rsidRDefault="00081AA5" w:rsidP="00081AA5">
      <w:pPr>
        <w:rPr>
          <w:rFonts w:ascii="Tw Cen MT Mi" w:hAnsi="Tw Cen MT Mi"/>
          <w:sz w:val="24"/>
          <w:szCs w:val="22"/>
          <w:lang w:val="en-AU"/>
        </w:rPr>
      </w:pPr>
      <w:r w:rsidRPr="00FF394D">
        <w:rPr>
          <w:rFonts w:ascii="Tw Cen MT Mi" w:hAnsi="Tw Cen MT Mi"/>
          <w:sz w:val="24"/>
          <w:szCs w:val="22"/>
          <w:lang w:val="en-AU"/>
        </w:rPr>
        <w:t>Audit New Zealand</w:t>
      </w:r>
    </w:p>
    <w:p w14:paraId="371197BD" w14:textId="77777777" w:rsidR="00081AA5" w:rsidRPr="00FF394D" w:rsidRDefault="00081AA5" w:rsidP="00081AA5">
      <w:pPr>
        <w:rPr>
          <w:rFonts w:ascii="Tw Cen MT Mi" w:hAnsi="Tw Cen MT Mi"/>
          <w:sz w:val="24"/>
          <w:szCs w:val="22"/>
          <w:lang w:val="en-AU"/>
        </w:rPr>
      </w:pPr>
      <w:r w:rsidRPr="00FF394D">
        <w:rPr>
          <w:rFonts w:ascii="Tw Cen MT Mi" w:hAnsi="Tw Cen MT Mi"/>
          <w:sz w:val="24"/>
          <w:szCs w:val="22"/>
          <w:lang w:val="en-AU"/>
        </w:rPr>
        <w:t>On behalf of the Auditor</w:t>
      </w:r>
      <w:r w:rsidRPr="00FF394D">
        <w:rPr>
          <w:rFonts w:ascii="Tw Cen MT Mi" w:hAnsi="Tw Cen MT Mi"/>
          <w:sz w:val="24"/>
          <w:szCs w:val="22"/>
          <w:lang w:val="en-AU"/>
        </w:rPr>
        <w:noBreakHyphen/>
        <w:t>General</w:t>
      </w:r>
    </w:p>
    <w:p w14:paraId="38F6FB10" w14:textId="77777777" w:rsidR="00081AA5" w:rsidRPr="00FF394D" w:rsidRDefault="00081AA5" w:rsidP="00081AA5">
      <w:pPr>
        <w:rPr>
          <w:rFonts w:ascii="Tw Cen MT Mi" w:hAnsi="Tw Cen MT Mi"/>
          <w:sz w:val="24"/>
          <w:szCs w:val="22"/>
          <w:lang w:val="en-AU"/>
        </w:rPr>
      </w:pPr>
      <w:r w:rsidRPr="00FF394D">
        <w:rPr>
          <w:rFonts w:ascii="Tw Cen MT Mi" w:hAnsi="Tw Cen MT Mi"/>
          <w:sz w:val="24"/>
          <w:szCs w:val="22"/>
          <w:lang w:val="en-AU"/>
        </w:rPr>
        <w:t>Wellington, New Zealand</w:t>
      </w:r>
    </w:p>
    <w:p w14:paraId="6D23D2D7" w14:textId="77777777" w:rsidR="00AD72CC" w:rsidRPr="00BC0D1F" w:rsidRDefault="00AD72CC" w:rsidP="00913F68"/>
    <w:p w14:paraId="125C6850" w14:textId="77777777" w:rsidR="00913F68" w:rsidRPr="00BC0D1F" w:rsidRDefault="00913F68" w:rsidP="00913F68">
      <w:bookmarkStart w:id="154" w:name="_Toc419977162"/>
      <w:bookmarkStart w:id="155" w:name="_Toc430768837"/>
      <w:bookmarkStart w:id="156" w:name="_Toc459730026"/>
      <w:bookmarkStart w:id="157" w:name="_Toc461544299"/>
    </w:p>
    <w:p w14:paraId="7E1A6F3E" w14:textId="77777777" w:rsidR="00E60BDC" w:rsidRPr="00BC0D1F" w:rsidRDefault="00E60BDC" w:rsidP="00D60822">
      <w:pPr>
        <w:pStyle w:val="Heading1"/>
        <w:sectPr w:rsidR="00E60BDC" w:rsidRPr="00BC0D1F" w:rsidSect="009D5125">
          <w:headerReference w:type="default" r:id="rId35"/>
          <w:footerReference w:type="default" r:id="rId36"/>
          <w:pgSz w:w="11907" w:h="16834" w:code="9"/>
          <w:pgMar w:top="851" w:right="1134" w:bottom="1134" w:left="1134" w:header="284" w:footer="567" w:gutter="284"/>
          <w:pgNumType w:start="1"/>
          <w:cols w:space="720"/>
        </w:sectPr>
      </w:pPr>
    </w:p>
    <w:p w14:paraId="572AA7D7" w14:textId="77777777" w:rsidR="00AD72CC" w:rsidRPr="00BC0D1F" w:rsidRDefault="00AD72CC" w:rsidP="00D60822">
      <w:pPr>
        <w:pStyle w:val="Heading1"/>
      </w:pPr>
      <w:bookmarkStart w:id="158" w:name="_Toc463507929"/>
      <w:r w:rsidRPr="00BC0D1F">
        <w:lastRenderedPageBreak/>
        <w:t>Section 2</w:t>
      </w:r>
      <w:proofErr w:type="gramStart"/>
      <w:r w:rsidRPr="00BC0D1F">
        <w:t>:</w:t>
      </w:r>
      <w:proofErr w:type="gramEnd"/>
      <w:r w:rsidRPr="00BC0D1F">
        <w:br/>
        <w:t>Financial statements</w:t>
      </w:r>
      <w:bookmarkEnd w:id="150"/>
      <w:bookmarkEnd w:id="154"/>
      <w:bookmarkEnd w:id="155"/>
      <w:bookmarkEnd w:id="156"/>
      <w:bookmarkEnd w:id="157"/>
      <w:bookmarkEnd w:id="158"/>
    </w:p>
    <w:p w14:paraId="1A75C8F0" w14:textId="77777777" w:rsidR="00D60822" w:rsidRPr="00BC0D1F" w:rsidRDefault="00D60822" w:rsidP="006A557B">
      <w:pPr>
        <w:pStyle w:val="Heading2"/>
      </w:pPr>
      <w:bookmarkStart w:id="159" w:name="_Toc463507930"/>
      <w:bookmarkStart w:id="160" w:name="_Toc399405930"/>
      <w:bookmarkStart w:id="161" w:name="_Toc419977164"/>
      <w:bookmarkStart w:id="162" w:name="_Toc430768839"/>
      <w:r w:rsidRPr="00BC0D1F">
        <w:t>Statement of budgeted and actual expenses and capital expenditure against appropriations for the year ended 30 June 2016</w:t>
      </w:r>
      <w:bookmarkEnd w:id="159"/>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2976"/>
        <w:gridCol w:w="993"/>
        <w:gridCol w:w="850"/>
        <w:gridCol w:w="992"/>
        <w:gridCol w:w="1276"/>
        <w:gridCol w:w="1276"/>
      </w:tblGrid>
      <w:tr w:rsidR="00810942" w:rsidRPr="00BC0D1F" w14:paraId="25067838" w14:textId="77777777" w:rsidTr="00F06348">
        <w:trPr>
          <w:cantSplit/>
          <w:tblHeader/>
        </w:trPr>
        <w:tc>
          <w:tcPr>
            <w:tcW w:w="993" w:type="dxa"/>
            <w:tcBorders>
              <w:left w:val="nil"/>
              <w:bottom w:val="single" w:sz="4" w:space="0" w:color="auto"/>
              <w:right w:val="nil"/>
            </w:tcBorders>
            <w:shd w:val="clear" w:color="auto" w:fill="auto"/>
          </w:tcPr>
          <w:p w14:paraId="33AA4CE5" w14:textId="77777777" w:rsidR="00D60822" w:rsidRPr="00BC0D1F" w:rsidRDefault="00D60822" w:rsidP="00F06348">
            <w:pPr>
              <w:pStyle w:val="TableText"/>
              <w:spacing w:before="40" w:after="40"/>
              <w:ind w:right="85"/>
              <w:jc w:val="right"/>
              <w:rPr>
                <w:b/>
                <w:sz w:val="15"/>
                <w:szCs w:val="15"/>
              </w:rPr>
            </w:pPr>
            <w:r w:rsidRPr="00BC0D1F">
              <w:rPr>
                <w:b/>
                <w:sz w:val="15"/>
                <w:szCs w:val="15"/>
              </w:rPr>
              <w:t xml:space="preserve">Actual </w:t>
            </w:r>
            <w:r w:rsidRPr="00BC0D1F">
              <w:rPr>
                <w:rFonts w:ascii="Arial Bold" w:hAnsi="Arial Bold"/>
                <w:b/>
                <w:spacing w:val="-4"/>
                <w:sz w:val="15"/>
                <w:szCs w:val="15"/>
              </w:rPr>
              <w:t>expenditu</w:t>
            </w:r>
            <w:r w:rsidR="00CF4DCF" w:rsidRPr="00BC0D1F">
              <w:rPr>
                <w:rFonts w:ascii="Arial Bold" w:hAnsi="Arial Bold"/>
                <w:b/>
                <w:spacing w:val="-4"/>
                <w:sz w:val="15"/>
                <w:szCs w:val="15"/>
              </w:rPr>
              <w:t>r</w:t>
            </w:r>
            <w:r w:rsidRPr="00BC0D1F">
              <w:rPr>
                <w:rFonts w:ascii="Arial Bold" w:hAnsi="Arial Bold"/>
                <w:b/>
                <w:spacing w:val="-4"/>
                <w:sz w:val="15"/>
                <w:szCs w:val="15"/>
              </w:rPr>
              <w:t>e</w:t>
            </w:r>
            <w:r w:rsidRPr="00BC0D1F">
              <w:rPr>
                <w:b/>
                <w:sz w:val="15"/>
                <w:szCs w:val="15"/>
              </w:rPr>
              <w:br/>
              <w:t>2015</w:t>
            </w:r>
            <w:r w:rsidRPr="00BC0D1F">
              <w:rPr>
                <w:b/>
                <w:sz w:val="15"/>
                <w:szCs w:val="15"/>
              </w:rPr>
              <w:br/>
              <w:t>$000</w:t>
            </w:r>
          </w:p>
        </w:tc>
        <w:tc>
          <w:tcPr>
            <w:tcW w:w="2976" w:type="dxa"/>
            <w:tcBorders>
              <w:left w:val="nil"/>
              <w:bottom w:val="single" w:sz="4" w:space="0" w:color="auto"/>
              <w:right w:val="nil"/>
            </w:tcBorders>
            <w:shd w:val="clear" w:color="auto" w:fill="auto"/>
          </w:tcPr>
          <w:p w14:paraId="2754BF64" w14:textId="77777777" w:rsidR="00D60822" w:rsidRPr="00BC0D1F" w:rsidRDefault="00D60822" w:rsidP="00F06348">
            <w:pPr>
              <w:pStyle w:val="TableText"/>
              <w:spacing w:before="40" w:after="40"/>
              <w:rPr>
                <w:b/>
                <w:sz w:val="15"/>
                <w:szCs w:val="15"/>
              </w:rPr>
            </w:pPr>
            <w:r w:rsidRPr="00BC0D1F">
              <w:rPr>
                <w:b/>
                <w:sz w:val="15"/>
                <w:szCs w:val="15"/>
              </w:rPr>
              <w:t>Appropriation title</w:t>
            </w:r>
          </w:p>
        </w:tc>
        <w:tc>
          <w:tcPr>
            <w:tcW w:w="993" w:type="dxa"/>
            <w:tcBorders>
              <w:left w:val="nil"/>
              <w:bottom w:val="single" w:sz="4" w:space="0" w:color="auto"/>
              <w:right w:val="nil"/>
            </w:tcBorders>
            <w:shd w:val="clear" w:color="auto" w:fill="D9D9D9"/>
          </w:tcPr>
          <w:p w14:paraId="793F1CC4" w14:textId="77777777" w:rsidR="00D60822" w:rsidRPr="00BC0D1F" w:rsidRDefault="00D60822" w:rsidP="00F06348">
            <w:pPr>
              <w:pStyle w:val="TableText"/>
              <w:spacing w:before="40" w:after="40"/>
              <w:ind w:right="85"/>
              <w:jc w:val="right"/>
              <w:rPr>
                <w:b/>
                <w:sz w:val="15"/>
                <w:szCs w:val="15"/>
              </w:rPr>
            </w:pPr>
            <w:r w:rsidRPr="00BC0D1F">
              <w:rPr>
                <w:b/>
                <w:sz w:val="15"/>
                <w:szCs w:val="15"/>
              </w:rPr>
              <w:t xml:space="preserve">Actual </w:t>
            </w:r>
            <w:r w:rsidRPr="00BC0D1F">
              <w:rPr>
                <w:rFonts w:ascii="Arial Bold" w:hAnsi="Arial Bold"/>
                <w:b/>
                <w:spacing w:val="-4"/>
                <w:sz w:val="15"/>
                <w:szCs w:val="15"/>
              </w:rPr>
              <w:t>expenditure</w:t>
            </w:r>
            <w:r w:rsidR="002E4096" w:rsidRPr="00BC0D1F">
              <w:rPr>
                <w:b/>
                <w:sz w:val="15"/>
                <w:szCs w:val="15"/>
              </w:rPr>
              <w:br/>
            </w:r>
            <w:r w:rsidRPr="00BC0D1F">
              <w:rPr>
                <w:b/>
                <w:sz w:val="15"/>
                <w:szCs w:val="15"/>
              </w:rPr>
              <w:t>2016</w:t>
            </w:r>
            <w:r w:rsidRPr="00BC0D1F">
              <w:rPr>
                <w:b/>
                <w:sz w:val="15"/>
                <w:szCs w:val="15"/>
              </w:rPr>
              <w:br/>
              <w:t>$000</w:t>
            </w:r>
          </w:p>
        </w:tc>
        <w:tc>
          <w:tcPr>
            <w:tcW w:w="850" w:type="dxa"/>
            <w:tcBorders>
              <w:left w:val="nil"/>
              <w:bottom w:val="single" w:sz="4" w:space="0" w:color="auto"/>
              <w:right w:val="nil"/>
            </w:tcBorders>
            <w:shd w:val="clear" w:color="auto" w:fill="auto"/>
          </w:tcPr>
          <w:p w14:paraId="053F8950" w14:textId="77777777" w:rsidR="00D60822" w:rsidRPr="00BC0D1F" w:rsidRDefault="00D60822" w:rsidP="00F06348">
            <w:pPr>
              <w:pStyle w:val="TableText"/>
              <w:spacing w:before="40" w:after="40"/>
              <w:jc w:val="right"/>
              <w:rPr>
                <w:b/>
                <w:sz w:val="15"/>
                <w:szCs w:val="15"/>
              </w:rPr>
            </w:pPr>
            <w:r w:rsidRPr="00BC0D1F">
              <w:rPr>
                <w:b/>
                <w:sz w:val="15"/>
                <w:szCs w:val="15"/>
              </w:rPr>
              <w:t>Main estimates</w:t>
            </w:r>
            <w:r w:rsidR="002E4096" w:rsidRPr="00BC0D1F">
              <w:rPr>
                <w:b/>
                <w:sz w:val="15"/>
                <w:szCs w:val="15"/>
              </w:rPr>
              <w:br/>
            </w:r>
            <w:r w:rsidRPr="00BC0D1F">
              <w:rPr>
                <w:b/>
                <w:sz w:val="15"/>
                <w:szCs w:val="15"/>
              </w:rPr>
              <w:t>2016</w:t>
            </w:r>
            <w:r w:rsidRPr="00BC0D1F">
              <w:rPr>
                <w:b/>
                <w:sz w:val="15"/>
                <w:szCs w:val="15"/>
              </w:rPr>
              <w:br/>
              <w:t>$000</w:t>
            </w:r>
          </w:p>
        </w:tc>
        <w:tc>
          <w:tcPr>
            <w:tcW w:w="992" w:type="dxa"/>
            <w:tcBorders>
              <w:left w:val="nil"/>
              <w:bottom w:val="single" w:sz="4" w:space="0" w:color="auto"/>
              <w:right w:val="nil"/>
            </w:tcBorders>
            <w:shd w:val="clear" w:color="auto" w:fill="auto"/>
          </w:tcPr>
          <w:p w14:paraId="71836A25" w14:textId="77777777" w:rsidR="00D60822" w:rsidRPr="00BC0D1F" w:rsidRDefault="00D60822" w:rsidP="00F06348">
            <w:pPr>
              <w:pStyle w:val="TableText"/>
              <w:spacing w:before="40" w:after="40"/>
              <w:jc w:val="right"/>
              <w:rPr>
                <w:b/>
                <w:sz w:val="15"/>
                <w:szCs w:val="15"/>
              </w:rPr>
            </w:pPr>
            <w:r w:rsidRPr="00BC0D1F">
              <w:rPr>
                <w:b/>
                <w:sz w:val="15"/>
                <w:szCs w:val="15"/>
              </w:rPr>
              <w:t xml:space="preserve">Voted^ </w:t>
            </w:r>
            <w:r w:rsidRPr="00BC0D1F">
              <w:rPr>
                <w:rFonts w:ascii="Arial Bold" w:hAnsi="Arial Bold"/>
                <w:b/>
                <w:spacing w:val="-4"/>
                <w:sz w:val="15"/>
                <w:szCs w:val="15"/>
              </w:rPr>
              <w:t>appropriation</w:t>
            </w:r>
            <w:r w:rsidR="002E4096" w:rsidRPr="00BC0D1F">
              <w:rPr>
                <w:b/>
                <w:sz w:val="15"/>
                <w:szCs w:val="15"/>
              </w:rPr>
              <w:br/>
            </w:r>
            <w:r w:rsidRPr="00BC0D1F">
              <w:rPr>
                <w:b/>
                <w:sz w:val="15"/>
                <w:szCs w:val="15"/>
              </w:rPr>
              <w:t>2016</w:t>
            </w:r>
            <w:r w:rsidRPr="00BC0D1F">
              <w:rPr>
                <w:b/>
                <w:sz w:val="15"/>
                <w:szCs w:val="15"/>
              </w:rPr>
              <w:br/>
              <w:t>$000</w:t>
            </w:r>
          </w:p>
        </w:tc>
        <w:tc>
          <w:tcPr>
            <w:tcW w:w="1276" w:type="dxa"/>
            <w:tcBorders>
              <w:left w:val="nil"/>
              <w:bottom w:val="single" w:sz="4" w:space="0" w:color="auto"/>
              <w:right w:val="nil"/>
            </w:tcBorders>
            <w:shd w:val="clear" w:color="auto" w:fill="auto"/>
          </w:tcPr>
          <w:p w14:paraId="598C1476" w14:textId="77777777" w:rsidR="00D60822" w:rsidRPr="00BC0D1F" w:rsidRDefault="00D60822" w:rsidP="00F06348">
            <w:pPr>
              <w:pStyle w:val="TableText"/>
              <w:spacing w:before="40" w:after="40"/>
              <w:jc w:val="right"/>
              <w:rPr>
                <w:b/>
                <w:sz w:val="15"/>
                <w:szCs w:val="15"/>
              </w:rPr>
            </w:pPr>
            <w:r w:rsidRPr="00BC0D1F">
              <w:rPr>
                <w:b/>
                <w:sz w:val="15"/>
                <w:szCs w:val="15"/>
              </w:rPr>
              <w:t>Actual</w:t>
            </w:r>
            <w:r w:rsidR="005A5B65" w:rsidRPr="00BC0D1F">
              <w:rPr>
                <w:b/>
                <w:sz w:val="15"/>
                <w:szCs w:val="15"/>
              </w:rPr>
              <w:t xml:space="preserve"> </w:t>
            </w:r>
            <w:r w:rsidRPr="00BC0D1F">
              <w:rPr>
                <w:b/>
                <w:sz w:val="15"/>
                <w:szCs w:val="15"/>
              </w:rPr>
              <w:t>expenditure</w:t>
            </w:r>
            <w:r w:rsidR="002E4096" w:rsidRPr="00BC0D1F">
              <w:rPr>
                <w:b/>
                <w:sz w:val="15"/>
                <w:szCs w:val="15"/>
              </w:rPr>
              <w:t xml:space="preserve"> </w:t>
            </w:r>
            <w:r w:rsidRPr="00BC0D1F">
              <w:rPr>
                <w:b/>
                <w:sz w:val="15"/>
                <w:szCs w:val="15"/>
              </w:rPr>
              <w:t>as a</w:t>
            </w:r>
            <w:r w:rsidR="002E4096" w:rsidRPr="00BC0D1F">
              <w:rPr>
                <w:b/>
                <w:sz w:val="15"/>
                <w:szCs w:val="15"/>
              </w:rPr>
              <w:br/>
            </w:r>
            <w:r w:rsidRPr="00BC0D1F">
              <w:rPr>
                <w:b/>
                <w:sz w:val="15"/>
                <w:szCs w:val="15"/>
              </w:rPr>
              <w:t>%</w:t>
            </w:r>
            <w:r w:rsidR="002E4096" w:rsidRPr="00BC0D1F">
              <w:rPr>
                <w:b/>
                <w:sz w:val="15"/>
                <w:szCs w:val="15"/>
              </w:rPr>
              <w:t xml:space="preserve"> o</w:t>
            </w:r>
            <w:r w:rsidRPr="00BC0D1F">
              <w:rPr>
                <w:b/>
                <w:sz w:val="15"/>
                <w:szCs w:val="15"/>
              </w:rPr>
              <w:t>f total Vote</w:t>
            </w:r>
            <w:r w:rsidRPr="00BC0D1F">
              <w:rPr>
                <w:b/>
                <w:sz w:val="15"/>
                <w:szCs w:val="15"/>
              </w:rPr>
              <w:br/>
              <w:t>$000</w:t>
            </w:r>
          </w:p>
        </w:tc>
        <w:tc>
          <w:tcPr>
            <w:tcW w:w="1276" w:type="dxa"/>
            <w:tcBorders>
              <w:left w:val="nil"/>
              <w:bottom w:val="single" w:sz="4" w:space="0" w:color="auto"/>
              <w:right w:val="nil"/>
            </w:tcBorders>
            <w:shd w:val="clear" w:color="auto" w:fill="auto"/>
          </w:tcPr>
          <w:p w14:paraId="6DF9D8FE" w14:textId="77777777" w:rsidR="00D60822" w:rsidRPr="00BC0D1F" w:rsidRDefault="00D60822" w:rsidP="00F06348">
            <w:pPr>
              <w:pStyle w:val="TableText"/>
              <w:spacing w:before="40" w:after="40"/>
              <w:ind w:left="85"/>
              <w:jc w:val="center"/>
              <w:rPr>
                <w:b/>
                <w:sz w:val="15"/>
                <w:szCs w:val="15"/>
              </w:rPr>
            </w:pPr>
            <w:r w:rsidRPr="00BC0D1F">
              <w:rPr>
                <w:b/>
                <w:sz w:val="15"/>
                <w:szCs w:val="15"/>
              </w:rPr>
              <w:t>Location of end</w:t>
            </w:r>
            <w:r w:rsidR="005A5B65" w:rsidRPr="00BC0D1F">
              <w:rPr>
                <w:b/>
                <w:sz w:val="15"/>
                <w:szCs w:val="15"/>
              </w:rPr>
              <w:noBreakHyphen/>
            </w:r>
            <w:r w:rsidRPr="00BC0D1F">
              <w:rPr>
                <w:b/>
                <w:sz w:val="15"/>
                <w:szCs w:val="15"/>
              </w:rPr>
              <w:t>of-year performance information</w:t>
            </w:r>
          </w:p>
        </w:tc>
      </w:tr>
      <w:tr w:rsidR="00810942" w:rsidRPr="00BC0D1F" w14:paraId="6C054070" w14:textId="77777777" w:rsidTr="00F06348">
        <w:trPr>
          <w:cantSplit/>
        </w:trPr>
        <w:tc>
          <w:tcPr>
            <w:tcW w:w="993" w:type="dxa"/>
            <w:tcBorders>
              <w:top w:val="single" w:sz="4" w:space="0" w:color="auto"/>
              <w:left w:val="nil"/>
              <w:bottom w:val="single" w:sz="4" w:space="0" w:color="A6A6A6"/>
              <w:right w:val="nil"/>
            </w:tcBorders>
            <w:shd w:val="clear" w:color="auto" w:fill="auto"/>
          </w:tcPr>
          <w:p w14:paraId="043EBE36" w14:textId="77777777" w:rsidR="00D60822" w:rsidRPr="00BC0D1F" w:rsidRDefault="00D60822" w:rsidP="00F06348">
            <w:pPr>
              <w:pStyle w:val="TableText"/>
              <w:spacing w:before="40" w:after="40"/>
              <w:ind w:right="85"/>
              <w:jc w:val="right"/>
              <w:rPr>
                <w:sz w:val="15"/>
                <w:szCs w:val="15"/>
              </w:rPr>
            </w:pPr>
          </w:p>
        </w:tc>
        <w:tc>
          <w:tcPr>
            <w:tcW w:w="2976" w:type="dxa"/>
            <w:tcBorders>
              <w:top w:val="single" w:sz="4" w:space="0" w:color="auto"/>
              <w:left w:val="nil"/>
              <w:bottom w:val="single" w:sz="4" w:space="0" w:color="A6A6A6"/>
              <w:right w:val="nil"/>
            </w:tcBorders>
            <w:shd w:val="clear" w:color="auto" w:fill="auto"/>
          </w:tcPr>
          <w:p w14:paraId="7613C421" w14:textId="77777777" w:rsidR="00D60822" w:rsidRPr="00BC0D1F" w:rsidRDefault="00D60822" w:rsidP="00F06348">
            <w:pPr>
              <w:pStyle w:val="TableText"/>
              <w:spacing w:before="40" w:after="40"/>
              <w:rPr>
                <w:b/>
                <w:sz w:val="16"/>
                <w:szCs w:val="16"/>
              </w:rPr>
            </w:pPr>
            <w:r w:rsidRPr="00BC0D1F">
              <w:rPr>
                <w:b/>
                <w:sz w:val="16"/>
                <w:szCs w:val="16"/>
              </w:rPr>
              <w:t>Vote: Health</w:t>
            </w:r>
          </w:p>
        </w:tc>
        <w:tc>
          <w:tcPr>
            <w:tcW w:w="993" w:type="dxa"/>
            <w:tcBorders>
              <w:top w:val="single" w:sz="4" w:space="0" w:color="auto"/>
              <w:left w:val="nil"/>
              <w:bottom w:val="single" w:sz="4" w:space="0" w:color="A6A6A6"/>
              <w:right w:val="nil"/>
            </w:tcBorders>
            <w:shd w:val="clear" w:color="auto" w:fill="D9D9D9"/>
          </w:tcPr>
          <w:p w14:paraId="6F580DC3" w14:textId="77777777" w:rsidR="00D60822" w:rsidRPr="00BC0D1F" w:rsidRDefault="00D60822" w:rsidP="00F06348">
            <w:pPr>
              <w:pStyle w:val="TableText"/>
              <w:spacing w:before="40" w:after="40"/>
              <w:ind w:right="85"/>
              <w:jc w:val="right"/>
              <w:rPr>
                <w:sz w:val="15"/>
                <w:szCs w:val="15"/>
              </w:rPr>
            </w:pPr>
          </w:p>
        </w:tc>
        <w:tc>
          <w:tcPr>
            <w:tcW w:w="850" w:type="dxa"/>
            <w:tcBorders>
              <w:top w:val="single" w:sz="4" w:space="0" w:color="auto"/>
              <w:left w:val="nil"/>
              <w:bottom w:val="single" w:sz="4" w:space="0" w:color="A6A6A6"/>
              <w:right w:val="nil"/>
            </w:tcBorders>
            <w:shd w:val="clear" w:color="auto" w:fill="auto"/>
          </w:tcPr>
          <w:p w14:paraId="2014E1B6" w14:textId="77777777" w:rsidR="00D60822" w:rsidRPr="00BC0D1F" w:rsidRDefault="00D60822" w:rsidP="00F06348">
            <w:pPr>
              <w:pStyle w:val="TableText"/>
              <w:spacing w:before="40" w:after="40"/>
              <w:jc w:val="right"/>
              <w:rPr>
                <w:sz w:val="15"/>
                <w:szCs w:val="15"/>
              </w:rPr>
            </w:pPr>
          </w:p>
        </w:tc>
        <w:tc>
          <w:tcPr>
            <w:tcW w:w="992" w:type="dxa"/>
            <w:tcBorders>
              <w:top w:val="single" w:sz="4" w:space="0" w:color="auto"/>
              <w:left w:val="nil"/>
              <w:bottom w:val="single" w:sz="4" w:space="0" w:color="A6A6A6"/>
              <w:right w:val="nil"/>
            </w:tcBorders>
            <w:shd w:val="clear" w:color="auto" w:fill="auto"/>
          </w:tcPr>
          <w:p w14:paraId="5C23BDEF"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uto"/>
              <w:left w:val="nil"/>
              <w:bottom w:val="single" w:sz="4" w:space="0" w:color="A6A6A6"/>
              <w:right w:val="nil"/>
            </w:tcBorders>
            <w:shd w:val="clear" w:color="auto" w:fill="auto"/>
          </w:tcPr>
          <w:p w14:paraId="623A6A37"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uto"/>
              <w:left w:val="nil"/>
              <w:bottom w:val="single" w:sz="4" w:space="0" w:color="A6A6A6"/>
              <w:right w:val="nil"/>
            </w:tcBorders>
            <w:shd w:val="clear" w:color="auto" w:fill="auto"/>
          </w:tcPr>
          <w:p w14:paraId="7609AB80" w14:textId="77777777" w:rsidR="00D60822" w:rsidRPr="00BC0D1F" w:rsidRDefault="00D60822" w:rsidP="00F06348">
            <w:pPr>
              <w:pStyle w:val="TableText"/>
              <w:spacing w:before="40" w:after="40"/>
              <w:ind w:left="85"/>
              <w:rPr>
                <w:sz w:val="15"/>
                <w:szCs w:val="15"/>
              </w:rPr>
            </w:pPr>
          </w:p>
        </w:tc>
      </w:tr>
      <w:tr w:rsidR="00810942" w:rsidRPr="00BC0D1F" w14:paraId="5F7DBA69" w14:textId="77777777" w:rsidTr="00F06348">
        <w:trPr>
          <w:cantSplit/>
        </w:trPr>
        <w:tc>
          <w:tcPr>
            <w:tcW w:w="993" w:type="dxa"/>
            <w:tcBorders>
              <w:top w:val="single" w:sz="4" w:space="0" w:color="A6A6A6"/>
              <w:left w:val="nil"/>
              <w:bottom w:val="nil"/>
              <w:right w:val="nil"/>
            </w:tcBorders>
            <w:shd w:val="clear" w:color="auto" w:fill="auto"/>
          </w:tcPr>
          <w:p w14:paraId="2085FB1B" w14:textId="77777777" w:rsidR="00D60822" w:rsidRPr="00BC0D1F" w:rsidRDefault="00D60822" w:rsidP="00F06348">
            <w:pPr>
              <w:pStyle w:val="TableText"/>
              <w:spacing w:before="40" w:after="40"/>
              <w:ind w:right="85"/>
              <w:jc w:val="right"/>
              <w:rPr>
                <w:sz w:val="15"/>
                <w:szCs w:val="15"/>
              </w:rPr>
            </w:pPr>
          </w:p>
        </w:tc>
        <w:tc>
          <w:tcPr>
            <w:tcW w:w="2976" w:type="dxa"/>
            <w:tcBorders>
              <w:top w:val="single" w:sz="4" w:space="0" w:color="A6A6A6"/>
              <w:left w:val="nil"/>
              <w:bottom w:val="nil"/>
              <w:right w:val="nil"/>
            </w:tcBorders>
            <w:shd w:val="clear" w:color="auto" w:fill="auto"/>
          </w:tcPr>
          <w:p w14:paraId="4EFEFC5F" w14:textId="77777777" w:rsidR="00D60822" w:rsidRPr="00BC0D1F" w:rsidRDefault="00D60822" w:rsidP="00F06348">
            <w:pPr>
              <w:pStyle w:val="TableText"/>
              <w:spacing w:before="40" w:after="40"/>
              <w:rPr>
                <w:b/>
                <w:sz w:val="15"/>
                <w:szCs w:val="15"/>
              </w:rPr>
            </w:pPr>
            <w:r w:rsidRPr="00BC0D1F">
              <w:rPr>
                <w:b/>
                <w:sz w:val="15"/>
                <w:szCs w:val="15"/>
              </w:rPr>
              <w:t>Departmental output expenses</w:t>
            </w:r>
          </w:p>
        </w:tc>
        <w:tc>
          <w:tcPr>
            <w:tcW w:w="993" w:type="dxa"/>
            <w:tcBorders>
              <w:top w:val="single" w:sz="4" w:space="0" w:color="A6A6A6"/>
              <w:left w:val="nil"/>
              <w:bottom w:val="nil"/>
              <w:right w:val="nil"/>
            </w:tcBorders>
            <w:shd w:val="clear" w:color="auto" w:fill="D9D9D9"/>
          </w:tcPr>
          <w:p w14:paraId="27249FE1" w14:textId="77777777" w:rsidR="00D60822" w:rsidRPr="00BC0D1F" w:rsidRDefault="00D60822" w:rsidP="00F06348">
            <w:pPr>
              <w:pStyle w:val="TableText"/>
              <w:spacing w:before="40" w:after="40"/>
              <w:ind w:right="85"/>
              <w:jc w:val="right"/>
              <w:rPr>
                <w:sz w:val="15"/>
                <w:szCs w:val="15"/>
              </w:rPr>
            </w:pPr>
          </w:p>
        </w:tc>
        <w:tc>
          <w:tcPr>
            <w:tcW w:w="850" w:type="dxa"/>
            <w:tcBorders>
              <w:top w:val="single" w:sz="4" w:space="0" w:color="A6A6A6"/>
              <w:left w:val="nil"/>
              <w:bottom w:val="nil"/>
              <w:right w:val="nil"/>
            </w:tcBorders>
            <w:shd w:val="clear" w:color="auto" w:fill="auto"/>
          </w:tcPr>
          <w:p w14:paraId="43164CA3" w14:textId="77777777" w:rsidR="00D60822" w:rsidRPr="00BC0D1F" w:rsidRDefault="00D60822" w:rsidP="00F06348">
            <w:pPr>
              <w:pStyle w:val="TableText"/>
              <w:spacing w:before="40" w:after="40"/>
              <w:jc w:val="right"/>
              <w:rPr>
                <w:sz w:val="15"/>
                <w:szCs w:val="15"/>
              </w:rPr>
            </w:pPr>
          </w:p>
        </w:tc>
        <w:tc>
          <w:tcPr>
            <w:tcW w:w="992" w:type="dxa"/>
            <w:tcBorders>
              <w:top w:val="single" w:sz="4" w:space="0" w:color="A6A6A6"/>
              <w:left w:val="nil"/>
              <w:bottom w:val="nil"/>
              <w:right w:val="nil"/>
            </w:tcBorders>
            <w:shd w:val="clear" w:color="auto" w:fill="auto"/>
          </w:tcPr>
          <w:p w14:paraId="4986D125"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6A6A6"/>
              <w:left w:val="nil"/>
              <w:bottom w:val="nil"/>
              <w:right w:val="nil"/>
            </w:tcBorders>
            <w:shd w:val="clear" w:color="auto" w:fill="auto"/>
          </w:tcPr>
          <w:p w14:paraId="541260AA"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6A6A6"/>
              <w:left w:val="nil"/>
              <w:bottom w:val="nil"/>
              <w:right w:val="nil"/>
            </w:tcBorders>
            <w:shd w:val="clear" w:color="auto" w:fill="auto"/>
          </w:tcPr>
          <w:p w14:paraId="60134CFF" w14:textId="77777777" w:rsidR="00D60822" w:rsidRPr="00BC0D1F" w:rsidRDefault="00D60822" w:rsidP="00F06348">
            <w:pPr>
              <w:pStyle w:val="TableText"/>
              <w:spacing w:before="40" w:after="40"/>
              <w:ind w:left="85"/>
              <w:rPr>
                <w:sz w:val="15"/>
                <w:szCs w:val="15"/>
              </w:rPr>
            </w:pPr>
          </w:p>
        </w:tc>
      </w:tr>
      <w:tr w:rsidR="00810942" w:rsidRPr="00BC0D1F" w14:paraId="3DEA6674" w14:textId="77777777" w:rsidTr="00F06348">
        <w:trPr>
          <w:cantSplit/>
        </w:trPr>
        <w:tc>
          <w:tcPr>
            <w:tcW w:w="993" w:type="dxa"/>
            <w:tcBorders>
              <w:top w:val="nil"/>
              <w:left w:val="nil"/>
              <w:bottom w:val="nil"/>
              <w:right w:val="nil"/>
            </w:tcBorders>
            <w:shd w:val="clear" w:color="auto" w:fill="auto"/>
          </w:tcPr>
          <w:p w14:paraId="75653DEF" w14:textId="77777777" w:rsidR="00D60822" w:rsidRPr="00BC0D1F" w:rsidRDefault="00D60822" w:rsidP="00F06348">
            <w:pPr>
              <w:pStyle w:val="TableText"/>
              <w:spacing w:before="40" w:after="40"/>
              <w:ind w:right="85"/>
              <w:jc w:val="right"/>
              <w:rPr>
                <w:sz w:val="15"/>
                <w:szCs w:val="15"/>
              </w:rPr>
            </w:pPr>
            <w:r w:rsidRPr="00BC0D1F">
              <w:rPr>
                <w:sz w:val="15"/>
                <w:szCs w:val="15"/>
              </w:rPr>
              <w:t>31,252</w:t>
            </w:r>
          </w:p>
        </w:tc>
        <w:tc>
          <w:tcPr>
            <w:tcW w:w="2976" w:type="dxa"/>
            <w:tcBorders>
              <w:top w:val="nil"/>
              <w:left w:val="nil"/>
              <w:bottom w:val="nil"/>
              <w:right w:val="nil"/>
            </w:tcBorders>
            <w:shd w:val="clear" w:color="auto" w:fill="auto"/>
          </w:tcPr>
          <w:p w14:paraId="4805FA53" w14:textId="77777777" w:rsidR="00D60822" w:rsidRPr="00BC0D1F" w:rsidRDefault="00D60822" w:rsidP="00F06348">
            <w:pPr>
              <w:pStyle w:val="TableText"/>
              <w:spacing w:before="40" w:after="40"/>
              <w:rPr>
                <w:sz w:val="15"/>
                <w:szCs w:val="15"/>
              </w:rPr>
            </w:pPr>
            <w:r w:rsidRPr="00BC0D1F">
              <w:rPr>
                <w:sz w:val="15"/>
                <w:szCs w:val="15"/>
              </w:rPr>
              <w:t>Managing the purchase of services</w:t>
            </w:r>
          </w:p>
        </w:tc>
        <w:tc>
          <w:tcPr>
            <w:tcW w:w="993" w:type="dxa"/>
            <w:tcBorders>
              <w:top w:val="nil"/>
              <w:left w:val="nil"/>
              <w:bottom w:val="nil"/>
              <w:right w:val="nil"/>
            </w:tcBorders>
            <w:shd w:val="clear" w:color="auto" w:fill="D9D9D9"/>
          </w:tcPr>
          <w:p w14:paraId="28612FC6" w14:textId="6449FCC8" w:rsidR="008D3000" w:rsidRPr="00BC0D1F" w:rsidRDefault="00D60822" w:rsidP="008D3000">
            <w:pPr>
              <w:pStyle w:val="TableText"/>
              <w:spacing w:before="40" w:after="40"/>
              <w:ind w:right="85"/>
              <w:jc w:val="right"/>
              <w:rPr>
                <w:sz w:val="15"/>
                <w:szCs w:val="15"/>
              </w:rPr>
            </w:pPr>
            <w:r w:rsidRPr="00BC0D1F">
              <w:rPr>
                <w:sz w:val="15"/>
                <w:szCs w:val="15"/>
              </w:rPr>
              <w:t>31,79</w:t>
            </w:r>
            <w:r w:rsidR="008D3000">
              <w:rPr>
                <w:sz w:val="15"/>
                <w:szCs w:val="15"/>
              </w:rPr>
              <w:t>0</w:t>
            </w:r>
          </w:p>
        </w:tc>
        <w:tc>
          <w:tcPr>
            <w:tcW w:w="850" w:type="dxa"/>
            <w:tcBorders>
              <w:top w:val="nil"/>
              <w:left w:val="nil"/>
              <w:bottom w:val="nil"/>
              <w:right w:val="nil"/>
            </w:tcBorders>
            <w:shd w:val="clear" w:color="auto" w:fill="auto"/>
          </w:tcPr>
          <w:p w14:paraId="33728ECE" w14:textId="77777777" w:rsidR="00D60822" w:rsidRPr="00BC0D1F" w:rsidRDefault="00D60822" w:rsidP="00F06348">
            <w:pPr>
              <w:pStyle w:val="TableText"/>
              <w:spacing w:before="40" w:after="40"/>
              <w:jc w:val="right"/>
              <w:rPr>
                <w:sz w:val="15"/>
                <w:szCs w:val="15"/>
              </w:rPr>
            </w:pPr>
            <w:r w:rsidRPr="00BC0D1F">
              <w:rPr>
                <w:sz w:val="15"/>
                <w:szCs w:val="15"/>
              </w:rPr>
              <w:t>30,807</w:t>
            </w:r>
          </w:p>
        </w:tc>
        <w:tc>
          <w:tcPr>
            <w:tcW w:w="992" w:type="dxa"/>
            <w:tcBorders>
              <w:top w:val="nil"/>
              <w:left w:val="nil"/>
              <w:bottom w:val="nil"/>
              <w:right w:val="nil"/>
            </w:tcBorders>
            <w:shd w:val="clear" w:color="auto" w:fill="auto"/>
          </w:tcPr>
          <w:p w14:paraId="4CDD4070" w14:textId="77777777" w:rsidR="00D60822" w:rsidRPr="00BC0D1F" w:rsidRDefault="00D60822" w:rsidP="00F06348">
            <w:pPr>
              <w:pStyle w:val="TableText"/>
              <w:spacing w:before="40" w:after="40"/>
              <w:jc w:val="right"/>
              <w:rPr>
                <w:sz w:val="15"/>
                <w:szCs w:val="15"/>
              </w:rPr>
            </w:pPr>
            <w:r w:rsidRPr="00BC0D1F">
              <w:rPr>
                <w:sz w:val="15"/>
                <w:szCs w:val="15"/>
              </w:rPr>
              <w:t>32,626</w:t>
            </w:r>
          </w:p>
        </w:tc>
        <w:tc>
          <w:tcPr>
            <w:tcW w:w="1276" w:type="dxa"/>
            <w:tcBorders>
              <w:top w:val="nil"/>
              <w:left w:val="nil"/>
              <w:bottom w:val="nil"/>
              <w:right w:val="nil"/>
            </w:tcBorders>
            <w:shd w:val="clear" w:color="auto" w:fill="auto"/>
          </w:tcPr>
          <w:p w14:paraId="5EFDED17" w14:textId="77777777" w:rsidR="00D60822" w:rsidRPr="00BC0D1F" w:rsidRDefault="00D60822" w:rsidP="00F06348">
            <w:pPr>
              <w:pStyle w:val="TableText"/>
              <w:spacing w:before="40" w:after="40"/>
              <w:jc w:val="right"/>
              <w:rPr>
                <w:sz w:val="15"/>
                <w:szCs w:val="15"/>
              </w:rPr>
            </w:pPr>
            <w:r w:rsidRPr="00BC0D1F">
              <w:rPr>
                <w:sz w:val="15"/>
                <w:szCs w:val="15"/>
              </w:rPr>
              <w:t>0.21%</w:t>
            </w:r>
          </w:p>
        </w:tc>
        <w:tc>
          <w:tcPr>
            <w:tcW w:w="1276" w:type="dxa"/>
            <w:tcBorders>
              <w:top w:val="nil"/>
              <w:left w:val="nil"/>
              <w:bottom w:val="nil"/>
              <w:right w:val="nil"/>
            </w:tcBorders>
            <w:shd w:val="clear" w:color="auto" w:fill="auto"/>
          </w:tcPr>
          <w:p w14:paraId="4E7D747B" w14:textId="252ECA02" w:rsidR="00D60822" w:rsidRPr="00BC0D1F" w:rsidRDefault="00D60822" w:rsidP="00BF547F">
            <w:pPr>
              <w:pStyle w:val="TableText"/>
              <w:spacing w:before="40" w:after="40"/>
              <w:ind w:left="85"/>
              <w:rPr>
                <w:spacing w:val="-2"/>
                <w:sz w:val="15"/>
                <w:szCs w:val="15"/>
              </w:rPr>
            </w:pPr>
          </w:p>
        </w:tc>
      </w:tr>
      <w:tr w:rsidR="00810942" w:rsidRPr="00BC0D1F" w14:paraId="693B5F12" w14:textId="77777777" w:rsidTr="00F06348">
        <w:trPr>
          <w:cantSplit/>
        </w:trPr>
        <w:tc>
          <w:tcPr>
            <w:tcW w:w="993" w:type="dxa"/>
            <w:tcBorders>
              <w:top w:val="nil"/>
              <w:left w:val="nil"/>
              <w:bottom w:val="nil"/>
              <w:right w:val="nil"/>
            </w:tcBorders>
            <w:shd w:val="clear" w:color="auto" w:fill="auto"/>
          </w:tcPr>
          <w:p w14:paraId="64694CD3" w14:textId="1F142E89" w:rsidR="00D60822" w:rsidRPr="00BC0D1F" w:rsidRDefault="00D60822" w:rsidP="00F06348">
            <w:pPr>
              <w:pStyle w:val="TableText"/>
              <w:spacing w:before="40" w:after="40"/>
              <w:ind w:right="85"/>
              <w:jc w:val="right"/>
              <w:rPr>
                <w:sz w:val="15"/>
                <w:szCs w:val="15"/>
              </w:rPr>
            </w:pPr>
            <w:r w:rsidRPr="00BC0D1F">
              <w:rPr>
                <w:sz w:val="15"/>
                <w:szCs w:val="15"/>
              </w:rPr>
              <w:t>23,424</w:t>
            </w:r>
          </w:p>
        </w:tc>
        <w:tc>
          <w:tcPr>
            <w:tcW w:w="2976" w:type="dxa"/>
            <w:tcBorders>
              <w:top w:val="nil"/>
              <w:left w:val="nil"/>
              <w:bottom w:val="nil"/>
              <w:right w:val="nil"/>
            </w:tcBorders>
            <w:shd w:val="clear" w:color="auto" w:fill="auto"/>
          </w:tcPr>
          <w:p w14:paraId="36B52EF1" w14:textId="77777777" w:rsidR="00D60822" w:rsidRPr="00BC0D1F" w:rsidRDefault="00D60822" w:rsidP="00F06348">
            <w:pPr>
              <w:pStyle w:val="TableText"/>
              <w:spacing w:before="40" w:after="40"/>
              <w:rPr>
                <w:sz w:val="15"/>
                <w:szCs w:val="15"/>
              </w:rPr>
            </w:pPr>
            <w:r w:rsidRPr="00BC0D1F">
              <w:rPr>
                <w:sz w:val="15"/>
                <w:szCs w:val="15"/>
              </w:rPr>
              <w:t>Regulatory and enforcement services</w:t>
            </w:r>
          </w:p>
        </w:tc>
        <w:tc>
          <w:tcPr>
            <w:tcW w:w="993" w:type="dxa"/>
            <w:tcBorders>
              <w:top w:val="nil"/>
              <w:left w:val="nil"/>
              <w:bottom w:val="nil"/>
              <w:right w:val="nil"/>
            </w:tcBorders>
            <w:shd w:val="clear" w:color="auto" w:fill="D9D9D9"/>
          </w:tcPr>
          <w:p w14:paraId="5FD6A9CB" w14:textId="3A5B2D80" w:rsidR="00D60822" w:rsidRPr="00BC0D1F" w:rsidRDefault="00D60822" w:rsidP="008D3000">
            <w:pPr>
              <w:pStyle w:val="TableText"/>
              <w:spacing w:before="40" w:after="40"/>
              <w:ind w:right="85"/>
              <w:jc w:val="right"/>
              <w:rPr>
                <w:sz w:val="15"/>
                <w:szCs w:val="15"/>
              </w:rPr>
            </w:pPr>
            <w:r w:rsidRPr="00BC0D1F">
              <w:rPr>
                <w:sz w:val="15"/>
                <w:szCs w:val="15"/>
              </w:rPr>
              <w:t>22,7</w:t>
            </w:r>
            <w:r w:rsidR="008D3000">
              <w:rPr>
                <w:sz w:val="15"/>
                <w:szCs w:val="15"/>
              </w:rPr>
              <w:t>39</w:t>
            </w:r>
          </w:p>
        </w:tc>
        <w:tc>
          <w:tcPr>
            <w:tcW w:w="850" w:type="dxa"/>
            <w:tcBorders>
              <w:top w:val="nil"/>
              <w:left w:val="nil"/>
              <w:bottom w:val="nil"/>
              <w:right w:val="nil"/>
            </w:tcBorders>
            <w:shd w:val="clear" w:color="auto" w:fill="auto"/>
          </w:tcPr>
          <w:p w14:paraId="493CAD35" w14:textId="77777777" w:rsidR="00D60822" w:rsidRPr="00BC0D1F" w:rsidRDefault="00D60822" w:rsidP="00F06348">
            <w:pPr>
              <w:pStyle w:val="TableText"/>
              <w:spacing w:before="40" w:after="40"/>
              <w:jc w:val="right"/>
              <w:rPr>
                <w:sz w:val="15"/>
                <w:szCs w:val="15"/>
              </w:rPr>
            </w:pPr>
            <w:r w:rsidRPr="00BC0D1F">
              <w:rPr>
                <w:sz w:val="15"/>
                <w:szCs w:val="15"/>
              </w:rPr>
              <w:t>24,027</w:t>
            </w:r>
          </w:p>
        </w:tc>
        <w:tc>
          <w:tcPr>
            <w:tcW w:w="992" w:type="dxa"/>
            <w:tcBorders>
              <w:top w:val="nil"/>
              <w:left w:val="nil"/>
              <w:bottom w:val="nil"/>
              <w:right w:val="nil"/>
            </w:tcBorders>
            <w:shd w:val="clear" w:color="auto" w:fill="auto"/>
          </w:tcPr>
          <w:p w14:paraId="37CDA9A3" w14:textId="77777777" w:rsidR="00D60822" w:rsidRPr="00BC0D1F" w:rsidRDefault="00D60822" w:rsidP="00F06348">
            <w:pPr>
              <w:pStyle w:val="TableText"/>
              <w:spacing w:before="40" w:after="40"/>
              <w:jc w:val="right"/>
              <w:rPr>
                <w:sz w:val="15"/>
                <w:szCs w:val="15"/>
              </w:rPr>
            </w:pPr>
            <w:r w:rsidRPr="00BC0D1F">
              <w:rPr>
                <w:sz w:val="15"/>
                <w:szCs w:val="15"/>
              </w:rPr>
              <w:t>23,180</w:t>
            </w:r>
          </w:p>
        </w:tc>
        <w:tc>
          <w:tcPr>
            <w:tcW w:w="1276" w:type="dxa"/>
            <w:tcBorders>
              <w:top w:val="nil"/>
              <w:left w:val="nil"/>
              <w:bottom w:val="nil"/>
              <w:right w:val="nil"/>
            </w:tcBorders>
            <w:shd w:val="clear" w:color="auto" w:fill="auto"/>
          </w:tcPr>
          <w:p w14:paraId="67F1B4D2" w14:textId="77777777" w:rsidR="00D60822" w:rsidRPr="00BC0D1F" w:rsidRDefault="00D60822" w:rsidP="00F06348">
            <w:pPr>
              <w:pStyle w:val="TableText"/>
              <w:spacing w:before="40" w:after="40"/>
              <w:jc w:val="right"/>
              <w:rPr>
                <w:sz w:val="15"/>
                <w:szCs w:val="15"/>
              </w:rPr>
            </w:pPr>
            <w:r w:rsidRPr="00BC0D1F">
              <w:rPr>
                <w:sz w:val="15"/>
                <w:szCs w:val="15"/>
              </w:rPr>
              <w:t>0.15%</w:t>
            </w:r>
          </w:p>
        </w:tc>
        <w:tc>
          <w:tcPr>
            <w:tcW w:w="1276" w:type="dxa"/>
            <w:tcBorders>
              <w:top w:val="nil"/>
              <w:left w:val="nil"/>
              <w:bottom w:val="nil"/>
              <w:right w:val="nil"/>
            </w:tcBorders>
            <w:shd w:val="clear" w:color="auto" w:fill="auto"/>
          </w:tcPr>
          <w:p w14:paraId="3EB2B7A1" w14:textId="0F0885A6" w:rsidR="00D60822" w:rsidRPr="00BC0D1F" w:rsidRDefault="00BF547F" w:rsidP="00F06348">
            <w:pPr>
              <w:pStyle w:val="TableText"/>
              <w:spacing w:before="40" w:after="40"/>
              <w:ind w:left="85"/>
              <w:rPr>
                <w:sz w:val="15"/>
                <w:szCs w:val="15"/>
              </w:rPr>
            </w:pPr>
            <w:r w:rsidRPr="00BC0D1F">
              <w:rPr>
                <w:spacing w:val="-2"/>
                <w:sz w:val="15"/>
                <w:szCs w:val="15"/>
              </w:rPr>
              <w:t>Ministry of Health</w:t>
            </w:r>
          </w:p>
        </w:tc>
      </w:tr>
      <w:tr w:rsidR="00810942" w:rsidRPr="00BC0D1F" w14:paraId="68223E30" w14:textId="77777777" w:rsidTr="00F06348">
        <w:trPr>
          <w:cantSplit/>
        </w:trPr>
        <w:tc>
          <w:tcPr>
            <w:tcW w:w="993" w:type="dxa"/>
            <w:tcBorders>
              <w:top w:val="nil"/>
              <w:left w:val="nil"/>
              <w:bottom w:val="nil"/>
              <w:right w:val="nil"/>
            </w:tcBorders>
            <w:shd w:val="clear" w:color="auto" w:fill="auto"/>
          </w:tcPr>
          <w:p w14:paraId="25BB2F99" w14:textId="77777777" w:rsidR="00D60822" w:rsidRPr="00BC0D1F" w:rsidRDefault="00D60822" w:rsidP="00F06348">
            <w:pPr>
              <w:pStyle w:val="TableText"/>
              <w:spacing w:before="40" w:after="40"/>
              <w:ind w:right="85"/>
              <w:jc w:val="right"/>
              <w:rPr>
                <w:sz w:val="15"/>
                <w:szCs w:val="15"/>
              </w:rPr>
            </w:pPr>
            <w:r w:rsidRPr="00BC0D1F">
              <w:rPr>
                <w:sz w:val="15"/>
                <w:szCs w:val="15"/>
              </w:rPr>
              <w:t>49,439</w:t>
            </w:r>
          </w:p>
        </w:tc>
        <w:tc>
          <w:tcPr>
            <w:tcW w:w="2976" w:type="dxa"/>
            <w:tcBorders>
              <w:top w:val="nil"/>
              <w:left w:val="nil"/>
              <w:bottom w:val="nil"/>
              <w:right w:val="nil"/>
            </w:tcBorders>
            <w:shd w:val="clear" w:color="auto" w:fill="auto"/>
          </w:tcPr>
          <w:p w14:paraId="191DD64D" w14:textId="77777777" w:rsidR="00D60822" w:rsidRPr="00BC0D1F" w:rsidRDefault="00D60822" w:rsidP="00F06348">
            <w:pPr>
              <w:pStyle w:val="TableText"/>
              <w:spacing w:before="40" w:after="40"/>
              <w:rPr>
                <w:sz w:val="15"/>
                <w:szCs w:val="15"/>
              </w:rPr>
            </w:pPr>
            <w:r w:rsidRPr="00BC0D1F">
              <w:rPr>
                <w:sz w:val="15"/>
                <w:szCs w:val="15"/>
              </w:rPr>
              <w:t>Sector planning and performance</w:t>
            </w:r>
          </w:p>
        </w:tc>
        <w:tc>
          <w:tcPr>
            <w:tcW w:w="993" w:type="dxa"/>
            <w:tcBorders>
              <w:top w:val="nil"/>
              <w:left w:val="nil"/>
              <w:bottom w:val="nil"/>
              <w:right w:val="nil"/>
            </w:tcBorders>
            <w:shd w:val="clear" w:color="auto" w:fill="D9D9D9"/>
          </w:tcPr>
          <w:p w14:paraId="28B31A05" w14:textId="6CE42AF4" w:rsidR="00D60822" w:rsidRPr="00BC0D1F" w:rsidRDefault="00D60822" w:rsidP="008D3000">
            <w:pPr>
              <w:pStyle w:val="TableText"/>
              <w:spacing w:before="40" w:after="40"/>
              <w:ind w:right="85"/>
              <w:jc w:val="right"/>
              <w:rPr>
                <w:sz w:val="15"/>
                <w:szCs w:val="15"/>
              </w:rPr>
            </w:pPr>
            <w:r w:rsidRPr="00BC0D1F">
              <w:rPr>
                <w:sz w:val="15"/>
                <w:szCs w:val="15"/>
              </w:rPr>
              <w:t>47,05</w:t>
            </w:r>
            <w:r w:rsidR="008D3000">
              <w:rPr>
                <w:sz w:val="15"/>
                <w:szCs w:val="15"/>
              </w:rPr>
              <w:t>0</w:t>
            </w:r>
          </w:p>
        </w:tc>
        <w:tc>
          <w:tcPr>
            <w:tcW w:w="850" w:type="dxa"/>
            <w:tcBorders>
              <w:top w:val="nil"/>
              <w:left w:val="nil"/>
              <w:bottom w:val="nil"/>
              <w:right w:val="nil"/>
            </w:tcBorders>
            <w:shd w:val="clear" w:color="auto" w:fill="auto"/>
          </w:tcPr>
          <w:p w14:paraId="79FA07AE" w14:textId="77777777" w:rsidR="00D60822" w:rsidRPr="00BC0D1F" w:rsidRDefault="00D60822" w:rsidP="00F06348">
            <w:pPr>
              <w:pStyle w:val="TableText"/>
              <w:spacing w:before="40" w:after="40"/>
              <w:jc w:val="right"/>
              <w:rPr>
                <w:sz w:val="15"/>
                <w:szCs w:val="15"/>
              </w:rPr>
            </w:pPr>
            <w:r w:rsidRPr="00BC0D1F">
              <w:rPr>
                <w:sz w:val="15"/>
                <w:szCs w:val="15"/>
              </w:rPr>
              <w:t>48,038</w:t>
            </w:r>
          </w:p>
        </w:tc>
        <w:tc>
          <w:tcPr>
            <w:tcW w:w="992" w:type="dxa"/>
            <w:tcBorders>
              <w:top w:val="nil"/>
              <w:left w:val="nil"/>
              <w:bottom w:val="nil"/>
              <w:right w:val="nil"/>
            </w:tcBorders>
            <w:shd w:val="clear" w:color="auto" w:fill="auto"/>
          </w:tcPr>
          <w:p w14:paraId="0805A490" w14:textId="77777777" w:rsidR="00D60822" w:rsidRPr="00BC0D1F" w:rsidRDefault="00D60822" w:rsidP="00F06348">
            <w:pPr>
              <w:pStyle w:val="TableText"/>
              <w:spacing w:before="40" w:after="40"/>
              <w:jc w:val="right"/>
              <w:rPr>
                <w:sz w:val="15"/>
                <w:szCs w:val="15"/>
              </w:rPr>
            </w:pPr>
            <w:r w:rsidRPr="00BC0D1F">
              <w:rPr>
                <w:sz w:val="15"/>
                <w:szCs w:val="15"/>
              </w:rPr>
              <w:t>47,191</w:t>
            </w:r>
          </w:p>
        </w:tc>
        <w:tc>
          <w:tcPr>
            <w:tcW w:w="1276" w:type="dxa"/>
            <w:tcBorders>
              <w:top w:val="nil"/>
              <w:left w:val="nil"/>
              <w:bottom w:val="nil"/>
              <w:right w:val="nil"/>
            </w:tcBorders>
            <w:shd w:val="clear" w:color="auto" w:fill="auto"/>
          </w:tcPr>
          <w:p w14:paraId="5B86CFA6" w14:textId="77777777" w:rsidR="00D60822" w:rsidRPr="00BC0D1F" w:rsidRDefault="00D60822" w:rsidP="00F06348">
            <w:pPr>
              <w:pStyle w:val="TableText"/>
              <w:spacing w:before="40" w:after="40"/>
              <w:jc w:val="right"/>
              <w:rPr>
                <w:sz w:val="15"/>
                <w:szCs w:val="15"/>
              </w:rPr>
            </w:pPr>
            <w:r w:rsidRPr="00BC0D1F">
              <w:rPr>
                <w:sz w:val="15"/>
                <w:szCs w:val="15"/>
              </w:rPr>
              <w:t>0.30%</w:t>
            </w:r>
          </w:p>
        </w:tc>
        <w:tc>
          <w:tcPr>
            <w:tcW w:w="1276" w:type="dxa"/>
            <w:tcBorders>
              <w:top w:val="nil"/>
              <w:left w:val="nil"/>
              <w:bottom w:val="nil"/>
              <w:right w:val="nil"/>
            </w:tcBorders>
            <w:shd w:val="clear" w:color="auto" w:fill="auto"/>
          </w:tcPr>
          <w:p w14:paraId="5DD8FB01" w14:textId="4947CD0D" w:rsidR="00D60822" w:rsidRPr="00BC0D1F" w:rsidRDefault="00BF547F" w:rsidP="00F06348">
            <w:pPr>
              <w:pStyle w:val="TableText"/>
              <w:spacing w:before="40" w:after="40"/>
              <w:ind w:left="85"/>
              <w:rPr>
                <w:sz w:val="15"/>
                <w:szCs w:val="15"/>
              </w:rPr>
            </w:pPr>
            <w:r w:rsidRPr="00BC0D1F">
              <w:rPr>
                <w:spacing w:val="-2"/>
                <w:sz w:val="15"/>
                <w:szCs w:val="15"/>
              </w:rPr>
              <w:t>Annual Report</w:t>
            </w:r>
          </w:p>
        </w:tc>
      </w:tr>
      <w:tr w:rsidR="00810942" w:rsidRPr="00BC0D1F" w14:paraId="729895C9" w14:textId="77777777" w:rsidTr="00F06348">
        <w:trPr>
          <w:cantSplit/>
        </w:trPr>
        <w:tc>
          <w:tcPr>
            <w:tcW w:w="993" w:type="dxa"/>
            <w:tcBorders>
              <w:top w:val="nil"/>
              <w:left w:val="nil"/>
              <w:bottom w:val="nil"/>
              <w:right w:val="nil"/>
            </w:tcBorders>
            <w:shd w:val="clear" w:color="auto" w:fill="auto"/>
          </w:tcPr>
          <w:p w14:paraId="04B895B4" w14:textId="77777777" w:rsidR="00D60822" w:rsidRPr="00BC0D1F" w:rsidRDefault="00D60822" w:rsidP="00F06348">
            <w:pPr>
              <w:pStyle w:val="TableText"/>
              <w:spacing w:before="40" w:after="40"/>
              <w:ind w:right="85"/>
              <w:jc w:val="right"/>
              <w:rPr>
                <w:sz w:val="15"/>
                <w:szCs w:val="15"/>
              </w:rPr>
            </w:pPr>
            <w:r w:rsidRPr="00BC0D1F">
              <w:rPr>
                <w:sz w:val="15"/>
                <w:szCs w:val="15"/>
              </w:rPr>
              <w:t>50,338</w:t>
            </w:r>
          </w:p>
        </w:tc>
        <w:tc>
          <w:tcPr>
            <w:tcW w:w="2976" w:type="dxa"/>
            <w:tcBorders>
              <w:top w:val="nil"/>
              <w:left w:val="nil"/>
              <w:bottom w:val="nil"/>
              <w:right w:val="nil"/>
            </w:tcBorders>
            <w:shd w:val="clear" w:color="auto" w:fill="auto"/>
          </w:tcPr>
          <w:p w14:paraId="3853BAD6" w14:textId="77777777" w:rsidR="00D60822" w:rsidRPr="00BC0D1F" w:rsidRDefault="00D60822" w:rsidP="00F06348">
            <w:pPr>
              <w:pStyle w:val="TableText"/>
              <w:spacing w:before="40" w:after="40"/>
              <w:rPr>
                <w:sz w:val="15"/>
                <w:szCs w:val="15"/>
              </w:rPr>
            </w:pPr>
            <w:r w:rsidRPr="00BC0D1F">
              <w:rPr>
                <w:sz w:val="15"/>
                <w:szCs w:val="15"/>
              </w:rPr>
              <w:t>Health Sector Information Systems</w:t>
            </w:r>
          </w:p>
        </w:tc>
        <w:tc>
          <w:tcPr>
            <w:tcW w:w="993" w:type="dxa"/>
            <w:tcBorders>
              <w:top w:val="nil"/>
              <w:left w:val="nil"/>
              <w:bottom w:val="nil"/>
              <w:right w:val="nil"/>
            </w:tcBorders>
            <w:shd w:val="clear" w:color="auto" w:fill="D9D9D9"/>
          </w:tcPr>
          <w:p w14:paraId="7F33702A" w14:textId="1F455F30" w:rsidR="00D60822" w:rsidRPr="00BC0D1F" w:rsidRDefault="00D60822" w:rsidP="008D3000">
            <w:pPr>
              <w:pStyle w:val="TableText"/>
              <w:spacing w:before="40" w:after="40"/>
              <w:ind w:right="85"/>
              <w:jc w:val="right"/>
              <w:rPr>
                <w:sz w:val="15"/>
                <w:szCs w:val="15"/>
              </w:rPr>
            </w:pPr>
            <w:r w:rsidRPr="00BC0D1F">
              <w:rPr>
                <w:sz w:val="15"/>
                <w:szCs w:val="15"/>
              </w:rPr>
              <w:t>50,1</w:t>
            </w:r>
            <w:r w:rsidR="008D3000">
              <w:rPr>
                <w:sz w:val="15"/>
                <w:szCs w:val="15"/>
              </w:rPr>
              <w:t>10</w:t>
            </w:r>
          </w:p>
        </w:tc>
        <w:tc>
          <w:tcPr>
            <w:tcW w:w="850" w:type="dxa"/>
            <w:tcBorders>
              <w:top w:val="nil"/>
              <w:left w:val="nil"/>
              <w:bottom w:val="nil"/>
              <w:right w:val="nil"/>
            </w:tcBorders>
            <w:shd w:val="clear" w:color="auto" w:fill="auto"/>
          </w:tcPr>
          <w:p w14:paraId="736305F3" w14:textId="77777777" w:rsidR="00D60822" w:rsidRPr="00BC0D1F" w:rsidRDefault="00D60822" w:rsidP="00F06348">
            <w:pPr>
              <w:pStyle w:val="TableText"/>
              <w:spacing w:before="40" w:after="40"/>
              <w:jc w:val="right"/>
              <w:rPr>
                <w:sz w:val="15"/>
                <w:szCs w:val="15"/>
              </w:rPr>
            </w:pPr>
            <w:r w:rsidRPr="00BC0D1F">
              <w:rPr>
                <w:sz w:val="15"/>
                <w:szCs w:val="15"/>
              </w:rPr>
              <w:t>50,201</w:t>
            </w:r>
          </w:p>
        </w:tc>
        <w:tc>
          <w:tcPr>
            <w:tcW w:w="992" w:type="dxa"/>
            <w:tcBorders>
              <w:top w:val="nil"/>
              <w:left w:val="nil"/>
              <w:bottom w:val="nil"/>
              <w:right w:val="nil"/>
            </w:tcBorders>
            <w:shd w:val="clear" w:color="auto" w:fill="auto"/>
          </w:tcPr>
          <w:p w14:paraId="38E81D82" w14:textId="77777777" w:rsidR="00D60822" w:rsidRPr="00BC0D1F" w:rsidRDefault="00D60822" w:rsidP="00F06348">
            <w:pPr>
              <w:pStyle w:val="TableText"/>
              <w:spacing w:before="40" w:after="40"/>
              <w:jc w:val="right"/>
              <w:rPr>
                <w:sz w:val="15"/>
                <w:szCs w:val="15"/>
              </w:rPr>
            </w:pPr>
            <w:r w:rsidRPr="00BC0D1F">
              <w:rPr>
                <w:sz w:val="15"/>
                <w:szCs w:val="15"/>
              </w:rPr>
              <w:t>50,661</w:t>
            </w:r>
          </w:p>
        </w:tc>
        <w:tc>
          <w:tcPr>
            <w:tcW w:w="1276" w:type="dxa"/>
            <w:tcBorders>
              <w:top w:val="nil"/>
              <w:left w:val="nil"/>
              <w:bottom w:val="nil"/>
              <w:right w:val="nil"/>
            </w:tcBorders>
            <w:shd w:val="clear" w:color="auto" w:fill="auto"/>
          </w:tcPr>
          <w:p w14:paraId="3BC0E329" w14:textId="77777777" w:rsidR="00D60822" w:rsidRPr="00BC0D1F" w:rsidRDefault="00D60822" w:rsidP="00F06348">
            <w:pPr>
              <w:pStyle w:val="TableText"/>
              <w:spacing w:before="40" w:after="40"/>
              <w:jc w:val="right"/>
              <w:rPr>
                <w:sz w:val="15"/>
                <w:szCs w:val="15"/>
              </w:rPr>
            </w:pPr>
            <w:r w:rsidRPr="00BC0D1F">
              <w:rPr>
                <w:sz w:val="15"/>
                <w:szCs w:val="15"/>
              </w:rPr>
              <w:t>0.32%</w:t>
            </w:r>
          </w:p>
        </w:tc>
        <w:tc>
          <w:tcPr>
            <w:tcW w:w="1276" w:type="dxa"/>
            <w:tcBorders>
              <w:top w:val="nil"/>
              <w:left w:val="nil"/>
              <w:bottom w:val="nil"/>
              <w:right w:val="nil"/>
            </w:tcBorders>
            <w:shd w:val="clear" w:color="auto" w:fill="auto"/>
          </w:tcPr>
          <w:p w14:paraId="71D77B0D" w14:textId="77777777" w:rsidR="00D60822" w:rsidRPr="00BC0D1F" w:rsidRDefault="00D60822" w:rsidP="00F06348">
            <w:pPr>
              <w:pStyle w:val="TableText"/>
              <w:spacing w:before="40" w:after="40"/>
              <w:ind w:left="85"/>
              <w:rPr>
                <w:sz w:val="15"/>
                <w:szCs w:val="15"/>
              </w:rPr>
            </w:pPr>
          </w:p>
        </w:tc>
      </w:tr>
      <w:tr w:rsidR="00810942" w:rsidRPr="00BC0D1F" w14:paraId="22689FC5" w14:textId="77777777" w:rsidTr="00F06348">
        <w:trPr>
          <w:cantSplit/>
        </w:trPr>
        <w:tc>
          <w:tcPr>
            <w:tcW w:w="993" w:type="dxa"/>
            <w:tcBorders>
              <w:top w:val="nil"/>
              <w:left w:val="nil"/>
              <w:bottom w:val="nil"/>
              <w:right w:val="nil"/>
            </w:tcBorders>
            <w:shd w:val="clear" w:color="auto" w:fill="auto"/>
          </w:tcPr>
          <w:p w14:paraId="62B727CB" w14:textId="77777777" w:rsidR="00D60822" w:rsidRPr="00BC0D1F" w:rsidRDefault="00D60822" w:rsidP="00F06348">
            <w:pPr>
              <w:pStyle w:val="TableText"/>
              <w:spacing w:before="40" w:after="40"/>
              <w:ind w:right="85"/>
              <w:jc w:val="right"/>
              <w:rPr>
                <w:sz w:val="15"/>
                <w:szCs w:val="15"/>
              </w:rPr>
            </w:pPr>
            <w:r w:rsidRPr="00BC0D1F">
              <w:rPr>
                <w:sz w:val="15"/>
                <w:szCs w:val="15"/>
              </w:rPr>
              <w:t>17,908</w:t>
            </w:r>
          </w:p>
        </w:tc>
        <w:tc>
          <w:tcPr>
            <w:tcW w:w="2976" w:type="dxa"/>
            <w:tcBorders>
              <w:top w:val="nil"/>
              <w:left w:val="nil"/>
              <w:bottom w:val="nil"/>
              <w:right w:val="nil"/>
            </w:tcBorders>
            <w:shd w:val="clear" w:color="auto" w:fill="auto"/>
          </w:tcPr>
          <w:p w14:paraId="277E869E" w14:textId="77777777" w:rsidR="00D60822" w:rsidRPr="00BC0D1F" w:rsidRDefault="00D60822" w:rsidP="00F06348">
            <w:pPr>
              <w:pStyle w:val="TableText"/>
              <w:spacing w:before="40" w:after="40"/>
              <w:rPr>
                <w:sz w:val="15"/>
                <w:szCs w:val="15"/>
              </w:rPr>
            </w:pPr>
            <w:r w:rsidRPr="00BC0D1F">
              <w:rPr>
                <w:sz w:val="15"/>
                <w:szCs w:val="15"/>
              </w:rPr>
              <w:t>Payment Services</w:t>
            </w:r>
          </w:p>
        </w:tc>
        <w:tc>
          <w:tcPr>
            <w:tcW w:w="993" w:type="dxa"/>
            <w:tcBorders>
              <w:top w:val="nil"/>
              <w:left w:val="nil"/>
              <w:bottom w:val="nil"/>
              <w:right w:val="nil"/>
            </w:tcBorders>
            <w:shd w:val="clear" w:color="auto" w:fill="D9D9D9"/>
          </w:tcPr>
          <w:p w14:paraId="3BFF1625" w14:textId="0BE1E1EA" w:rsidR="00D60822" w:rsidRPr="00BC0D1F" w:rsidRDefault="00D60822" w:rsidP="008D3000">
            <w:pPr>
              <w:pStyle w:val="TableText"/>
              <w:spacing w:before="40" w:after="40"/>
              <w:ind w:right="85"/>
              <w:jc w:val="right"/>
              <w:rPr>
                <w:sz w:val="15"/>
                <w:szCs w:val="15"/>
              </w:rPr>
            </w:pPr>
            <w:r w:rsidRPr="00BC0D1F">
              <w:rPr>
                <w:sz w:val="15"/>
                <w:szCs w:val="15"/>
              </w:rPr>
              <w:t>17,90</w:t>
            </w:r>
            <w:r w:rsidR="008D3000">
              <w:rPr>
                <w:sz w:val="15"/>
                <w:szCs w:val="15"/>
              </w:rPr>
              <w:t>7</w:t>
            </w:r>
          </w:p>
        </w:tc>
        <w:tc>
          <w:tcPr>
            <w:tcW w:w="850" w:type="dxa"/>
            <w:tcBorders>
              <w:top w:val="nil"/>
              <w:left w:val="nil"/>
              <w:bottom w:val="nil"/>
              <w:right w:val="nil"/>
            </w:tcBorders>
            <w:shd w:val="clear" w:color="auto" w:fill="auto"/>
          </w:tcPr>
          <w:p w14:paraId="44014C81" w14:textId="77777777" w:rsidR="00D60822" w:rsidRPr="00BC0D1F" w:rsidRDefault="00D60822" w:rsidP="00F06348">
            <w:pPr>
              <w:pStyle w:val="TableText"/>
              <w:spacing w:before="40" w:after="40"/>
              <w:jc w:val="right"/>
              <w:rPr>
                <w:sz w:val="15"/>
                <w:szCs w:val="15"/>
              </w:rPr>
            </w:pPr>
            <w:r w:rsidRPr="00BC0D1F">
              <w:rPr>
                <w:sz w:val="15"/>
                <w:szCs w:val="15"/>
              </w:rPr>
              <w:t>18,171</w:t>
            </w:r>
          </w:p>
        </w:tc>
        <w:tc>
          <w:tcPr>
            <w:tcW w:w="992" w:type="dxa"/>
            <w:tcBorders>
              <w:top w:val="nil"/>
              <w:left w:val="nil"/>
              <w:bottom w:val="nil"/>
              <w:right w:val="nil"/>
            </w:tcBorders>
            <w:shd w:val="clear" w:color="auto" w:fill="auto"/>
          </w:tcPr>
          <w:p w14:paraId="00E0BA26" w14:textId="77777777" w:rsidR="00D60822" w:rsidRPr="00BC0D1F" w:rsidRDefault="00D60822" w:rsidP="00F06348">
            <w:pPr>
              <w:pStyle w:val="TableText"/>
              <w:spacing w:before="40" w:after="40"/>
              <w:jc w:val="right"/>
              <w:rPr>
                <w:sz w:val="15"/>
                <w:szCs w:val="15"/>
              </w:rPr>
            </w:pPr>
            <w:r w:rsidRPr="00BC0D1F">
              <w:rPr>
                <w:sz w:val="15"/>
                <w:szCs w:val="15"/>
              </w:rPr>
              <w:t>18,027</w:t>
            </w:r>
          </w:p>
        </w:tc>
        <w:tc>
          <w:tcPr>
            <w:tcW w:w="1276" w:type="dxa"/>
            <w:tcBorders>
              <w:top w:val="nil"/>
              <w:left w:val="nil"/>
              <w:bottom w:val="nil"/>
              <w:right w:val="nil"/>
            </w:tcBorders>
            <w:shd w:val="clear" w:color="auto" w:fill="auto"/>
          </w:tcPr>
          <w:p w14:paraId="4851E9A5" w14:textId="77777777" w:rsidR="00D60822" w:rsidRPr="00BC0D1F" w:rsidRDefault="00D60822" w:rsidP="00F06348">
            <w:pPr>
              <w:pStyle w:val="TableText"/>
              <w:spacing w:before="40" w:after="40"/>
              <w:jc w:val="right"/>
              <w:rPr>
                <w:sz w:val="15"/>
                <w:szCs w:val="15"/>
              </w:rPr>
            </w:pPr>
            <w:r w:rsidRPr="00BC0D1F">
              <w:rPr>
                <w:sz w:val="15"/>
                <w:szCs w:val="15"/>
              </w:rPr>
              <w:t>0.12%</w:t>
            </w:r>
          </w:p>
        </w:tc>
        <w:tc>
          <w:tcPr>
            <w:tcW w:w="1276" w:type="dxa"/>
            <w:tcBorders>
              <w:top w:val="nil"/>
              <w:left w:val="nil"/>
              <w:bottom w:val="nil"/>
              <w:right w:val="nil"/>
            </w:tcBorders>
            <w:shd w:val="clear" w:color="auto" w:fill="auto"/>
          </w:tcPr>
          <w:p w14:paraId="097D2E5F" w14:textId="77777777" w:rsidR="00D60822" w:rsidRPr="00BC0D1F" w:rsidRDefault="00D60822" w:rsidP="00F06348">
            <w:pPr>
              <w:pStyle w:val="TableText"/>
              <w:spacing w:before="40" w:after="40"/>
              <w:ind w:left="85"/>
              <w:rPr>
                <w:sz w:val="15"/>
                <w:szCs w:val="15"/>
              </w:rPr>
            </w:pPr>
          </w:p>
        </w:tc>
      </w:tr>
      <w:tr w:rsidR="00810942" w:rsidRPr="00BC0D1F" w14:paraId="4FBF1F64" w14:textId="77777777" w:rsidTr="00F06348">
        <w:trPr>
          <w:cantSplit/>
        </w:trPr>
        <w:tc>
          <w:tcPr>
            <w:tcW w:w="993" w:type="dxa"/>
            <w:tcBorders>
              <w:top w:val="nil"/>
              <w:left w:val="nil"/>
              <w:bottom w:val="single" w:sz="4" w:space="0" w:color="A6A6A6"/>
              <w:right w:val="nil"/>
            </w:tcBorders>
            <w:shd w:val="clear" w:color="auto" w:fill="D9D9D9"/>
          </w:tcPr>
          <w:p w14:paraId="22C61751" w14:textId="77777777" w:rsidR="00D60822" w:rsidRPr="00BC0D1F" w:rsidRDefault="00D60822" w:rsidP="00F06348">
            <w:pPr>
              <w:pStyle w:val="TableText"/>
              <w:spacing w:before="40" w:after="40"/>
              <w:ind w:right="85"/>
              <w:jc w:val="right"/>
              <w:rPr>
                <w:b/>
                <w:sz w:val="15"/>
                <w:szCs w:val="15"/>
              </w:rPr>
            </w:pPr>
            <w:r w:rsidRPr="00BC0D1F">
              <w:rPr>
                <w:b/>
                <w:sz w:val="15"/>
                <w:szCs w:val="15"/>
              </w:rPr>
              <w:t>172,361</w:t>
            </w:r>
          </w:p>
        </w:tc>
        <w:tc>
          <w:tcPr>
            <w:tcW w:w="2976" w:type="dxa"/>
            <w:tcBorders>
              <w:top w:val="nil"/>
              <w:left w:val="nil"/>
              <w:bottom w:val="single" w:sz="4" w:space="0" w:color="A6A6A6"/>
              <w:right w:val="nil"/>
            </w:tcBorders>
            <w:shd w:val="clear" w:color="auto" w:fill="auto"/>
          </w:tcPr>
          <w:p w14:paraId="24795498" w14:textId="77777777" w:rsidR="00D60822" w:rsidRPr="00BC0D1F" w:rsidRDefault="00D60822" w:rsidP="00F06348">
            <w:pPr>
              <w:pStyle w:val="TableText"/>
              <w:spacing w:before="40" w:after="40"/>
              <w:rPr>
                <w:b/>
                <w:sz w:val="15"/>
                <w:szCs w:val="15"/>
              </w:rPr>
            </w:pPr>
            <w:r w:rsidRPr="00BC0D1F">
              <w:rPr>
                <w:b/>
                <w:sz w:val="15"/>
                <w:szCs w:val="15"/>
              </w:rPr>
              <w:t>Total departmental output expenses</w:t>
            </w:r>
          </w:p>
        </w:tc>
        <w:tc>
          <w:tcPr>
            <w:tcW w:w="993" w:type="dxa"/>
            <w:tcBorders>
              <w:top w:val="nil"/>
              <w:left w:val="nil"/>
              <w:bottom w:val="single" w:sz="4" w:space="0" w:color="A6A6A6"/>
              <w:right w:val="nil"/>
            </w:tcBorders>
            <w:shd w:val="clear" w:color="auto" w:fill="D9D9D9"/>
          </w:tcPr>
          <w:p w14:paraId="5DAF20B6" w14:textId="2BDC1067" w:rsidR="00D60822" w:rsidRPr="00BC0D1F" w:rsidRDefault="00D60822" w:rsidP="008940B4">
            <w:pPr>
              <w:pStyle w:val="TableText"/>
              <w:spacing w:before="40" w:after="40"/>
              <w:ind w:right="85"/>
              <w:jc w:val="right"/>
              <w:rPr>
                <w:b/>
                <w:sz w:val="15"/>
                <w:szCs w:val="15"/>
              </w:rPr>
            </w:pPr>
            <w:r w:rsidRPr="00BC0D1F">
              <w:rPr>
                <w:b/>
                <w:sz w:val="15"/>
                <w:szCs w:val="15"/>
              </w:rPr>
              <w:t>169,</w:t>
            </w:r>
            <w:r w:rsidR="008940B4">
              <w:rPr>
                <w:b/>
                <w:sz w:val="15"/>
                <w:szCs w:val="15"/>
              </w:rPr>
              <w:t>596</w:t>
            </w:r>
          </w:p>
        </w:tc>
        <w:tc>
          <w:tcPr>
            <w:tcW w:w="850" w:type="dxa"/>
            <w:tcBorders>
              <w:top w:val="nil"/>
              <w:left w:val="nil"/>
              <w:bottom w:val="single" w:sz="4" w:space="0" w:color="A6A6A6"/>
              <w:right w:val="nil"/>
            </w:tcBorders>
            <w:shd w:val="clear" w:color="auto" w:fill="D9D9D9"/>
          </w:tcPr>
          <w:p w14:paraId="2286C9A0" w14:textId="77777777" w:rsidR="00D60822" w:rsidRPr="00BC0D1F" w:rsidRDefault="00D60822" w:rsidP="00F06348">
            <w:pPr>
              <w:pStyle w:val="TableText"/>
              <w:spacing w:before="40" w:after="40"/>
              <w:jc w:val="right"/>
              <w:rPr>
                <w:b/>
                <w:sz w:val="15"/>
                <w:szCs w:val="15"/>
              </w:rPr>
            </w:pPr>
            <w:r w:rsidRPr="00BC0D1F">
              <w:rPr>
                <w:b/>
                <w:sz w:val="15"/>
                <w:szCs w:val="15"/>
              </w:rPr>
              <w:t>171,244</w:t>
            </w:r>
          </w:p>
        </w:tc>
        <w:tc>
          <w:tcPr>
            <w:tcW w:w="992" w:type="dxa"/>
            <w:tcBorders>
              <w:top w:val="nil"/>
              <w:left w:val="nil"/>
              <w:bottom w:val="single" w:sz="4" w:space="0" w:color="A6A6A6"/>
              <w:right w:val="nil"/>
            </w:tcBorders>
            <w:shd w:val="clear" w:color="auto" w:fill="D9D9D9"/>
          </w:tcPr>
          <w:p w14:paraId="27F1BAFF" w14:textId="77777777" w:rsidR="00D60822" w:rsidRPr="00BC0D1F" w:rsidRDefault="00D60822" w:rsidP="00F06348">
            <w:pPr>
              <w:pStyle w:val="TableText"/>
              <w:spacing w:before="40" w:after="40"/>
              <w:jc w:val="right"/>
              <w:rPr>
                <w:b/>
                <w:sz w:val="15"/>
                <w:szCs w:val="15"/>
              </w:rPr>
            </w:pPr>
            <w:r w:rsidRPr="00BC0D1F">
              <w:rPr>
                <w:b/>
                <w:sz w:val="15"/>
                <w:szCs w:val="15"/>
              </w:rPr>
              <w:t>171,685</w:t>
            </w:r>
          </w:p>
        </w:tc>
        <w:tc>
          <w:tcPr>
            <w:tcW w:w="1276" w:type="dxa"/>
            <w:tcBorders>
              <w:top w:val="nil"/>
              <w:left w:val="nil"/>
              <w:bottom w:val="single" w:sz="4" w:space="0" w:color="A6A6A6"/>
              <w:right w:val="nil"/>
            </w:tcBorders>
            <w:shd w:val="clear" w:color="auto" w:fill="D9D9D9"/>
          </w:tcPr>
          <w:p w14:paraId="7F9F8121" w14:textId="77777777" w:rsidR="00D60822" w:rsidRPr="00BC0D1F" w:rsidRDefault="00D60822" w:rsidP="00F06348">
            <w:pPr>
              <w:pStyle w:val="TableText"/>
              <w:spacing w:before="40" w:after="40"/>
              <w:jc w:val="right"/>
              <w:rPr>
                <w:b/>
                <w:sz w:val="15"/>
                <w:szCs w:val="15"/>
              </w:rPr>
            </w:pPr>
            <w:r w:rsidRPr="00BC0D1F">
              <w:rPr>
                <w:b/>
                <w:sz w:val="15"/>
                <w:szCs w:val="15"/>
              </w:rPr>
              <w:t>1.10%</w:t>
            </w:r>
          </w:p>
        </w:tc>
        <w:tc>
          <w:tcPr>
            <w:tcW w:w="1276" w:type="dxa"/>
            <w:tcBorders>
              <w:top w:val="nil"/>
              <w:left w:val="nil"/>
              <w:bottom w:val="single" w:sz="4" w:space="0" w:color="A6A6A6"/>
              <w:right w:val="nil"/>
            </w:tcBorders>
            <w:shd w:val="clear" w:color="auto" w:fill="auto"/>
          </w:tcPr>
          <w:p w14:paraId="2529CD8B" w14:textId="77777777" w:rsidR="00D60822" w:rsidRPr="00BC0D1F" w:rsidRDefault="00D60822" w:rsidP="00F06348">
            <w:pPr>
              <w:pStyle w:val="TableText"/>
              <w:spacing w:before="40" w:after="40"/>
              <w:ind w:left="85"/>
              <w:rPr>
                <w:b/>
                <w:sz w:val="15"/>
                <w:szCs w:val="15"/>
              </w:rPr>
            </w:pPr>
          </w:p>
        </w:tc>
      </w:tr>
      <w:tr w:rsidR="00810942" w:rsidRPr="00BC0D1F" w14:paraId="2DE90538" w14:textId="77777777" w:rsidTr="00F06348">
        <w:trPr>
          <w:cantSplit/>
        </w:trPr>
        <w:tc>
          <w:tcPr>
            <w:tcW w:w="993" w:type="dxa"/>
            <w:tcBorders>
              <w:top w:val="single" w:sz="4" w:space="0" w:color="A6A6A6"/>
              <w:left w:val="nil"/>
              <w:bottom w:val="nil"/>
              <w:right w:val="nil"/>
            </w:tcBorders>
            <w:shd w:val="clear" w:color="auto" w:fill="auto"/>
          </w:tcPr>
          <w:p w14:paraId="72242D9F" w14:textId="77777777" w:rsidR="00D60822" w:rsidRPr="00BC0D1F" w:rsidRDefault="00D60822" w:rsidP="00F06348">
            <w:pPr>
              <w:pStyle w:val="TableText"/>
              <w:spacing w:before="40" w:after="40"/>
              <w:ind w:right="85"/>
              <w:jc w:val="right"/>
              <w:rPr>
                <w:sz w:val="15"/>
                <w:szCs w:val="15"/>
              </w:rPr>
            </w:pPr>
          </w:p>
        </w:tc>
        <w:tc>
          <w:tcPr>
            <w:tcW w:w="2976" w:type="dxa"/>
            <w:tcBorders>
              <w:top w:val="single" w:sz="4" w:space="0" w:color="A6A6A6"/>
              <w:left w:val="nil"/>
              <w:bottom w:val="nil"/>
              <w:right w:val="nil"/>
            </w:tcBorders>
            <w:shd w:val="clear" w:color="auto" w:fill="auto"/>
          </w:tcPr>
          <w:p w14:paraId="70F714FC" w14:textId="77777777" w:rsidR="00D60822" w:rsidRPr="00BC0D1F" w:rsidRDefault="00D60822" w:rsidP="00F06348">
            <w:pPr>
              <w:pStyle w:val="TableText"/>
              <w:spacing w:before="40" w:after="40"/>
              <w:rPr>
                <w:b/>
                <w:sz w:val="15"/>
                <w:szCs w:val="15"/>
              </w:rPr>
            </w:pPr>
            <w:r w:rsidRPr="00BC0D1F">
              <w:rPr>
                <w:b/>
                <w:sz w:val="15"/>
                <w:szCs w:val="15"/>
              </w:rPr>
              <w:t>Multi-</w:t>
            </w:r>
            <w:r w:rsidR="00CF4DCF" w:rsidRPr="00BC0D1F">
              <w:rPr>
                <w:b/>
                <w:sz w:val="15"/>
                <w:szCs w:val="15"/>
              </w:rPr>
              <w:t>c</w:t>
            </w:r>
            <w:r w:rsidRPr="00BC0D1F">
              <w:rPr>
                <w:b/>
                <w:sz w:val="15"/>
                <w:szCs w:val="15"/>
              </w:rPr>
              <w:t xml:space="preserve">ategory </w:t>
            </w:r>
            <w:r w:rsidR="00CF4DCF" w:rsidRPr="00BC0D1F">
              <w:rPr>
                <w:b/>
                <w:sz w:val="15"/>
                <w:szCs w:val="15"/>
              </w:rPr>
              <w:t>e</w:t>
            </w:r>
            <w:r w:rsidRPr="00BC0D1F">
              <w:rPr>
                <w:b/>
                <w:sz w:val="15"/>
                <w:szCs w:val="15"/>
              </w:rPr>
              <w:t xml:space="preserve">xpense and </w:t>
            </w:r>
            <w:r w:rsidR="00CF4DCF" w:rsidRPr="00BC0D1F">
              <w:rPr>
                <w:b/>
                <w:sz w:val="15"/>
                <w:szCs w:val="15"/>
              </w:rPr>
              <w:t>c</w:t>
            </w:r>
            <w:r w:rsidRPr="00BC0D1F">
              <w:rPr>
                <w:b/>
                <w:sz w:val="15"/>
                <w:szCs w:val="15"/>
              </w:rPr>
              <w:t xml:space="preserve">apital </w:t>
            </w:r>
            <w:r w:rsidR="00CF4DCF" w:rsidRPr="00BC0D1F">
              <w:rPr>
                <w:b/>
                <w:sz w:val="15"/>
                <w:szCs w:val="15"/>
              </w:rPr>
              <w:t>e</w:t>
            </w:r>
            <w:r w:rsidRPr="00BC0D1F">
              <w:rPr>
                <w:b/>
                <w:sz w:val="15"/>
                <w:szCs w:val="15"/>
              </w:rPr>
              <w:t>xpenditure</w:t>
            </w:r>
          </w:p>
        </w:tc>
        <w:tc>
          <w:tcPr>
            <w:tcW w:w="993" w:type="dxa"/>
            <w:tcBorders>
              <w:top w:val="single" w:sz="4" w:space="0" w:color="A6A6A6"/>
              <w:left w:val="nil"/>
              <w:bottom w:val="nil"/>
              <w:right w:val="nil"/>
            </w:tcBorders>
            <w:shd w:val="clear" w:color="auto" w:fill="D9D9D9"/>
          </w:tcPr>
          <w:p w14:paraId="51ECFADC" w14:textId="77777777" w:rsidR="00D60822" w:rsidRPr="00BC0D1F" w:rsidRDefault="00D60822" w:rsidP="00F06348">
            <w:pPr>
              <w:pStyle w:val="TableText"/>
              <w:spacing w:before="40" w:after="40"/>
              <w:ind w:right="85"/>
              <w:jc w:val="right"/>
              <w:rPr>
                <w:sz w:val="15"/>
                <w:szCs w:val="15"/>
              </w:rPr>
            </w:pPr>
          </w:p>
        </w:tc>
        <w:tc>
          <w:tcPr>
            <w:tcW w:w="850" w:type="dxa"/>
            <w:tcBorders>
              <w:top w:val="single" w:sz="4" w:space="0" w:color="A6A6A6"/>
              <w:left w:val="nil"/>
              <w:bottom w:val="nil"/>
              <w:right w:val="nil"/>
            </w:tcBorders>
            <w:shd w:val="clear" w:color="auto" w:fill="auto"/>
          </w:tcPr>
          <w:p w14:paraId="0B60B8BF" w14:textId="77777777" w:rsidR="00D60822" w:rsidRPr="00BC0D1F" w:rsidRDefault="00D60822" w:rsidP="00F06348">
            <w:pPr>
              <w:pStyle w:val="TableText"/>
              <w:spacing w:before="40" w:after="40"/>
              <w:jc w:val="right"/>
              <w:rPr>
                <w:sz w:val="15"/>
                <w:szCs w:val="15"/>
              </w:rPr>
            </w:pPr>
          </w:p>
        </w:tc>
        <w:tc>
          <w:tcPr>
            <w:tcW w:w="992" w:type="dxa"/>
            <w:tcBorders>
              <w:top w:val="single" w:sz="4" w:space="0" w:color="A6A6A6"/>
              <w:left w:val="nil"/>
              <w:bottom w:val="nil"/>
              <w:right w:val="nil"/>
            </w:tcBorders>
            <w:shd w:val="clear" w:color="auto" w:fill="auto"/>
          </w:tcPr>
          <w:p w14:paraId="189C1D4E"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6A6A6"/>
              <w:left w:val="nil"/>
              <w:bottom w:val="nil"/>
              <w:right w:val="nil"/>
            </w:tcBorders>
            <w:shd w:val="clear" w:color="auto" w:fill="auto"/>
          </w:tcPr>
          <w:p w14:paraId="381CE95E" w14:textId="77777777" w:rsidR="00D60822" w:rsidRPr="00BC0D1F" w:rsidRDefault="00D60822" w:rsidP="00F06348">
            <w:pPr>
              <w:pStyle w:val="TableText"/>
              <w:spacing w:before="40" w:after="40"/>
              <w:jc w:val="right"/>
              <w:rPr>
                <w:sz w:val="15"/>
                <w:szCs w:val="15"/>
              </w:rPr>
            </w:pPr>
          </w:p>
        </w:tc>
        <w:tc>
          <w:tcPr>
            <w:tcW w:w="1276" w:type="dxa"/>
            <w:tcBorders>
              <w:top w:val="single" w:sz="4" w:space="0" w:color="A6A6A6"/>
              <w:left w:val="nil"/>
              <w:bottom w:val="nil"/>
              <w:right w:val="nil"/>
            </w:tcBorders>
            <w:shd w:val="clear" w:color="auto" w:fill="auto"/>
          </w:tcPr>
          <w:p w14:paraId="48317F2F" w14:textId="77777777" w:rsidR="00D60822" w:rsidRPr="00BC0D1F" w:rsidRDefault="00D60822" w:rsidP="00F06348">
            <w:pPr>
              <w:pStyle w:val="TableText"/>
              <w:spacing w:before="40" w:after="40"/>
              <w:ind w:left="85"/>
              <w:rPr>
                <w:sz w:val="15"/>
                <w:szCs w:val="15"/>
              </w:rPr>
            </w:pPr>
          </w:p>
        </w:tc>
      </w:tr>
      <w:tr w:rsidR="00810942" w:rsidRPr="00BC0D1F" w14:paraId="158FDDDF" w14:textId="77777777" w:rsidTr="00F06348">
        <w:trPr>
          <w:cantSplit/>
        </w:trPr>
        <w:tc>
          <w:tcPr>
            <w:tcW w:w="993" w:type="dxa"/>
            <w:tcBorders>
              <w:top w:val="nil"/>
              <w:left w:val="nil"/>
              <w:bottom w:val="nil"/>
              <w:right w:val="nil"/>
            </w:tcBorders>
            <w:shd w:val="clear" w:color="auto" w:fill="auto"/>
          </w:tcPr>
          <w:p w14:paraId="5F79F255" w14:textId="77777777" w:rsidR="00D60822" w:rsidRPr="00BC0D1F" w:rsidRDefault="00D60822" w:rsidP="00F06348">
            <w:pPr>
              <w:pStyle w:val="TableText"/>
              <w:spacing w:before="40" w:after="40"/>
              <w:ind w:right="85"/>
              <w:jc w:val="right"/>
              <w:rPr>
                <w:sz w:val="15"/>
                <w:szCs w:val="15"/>
              </w:rPr>
            </w:pPr>
          </w:p>
        </w:tc>
        <w:tc>
          <w:tcPr>
            <w:tcW w:w="2976" w:type="dxa"/>
            <w:tcBorders>
              <w:top w:val="nil"/>
              <w:left w:val="nil"/>
              <w:bottom w:val="nil"/>
              <w:right w:val="nil"/>
            </w:tcBorders>
            <w:shd w:val="clear" w:color="auto" w:fill="auto"/>
          </w:tcPr>
          <w:p w14:paraId="6452A189" w14:textId="77777777" w:rsidR="00D60822" w:rsidRPr="00BC0D1F" w:rsidRDefault="00D60822" w:rsidP="00F06348">
            <w:pPr>
              <w:pStyle w:val="TableText"/>
              <w:spacing w:before="40" w:after="40"/>
              <w:rPr>
                <w:sz w:val="15"/>
                <w:szCs w:val="15"/>
              </w:rPr>
            </w:pPr>
            <w:r w:rsidRPr="00BC0D1F">
              <w:rPr>
                <w:sz w:val="15"/>
                <w:szCs w:val="15"/>
              </w:rPr>
              <w:t xml:space="preserve">Policy </w:t>
            </w:r>
            <w:r w:rsidR="00CF4DCF" w:rsidRPr="00BC0D1F">
              <w:rPr>
                <w:sz w:val="15"/>
                <w:szCs w:val="15"/>
              </w:rPr>
              <w:t>a</w:t>
            </w:r>
            <w:r w:rsidRPr="00BC0D1F">
              <w:rPr>
                <w:sz w:val="15"/>
                <w:szCs w:val="15"/>
              </w:rPr>
              <w:t xml:space="preserve">dvice and Ministerial </w:t>
            </w:r>
            <w:r w:rsidR="00CF4DCF" w:rsidRPr="00BC0D1F">
              <w:rPr>
                <w:sz w:val="15"/>
                <w:szCs w:val="15"/>
              </w:rPr>
              <w:t>s</w:t>
            </w:r>
            <w:r w:rsidRPr="00BC0D1F">
              <w:rPr>
                <w:sz w:val="15"/>
                <w:szCs w:val="15"/>
              </w:rPr>
              <w:t>ervicing MCA</w:t>
            </w:r>
          </w:p>
        </w:tc>
        <w:tc>
          <w:tcPr>
            <w:tcW w:w="993" w:type="dxa"/>
            <w:tcBorders>
              <w:top w:val="nil"/>
              <w:left w:val="nil"/>
              <w:bottom w:val="nil"/>
              <w:right w:val="nil"/>
            </w:tcBorders>
            <w:shd w:val="clear" w:color="auto" w:fill="D9D9D9"/>
          </w:tcPr>
          <w:p w14:paraId="510BEBDF" w14:textId="77777777" w:rsidR="00D60822" w:rsidRPr="00BC0D1F" w:rsidRDefault="00D60822" w:rsidP="00F06348">
            <w:pPr>
              <w:pStyle w:val="TableText"/>
              <w:spacing w:before="40" w:after="40"/>
              <w:ind w:right="85"/>
              <w:jc w:val="right"/>
              <w:rPr>
                <w:sz w:val="15"/>
                <w:szCs w:val="15"/>
              </w:rPr>
            </w:pPr>
          </w:p>
        </w:tc>
        <w:tc>
          <w:tcPr>
            <w:tcW w:w="850" w:type="dxa"/>
            <w:tcBorders>
              <w:top w:val="nil"/>
              <w:left w:val="nil"/>
              <w:bottom w:val="nil"/>
              <w:right w:val="nil"/>
            </w:tcBorders>
            <w:shd w:val="clear" w:color="auto" w:fill="auto"/>
          </w:tcPr>
          <w:p w14:paraId="5164A174" w14:textId="77777777" w:rsidR="00D60822" w:rsidRPr="00BC0D1F" w:rsidRDefault="00D60822" w:rsidP="00F06348">
            <w:pPr>
              <w:pStyle w:val="TableText"/>
              <w:spacing w:before="40" w:after="40"/>
              <w:jc w:val="right"/>
              <w:rPr>
                <w:sz w:val="15"/>
                <w:szCs w:val="15"/>
              </w:rPr>
            </w:pPr>
          </w:p>
        </w:tc>
        <w:tc>
          <w:tcPr>
            <w:tcW w:w="992" w:type="dxa"/>
            <w:tcBorders>
              <w:top w:val="nil"/>
              <w:left w:val="nil"/>
              <w:bottom w:val="nil"/>
              <w:right w:val="nil"/>
            </w:tcBorders>
            <w:shd w:val="clear" w:color="auto" w:fill="auto"/>
          </w:tcPr>
          <w:p w14:paraId="1C92B802" w14:textId="77777777" w:rsidR="00D60822" w:rsidRPr="00BC0D1F" w:rsidRDefault="00D60822" w:rsidP="00F06348">
            <w:pPr>
              <w:pStyle w:val="TableText"/>
              <w:spacing w:before="40" w:after="40"/>
              <w:jc w:val="right"/>
              <w:rPr>
                <w:sz w:val="15"/>
                <w:szCs w:val="15"/>
              </w:rPr>
            </w:pPr>
          </w:p>
        </w:tc>
        <w:tc>
          <w:tcPr>
            <w:tcW w:w="1276" w:type="dxa"/>
            <w:tcBorders>
              <w:top w:val="nil"/>
              <w:left w:val="nil"/>
              <w:bottom w:val="nil"/>
              <w:right w:val="nil"/>
            </w:tcBorders>
            <w:shd w:val="clear" w:color="auto" w:fill="auto"/>
          </w:tcPr>
          <w:p w14:paraId="43A9E889" w14:textId="77777777" w:rsidR="00D60822" w:rsidRPr="00BC0D1F" w:rsidRDefault="00D60822" w:rsidP="00F06348">
            <w:pPr>
              <w:pStyle w:val="TableText"/>
              <w:spacing w:before="40" w:after="40"/>
              <w:jc w:val="right"/>
              <w:rPr>
                <w:sz w:val="15"/>
                <w:szCs w:val="15"/>
              </w:rPr>
            </w:pPr>
          </w:p>
        </w:tc>
        <w:tc>
          <w:tcPr>
            <w:tcW w:w="1276" w:type="dxa"/>
            <w:tcBorders>
              <w:top w:val="nil"/>
              <w:left w:val="nil"/>
              <w:bottom w:val="nil"/>
              <w:right w:val="nil"/>
            </w:tcBorders>
            <w:shd w:val="clear" w:color="auto" w:fill="auto"/>
          </w:tcPr>
          <w:p w14:paraId="684AB85E" w14:textId="77777777" w:rsidR="00D60822" w:rsidRPr="00BC0D1F" w:rsidRDefault="00D60822" w:rsidP="00F06348">
            <w:pPr>
              <w:pStyle w:val="TableText"/>
              <w:spacing w:before="40" w:after="40"/>
              <w:ind w:left="85"/>
              <w:rPr>
                <w:sz w:val="15"/>
                <w:szCs w:val="15"/>
              </w:rPr>
            </w:pPr>
          </w:p>
        </w:tc>
      </w:tr>
      <w:tr w:rsidR="00810942" w:rsidRPr="00BC0D1F" w14:paraId="42201F81" w14:textId="77777777" w:rsidTr="00F06348">
        <w:trPr>
          <w:cantSplit/>
        </w:trPr>
        <w:tc>
          <w:tcPr>
            <w:tcW w:w="993" w:type="dxa"/>
            <w:tcBorders>
              <w:top w:val="nil"/>
              <w:left w:val="nil"/>
              <w:bottom w:val="nil"/>
              <w:right w:val="nil"/>
            </w:tcBorders>
            <w:shd w:val="clear" w:color="auto" w:fill="auto"/>
          </w:tcPr>
          <w:p w14:paraId="4B3F60D2" w14:textId="77777777" w:rsidR="00D60822" w:rsidRPr="00BC0D1F" w:rsidRDefault="00D60822" w:rsidP="00F06348">
            <w:pPr>
              <w:pStyle w:val="TableText"/>
              <w:spacing w:before="40" w:after="40"/>
              <w:ind w:right="85"/>
              <w:jc w:val="right"/>
              <w:rPr>
                <w:sz w:val="15"/>
                <w:szCs w:val="15"/>
              </w:rPr>
            </w:pPr>
            <w:r w:rsidRPr="00BC0D1F">
              <w:rPr>
                <w:sz w:val="15"/>
                <w:szCs w:val="15"/>
              </w:rPr>
              <w:t>4</w:t>
            </w:r>
            <w:r w:rsidR="008234DC" w:rsidRPr="00BC0D1F">
              <w:rPr>
                <w:sz w:val="15"/>
                <w:szCs w:val="15"/>
              </w:rPr>
              <w:t>,</w:t>
            </w:r>
            <w:r w:rsidRPr="00BC0D1F">
              <w:rPr>
                <w:sz w:val="15"/>
                <w:szCs w:val="15"/>
              </w:rPr>
              <w:t>661</w:t>
            </w:r>
          </w:p>
        </w:tc>
        <w:tc>
          <w:tcPr>
            <w:tcW w:w="2976" w:type="dxa"/>
            <w:tcBorders>
              <w:top w:val="nil"/>
              <w:left w:val="nil"/>
              <w:bottom w:val="nil"/>
              <w:right w:val="nil"/>
            </w:tcBorders>
            <w:shd w:val="clear" w:color="auto" w:fill="auto"/>
          </w:tcPr>
          <w:p w14:paraId="59722397" w14:textId="77777777" w:rsidR="00D60822" w:rsidRPr="00BC0D1F" w:rsidRDefault="00D60822" w:rsidP="00F06348">
            <w:pPr>
              <w:pStyle w:val="TableText"/>
              <w:spacing w:before="40" w:after="40"/>
              <w:rPr>
                <w:sz w:val="15"/>
                <w:szCs w:val="15"/>
              </w:rPr>
            </w:pPr>
            <w:r w:rsidRPr="00BC0D1F">
              <w:rPr>
                <w:sz w:val="15"/>
                <w:szCs w:val="15"/>
              </w:rPr>
              <w:t xml:space="preserve">Ministerial </w:t>
            </w:r>
            <w:r w:rsidR="00CF4DCF" w:rsidRPr="00BC0D1F">
              <w:rPr>
                <w:sz w:val="15"/>
                <w:szCs w:val="15"/>
              </w:rPr>
              <w:t>s</w:t>
            </w:r>
            <w:r w:rsidRPr="00BC0D1F">
              <w:rPr>
                <w:sz w:val="15"/>
                <w:szCs w:val="15"/>
              </w:rPr>
              <w:t>ervicing</w:t>
            </w:r>
          </w:p>
        </w:tc>
        <w:tc>
          <w:tcPr>
            <w:tcW w:w="993" w:type="dxa"/>
            <w:tcBorders>
              <w:top w:val="nil"/>
              <w:left w:val="nil"/>
              <w:bottom w:val="nil"/>
              <w:right w:val="nil"/>
            </w:tcBorders>
            <w:shd w:val="clear" w:color="auto" w:fill="D9D9D9"/>
          </w:tcPr>
          <w:p w14:paraId="0ACC46C1" w14:textId="77777777" w:rsidR="00D60822" w:rsidRPr="00BC0D1F" w:rsidRDefault="00D60822" w:rsidP="00F06348">
            <w:pPr>
              <w:pStyle w:val="TableText"/>
              <w:spacing w:before="40" w:after="40"/>
              <w:ind w:right="85"/>
              <w:jc w:val="right"/>
              <w:rPr>
                <w:sz w:val="15"/>
                <w:szCs w:val="15"/>
              </w:rPr>
            </w:pPr>
            <w:r w:rsidRPr="00BC0D1F">
              <w:rPr>
                <w:sz w:val="15"/>
                <w:szCs w:val="15"/>
              </w:rPr>
              <w:t>4</w:t>
            </w:r>
            <w:r w:rsidR="008234DC" w:rsidRPr="00BC0D1F">
              <w:rPr>
                <w:sz w:val="15"/>
                <w:szCs w:val="15"/>
              </w:rPr>
              <w:t>,</w:t>
            </w:r>
            <w:r w:rsidRPr="00BC0D1F">
              <w:rPr>
                <w:sz w:val="15"/>
                <w:szCs w:val="15"/>
              </w:rPr>
              <w:t>592</w:t>
            </w:r>
          </w:p>
        </w:tc>
        <w:tc>
          <w:tcPr>
            <w:tcW w:w="850" w:type="dxa"/>
            <w:tcBorders>
              <w:top w:val="nil"/>
              <w:left w:val="nil"/>
              <w:bottom w:val="nil"/>
              <w:right w:val="nil"/>
            </w:tcBorders>
            <w:shd w:val="clear" w:color="auto" w:fill="auto"/>
          </w:tcPr>
          <w:p w14:paraId="59C306FE" w14:textId="77777777" w:rsidR="00D60822" w:rsidRPr="00BC0D1F" w:rsidRDefault="00D60822" w:rsidP="00F06348">
            <w:pPr>
              <w:pStyle w:val="TableText"/>
              <w:spacing w:before="40" w:after="40"/>
              <w:jc w:val="right"/>
              <w:rPr>
                <w:sz w:val="15"/>
                <w:szCs w:val="15"/>
              </w:rPr>
            </w:pPr>
            <w:r w:rsidRPr="00BC0D1F">
              <w:rPr>
                <w:sz w:val="15"/>
                <w:szCs w:val="15"/>
              </w:rPr>
              <w:t>4</w:t>
            </w:r>
            <w:r w:rsidR="008234DC" w:rsidRPr="00BC0D1F">
              <w:rPr>
                <w:sz w:val="15"/>
                <w:szCs w:val="15"/>
              </w:rPr>
              <w:t>,</w:t>
            </w:r>
            <w:r w:rsidRPr="00BC0D1F">
              <w:rPr>
                <w:sz w:val="15"/>
                <w:szCs w:val="15"/>
              </w:rPr>
              <w:t>747</w:t>
            </w:r>
          </w:p>
        </w:tc>
        <w:tc>
          <w:tcPr>
            <w:tcW w:w="992" w:type="dxa"/>
            <w:tcBorders>
              <w:top w:val="nil"/>
              <w:left w:val="nil"/>
              <w:bottom w:val="nil"/>
              <w:right w:val="nil"/>
            </w:tcBorders>
            <w:shd w:val="clear" w:color="auto" w:fill="auto"/>
          </w:tcPr>
          <w:p w14:paraId="29F036E9" w14:textId="77777777" w:rsidR="00D60822" w:rsidRPr="00BC0D1F" w:rsidRDefault="000677F9" w:rsidP="00F06348">
            <w:pPr>
              <w:pStyle w:val="TableText"/>
              <w:spacing w:before="40" w:after="40"/>
              <w:jc w:val="right"/>
              <w:rPr>
                <w:sz w:val="15"/>
                <w:szCs w:val="15"/>
              </w:rPr>
            </w:pPr>
            <w:r w:rsidRPr="00BC0D1F">
              <w:rPr>
                <w:sz w:val="15"/>
                <w:szCs w:val="15"/>
              </w:rPr>
              <w:t>4</w:t>
            </w:r>
            <w:r w:rsidR="008234DC" w:rsidRPr="00BC0D1F">
              <w:rPr>
                <w:sz w:val="15"/>
                <w:szCs w:val="15"/>
              </w:rPr>
              <w:t>,</w:t>
            </w:r>
            <w:r w:rsidR="00D60822" w:rsidRPr="00BC0D1F">
              <w:rPr>
                <w:sz w:val="15"/>
                <w:szCs w:val="15"/>
              </w:rPr>
              <w:t>620</w:t>
            </w:r>
          </w:p>
        </w:tc>
        <w:tc>
          <w:tcPr>
            <w:tcW w:w="1276" w:type="dxa"/>
            <w:tcBorders>
              <w:top w:val="nil"/>
              <w:left w:val="nil"/>
              <w:bottom w:val="nil"/>
              <w:right w:val="nil"/>
            </w:tcBorders>
            <w:shd w:val="clear" w:color="auto" w:fill="auto"/>
          </w:tcPr>
          <w:p w14:paraId="7F774D0D" w14:textId="77777777" w:rsidR="00D60822" w:rsidRPr="00BC0D1F" w:rsidRDefault="00D60822" w:rsidP="00F06348">
            <w:pPr>
              <w:pStyle w:val="TableText"/>
              <w:spacing w:before="40" w:after="40"/>
              <w:jc w:val="right"/>
              <w:rPr>
                <w:sz w:val="15"/>
                <w:szCs w:val="15"/>
              </w:rPr>
            </w:pPr>
            <w:r w:rsidRPr="00BC0D1F">
              <w:rPr>
                <w:sz w:val="15"/>
                <w:szCs w:val="15"/>
              </w:rPr>
              <w:t>0.03%</w:t>
            </w:r>
          </w:p>
        </w:tc>
        <w:tc>
          <w:tcPr>
            <w:tcW w:w="1276" w:type="dxa"/>
            <w:tcBorders>
              <w:top w:val="nil"/>
              <w:left w:val="nil"/>
              <w:bottom w:val="nil"/>
              <w:right w:val="nil"/>
            </w:tcBorders>
            <w:shd w:val="clear" w:color="auto" w:fill="auto"/>
          </w:tcPr>
          <w:p w14:paraId="1ED3E5B5" w14:textId="6B1C9108" w:rsidR="00D60822" w:rsidRPr="00BC0D1F" w:rsidRDefault="00D60822" w:rsidP="00BF547F">
            <w:pPr>
              <w:pStyle w:val="TableText"/>
              <w:spacing w:before="40" w:after="40"/>
              <w:ind w:left="85"/>
              <w:rPr>
                <w:spacing w:val="-2"/>
                <w:sz w:val="15"/>
                <w:szCs w:val="15"/>
              </w:rPr>
            </w:pPr>
            <w:r w:rsidRPr="00BC0D1F">
              <w:rPr>
                <w:spacing w:val="-2"/>
                <w:sz w:val="15"/>
                <w:szCs w:val="15"/>
              </w:rPr>
              <w:t xml:space="preserve">Ministry of Health </w:t>
            </w:r>
          </w:p>
        </w:tc>
      </w:tr>
      <w:tr w:rsidR="00810942" w:rsidRPr="00BC0D1F" w14:paraId="4958F3F0" w14:textId="77777777" w:rsidTr="00F06348">
        <w:trPr>
          <w:cantSplit/>
        </w:trPr>
        <w:tc>
          <w:tcPr>
            <w:tcW w:w="993" w:type="dxa"/>
            <w:tcBorders>
              <w:top w:val="nil"/>
              <w:left w:val="nil"/>
              <w:bottom w:val="nil"/>
              <w:right w:val="nil"/>
            </w:tcBorders>
            <w:shd w:val="clear" w:color="auto" w:fill="auto"/>
          </w:tcPr>
          <w:p w14:paraId="65656E07" w14:textId="77777777" w:rsidR="00D60822" w:rsidRPr="00BC0D1F" w:rsidRDefault="00D60822" w:rsidP="00F06348">
            <w:pPr>
              <w:pStyle w:val="TableText"/>
              <w:spacing w:before="40" w:after="40"/>
              <w:ind w:right="85"/>
              <w:jc w:val="right"/>
              <w:rPr>
                <w:sz w:val="15"/>
                <w:szCs w:val="15"/>
              </w:rPr>
            </w:pPr>
            <w:r w:rsidRPr="00BC0D1F">
              <w:rPr>
                <w:sz w:val="15"/>
                <w:szCs w:val="15"/>
              </w:rPr>
              <w:t>16,164</w:t>
            </w:r>
          </w:p>
        </w:tc>
        <w:tc>
          <w:tcPr>
            <w:tcW w:w="2976" w:type="dxa"/>
            <w:tcBorders>
              <w:top w:val="nil"/>
              <w:left w:val="nil"/>
              <w:bottom w:val="nil"/>
              <w:right w:val="nil"/>
            </w:tcBorders>
            <w:shd w:val="clear" w:color="auto" w:fill="auto"/>
          </w:tcPr>
          <w:p w14:paraId="7F3AFE65" w14:textId="77777777" w:rsidR="00D60822" w:rsidRPr="00BC0D1F" w:rsidRDefault="00D60822" w:rsidP="00F06348">
            <w:pPr>
              <w:pStyle w:val="TableText"/>
              <w:spacing w:before="40" w:after="40"/>
              <w:rPr>
                <w:sz w:val="15"/>
                <w:szCs w:val="15"/>
              </w:rPr>
            </w:pPr>
            <w:r w:rsidRPr="00BC0D1F">
              <w:rPr>
                <w:sz w:val="15"/>
                <w:szCs w:val="15"/>
              </w:rPr>
              <w:t>Policy advice</w:t>
            </w:r>
          </w:p>
        </w:tc>
        <w:tc>
          <w:tcPr>
            <w:tcW w:w="993" w:type="dxa"/>
            <w:tcBorders>
              <w:top w:val="nil"/>
              <w:left w:val="nil"/>
              <w:bottom w:val="nil"/>
              <w:right w:val="nil"/>
            </w:tcBorders>
            <w:shd w:val="clear" w:color="auto" w:fill="D9D9D9"/>
          </w:tcPr>
          <w:p w14:paraId="153E7290" w14:textId="77777777" w:rsidR="00D60822" w:rsidRPr="00BC0D1F" w:rsidRDefault="00D60822" w:rsidP="00F06348">
            <w:pPr>
              <w:pStyle w:val="TableText"/>
              <w:spacing w:before="40" w:after="40"/>
              <w:ind w:right="85"/>
              <w:jc w:val="right"/>
              <w:rPr>
                <w:sz w:val="15"/>
                <w:szCs w:val="15"/>
              </w:rPr>
            </w:pPr>
            <w:r w:rsidRPr="00BC0D1F">
              <w:rPr>
                <w:sz w:val="15"/>
                <w:szCs w:val="15"/>
              </w:rPr>
              <w:t>16,113</w:t>
            </w:r>
          </w:p>
        </w:tc>
        <w:tc>
          <w:tcPr>
            <w:tcW w:w="850" w:type="dxa"/>
            <w:tcBorders>
              <w:top w:val="nil"/>
              <w:left w:val="nil"/>
              <w:bottom w:val="nil"/>
              <w:right w:val="nil"/>
            </w:tcBorders>
            <w:shd w:val="clear" w:color="auto" w:fill="auto"/>
          </w:tcPr>
          <w:p w14:paraId="17BDBA2F" w14:textId="77777777" w:rsidR="00D60822" w:rsidRPr="00BC0D1F" w:rsidRDefault="00D60822" w:rsidP="00F06348">
            <w:pPr>
              <w:pStyle w:val="TableText"/>
              <w:spacing w:before="40" w:after="40"/>
              <w:jc w:val="right"/>
              <w:rPr>
                <w:sz w:val="15"/>
                <w:szCs w:val="15"/>
              </w:rPr>
            </w:pPr>
            <w:r w:rsidRPr="00BC0D1F">
              <w:rPr>
                <w:sz w:val="15"/>
                <w:szCs w:val="15"/>
              </w:rPr>
              <w:t>16,441</w:t>
            </w:r>
          </w:p>
        </w:tc>
        <w:tc>
          <w:tcPr>
            <w:tcW w:w="992" w:type="dxa"/>
            <w:tcBorders>
              <w:top w:val="nil"/>
              <w:left w:val="nil"/>
              <w:bottom w:val="nil"/>
              <w:right w:val="nil"/>
            </w:tcBorders>
            <w:shd w:val="clear" w:color="auto" w:fill="auto"/>
          </w:tcPr>
          <w:p w14:paraId="649C5591" w14:textId="77777777" w:rsidR="00D60822" w:rsidRPr="00BC0D1F" w:rsidRDefault="00D60822" w:rsidP="00F06348">
            <w:pPr>
              <w:pStyle w:val="TableText"/>
              <w:spacing w:before="40" w:after="40"/>
              <w:jc w:val="right"/>
              <w:rPr>
                <w:sz w:val="15"/>
                <w:szCs w:val="15"/>
              </w:rPr>
            </w:pPr>
            <w:r w:rsidRPr="00BC0D1F">
              <w:rPr>
                <w:sz w:val="15"/>
                <w:szCs w:val="15"/>
              </w:rPr>
              <w:t>16,148</w:t>
            </w:r>
          </w:p>
        </w:tc>
        <w:tc>
          <w:tcPr>
            <w:tcW w:w="1276" w:type="dxa"/>
            <w:tcBorders>
              <w:top w:val="nil"/>
              <w:left w:val="nil"/>
              <w:bottom w:val="nil"/>
              <w:right w:val="nil"/>
            </w:tcBorders>
            <w:shd w:val="clear" w:color="auto" w:fill="auto"/>
          </w:tcPr>
          <w:p w14:paraId="5C8B9A3A" w14:textId="77777777" w:rsidR="00D60822" w:rsidRPr="00BC0D1F" w:rsidRDefault="00D60822" w:rsidP="00F06348">
            <w:pPr>
              <w:pStyle w:val="TableText"/>
              <w:spacing w:before="40" w:after="40"/>
              <w:jc w:val="right"/>
              <w:rPr>
                <w:sz w:val="15"/>
                <w:szCs w:val="15"/>
              </w:rPr>
            </w:pPr>
            <w:r w:rsidRPr="00BC0D1F">
              <w:rPr>
                <w:sz w:val="15"/>
                <w:szCs w:val="15"/>
              </w:rPr>
              <w:t>0.11%</w:t>
            </w:r>
          </w:p>
        </w:tc>
        <w:tc>
          <w:tcPr>
            <w:tcW w:w="1276" w:type="dxa"/>
            <w:tcBorders>
              <w:top w:val="nil"/>
              <w:left w:val="nil"/>
              <w:bottom w:val="nil"/>
              <w:right w:val="nil"/>
            </w:tcBorders>
            <w:shd w:val="clear" w:color="auto" w:fill="auto"/>
          </w:tcPr>
          <w:p w14:paraId="72A89B41" w14:textId="41F4D638" w:rsidR="00D60822" w:rsidRPr="00BC0D1F" w:rsidRDefault="00BF547F" w:rsidP="00F06348">
            <w:pPr>
              <w:pStyle w:val="TableText"/>
              <w:spacing w:before="40" w:after="40"/>
              <w:ind w:left="85"/>
              <w:rPr>
                <w:sz w:val="15"/>
                <w:szCs w:val="15"/>
              </w:rPr>
            </w:pPr>
            <w:r w:rsidRPr="00BC0D1F">
              <w:rPr>
                <w:spacing w:val="-2"/>
                <w:sz w:val="15"/>
                <w:szCs w:val="15"/>
              </w:rPr>
              <w:t>Annual Report</w:t>
            </w:r>
          </w:p>
        </w:tc>
      </w:tr>
      <w:tr w:rsidR="00810942" w:rsidRPr="00BC0D1F" w14:paraId="38E759B9" w14:textId="77777777" w:rsidTr="00F06348">
        <w:trPr>
          <w:cantSplit/>
        </w:trPr>
        <w:tc>
          <w:tcPr>
            <w:tcW w:w="993" w:type="dxa"/>
            <w:tcBorders>
              <w:top w:val="nil"/>
              <w:left w:val="nil"/>
              <w:bottom w:val="nil"/>
              <w:right w:val="nil"/>
            </w:tcBorders>
            <w:shd w:val="clear" w:color="auto" w:fill="auto"/>
          </w:tcPr>
          <w:p w14:paraId="74932A9B" w14:textId="77777777" w:rsidR="00D60822" w:rsidRPr="00BC0D1F" w:rsidRDefault="00D60822" w:rsidP="00F06348">
            <w:pPr>
              <w:pStyle w:val="TableText"/>
              <w:spacing w:before="40" w:after="40"/>
              <w:ind w:right="85"/>
              <w:jc w:val="right"/>
              <w:rPr>
                <w:b/>
                <w:sz w:val="15"/>
                <w:szCs w:val="15"/>
              </w:rPr>
            </w:pPr>
            <w:r w:rsidRPr="00BC0D1F">
              <w:rPr>
                <w:b/>
                <w:sz w:val="15"/>
                <w:szCs w:val="15"/>
              </w:rPr>
              <w:t>20,825</w:t>
            </w:r>
          </w:p>
        </w:tc>
        <w:tc>
          <w:tcPr>
            <w:tcW w:w="2976" w:type="dxa"/>
            <w:tcBorders>
              <w:top w:val="nil"/>
              <w:left w:val="nil"/>
              <w:bottom w:val="nil"/>
              <w:right w:val="nil"/>
            </w:tcBorders>
            <w:shd w:val="clear" w:color="auto" w:fill="auto"/>
          </w:tcPr>
          <w:p w14:paraId="4CD67624" w14:textId="77777777" w:rsidR="00D60822" w:rsidRPr="00BC0D1F" w:rsidRDefault="00D60822" w:rsidP="00F06348">
            <w:pPr>
              <w:pStyle w:val="TableText"/>
              <w:spacing w:before="40" w:after="40"/>
              <w:rPr>
                <w:b/>
                <w:sz w:val="15"/>
                <w:szCs w:val="15"/>
              </w:rPr>
            </w:pPr>
            <w:r w:rsidRPr="00BC0D1F">
              <w:rPr>
                <w:b/>
                <w:sz w:val="15"/>
                <w:szCs w:val="15"/>
              </w:rPr>
              <w:t xml:space="preserve">Total </w:t>
            </w:r>
            <w:r w:rsidR="00CF4DCF" w:rsidRPr="00BC0D1F">
              <w:rPr>
                <w:b/>
                <w:sz w:val="15"/>
                <w:szCs w:val="15"/>
              </w:rPr>
              <w:t>m</w:t>
            </w:r>
            <w:r w:rsidRPr="00BC0D1F">
              <w:rPr>
                <w:b/>
                <w:sz w:val="15"/>
                <w:szCs w:val="15"/>
              </w:rPr>
              <w:t>ulti-</w:t>
            </w:r>
            <w:r w:rsidR="00CF4DCF" w:rsidRPr="00BC0D1F">
              <w:rPr>
                <w:b/>
                <w:sz w:val="15"/>
                <w:szCs w:val="15"/>
              </w:rPr>
              <w:t>c</w:t>
            </w:r>
            <w:r w:rsidRPr="00BC0D1F">
              <w:rPr>
                <w:b/>
                <w:sz w:val="15"/>
                <w:szCs w:val="15"/>
              </w:rPr>
              <w:t xml:space="preserve">ategory </w:t>
            </w:r>
            <w:r w:rsidR="00CF4DCF" w:rsidRPr="00BC0D1F">
              <w:rPr>
                <w:b/>
                <w:sz w:val="15"/>
                <w:szCs w:val="15"/>
              </w:rPr>
              <w:t>e</w:t>
            </w:r>
            <w:r w:rsidRPr="00BC0D1F">
              <w:rPr>
                <w:b/>
                <w:sz w:val="15"/>
                <w:szCs w:val="15"/>
              </w:rPr>
              <w:t xml:space="preserve">xpense and </w:t>
            </w:r>
            <w:r w:rsidR="00CF4DCF" w:rsidRPr="00BC0D1F">
              <w:rPr>
                <w:b/>
                <w:sz w:val="15"/>
                <w:szCs w:val="15"/>
              </w:rPr>
              <w:t>c</w:t>
            </w:r>
            <w:r w:rsidRPr="00BC0D1F">
              <w:rPr>
                <w:b/>
                <w:sz w:val="15"/>
                <w:szCs w:val="15"/>
              </w:rPr>
              <w:t xml:space="preserve">apital </w:t>
            </w:r>
            <w:r w:rsidR="00CF4DCF" w:rsidRPr="00BC0D1F">
              <w:rPr>
                <w:b/>
                <w:sz w:val="15"/>
                <w:szCs w:val="15"/>
              </w:rPr>
              <w:t>e</w:t>
            </w:r>
            <w:r w:rsidRPr="00BC0D1F">
              <w:rPr>
                <w:b/>
                <w:sz w:val="15"/>
                <w:szCs w:val="15"/>
              </w:rPr>
              <w:t>xpenditure</w:t>
            </w:r>
          </w:p>
        </w:tc>
        <w:tc>
          <w:tcPr>
            <w:tcW w:w="993" w:type="dxa"/>
            <w:tcBorders>
              <w:top w:val="nil"/>
              <w:left w:val="nil"/>
              <w:bottom w:val="nil"/>
              <w:right w:val="nil"/>
            </w:tcBorders>
            <w:shd w:val="clear" w:color="auto" w:fill="D9D9D9"/>
          </w:tcPr>
          <w:p w14:paraId="5A7F2A67" w14:textId="77777777" w:rsidR="00D60822" w:rsidRPr="00BC0D1F" w:rsidRDefault="00D60822" w:rsidP="00F06348">
            <w:pPr>
              <w:pStyle w:val="TableText"/>
              <w:spacing w:before="40" w:after="40"/>
              <w:ind w:right="85"/>
              <w:jc w:val="right"/>
              <w:rPr>
                <w:b/>
                <w:sz w:val="15"/>
                <w:szCs w:val="15"/>
              </w:rPr>
            </w:pPr>
            <w:r w:rsidRPr="00BC0D1F">
              <w:rPr>
                <w:b/>
                <w:sz w:val="15"/>
                <w:szCs w:val="15"/>
              </w:rPr>
              <w:t>20,705</w:t>
            </w:r>
          </w:p>
        </w:tc>
        <w:tc>
          <w:tcPr>
            <w:tcW w:w="850" w:type="dxa"/>
            <w:tcBorders>
              <w:top w:val="nil"/>
              <w:left w:val="nil"/>
              <w:bottom w:val="nil"/>
              <w:right w:val="nil"/>
            </w:tcBorders>
            <w:shd w:val="clear" w:color="auto" w:fill="D9D9D9"/>
          </w:tcPr>
          <w:p w14:paraId="5B8A9DC3" w14:textId="77777777" w:rsidR="00D60822" w:rsidRPr="00BC0D1F" w:rsidRDefault="00D60822" w:rsidP="00F06348">
            <w:pPr>
              <w:pStyle w:val="TableText"/>
              <w:spacing w:before="40" w:after="40"/>
              <w:jc w:val="right"/>
              <w:rPr>
                <w:b/>
                <w:sz w:val="15"/>
                <w:szCs w:val="15"/>
              </w:rPr>
            </w:pPr>
            <w:r w:rsidRPr="00BC0D1F">
              <w:rPr>
                <w:b/>
                <w:sz w:val="15"/>
                <w:szCs w:val="15"/>
              </w:rPr>
              <w:t>21,188</w:t>
            </w:r>
          </w:p>
        </w:tc>
        <w:tc>
          <w:tcPr>
            <w:tcW w:w="992" w:type="dxa"/>
            <w:tcBorders>
              <w:top w:val="nil"/>
              <w:left w:val="nil"/>
              <w:bottom w:val="nil"/>
              <w:right w:val="nil"/>
            </w:tcBorders>
            <w:shd w:val="clear" w:color="auto" w:fill="D9D9D9"/>
          </w:tcPr>
          <w:p w14:paraId="6FD334B4" w14:textId="77777777" w:rsidR="00D60822" w:rsidRPr="00BC0D1F" w:rsidRDefault="00D60822" w:rsidP="00F06348">
            <w:pPr>
              <w:pStyle w:val="TableText"/>
              <w:spacing w:before="40" w:after="40"/>
              <w:jc w:val="right"/>
              <w:rPr>
                <w:b/>
                <w:sz w:val="15"/>
                <w:szCs w:val="15"/>
              </w:rPr>
            </w:pPr>
            <w:r w:rsidRPr="00BC0D1F">
              <w:rPr>
                <w:b/>
                <w:sz w:val="15"/>
                <w:szCs w:val="15"/>
              </w:rPr>
              <w:t>20,768</w:t>
            </w:r>
          </w:p>
        </w:tc>
        <w:tc>
          <w:tcPr>
            <w:tcW w:w="1276" w:type="dxa"/>
            <w:tcBorders>
              <w:top w:val="nil"/>
              <w:left w:val="nil"/>
              <w:bottom w:val="nil"/>
              <w:right w:val="nil"/>
            </w:tcBorders>
            <w:shd w:val="clear" w:color="auto" w:fill="D9D9D9"/>
          </w:tcPr>
          <w:p w14:paraId="1499C8B1" w14:textId="77777777" w:rsidR="00D60822" w:rsidRPr="00BC0D1F" w:rsidRDefault="00D60822" w:rsidP="00F06348">
            <w:pPr>
              <w:pStyle w:val="TableText"/>
              <w:spacing w:before="40" w:after="40"/>
              <w:jc w:val="right"/>
              <w:rPr>
                <w:b/>
                <w:sz w:val="15"/>
                <w:szCs w:val="15"/>
              </w:rPr>
            </w:pPr>
            <w:r w:rsidRPr="00BC0D1F">
              <w:rPr>
                <w:b/>
                <w:sz w:val="15"/>
                <w:szCs w:val="15"/>
              </w:rPr>
              <w:t>0.14%</w:t>
            </w:r>
          </w:p>
        </w:tc>
        <w:tc>
          <w:tcPr>
            <w:tcW w:w="1276" w:type="dxa"/>
            <w:tcBorders>
              <w:top w:val="nil"/>
              <w:left w:val="nil"/>
              <w:bottom w:val="nil"/>
              <w:right w:val="nil"/>
            </w:tcBorders>
            <w:shd w:val="clear" w:color="auto" w:fill="auto"/>
          </w:tcPr>
          <w:p w14:paraId="6AB4E5F8" w14:textId="77777777" w:rsidR="00D60822" w:rsidRPr="00BC0D1F" w:rsidRDefault="00D60822" w:rsidP="00F06348">
            <w:pPr>
              <w:pStyle w:val="TableText"/>
              <w:spacing w:before="40" w:after="40"/>
              <w:ind w:left="85"/>
              <w:rPr>
                <w:b/>
                <w:sz w:val="15"/>
                <w:szCs w:val="15"/>
              </w:rPr>
            </w:pPr>
          </w:p>
        </w:tc>
      </w:tr>
      <w:tr w:rsidR="00810942" w:rsidRPr="00BC0D1F" w14:paraId="5E607577" w14:textId="77777777" w:rsidTr="00F06348">
        <w:trPr>
          <w:cantSplit/>
        </w:trPr>
        <w:tc>
          <w:tcPr>
            <w:tcW w:w="993" w:type="dxa"/>
            <w:tcBorders>
              <w:top w:val="nil"/>
              <w:left w:val="nil"/>
              <w:bottom w:val="single" w:sz="4" w:space="0" w:color="A6A6A6"/>
              <w:right w:val="nil"/>
            </w:tcBorders>
            <w:shd w:val="clear" w:color="auto" w:fill="D9D9D9"/>
          </w:tcPr>
          <w:p w14:paraId="1E69E700" w14:textId="77777777" w:rsidR="00D60822" w:rsidRPr="00BC0D1F" w:rsidRDefault="00D60822" w:rsidP="00F06348">
            <w:pPr>
              <w:pStyle w:val="TableText"/>
              <w:spacing w:before="40" w:after="40"/>
              <w:ind w:right="85"/>
              <w:jc w:val="right"/>
              <w:rPr>
                <w:b/>
                <w:sz w:val="15"/>
                <w:szCs w:val="15"/>
              </w:rPr>
            </w:pPr>
            <w:r w:rsidRPr="00BC0D1F">
              <w:rPr>
                <w:b/>
                <w:sz w:val="15"/>
                <w:szCs w:val="15"/>
              </w:rPr>
              <w:t>193,186</w:t>
            </w:r>
          </w:p>
        </w:tc>
        <w:tc>
          <w:tcPr>
            <w:tcW w:w="2976" w:type="dxa"/>
            <w:tcBorders>
              <w:top w:val="nil"/>
              <w:left w:val="nil"/>
              <w:bottom w:val="single" w:sz="4" w:space="0" w:color="A6A6A6"/>
              <w:right w:val="nil"/>
            </w:tcBorders>
            <w:shd w:val="clear" w:color="auto" w:fill="auto"/>
          </w:tcPr>
          <w:p w14:paraId="5FCFA7D7" w14:textId="77777777" w:rsidR="00D60822" w:rsidRPr="00BC0D1F" w:rsidRDefault="00D60822" w:rsidP="00F06348">
            <w:pPr>
              <w:pStyle w:val="TableText"/>
              <w:spacing w:before="40" w:after="40"/>
              <w:rPr>
                <w:b/>
                <w:sz w:val="15"/>
                <w:szCs w:val="15"/>
              </w:rPr>
            </w:pPr>
            <w:r w:rsidRPr="00BC0D1F">
              <w:rPr>
                <w:b/>
                <w:sz w:val="15"/>
                <w:szCs w:val="15"/>
              </w:rPr>
              <w:t>Total Departmental Output appropriations</w:t>
            </w:r>
          </w:p>
        </w:tc>
        <w:tc>
          <w:tcPr>
            <w:tcW w:w="993" w:type="dxa"/>
            <w:tcBorders>
              <w:top w:val="nil"/>
              <w:left w:val="nil"/>
              <w:bottom w:val="single" w:sz="4" w:space="0" w:color="A6A6A6"/>
              <w:right w:val="nil"/>
            </w:tcBorders>
            <w:shd w:val="clear" w:color="auto" w:fill="D9D9D9"/>
          </w:tcPr>
          <w:p w14:paraId="3C66CFD4" w14:textId="0A4195A0" w:rsidR="00D60822" w:rsidRPr="00BC0D1F" w:rsidRDefault="00D60822" w:rsidP="008D3000">
            <w:pPr>
              <w:pStyle w:val="TableText"/>
              <w:spacing w:before="40" w:after="40"/>
              <w:ind w:right="85"/>
              <w:jc w:val="right"/>
              <w:rPr>
                <w:b/>
                <w:sz w:val="15"/>
                <w:szCs w:val="15"/>
              </w:rPr>
            </w:pPr>
            <w:r w:rsidRPr="00BC0D1F">
              <w:rPr>
                <w:b/>
                <w:sz w:val="15"/>
                <w:szCs w:val="15"/>
              </w:rPr>
              <w:t>190,</w:t>
            </w:r>
            <w:r w:rsidR="00C13BF2">
              <w:rPr>
                <w:b/>
                <w:sz w:val="15"/>
                <w:szCs w:val="15"/>
              </w:rPr>
              <w:t>30</w:t>
            </w:r>
            <w:r w:rsidR="008D3000">
              <w:rPr>
                <w:b/>
                <w:sz w:val="15"/>
                <w:szCs w:val="15"/>
              </w:rPr>
              <w:t>1</w:t>
            </w:r>
          </w:p>
        </w:tc>
        <w:tc>
          <w:tcPr>
            <w:tcW w:w="850" w:type="dxa"/>
            <w:tcBorders>
              <w:top w:val="nil"/>
              <w:left w:val="nil"/>
              <w:bottom w:val="single" w:sz="4" w:space="0" w:color="A6A6A6"/>
              <w:right w:val="nil"/>
            </w:tcBorders>
            <w:shd w:val="clear" w:color="auto" w:fill="D9D9D9"/>
          </w:tcPr>
          <w:p w14:paraId="4F3FC0FF" w14:textId="77777777" w:rsidR="00D60822" w:rsidRPr="00BC0D1F" w:rsidRDefault="00D60822" w:rsidP="00F06348">
            <w:pPr>
              <w:pStyle w:val="TableText"/>
              <w:spacing w:before="40" w:after="40"/>
              <w:jc w:val="right"/>
              <w:rPr>
                <w:b/>
                <w:sz w:val="15"/>
                <w:szCs w:val="15"/>
              </w:rPr>
            </w:pPr>
            <w:r w:rsidRPr="00BC0D1F">
              <w:rPr>
                <w:b/>
                <w:sz w:val="15"/>
                <w:szCs w:val="15"/>
              </w:rPr>
              <w:t>192,432</w:t>
            </w:r>
          </w:p>
        </w:tc>
        <w:tc>
          <w:tcPr>
            <w:tcW w:w="992" w:type="dxa"/>
            <w:tcBorders>
              <w:top w:val="nil"/>
              <w:left w:val="nil"/>
              <w:bottom w:val="single" w:sz="4" w:space="0" w:color="A6A6A6"/>
              <w:right w:val="nil"/>
            </w:tcBorders>
            <w:shd w:val="clear" w:color="auto" w:fill="D9D9D9"/>
          </w:tcPr>
          <w:p w14:paraId="5BDBCD54" w14:textId="77777777" w:rsidR="00D60822" w:rsidRPr="00BC0D1F" w:rsidRDefault="00D60822" w:rsidP="00F06348">
            <w:pPr>
              <w:pStyle w:val="TableText"/>
              <w:spacing w:before="40" w:after="40"/>
              <w:jc w:val="right"/>
              <w:rPr>
                <w:b/>
                <w:sz w:val="15"/>
                <w:szCs w:val="15"/>
              </w:rPr>
            </w:pPr>
            <w:r w:rsidRPr="00BC0D1F">
              <w:rPr>
                <w:b/>
                <w:sz w:val="15"/>
                <w:szCs w:val="15"/>
              </w:rPr>
              <w:t>192,453</w:t>
            </w:r>
          </w:p>
        </w:tc>
        <w:tc>
          <w:tcPr>
            <w:tcW w:w="1276" w:type="dxa"/>
            <w:tcBorders>
              <w:top w:val="nil"/>
              <w:left w:val="nil"/>
              <w:bottom w:val="single" w:sz="4" w:space="0" w:color="A6A6A6"/>
              <w:right w:val="nil"/>
            </w:tcBorders>
            <w:shd w:val="clear" w:color="auto" w:fill="D9D9D9"/>
          </w:tcPr>
          <w:p w14:paraId="1A60EF6D" w14:textId="77777777" w:rsidR="00D60822" w:rsidRPr="00BC0D1F" w:rsidRDefault="00D60822" w:rsidP="00F06348">
            <w:pPr>
              <w:pStyle w:val="TableText"/>
              <w:spacing w:before="40" w:after="40"/>
              <w:jc w:val="right"/>
              <w:rPr>
                <w:b/>
                <w:sz w:val="15"/>
                <w:szCs w:val="15"/>
              </w:rPr>
            </w:pPr>
            <w:r w:rsidRPr="00BC0D1F">
              <w:rPr>
                <w:b/>
                <w:sz w:val="15"/>
                <w:szCs w:val="15"/>
              </w:rPr>
              <w:t>1.24%</w:t>
            </w:r>
          </w:p>
        </w:tc>
        <w:tc>
          <w:tcPr>
            <w:tcW w:w="1276" w:type="dxa"/>
            <w:tcBorders>
              <w:top w:val="nil"/>
              <w:left w:val="nil"/>
              <w:bottom w:val="single" w:sz="4" w:space="0" w:color="A6A6A6"/>
              <w:right w:val="nil"/>
            </w:tcBorders>
            <w:shd w:val="clear" w:color="auto" w:fill="auto"/>
          </w:tcPr>
          <w:p w14:paraId="13CDEF42" w14:textId="77777777" w:rsidR="00D60822" w:rsidRPr="00BC0D1F" w:rsidRDefault="00D60822" w:rsidP="00F06348">
            <w:pPr>
              <w:pStyle w:val="TableText"/>
              <w:spacing w:before="40" w:after="40"/>
              <w:ind w:left="85"/>
              <w:rPr>
                <w:b/>
                <w:sz w:val="15"/>
                <w:szCs w:val="15"/>
              </w:rPr>
            </w:pPr>
          </w:p>
        </w:tc>
      </w:tr>
      <w:tr w:rsidR="00810942" w:rsidRPr="00BC0D1F" w14:paraId="2E2B8BA9" w14:textId="77777777" w:rsidTr="00F06348">
        <w:trPr>
          <w:cantSplit/>
        </w:trPr>
        <w:tc>
          <w:tcPr>
            <w:tcW w:w="993" w:type="dxa"/>
            <w:tcBorders>
              <w:top w:val="single" w:sz="4" w:space="0" w:color="A6A6A6"/>
              <w:left w:val="nil"/>
              <w:bottom w:val="nil"/>
              <w:right w:val="nil"/>
            </w:tcBorders>
            <w:shd w:val="clear" w:color="auto" w:fill="D9D9D9"/>
          </w:tcPr>
          <w:p w14:paraId="358742CD" w14:textId="77777777" w:rsidR="00D60822" w:rsidRPr="00BC0D1F" w:rsidRDefault="00D60822" w:rsidP="00F06348">
            <w:pPr>
              <w:pStyle w:val="TableText"/>
              <w:spacing w:before="40" w:after="40"/>
              <w:ind w:right="85"/>
              <w:jc w:val="right"/>
              <w:rPr>
                <w:b/>
                <w:sz w:val="15"/>
                <w:szCs w:val="15"/>
              </w:rPr>
            </w:pPr>
          </w:p>
        </w:tc>
        <w:tc>
          <w:tcPr>
            <w:tcW w:w="2976" w:type="dxa"/>
            <w:tcBorders>
              <w:top w:val="single" w:sz="4" w:space="0" w:color="A6A6A6"/>
              <w:left w:val="nil"/>
              <w:bottom w:val="nil"/>
              <w:right w:val="nil"/>
            </w:tcBorders>
            <w:shd w:val="clear" w:color="auto" w:fill="D9D9D9"/>
          </w:tcPr>
          <w:p w14:paraId="211A93E2" w14:textId="77777777" w:rsidR="00D60822" w:rsidRPr="00BC0D1F" w:rsidRDefault="00D60822" w:rsidP="00F06348">
            <w:pPr>
              <w:pStyle w:val="TableText"/>
              <w:spacing w:before="40" w:after="40"/>
              <w:rPr>
                <w:b/>
                <w:sz w:val="15"/>
                <w:szCs w:val="15"/>
              </w:rPr>
            </w:pPr>
            <w:r w:rsidRPr="00BC0D1F">
              <w:rPr>
                <w:b/>
                <w:sz w:val="15"/>
                <w:szCs w:val="15"/>
              </w:rPr>
              <w:t>Departmental capital expenditure</w:t>
            </w:r>
          </w:p>
        </w:tc>
        <w:tc>
          <w:tcPr>
            <w:tcW w:w="993" w:type="dxa"/>
            <w:tcBorders>
              <w:top w:val="single" w:sz="4" w:space="0" w:color="A6A6A6"/>
              <w:left w:val="nil"/>
              <w:bottom w:val="nil"/>
              <w:right w:val="nil"/>
            </w:tcBorders>
            <w:shd w:val="clear" w:color="auto" w:fill="D9D9D9"/>
          </w:tcPr>
          <w:p w14:paraId="13A7FDAD" w14:textId="77777777" w:rsidR="00D60822" w:rsidRPr="00BC0D1F" w:rsidRDefault="00D60822" w:rsidP="00F06348">
            <w:pPr>
              <w:pStyle w:val="TableText"/>
              <w:spacing w:before="40" w:after="40"/>
              <w:ind w:right="85"/>
              <w:jc w:val="right"/>
              <w:rPr>
                <w:b/>
                <w:sz w:val="15"/>
                <w:szCs w:val="15"/>
              </w:rPr>
            </w:pPr>
          </w:p>
        </w:tc>
        <w:tc>
          <w:tcPr>
            <w:tcW w:w="850" w:type="dxa"/>
            <w:tcBorders>
              <w:top w:val="single" w:sz="4" w:space="0" w:color="A6A6A6"/>
              <w:left w:val="nil"/>
              <w:bottom w:val="nil"/>
              <w:right w:val="nil"/>
            </w:tcBorders>
            <w:shd w:val="clear" w:color="auto" w:fill="D9D9D9"/>
          </w:tcPr>
          <w:p w14:paraId="2EBB8EA5" w14:textId="77777777" w:rsidR="00D60822" w:rsidRPr="00BC0D1F" w:rsidRDefault="00D60822" w:rsidP="00F06348">
            <w:pPr>
              <w:pStyle w:val="TableText"/>
              <w:spacing w:before="40" w:after="40"/>
              <w:jc w:val="right"/>
              <w:rPr>
                <w:b/>
                <w:sz w:val="15"/>
                <w:szCs w:val="15"/>
              </w:rPr>
            </w:pPr>
          </w:p>
        </w:tc>
        <w:tc>
          <w:tcPr>
            <w:tcW w:w="992" w:type="dxa"/>
            <w:tcBorders>
              <w:top w:val="single" w:sz="4" w:space="0" w:color="A6A6A6"/>
              <w:left w:val="nil"/>
              <w:bottom w:val="nil"/>
              <w:right w:val="nil"/>
            </w:tcBorders>
            <w:shd w:val="clear" w:color="auto" w:fill="D9D9D9"/>
          </w:tcPr>
          <w:p w14:paraId="6C5C1DA4"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24EA0448"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40B3009E" w14:textId="77777777" w:rsidR="00D60822" w:rsidRPr="00BC0D1F" w:rsidRDefault="00D60822" w:rsidP="00F06348">
            <w:pPr>
              <w:pStyle w:val="TableText"/>
              <w:spacing w:before="40" w:after="40"/>
              <w:ind w:left="85"/>
              <w:rPr>
                <w:b/>
                <w:sz w:val="15"/>
                <w:szCs w:val="15"/>
              </w:rPr>
            </w:pPr>
          </w:p>
        </w:tc>
      </w:tr>
      <w:tr w:rsidR="00810942" w:rsidRPr="00BC0D1F" w14:paraId="36243FDC" w14:textId="77777777" w:rsidTr="00F06348">
        <w:trPr>
          <w:cantSplit/>
        </w:trPr>
        <w:tc>
          <w:tcPr>
            <w:tcW w:w="993" w:type="dxa"/>
            <w:tcBorders>
              <w:top w:val="nil"/>
              <w:left w:val="nil"/>
              <w:bottom w:val="single" w:sz="4" w:space="0" w:color="A6A6A6"/>
              <w:right w:val="nil"/>
            </w:tcBorders>
            <w:shd w:val="clear" w:color="auto" w:fill="auto"/>
          </w:tcPr>
          <w:p w14:paraId="57999933" w14:textId="77777777" w:rsidR="00D60822" w:rsidRPr="00BC0D1F" w:rsidRDefault="00D60822" w:rsidP="00F06348">
            <w:pPr>
              <w:pStyle w:val="TableText"/>
              <w:spacing w:before="40" w:after="40"/>
              <w:ind w:right="85"/>
              <w:jc w:val="right"/>
              <w:rPr>
                <w:sz w:val="15"/>
                <w:szCs w:val="15"/>
              </w:rPr>
            </w:pPr>
            <w:r w:rsidRPr="00BC0D1F">
              <w:rPr>
                <w:sz w:val="15"/>
                <w:szCs w:val="15"/>
              </w:rPr>
              <w:t>12,753</w:t>
            </w:r>
          </w:p>
        </w:tc>
        <w:tc>
          <w:tcPr>
            <w:tcW w:w="2976" w:type="dxa"/>
            <w:tcBorders>
              <w:top w:val="nil"/>
              <w:left w:val="nil"/>
              <w:bottom w:val="single" w:sz="4" w:space="0" w:color="A6A6A6"/>
              <w:right w:val="nil"/>
            </w:tcBorders>
            <w:shd w:val="clear" w:color="auto" w:fill="auto"/>
          </w:tcPr>
          <w:p w14:paraId="3A972C51" w14:textId="77777777" w:rsidR="00D60822" w:rsidRPr="00BC0D1F" w:rsidRDefault="00D60822" w:rsidP="00F06348">
            <w:pPr>
              <w:pStyle w:val="TableText"/>
              <w:spacing w:before="40" w:after="40"/>
              <w:rPr>
                <w:sz w:val="15"/>
                <w:szCs w:val="15"/>
              </w:rPr>
            </w:pPr>
            <w:r w:rsidRPr="00BC0D1F">
              <w:rPr>
                <w:sz w:val="15"/>
                <w:szCs w:val="15"/>
              </w:rPr>
              <w:t>Ministry of Health</w:t>
            </w:r>
            <w:r w:rsidR="00CF4DCF" w:rsidRPr="00BC0D1F">
              <w:rPr>
                <w:sz w:val="15"/>
                <w:szCs w:val="15"/>
              </w:rPr>
              <w:t xml:space="preserve"> – </w:t>
            </w:r>
            <w:r w:rsidRPr="00BC0D1F">
              <w:rPr>
                <w:sz w:val="15"/>
                <w:szCs w:val="15"/>
              </w:rPr>
              <w:t>permanent legislative authority</w:t>
            </w:r>
          </w:p>
        </w:tc>
        <w:tc>
          <w:tcPr>
            <w:tcW w:w="993" w:type="dxa"/>
            <w:tcBorders>
              <w:top w:val="nil"/>
              <w:left w:val="nil"/>
              <w:bottom w:val="single" w:sz="4" w:space="0" w:color="A6A6A6"/>
              <w:right w:val="nil"/>
            </w:tcBorders>
            <w:shd w:val="clear" w:color="auto" w:fill="D9D9D9"/>
          </w:tcPr>
          <w:p w14:paraId="548C03C1" w14:textId="77777777" w:rsidR="00D60822" w:rsidRPr="00BC0D1F" w:rsidRDefault="00D60822" w:rsidP="00F06348">
            <w:pPr>
              <w:pStyle w:val="TableText"/>
              <w:spacing w:before="40" w:after="40"/>
              <w:ind w:right="85"/>
              <w:jc w:val="right"/>
              <w:rPr>
                <w:sz w:val="15"/>
                <w:szCs w:val="15"/>
              </w:rPr>
            </w:pPr>
            <w:r w:rsidRPr="00BC0D1F">
              <w:rPr>
                <w:sz w:val="15"/>
                <w:szCs w:val="15"/>
              </w:rPr>
              <w:t>11,535</w:t>
            </w:r>
          </w:p>
        </w:tc>
        <w:tc>
          <w:tcPr>
            <w:tcW w:w="850" w:type="dxa"/>
            <w:tcBorders>
              <w:top w:val="nil"/>
              <w:left w:val="nil"/>
              <w:bottom w:val="single" w:sz="4" w:space="0" w:color="A6A6A6"/>
              <w:right w:val="nil"/>
            </w:tcBorders>
            <w:shd w:val="clear" w:color="auto" w:fill="auto"/>
          </w:tcPr>
          <w:p w14:paraId="1A78E546" w14:textId="77777777" w:rsidR="00D60822" w:rsidRPr="00BC0D1F" w:rsidRDefault="000677F9" w:rsidP="00F06348">
            <w:pPr>
              <w:pStyle w:val="TableText"/>
              <w:spacing w:before="40" w:after="40"/>
              <w:jc w:val="right"/>
              <w:rPr>
                <w:sz w:val="15"/>
                <w:szCs w:val="15"/>
              </w:rPr>
            </w:pPr>
            <w:r w:rsidRPr="00BC0D1F">
              <w:rPr>
                <w:sz w:val="15"/>
                <w:szCs w:val="15"/>
              </w:rPr>
              <w:t>–</w:t>
            </w:r>
          </w:p>
        </w:tc>
        <w:tc>
          <w:tcPr>
            <w:tcW w:w="992" w:type="dxa"/>
            <w:tcBorders>
              <w:top w:val="nil"/>
              <w:left w:val="nil"/>
              <w:bottom w:val="single" w:sz="4" w:space="0" w:color="A6A6A6"/>
              <w:right w:val="nil"/>
            </w:tcBorders>
            <w:shd w:val="clear" w:color="auto" w:fill="auto"/>
          </w:tcPr>
          <w:p w14:paraId="2B005FF5" w14:textId="14F790AD" w:rsidR="00D60822" w:rsidRPr="00BC0D1F" w:rsidRDefault="00C13BF2" w:rsidP="00F06348">
            <w:pPr>
              <w:pStyle w:val="TableText"/>
              <w:spacing w:before="40" w:after="40"/>
              <w:jc w:val="right"/>
              <w:rPr>
                <w:sz w:val="15"/>
                <w:szCs w:val="15"/>
              </w:rPr>
            </w:pPr>
            <w:r>
              <w:rPr>
                <w:sz w:val="15"/>
                <w:szCs w:val="15"/>
              </w:rPr>
              <w:t>14,209</w:t>
            </w:r>
          </w:p>
        </w:tc>
        <w:tc>
          <w:tcPr>
            <w:tcW w:w="1276" w:type="dxa"/>
            <w:tcBorders>
              <w:top w:val="nil"/>
              <w:left w:val="nil"/>
              <w:bottom w:val="single" w:sz="4" w:space="0" w:color="A6A6A6"/>
              <w:right w:val="nil"/>
            </w:tcBorders>
            <w:shd w:val="clear" w:color="auto" w:fill="auto"/>
          </w:tcPr>
          <w:p w14:paraId="486E1651" w14:textId="77777777" w:rsidR="00D60822" w:rsidRPr="00BC0D1F" w:rsidRDefault="00D60822" w:rsidP="00F06348">
            <w:pPr>
              <w:pStyle w:val="TableText"/>
              <w:spacing w:before="40" w:after="40"/>
              <w:jc w:val="right"/>
              <w:rPr>
                <w:sz w:val="15"/>
                <w:szCs w:val="15"/>
              </w:rPr>
            </w:pPr>
            <w:r w:rsidRPr="00BC0D1F">
              <w:rPr>
                <w:sz w:val="15"/>
                <w:szCs w:val="15"/>
              </w:rPr>
              <w:t>0.08%</w:t>
            </w:r>
          </w:p>
        </w:tc>
        <w:tc>
          <w:tcPr>
            <w:tcW w:w="1276" w:type="dxa"/>
            <w:tcBorders>
              <w:top w:val="nil"/>
              <w:left w:val="nil"/>
              <w:bottom w:val="single" w:sz="4" w:space="0" w:color="A6A6A6"/>
              <w:right w:val="nil"/>
            </w:tcBorders>
            <w:shd w:val="clear" w:color="auto" w:fill="auto"/>
          </w:tcPr>
          <w:p w14:paraId="425AF2DF" w14:textId="77777777" w:rsidR="00D60822" w:rsidRPr="00BC0D1F" w:rsidRDefault="00D60822" w:rsidP="00F06348">
            <w:pPr>
              <w:pStyle w:val="TableText"/>
              <w:spacing w:before="40" w:after="40"/>
              <w:ind w:left="85"/>
              <w:rPr>
                <w:spacing w:val="-2"/>
                <w:sz w:val="15"/>
                <w:szCs w:val="15"/>
              </w:rPr>
            </w:pPr>
            <w:r w:rsidRPr="00BC0D1F">
              <w:rPr>
                <w:spacing w:val="-2"/>
                <w:sz w:val="15"/>
                <w:szCs w:val="15"/>
              </w:rPr>
              <w:t>Ministry of Health Annual Report</w:t>
            </w:r>
          </w:p>
        </w:tc>
      </w:tr>
      <w:tr w:rsidR="00810942" w:rsidRPr="00BC0D1F" w14:paraId="415FD9CD" w14:textId="77777777" w:rsidTr="00F06348">
        <w:trPr>
          <w:cantSplit/>
        </w:trPr>
        <w:tc>
          <w:tcPr>
            <w:tcW w:w="993" w:type="dxa"/>
            <w:tcBorders>
              <w:top w:val="single" w:sz="4" w:space="0" w:color="A6A6A6"/>
              <w:left w:val="nil"/>
              <w:bottom w:val="nil"/>
              <w:right w:val="nil"/>
            </w:tcBorders>
            <w:shd w:val="clear" w:color="auto" w:fill="D9D9D9"/>
          </w:tcPr>
          <w:p w14:paraId="27B2B583" w14:textId="77777777" w:rsidR="00D60822" w:rsidRPr="00BC0D1F" w:rsidRDefault="00D60822" w:rsidP="00F06348">
            <w:pPr>
              <w:pStyle w:val="TableText"/>
              <w:spacing w:before="40" w:after="40"/>
              <w:ind w:right="85"/>
              <w:jc w:val="right"/>
              <w:rPr>
                <w:b/>
                <w:sz w:val="15"/>
                <w:szCs w:val="15"/>
              </w:rPr>
            </w:pPr>
          </w:p>
        </w:tc>
        <w:tc>
          <w:tcPr>
            <w:tcW w:w="2976" w:type="dxa"/>
            <w:tcBorders>
              <w:top w:val="single" w:sz="4" w:space="0" w:color="A6A6A6"/>
              <w:left w:val="nil"/>
              <w:bottom w:val="nil"/>
              <w:right w:val="nil"/>
            </w:tcBorders>
            <w:shd w:val="clear" w:color="auto" w:fill="D9D9D9"/>
          </w:tcPr>
          <w:p w14:paraId="0DEA2D39" w14:textId="77777777" w:rsidR="00D60822" w:rsidRPr="00BC0D1F" w:rsidRDefault="00D60822" w:rsidP="00F06348">
            <w:pPr>
              <w:pStyle w:val="TableText"/>
              <w:spacing w:before="40" w:after="40"/>
              <w:rPr>
                <w:b/>
                <w:sz w:val="15"/>
                <w:szCs w:val="15"/>
              </w:rPr>
            </w:pPr>
            <w:r w:rsidRPr="00BC0D1F">
              <w:rPr>
                <w:b/>
                <w:sz w:val="15"/>
                <w:szCs w:val="15"/>
              </w:rPr>
              <w:t>Departmental capital injections</w:t>
            </w:r>
          </w:p>
        </w:tc>
        <w:tc>
          <w:tcPr>
            <w:tcW w:w="993" w:type="dxa"/>
            <w:tcBorders>
              <w:top w:val="single" w:sz="4" w:space="0" w:color="A6A6A6"/>
              <w:left w:val="nil"/>
              <w:bottom w:val="nil"/>
              <w:right w:val="nil"/>
            </w:tcBorders>
            <w:shd w:val="clear" w:color="auto" w:fill="D9D9D9"/>
          </w:tcPr>
          <w:p w14:paraId="6BD593E2" w14:textId="77777777" w:rsidR="00D60822" w:rsidRPr="00BC0D1F" w:rsidRDefault="00D60822" w:rsidP="00F06348">
            <w:pPr>
              <w:pStyle w:val="TableText"/>
              <w:spacing w:before="40" w:after="40"/>
              <w:ind w:right="85"/>
              <w:jc w:val="right"/>
              <w:rPr>
                <w:b/>
                <w:sz w:val="15"/>
                <w:szCs w:val="15"/>
              </w:rPr>
            </w:pPr>
          </w:p>
        </w:tc>
        <w:tc>
          <w:tcPr>
            <w:tcW w:w="850" w:type="dxa"/>
            <w:tcBorders>
              <w:top w:val="single" w:sz="4" w:space="0" w:color="A6A6A6"/>
              <w:left w:val="nil"/>
              <w:bottom w:val="nil"/>
              <w:right w:val="nil"/>
            </w:tcBorders>
            <w:shd w:val="clear" w:color="auto" w:fill="D9D9D9"/>
          </w:tcPr>
          <w:p w14:paraId="7B973D6F" w14:textId="77777777" w:rsidR="00D60822" w:rsidRPr="00BC0D1F" w:rsidRDefault="00D60822" w:rsidP="00F06348">
            <w:pPr>
              <w:pStyle w:val="TableText"/>
              <w:spacing w:before="40" w:after="40"/>
              <w:jc w:val="right"/>
              <w:rPr>
                <w:b/>
                <w:sz w:val="15"/>
                <w:szCs w:val="15"/>
              </w:rPr>
            </w:pPr>
          </w:p>
        </w:tc>
        <w:tc>
          <w:tcPr>
            <w:tcW w:w="992" w:type="dxa"/>
            <w:tcBorders>
              <w:top w:val="single" w:sz="4" w:space="0" w:color="A6A6A6"/>
              <w:left w:val="nil"/>
              <w:bottom w:val="nil"/>
              <w:right w:val="nil"/>
            </w:tcBorders>
            <w:shd w:val="clear" w:color="auto" w:fill="D9D9D9"/>
          </w:tcPr>
          <w:p w14:paraId="741CC0BC"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0E1ADE6B"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37D35490" w14:textId="77777777" w:rsidR="00D60822" w:rsidRPr="00BC0D1F" w:rsidRDefault="00D60822" w:rsidP="00F06348">
            <w:pPr>
              <w:pStyle w:val="TableText"/>
              <w:spacing w:before="40" w:after="40"/>
              <w:ind w:left="85"/>
              <w:rPr>
                <w:b/>
                <w:sz w:val="15"/>
                <w:szCs w:val="15"/>
              </w:rPr>
            </w:pPr>
          </w:p>
        </w:tc>
      </w:tr>
      <w:tr w:rsidR="00810942" w:rsidRPr="00BC0D1F" w14:paraId="00F5F1E7" w14:textId="77777777" w:rsidTr="00F06348">
        <w:trPr>
          <w:cantSplit/>
        </w:trPr>
        <w:tc>
          <w:tcPr>
            <w:tcW w:w="993" w:type="dxa"/>
            <w:tcBorders>
              <w:top w:val="nil"/>
              <w:left w:val="nil"/>
              <w:bottom w:val="single" w:sz="4" w:space="0" w:color="A6A6A6"/>
              <w:right w:val="nil"/>
            </w:tcBorders>
            <w:shd w:val="clear" w:color="auto" w:fill="auto"/>
          </w:tcPr>
          <w:p w14:paraId="15335DE0" w14:textId="59455BB1" w:rsidR="00C74455" w:rsidRPr="00BC0D1F" w:rsidRDefault="00D60822" w:rsidP="00C74455">
            <w:pPr>
              <w:pStyle w:val="TableText"/>
              <w:spacing w:before="40" w:after="40"/>
              <w:ind w:right="85"/>
              <w:jc w:val="right"/>
              <w:rPr>
                <w:sz w:val="15"/>
                <w:szCs w:val="15"/>
              </w:rPr>
            </w:pPr>
            <w:r w:rsidRPr="00BC0D1F">
              <w:rPr>
                <w:sz w:val="15"/>
                <w:szCs w:val="15"/>
              </w:rPr>
              <w:t>1</w:t>
            </w:r>
            <w:r w:rsidR="008234DC" w:rsidRPr="00BC0D1F">
              <w:rPr>
                <w:sz w:val="15"/>
                <w:szCs w:val="15"/>
              </w:rPr>
              <w:t>,</w:t>
            </w:r>
            <w:r w:rsidRPr="00BC0D1F">
              <w:rPr>
                <w:sz w:val="15"/>
                <w:szCs w:val="15"/>
              </w:rPr>
              <w:t>517</w:t>
            </w:r>
          </w:p>
        </w:tc>
        <w:tc>
          <w:tcPr>
            <w:tcW w:w="2976" w:type="dxa"/>
            <w:tcBorders>
              <w:top w:val="nil"/>
              <w:left w:val="nil"/>
              <w:bottom w:val="single" w:sz="4" w:space="0" w:color="A6A6A6"/>
              <w:right w:val="nil"/>
            </w:tcBorders>
            <w:shd w:val="clear" w:color="auto" w:fill="auto"/>
          </w:tcPr>
          <w:p w14:paraId="6EA50A07" w14:textId="77777777" w:rsidR="00D60822" w:rsidRPr="00BC0D1F" w:rsidRDefault="00D60822" w:rsidP="00F06348">
            <w:pPr>
              <w:pStyle w:val="TableText"/>
              <w:spacing w:before="40" w:after="40"/>
              <w:rPr>
                <w:sz w:val="15"/>
                <w:szCs w:val="15"/>
              </w:rPr>
            </w:pPr>
            <w:r w:rsidRPr="00BC0D1F">
              <w:rPr>
                <w:sz w:val="15"/>
                <w:szCs w:val="15"/>
              </w:rPr>
              <w:t>Ministry of Health</w:t>
            </w:r>
            <w:r w:rsidR="00CF4DCF" w:rsidRPr="00BC0D1F">
              <w:rPr>
                <w:sz w:val="15"/>
                <w:szCs w:val="15"/>
              </w:rPr>
              <w:t xml:space="preserve"> – </w:t>
            </w:r>
            <w:r w:rsidRPr="00BC0D1F">
              <w:rPr>
                <w:sz w:val="15"/>
                <w:szCs w:val="15"/>
              </w:rPr>
              <w:t>capital injection</w:t>
            </w:r>
          </w:p>
        </w:tc>
        <w:tc>
          <w:tcPr>
            <w:tcW w:w="993" w:type="dxa"/>
            <w:tcBorders>
              <w:top w:val="nil"/>
              <w:left w:val="nil"/>
              <w:bottom w:val="single" w:sz="4" w:space="0" w:color="A6A6A6"/>
              <w:right w:val="nil"/>
            </w:tcBorders>
            <w:shd w:val="clear" w:color="auto" w:fill="D9D9D9"/>
          </w:tcPr>
          <w:p w14:paraId="4C7E9C76" w14:textId="77777777" w:rsidR="00D60822" w:rsidRPr="00BC0D1F" w:rsidRDefault="00320073" w:rsidP="00F06348">
            <w:pPr>
              <w:pStyle w:val="TableText"/>
              <w:spacing w:before="40" w:after="40"/>
              <w:ind w:right="85"/>
              <w:jc w:val="right"/>
              <w:rPr>
                <w:sz w:val="15"/>
                <w:szCs w:val="15"/>
              </w:rPr>
            </w:pPr>
            <w:r w:rsidRPr="00BC0D1F">
              <w:rPr>
                <w:sz w:val="15"/>
                <w:szCs w:val="15"/>
              </w:rPr>
              <w:t>–</w:t>
            </w:r>
          </w:p>
        </w:tc>
        <w:tc>
          <w:tcPr>
            <w:tcW w:w="850" w:type="dxa"/>
            <w:tcBorders>
              <w:top w:val="nil"/>
              <w:left w:val="nil"/>
              <w:bottom w:val="single" w:sz="4" w:space="0" w:color="A6A6A6"/>
              <w:right w:val="nil"/>
            </w:tcBorders>
            <w:shd w:val="clear" w:color="auto" w:fill="auto"/>
          </w:tcPr>
          <w:p w14:paraId="304546B1" w14:textId="77777777" w:rsidR="00D60822" w:rsidRPr="00BC0D1F" w:rsidRDefault="00D60822" w:rsidP="00F06348">
            <w:pPr>
              <w:pStyle w:val="TableText"/>
              <w:spacing w:before="40" w:after="40"/>
              <w:jc w:val="right"/>
              <w:rPr>
                <w:sz w:val="15"/>
                <w:szCs w:val="15"/>
              </w:rPr>
            </w:pPr>
            <w:r w:rsidRPr="00BC0D1F">
              <w:rPr>
                <w:sz w:val="15"/>
                <w:szCs w:val="15"/>
              </w:rPr>
              <w:t>315</w:t>
            </w:r>
          </w:p>
        </w:tc>
        <w:tc>
          <w:tcPr>
            <w:tcW w:w="992" w:type="dxa"/>
            <w:tcBorders>
              <w:top w:val="nil"/>
              <w:left w:val="nil"/>
              <w:bottom w:val="single" w:sz="4" w:space="0" w:color="A6A6A6"/>
              <w:right w:val="nil"/>
            </w:tcBorders>
            <w:shd w:val="clear" w:color="auto" w:fill="auto"/>
          </w:tcPr>
          <w:p w14:paraId="6CB5B663" w14:textId="77777777" w:rsidR="00D60822" w:rsidRPr="00BC0D1F" w:rsidRDefault="00D60822" w:rsidP="00F06348">
            <w:pPr>
              <w:pStyle w:val="TableText"/>
              <w:spacing w:before="40" w:after="40"/>
              <w:jc w:val="right"/>
              <w:rPr>
                <w:sz w:val="15"/>
                <w:szCs w:val="15"/>
              </w:rPr>
            </w:pPr>
            <w:r w:rsidRPr="00BC0D1F">
              <w:rPr>
                <w:sz w:val="15"/>
                <w:szCs w:val="15"/>
              </w:rPr>
              <w:t>315</w:t>
            </w:r>
          </w:p>
        </w:tc>
        <w:tc>
          <w:tcPr>
            <w:tcW w:w="1276" w:type="dxa"/>
            <w:tcBorders>
              <w:top w:val="nil"/>
              <w:left w:val="nil"/>
              <w:bottom w:val="single" w:sz="4" w:space="0" w:color="A6A6A6"/>
              <w:right w:val="nil"/>
            </w:tcBorders>
            <w:shd w:val="clear" w:color="auto" w:fill="auto"/>
          </w:tcPr>
          <w:p w14:paraId="1222D5C0" w14:textId="77777777" w:rsidR="00D60822" w:rsidRPr="00BC0D1F" w:rsidRDefault="00D60822" w:rsidP="00F06348">
            <w:pPr>
              <w:pStyle w:val="TableText"/>
              <w:spacing w:before="40" w:after="40"/>
              <w:jc w:val="right"/>
              <w:rPr>
                <w:sz w:val="15"/>
                <w:szCs w:val="15"/>
              </w:rPr>
            </w:pPr>
            <w:r w:rsidRPr="00BC0D1F">
              <w:rPr>
                <w:sz w:val="15"/>
                <w:szCs w:val="15"/>
              </w:rPr>
              <w:t>0.00%</w:t>
            </w:r>
          </w:p>
        </w:tc>
        <w:tc>
          <w:tcPr>
            <w:tcW w:w="1276" w:type="dxa"/>
            <w:tcBorders>
              <w:top w:val="nil"/>
              <w:left w:val="nil"/>
              <w:bottom w:val="single" w:sz="4" w:space="0" w:color="A6A6A6"/>
              <w:right w:val="nil"/>
            </w:tcBorders>
            <w:shd w:val="clear" w:color="auto" w:fill="auto"/>
          </w:tcPr>
          <w:p w14:paraId="5D6EDBDF" w14:textId="362255D3" w:rsidR="00C74455" w:rsidRPr="00BC0D1F" w:rsidRDefault="00D60822" w:rsidP="00C74455">
            <w:pPr>
              <w:pStyle w:val="TableText"/>
              <w:spacing w:before="40" w:after="40"/>
              <w:ind w:left="85"/>
              <w:rPr>
                <w:spacing w:val="-2"/>
                <w:sz w:val="15"/>
                <w:szCs w:val="15"/>
              </w:rPr>
            </w:pPr>
            <w:r w:rsidRPr="00BC0D1F">
              <w:rPr>
                <w:spacing w:val="-2"/>
                <w:sz w:val="15"/>
                <w:szCs w:val="15"/>
              </w:rPr>
              <w:t>Ministry of Health Annual Report</w:t>
            </w:r>
          </w:p>
        </w:tc>
      </w:tr>
    </w:tbl>
    <w:p w14:paraId="100B24C9" w14:textId="77777777" w:rsidR="00C74455" w:rsidRDefault="00C74455">
      <w:r>
        <w:br w:type="page"/>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2551"/>
        <w:gridCol w:w="425"/>
        <w:gridCol w:w="993"/>
        <w:gridCol w:w="850"/>
        <w:gridCol w:w="992"/>
        <w:gridCol w:w="1276"/>
        <w:gridCol w:w="1276"/>
      </w:tblGrid>
      <w:tr w:rsidR="00C74455" w:rsidRPr="00BC0D1F" w14:paraId="499FFB2E" w14:textId="77777777" w:rsidTr="008D3000">
        <w:trPr>
          <w:cantSplit/>
          <w:tblHeader/>
        </w:trPr>
        <w:tc>
          <w:tcPr>
            <w:tcW w:w="993" w:type="dxa"/>
            <w:tcBorders>
              <w:left w:val="nil"/>
              <w:bottom w:val="single" w:sz="4" w:space="0" w:color="auto"/>
              <w:right w:val="nil"/>
            </w:tcBorders>
            <w:shd w:val="clear" w:color="auto" w:fill="auto"/>
          </w:tcPr>
          <w:p w14:paraId="30FE7271" w14:textId="1973F1AC" w:rsidR="00C74455" w:rsidRPr="00BC0D1F" w:rsidRDefault="00C74455" w:rsidP="008D3000">
            <w:pPr>
              <w:pStyle w:val="TableText"/>
              <w:spacing w:before="40" w:after="40"/>
              <w:ind w:right="85"/>
              <w:jc w:val="right"/>
              <w:rPr>
                <w:b/>
                <w:sz w:val="15"/>
                <w:szCs w:val="15"/>
              </w:rPr>
            </w:pPr>
            <w:r w:rsidRPr="00BC0D1F">
              <w:rPr>
                <w:b/>
                <w:sz w:val="15"/>
                <w:szCs w:val="15"/>
              </w:rPr>
              <w:lastRenderedPageBreak/>
              <w:t xml:space="preserve">Actual </w:t>
            </w:r>
            <w:r w:rsidRPr="00BC0D1F">
              <w:rPr>
                <w:rFonts w:ascii="Arial Bold" w:hAnsi="Arial Bold"/>
                <w:b/>
                <w:spacing w:val="-4"/>
                <w:sz w:val="15"/>
                <w:szCs w:val="15"/>
              </w:rPr>
              <w:t>expenditure</w:t>
            </w:r>
            <w:r w:rsidRPr="00BC0D1F">
              <w:rPr>
                <w:b/>
                <w:sz w:val="15"/>
                <w:szCs w:val="15"/>
              </w:rPr>
              <w:br/>
              <w:t>2015</w:t>
            </w:r>
            <w:r w:rsidRPr="00BC0D1F">
              <w:rPr>
                <w:b/>
                <w:sz w:val="15"/>
                <w:szCs w:val="15"/>
              </w:rPr>
              <w:br/>
              <w:t>$000</w:t>
            </w:r>
          </w:p>
        </w:tc>
        <w:tc>
          <w:tcPr>
            <w:tcW w:w="2976" w:type="dxa"/>
            <w:gridSpan w:val="2"/>
            <w:tcBorders>
              <w:left w:val="nil"/>
              <w:bottom w:val="single" w:sz="4" w:space="0" w:color="auto"/>
              <w:right w:val="nil"/>
            </w:tcBorders>
            <w:shd w:val="clear" w:color="auto" w:fill="auto"/>
          </w:tcPr>
          <w:p w14:paraId="2C793045" w14:textId="77777777" w:rsidR="00C74455" w:rsidRPr="00BC0D1F" w:rsidRDefault="00C74455" w:rsidP="008D3000">
            <w:pPr>
              <w:pStyle w:val="TableText"/>
              <w:spacing w:before="40" w:after="40"/>
              <w:rPr>
                <w:b/>
                <w:sz w:val="15"/>
                <w:szCs w:val="15"/>
              </w:rPr>
            </w:pPr>
            <w:r w:rsidRPr="00BC0D1F">
              <w:rPr>
                <w:b/>
                <w:sz w:val="15"/>
                <w:szCs w:val="15"/>
              </w:rPr>
              <w:t>Appropriation title</w:t>
            </w:r>
          </w:p>
        </w:tc>
        <w:tc>
          <w:tcPr>
            <w:tcW w:w="993" w:type="dxa"/>
            <w:tcBorders>
              <w:left w:val="nil"/>
              <w:bottom w:val="single" w:sz="4" w:space="0" w:color="auto"/>
              <w:right w:val="nil"/>
            </w:tcBorders>
            <w:shd w:val="clear" w:color="auto" w:fill="D9D9D9"/>
          </w:tcPr>
          <w:p w14:paraId="403D8B07" w14:textId="77777777" w:rsidR="00C74455" w:rsidRPr="00BC0D1F" w:rsidRDefault="00C74455" w:rsidP="008D3000">
            <w:pPr>
              <w:pStyle w:val="TableText"/>
              <w:spacing w:before="40" w:after="40"/>
              <w:ind w:right="85"/>
              <w:jc w:val="right"/>
              <w:rPr>
                <w:b/>
                <w:sz w:val="15"/>
                <w:szCs w:val="15"/>
              </w:rPr>
            </w:pPr>
            <w:r w:rsidRPr="00BC0D1F">
              <w:rPr>
                <w:b/>
                <w:sz w:val="15"/>
                <w:szCs w:val="15"/>
              </w:rPr>
              <w:t xml:space="preserve">Actual </w:t>
            </w:r>
            <w:r w:rsidRPr="00BC0D1F">
              <w:rPr>
                <w:rFonts w:ascii="Arial Bold" w:hAnsi="Arial Bold"/>
                <w:b/>
                <w:spacing w:val="-4"/>
                <w:sz w:val="15"/>
                <w:szCs w:val="15"/>
              </w:rPr>
              <w:t>expenditure</w:t>
            </w:r>
            <w:r w:rsidRPr="00BC0D1F">
              <w:rPr>
                <w:b/>
                <w:sz w:val="15"/>
                <w:szCs w:val="15"/>
              </w:rPr>
              <w:br/>
              <w:t>2016</w:t>
            </w:r>
            <w:r w:rsidRPr="00BC0D1F">
              <w:rPr>
                <w:b/>
                <w:sz w:val="15"/>
                <w:szCs w:val="15"/>
              </w:rPr>
              <w:br/>
              <w:t>$000</w:t>
            </w:r>
          </w:p>
        </w:tc>
        <w:tc>
          <w:tcPr>
            <w:tcW w:w="850" w:type="dxa"/>
            <w:tcBorders>
              <w:left w:val="nil"/>
              <w:bottom w:val="single" w:sz="4" w:space="0" w:color="auto"/>
              <w:right w:val="nil"/>
            </w:tcBorders>
            <w:shd w:val="clear" w:color="auto" w:fill="auto"/>
          </w:tcPr>
          <w:p w14:paraId="140B5BB8" w14:textId="77777777" w:rsidR="00C74455" w:rsidRPr="00BC0D1F" w:rsidRDefault="00C74455" w:rsidP="008D3000">
            <w:pPr>
              <w:pStyle w:val="TableText"/>
              <w:spacing w:before="40" w:after="40"/>
              <w:jc w:val="right"/>
              <w:rPr>
                <w:b/>
                <w:sz w:val="15"/>
                <w:szCs w:val="15"/>
              </w:rPr>
            </w:pPr>
            <w:bookmarkStart w:id="163" w:name="_GoBack"/>
            <w:bookmarkEnd w:id="163"/>
            <w:r w:rsidRPr="00BC0D1F">
              <w:rPr>
                <w:b/>
                <w:sz w:val="15"/>
                <w:szCs w:val="15"/>
              </w:rPr>
              <w:t>Main estimates</w:t>
            </w:r>
            <w:r w:rsidRPr="00BC0D1F">
              <w:rPr>
                <w:b/>
                <w:sz w:val="15"/>
                <w:szCs w:val="15"/>
              </w:rPr>
              <w:br/>
              <w:t>2016</w:t>
            </w:r>
            <w:r w:rsidRPr="00BC0D1F">
              <w:rPr>
                <w:b/>
                <w:sz w:val="15"/>
                <w:szCs w:val="15"/>
              </w:rPr>
              <w:br/>
              <w:t>$000</w:t>
            </w:r>
          </w:p>
        </w:tc>
        <w:tc>
          <w:tcPr>
            <w:tcW w:w="992" w:type="dxa"/>
            <w:tcBorders>
              <w:left w:val="nil"/>
              <w:bottom w:val="single" w:sz="4" w:space="0" w:color="auto"/>
              <w:right w:val="nil"/>
            </w:tcBorders>
            <w:shd w:val="clear" w:color="auto" w:fill="auto"/>
          </w:tcPr>
          <w:p w14:paraId="12CA62F6" w14:textId="77777777" w:rsidR="00C74455" w:rsidRPr="00BC0D1F" w:rsidRDefault="00C74455" w:rsidP="008D3000">
            <w:pPr>
              <w:pStyle w:val="TableText"/>
              <w:spacing w:before="40" w:after="40"/>
              <w:jc w:val="right"/>
              <w:rPr>
                <w:b/>
                <w:sz w:val="15"/>
                <w:szCs w:val="15"/>
              </w:rPr>
            </w:pPr>
            <w:r w:rsidRPr="00BC0D1F">
              <w:rPr>
                <w:b/>
                <w:sz w:val="15"/>
                <w:szCs w:val="15"/>
              </w:rPr>
              <w:t xml:space="preserve">Voted^ </w:t>
            </w:r>
            <w:r w:rsidRPr="00BC0D1F">
              <w:rPr>
                <w:rFonts w:ascii="Arial Bold" w:hAnsi="Arial Bold"/>
                <w:b/>
                <w:spacing w:val="-4"/>
                <w:sz w:val="15"/>
                <w:szCs w:val="15"/>
              </w:rPr>
              <w:t>appropriation</w:t>
            </w:r>
            <w:r w:rsidRPr="00BC0D1F">
              <w:rPr>
                <w:b/>
                <w:sz w:val="15"/>
                <w:szCs w:val="15"/>
              </w:rPr>
              <w:br/>
              <w:t>2016</w:t>
            </w:r>
            <w:r w:rsidRPr="00BC0D1F">
              <w:rPr>
                <w:b/>
                <w:sz w:val="15"/>
                <w:szCs w:val="15"/>
              </w:rPr>
              <w:br/>
              <w:t>$000</w:t>
            </w:r>
          </w:p>
        </w:tc>
        <w:tc>
          <w:tcPr>
            <w:tcW w:w="1276" w:type="dxa"/>
            <w:tcBorders>
              <w:left w:val="nil"/>
              <w:bottom w:val="single" w:sz="4" w:space="0" w:color="auto"/>
              <w:right w:val="nil"/>
            </w:tcBorders>
            <w:shd w:val="clear" w:color="auto" w:fill="auto"/>
          </w:tcPr>
          <w:p w14:paraId="794324EC" w14:textId="77777777" w:rsidR="00C74455" w:rsidRPr="00BC0D1F" w:rsidRDefault="00C74455" w:rsidP="008D3000">
            <w:pPr>
              <w:pStyle w:val="TableText"/>
              <w:spacing w:before="40" w:after="40"/>
              <w:jc w:val="right"/>
              <w:rPr>
                <w:b/>
                <w:sz w:val="15"/>
                <w:szCs w:val="15"/>
              </w:rPr>
            </w:pPr>
            <w:r w:rsidRPr="00BC0D1F">
              <w:rPr>
                <w:b/>
                <w:sz w:val="15"/>
                <w:szCs w:val="15"/>
              </w:rPr>
              <w:t>Actual expenditure as a</w:t>
            </w:r>
            <w:r w:rsidRPr="00BC0D1F">
              <w:rPr>
                <w:b/>
                <w:sz w:val="15"/>
                <w:szCs w:val="15"/>
              </w:rPr>
              <w:br/>
              <w:t>% of total Vote</w:t>
            </w:r>
            <w:r w:rsidRPr="00BC0D1F">
              <w:rPr>
                <w:b/>
                <w:sz w:val="15"/>
                <w:szCs w:val="15"/>
              </w:rPr>
              <w:br/>
              <w:t>$000</w:t>
            </w:r>
          </w:p>
        </w:tc>
        <w:tc>
          <w:tcPr>
            <w:tcW w:w="1276" w:type="dxa"/>
            <w:tcBorders>
              <w:left w:val="nil"/>
              <w:bottom w:val="single" w:sz="4" w:space="0" w:color="auto"/>
              <w:right w:val="nil"/>
            </w:tcBorders>
            <w:shd w:val="clear" w:color="auto" w:fill="auto"/>
          </w:tcPr>
          <w:p w14:paraId="1FEC5C5C" w14:textId="77777777" w:rsidR="00C74455" w:rsidRPr="00BC0D1F" w:rsidRDefault="00C74455" w:rsidP="008D3000">
            <w:pPr>
              <w:pStyle w:val="TableText"/>
              <w:spacing w:before="40" w:after="40"/>
              <w:ind w:left="85"/>
              <w:jc w:val="center"/>
              <w:rPr>
                <w:b/>
                <w:sz w:val="15"/>
                <w:szCs w:val="15"/>
              </w:rPr>
            </w:pPr>
            <w:r w:rsidRPr="00BC0D1F">
              <w:rPr>
                <w:b/>
                <w:sz w:val="15"/>
                <w:szCs w:val="15"/>
              </w:rPr>
              <w:t>Location of end</w:t>
            </w:r>
            <w:r w:rsidRPr="00BC0D1F">
              <w:rPr>
                <w:b/>
                <w:sz w:val="15"/>
                <w:szCs w:val="15"/>
              </w:rPr>
              <w:noBreakHyphen/>
              <w:t>of-year performance information</w:t>
            </w:r>
          </w:p>
        </w:tc>
      </w:tr>
      <w:tr w:rsidR="00810942" w:rsidRPr="00BC0D1F" w14:paraId="3737250C" w14:textId="77777777" w:rsidTr="00F06348">
        <w:trPr>
          <w:cantSplit/>
        </w:trPr>
        <w:tc>
          <w:tcPr>
            <w:tcW w:w="993" w:type="dxa"/>
            <w:tcBorders>
              <w:top w:val="single" w:sz="4" w:space="0" w:color="A6A6A6"/>
              <w:left w:val="nil"/>
              <w:bottom w:val="nil"/>
              <w:right w:val="nil"/>
            </w:tcBorders>
            <w:shd w:val="clear" w:color="auto" w:fill="D9D9D9"/>
          </w:tcPr>
          <w:p w14:paraId="764DD001" w14:textId="77777777" w:rsidR="00D60822" w:rsidRPr="00BC0D1F" w:rsidRDefault="00D60822" w:rsidP="00F06348">
            <w:pPr>
              <w:pStyle w:val="TableText"/>
              <w:spacing w:before="40" w:after="40"/>
              <w:ind w:right="85"/>
              <w:jc w:val="right"/>
              <w:rPr>
                <w:b/>
                <w:sz w:val="15"/>
                <w:szCs w:val="15"/>
              </w:rPr>
            </w:pPr>
          </w:p>
        </w:tc>
        <w:tc>
          <w:tcPr>
            <w:tcW w:w="2976" w:type="dxa"/>
            <w:gridSpan w:val="2"/>
            <w:tcBorders>
              <w:top w:val="single" w:sz="4" w:space="0" w:color="A6A6A6"/>
              <w:left w:val="nil"/>
              <w:bottom w:val="nil"/>
              <w:right w:val="nil"/>
            </w:tcBorders>
            <w:shd w:val="clear" w:color="auto" w:fill="D9D9D9"/>
          </w:tcPr>
          <w:p w14:paraId="2231B332" w14:textId="77777777" w:rsidR="00D60822" w:rsidRPr="00BC0D1F" w:rsidRDefault="00D60822" w:rsidP="00F06348">
            <w:pPr>
              <w:pStyle w:val="TableText"/>
              <w:spacing w:before="40" w:after="40"/>
              <w:rPr>
                <w:b/>
                <w:sz w:val="15"/>
                <w:szCs w:val="15"/>
              </w:rPr>
            </w:pPr>
            <w:r w:rsidRPr="00BC0D1F">
              <w:rPr>
                <w:b/>
                <w:sz w:val="15"/>
                <w:szCs w:val="15"/>
              </w:rPr>
              <w:t>Non</w:t>
            </w:r>
            <w:r w:rsidR="00CF4DCF" w:rsidRPr="00BC0D1F">
              <w:rPr>
                <w:b/>
                <w:sz w:val="15"/>
                <w:szCs w:val="15"/>
              </w:rPr>
              <w:t>-</w:t>
            </w:r>
            <w:r w:rsidRPr="00BC0D1F">
              <w:rPr>
                <w:b/>
                <w:sz w:val="15"/>
                <w:szCs w:val="15"/>
              </w:rPr>
              <w:t>departmental output expenses</w:t>
            </w:r>
          </w:p>
        </w:tc>
        <w:tc>
          <w:tcPr>
            <w:tcW w:w="993" w:type="dxa"/>
            <w:tcBorders>
              <w:top w:val="single" w:sz="4" w:space="0" w:color="A6A6A6"/>
              <w:left w:val="nil"/>
              <w:bottom w:val="nil"/>
              <w:right w:val="nil"/>
            </w:tcBorders>
            <w:shd w:val="clear" w:color="auto" w:fill="D9D9D9"/>
          </w:tcPr>
          <w:p w14:paraId="67B45BB4" w14:textId="77777777" w:rsidR="00D60822" w:rsidRPr="00BC0D1F" w:rsidRDefault="00D60822" w:rsidP="00F06348">
            <w:pPr>
              <w:pStyle w:val="TableText"/>
              <w:spacing w:before="40" w:after="40"/>
              <w:ind w:right="85"/>
              <w:jc w:val="right"/>
              <w:rPr>
                <w:b/>
                <w:sz w:val="15"/>
                <w:szCs w:val="15"/>
              </w:rPr>
            </w:pPr>
          </w:p>
        </w:tc>
        <w:tc>
          <w:tcPr>
            <w:tcW w:w="850" w:type="dxa"/>
            <w:tcBorders>
              <w:top w:val="single" w:sz="4" w:space="0" w:color="A6A6A6"/>
              <w:left w:val="nil"/>
              <w:bottom w:val="nil"/>
              <w:right w:val="nil"/>
            </w:tcBorders>
            <w:shd w:val="clear" w:color="auto" w:fill="D9D9D9"/>
          </w:tcPr>
          <w:p w14:paraId="0D2F00BB" w14:textId="77777777" w:rsidR="00D60822" w:rsidRPr="00BC0D1F" w:rsidRDefault="00D60822" w:rsidP="00F06348">
            <w:pPr>
              <w:pStyle w:val="TableText"/>
              <w:spacing w:before="40" w:after="40"/>
              <w:jc w:val="right"/>
              <w:rPr>
                <w:b/>
                <w:sz w:val="15"/>
                <w:szCs w:val="15"/>
              </w:rPr>
            </w:pPr>
          </w:p>
        </w:tc>
        <w:tc>
          <w:tcPr>
            <w:tcW w:w="992" w:type="dxa"/>
            <w:tcBorders>
              <w:top w:val="single" w:sz="4" w:space="0" w:color="A6A6A6"/>
              <w:left w:val="nil"/>
              <w:bottom w:val="nil"/>
              <w:right w:val="nil"/>
            </w:tcBorders>
            <w:shd w:val="clear" w:color="auto" w:fill="D9D9D9"/>
          </w:tcPr>
          <w:p w14:paraId="5F3BAE78"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0FA115B4"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31CA4148" w14:textId="77777777" w:rsidR="00D60822" w:rsidRPr="00BC0D1F" w:rsidRDefault="00D60822" w:rsidP="00F06348">
            <w:pPr>
              <w:pStyle w:val="TableText"/>
              <w:spacing w:before="40" w:after="40"/>
              <w:ind w:left="85"/>
              <w:rPr>
                <w:b/>
                <w:sz w:val="15"/>
                <w:szCs w:val="15"/>
              </w:rPr>
            </w:pPr>
          </w:p>
        </w:tc>
      </w:tr>
      <w:tr w:rsidR="00810942" w:rsidRPr="00BC0D1F" w14:paraId="40EDFA35" w14:textId="77777777" w:rsidTr="00F06348">
        <w:trPr>
          <w:cantSplit/>
        </w:trPr>
        <w:tc>
          <w:tcPr>
            <w:tcW w:w="993" w:type="dxa"/>
            <w:tcBorders>
              <w:top w:val="nil"/>
              <w:left w:val="nil"/>
              <w:bottom w:val="nil"/>
              <w:right w:val="nil"/>
            </w:tcBorders>
            <w:shd w:val="clear" w:color="auto" w:fill="auto"/>
          </w:tcPr>
          <w:p w14:paraId="5995188C" w14:textId="77777777" w:rsidR="00D31199" w:rsidRPr="00BC0D1F" w:rsidRDefault="00D31199" w:rsidP="00F06348">
            <w:pPr>
              <w:pStyle w:val="TableText"/>
              <w:spacing w:before="40" w:after="40"/>
              <w:ind w:right="85"/>
              <w:jc w:val="right"/>
              <w:rPr>
                <w:b/>
                <w:sz w:val="15"/>
                <w:szCs w:val="15"/>
              </w:rPr>
            </w:pPr>
          </w:p>
        </w:tc>
        <w:tc>
          <w:tcPr>
            <w:tcW w:w="2976" w:type="dxa"/>
            <w:gridSpan w:val="2"/>
            <w:tcBorders>
              <w:top w:val="nil"/>
              <w:left w:val="nil"/>
              <w:bottom w:val="nil"/>
              <w:right w:val="nil"/>
            </w:tcBorders>
            <w:shd w:val="clear" w:color="auto" w:fill="auto"/>
          </w:tcPr>
          <w:p w14:paraId="47DB8EDF" w14:textId="77777777" w:rsidR="00D31199" w:rsidRPr="00BC0D1F" w:rsidRDefault="00D31199" w:rsidP="00F06348">
            <w:pPr>
              <w:pStyle w:val="TableText"/>
              <w:spacing w:before="40" w:after="40"/>
              <w:rPr>
                <w:b/>
                <w:sz w:val="15"/>
                <w:szCs w:val="15"/>
              </w:rPr>
            </w:pPr>
            <w:r w:rsidRPr="00BC0D1F">
              <w:rPr>
                <w:b/>
                <w:sz w:val="15"/>
                <w:szCs w:val="15"/>
              </w:rPr>
              <w:t>Health and disability support services for District Health Boards (DHBs):</w:t>
            </w:r>
          </w:p>
        </w:tc>
        <w:tc>
          <w:tcPr>
            <w:tcW w:w="993" w:type="dxa"/>
            <w:tcBorders>
              <w:top w:val="nil"/>
              <w:left w:val="nil"/>
              <w:bottom w:val="nil"/>
              <w:right w:val="nil"/>
            </w:tcBorders>
            <w:shd w:val="clear" w:color="auto" w:fill="D9D9D9"/>
          </w:tcPr>
          <w:p w14:paraId="4D04DCF3" w14:textId="77777777" w:rsidR="00D31199" w:rsidRPr="00BC0D1F" w:rsidRDefault="00D31199" w:rsidP="00F06348">
            <w:pPr>
              <w:pStyle w:val="TableText"/>
              <w:spacing w:before="40" w:after="40"/>
              <w:ind w:right="85"/>
              <w:jc w:val="right"/>
              <w:rPr>
                <w:b/>
                <w:sz w:val="15"/>
                <w:szCs w:val="15"/>
              </w:rPr>
            </w:pPr>
          </w:p>
        </w:tc>
        <w:tc>
          <w:tcPr>
            <w:tcW w:w="850" w:type="dxa"/>
            <w:tcBorders>
              <w:top w:val="nil"/>
              <w:left w:val="nil"/>
              <w:bottom w:val="nil"/>
              <w:right w:val="nil"/>
            </w:tcBorders>
            <w:shd w:val="clear" w:color="auto" w:fill="auto"/>
          </w:tcPr>
          <w:p w14:paraId="4E9D2B3F" w14:textId="77777777" w:rsidR="00D31199" w:rsidRPr="00BC0D1F" w:rsidRDefault="00D31199" w:rsidP="00F06348">
            <w:pPr>
              <w:pStyle w:val="TableText"/>
              <w:spacing w:before="40" w:after="40"/>
              <w:jc w:val="right"/>
              <w:rPr>
                <w:b/>
                <w:sz w:val="15"/>
                <w:szCs w:val="15"/>
              </w:rPr>
            </w:pPr>
          </w:p>
        </w:tc>
        <w:tc>
          <w:tcPr>
            <w:tcW w:w="992" w:type="dxa"/>
            <w:tcBorders>
              <w:top w:val="nil"/>
              <w:left w:val="nil"/>
              <w:bottom w:val="nil"/>
              <w:right w:val="nil"/>
            </w:tcBorders>
            <w:shd w:val="clear" w:color="auto" w:fill="auto"/>
          </w:tcPr>
          <w:p w14:paraId="7E90E8F9" w14:textId="77777777" w:rsidR="00D31199" w:rsidRPr="00BC0D1F" w:rsidRDefault="00D31199" w:rsidP="00F06348">
            <w:pPr>
              <w:pStyle w:val="TableText"/>
              <w:spacing w:before="40" w:after="40"/>
              <w:jc w:val="right"/>
              <w:rPr>
                <w:b/>
                <w:sz w:val="15"/>
                <w:szCs w:val="15"/>
              </w:rPr>
            </w:pPr>
          </w:p>
        </w:tc>
        <w:tc>
          <w:tcPr>
            <w:tcW w:w="1276" w:type="dxa"/>
            <w:tcBorders>
              <w:top w:val="nil"/>
              <w:left w:val="nil"/>
              <w:bottom w:val="nil"/>
              <w:right w:val="nil"/>
            </w:tcBorders>
            <w:shd w:val="clear" w:color="auto" w:fill="auto"/>
          </w:tcPr>
          <w:p w14:paraId="1846978A" w14:textId="77777777" w:rsidR="00D31199" w:rsidRPr="00BC0D1F" w:rsidRDefault="00D31199" w:rsidP="00F06348">
            <w:pPr>
              <w:pStyle w:val="TableText"/>
              <w:spacing w:before="40" w:after="40"/>
              <w:jc w:val="right"/>
              <w:rPr>
                <w:b/>
                <w:sz w:val="15"/>
                <w:szCs w:val="15"/>
              </w:rPr>
            </w:pPr>
          </w:p>
        </w:tc>
        <w:tc>
          <w:tcPr>
            <w:tcW w:w="1276" w:type="dxa"/>
            <w:tcBorders>
              <w:top w:val="nil"/>
              <w:left w:val="nil"/>
              <w:bottom w:val="nil"/>
              <w:right w:val="nil"/>
            </w:tcBorders>
            <w:shd w:val="clear" w:color="auto" w:fill="auto"/>
          </w:tcPr>
          <w:p w14:paraId="67303F01" w14:textId="77777777" w:rsidR="00D31199" w:rsidRPr="00BC0D1F" w:rsidRDefault="00D31199" w:rsidP="00F06348">
            <w:pPr>
              <w:pStyle w:val="TableText"/>
              <w:spacing w:before="40" w:after="40"/>
              <w:ind w:left="85"/>
              <w:rPr>
                <w:b/>
                <w:sz w:val="15"/>
                <w:szCs w:val="15"/>
              </w:rPr>
            </w:pPr>
          </w:p>
        </w:tc>
      </w:tr>
      <w:tr w:rsidR="00810942" w:rsidRPr="00BC0D1F" w14:paraId="7BD61C0F" w14:textId="77777777" w:rsidTr="00F06348">
        <w:trPr>
          <w:cantSplit/>
        </w:trPr>
        <w:tc>
          <w:tcPr>
            <w:tcW w:w="993" w:type="dxa"/>
            <w:tcBorders>
              <w:top w:val="nil"/>
              <w:left w:val="nil"/>
              <w:bottom w:val="nil"/>
              <w:right w:val="nil"/>
            </w:tcBorders>
            <w:shd w:val="clear" w:color="auto" w:fill="auto"/>
          </w:tcPr>
          <w:p w14:paraId="04A48BDD" w14:textId="77777777" w:rsidR="00005BBB" w:rsidRPr="00BC0D1F" w:rsidRDefault="00005BBB" w:rsidP="00F06348">
            <w:pPr>
              <w:pStyle w:val="TableText"/>
              <w:spacing w:before="40" w:after="40"/>
              <w:ind w:right="85"/>
              <w:jc w:val="right"/>
              <w:rPr>
                <w:sz w:val="15"/>
                <w:szCs w:val="15"/>
              </w:rPr>
            </w:pPr>
            <w:r w:rsidRPr="00BC0D1F">
              <w:rPr>
                <w:sz w:val="15"/>
                <w:szCs w:val="15"/>
              </w:rPr>
              <w:t>487,868</w:t>
            </w:r>
          </w:p>
        </w:tc>
        <w:tc>
          <w:tcPr>
            <w:tcW w:w="2976" w:type="dxa"/>
            <w:gridSpan w:val="2"/>
            <w:tcBorders>
              <w:top w:val="nil"/>
              <w:left w:val="nil"/>
              <w:bottom w:val="nil"/>
              <w:right w:val="nil"/>
            </w:tcBorders>
            <w:shd w:val="clear" w:color="auto" w:fill="auto"/>
          </w:tcPr>
          <w:p w14:paraId="37965123" w14:textId="77777777" w:rsidR="00005BBB" w:rsidRPr="00BC0D1F" w:rsidRDefault="00005BBB" w:rsidP="00F06348">
            <w:pPr>
              <w:pStyle w:val="TableText"/>
              <w:spacing w:before="40" w:after="40"/>
              <w:rPr>
                <w:sz w:val="15"/>
                <w:szCs w:val="15"/>
              </w:rPr>
            </w:pPr>
            <w:r w:rsidRPr="00BC0D1F">
              <w:rPr>
                <w:sz w:val="15"/>
                <w:szCs w:val="15"/>
              </w:rPr>
              <w:t>Northland DHB</w:t>
            </w:r>
          </w:p>
        </w:tc>
        <w:tc>
          <w:tcPr>
            <w:tcW w:w="993" w:type="dxa"/>
            <w:tcBorders>
              <w:top w:val="nil"/>
              <w:left w:val="nil"/>
              <w:bottom w:val="nil"/>
              <w:right w:val="nil"/>
            </w:tcBorders>
            <w:shd w:val="clear" w:color="auto" w:fill="D9D9D9"/>
          </w:tcPr>
          <w:p w14:paraId="1CB379DE" w14:textId="77777777" w:rsidR="00005BBB" w:rsidRPr="00BC0D1F" w:rsidRDefault="00005BBB" w:rsidP="00F06348">
            <w:pPr>
              <w:pStyle w:val="TableText"/>
              <w:spacing w:before="40" w:after="40"/>
              <w:ind w:right="85"/>
              <w:jc w:val="right"/>
              <w:rPr>
                <w:sz w:val="15"/>
                <w:szCs w:val="15"/>
              </w:rPr>
            </w:pPr>
            <w:r w:rsidRPr="00BC0D1F">
              <w:rPr>
                <w:sz w:val="15"/>
                <w:szCs w:val="15"/>
              </w:rPr>
              <w:t>511,786</w:t>
            </w:r>
          </w:p>
        </w:tc>
        <w:tc>
          <w:tcPr>
            <w:tcW w:w="850" w:type="dxa"/>
            <w:tcBorders>
              <w:top w:val="nil"/>
              <w:left w:val="nil"/>
              <w:bottom w:val="nil"/>
              <w:right w:val="nil"/>
            </w:tcBorders>
            <w:shd w:val="clear" w:color="auto" w:fill="auto"/>
          </w:tcPr>
          <w:p w14:paraId="2C56FE6F" w14:textId="77777777" w:rsidR="00005BBB" w:rsidRPr="00BC0D1F" w:rsidRDefault="00005BBB" w:rsidP="00F06348">
            <w:pPr>
              <w:pStyle w:val="TableText"/>
              <w:spacing w:before="40" w:after="40"/>
              <w:jc w:val="right"/>
              <w:rPr>
                <w:sz w:val="15"/>
                <w:szCs w:val="15"/>
              </w:rPr>
            </w:pPr>
            <w:r w:rsidRPr="00BC0D1F">
              <w:rPr>
                <w:sz w:val="15"/>
                <w:szCs w:val="15"/>
              </w:rPr>
              <w:t>509,308</w:t>
            </w:r>
          </w:p>
        </w:tc>
        <w:tc>
          <w:tcPr>
            <w:tcW w:w="992" w:type="dxa"/>
            <w:tcBorders>
              <w:top w:val="nil"/>
              <w:left w:val="nil"/>
              <w:bottom w:val="nil"/>
              <w:right w:val="nil"/>
            </w:tcBorders>
            <w:shd w:val="clear" w:color="auto" w:fill="auto"/>
          </w:tcPr>
          <w:p w14:paraId="206BB86D" w14:textId="77777777" w:rsidR="00005BBB" w:rsidRPr="00BC0D1F" w:rsidRDefault="00005BBB" w:rsidP="00F06348">
            <w:pPr>
              <w:pStyle w:val="TableText"/>
              <w:spacing w:before="40" w:after="40"/>
              <w:jc w:val="right"/>
              <w:rPr>
                <w:sz w:val="15"/>
                <w:szCs w:val="15"/>
              </w:rPr>
            </w:pPr>
            <w:r w:rsidRPr="00BC0D1F">
              <w:rPr>
                <w:sz w:val="15"/>
                <w:szCs w:val="15"/>
              </w:rPr>
              <w:t>511,786</w:t>
            </w:r>
          </w:p>
        </w:tc>
        <w:tc>
          <w:tcPr>
            <w:tcW w:w="1276" w:type="dxa"/>
            <w:tcBorders>
              <w:top w:val="nil"/>
              <w:left w:val="nil"/>
              <w:bottom w:val="nil"/>
              <w:right w:val="nil"/>
            </w:tcBorders>
            <w:shd w:val="clear" w:color="auto" w:fill="auto"/>
          </w:tcPr>
          <w:p w14:paraId="5F8EE7BE" w14:textId="77777777" w:rsidR="00005BBB" w:rsidRPr="00BC0D1F" w:rsidRDefault="00005BBB" w:rsidP="00F06348">
            <w:pPr>
              <w:pStyle w:val="TableText"/>
              <w:spacing w:before="40" w:after="40"/>
              <w:jc w:val="right"/>
              <w:rPr>
                <w:sz w:val="15"/>
                <w:szCs w:val="15"/>
              </w:rPr>
            </w:pPr>
            <w:r w:rsidRPr="00BC0D1F">
              <w:rPr>
                <w:sz w:val="15"/>
                <w:szCs w:val="15"/>
              </w:rPr>
              <w:t>3.35%</w:t>
            </w:r>
          </w:p>
        </w:tc>
        <w:tc>
          <w:tcPr>
            <w:tcW w:w="1276" w:type="dxa"/>
            <w:tcBorders>
              <w:top w:val="nil"/>
              <w:left w:val="nil"/>
              <w:bottom w:val="nil"/>
              <w:right w:val="nil"/>
            </w:tcBorders>
            <w:shd w:val="clear" w:color="auto" w:fill="auto"/>
          </w:tcPr>
          <w:p w14:paraId="085D3C11" w14:textId="5DC613EA" w:rsidR="00005BBB" w:rsidRPr="00BC0D1F" w:rsidRDefault="00005BBB" w:rsidP="00F06348">
            <w:pPr>
              <w:pStyle w:val="TableText"/>
              <w:spacing w:before="40" w:after="40"/>
              <w:ind w:left="85"/>
              <w:rPr>
                <w:sz w:val="15"/>
                <w:szCs w:val="15"/>
              </w:rPr>
            </w:pPr>
          </w:p>
        </w:tc>
      </w:tr>
      <w:tr w:rsidR="00810942" w:rsidRPr="00BC0D1F" w14:paraId="021C3635" w14:textId="77777777" w:rsidTr="00F06348">
        <w:trPr>
          <w:cantSplit/>
        </w:trPr>
        <w:tc>
          <w:tcPr>
            <w:tcW w:w="993" w:type="dxa"/>
            <w:tcBorders>
              <w:top w:val="nil"/>
              <w:left w:val="nil"/>
              <w:bottom w:val="nil"/>
              <w:right w:val="nil"/>
            </w:tcBorders>
            <w:shd w:val="clear" w:color="auto" w:fill="auto"/>
          </w:tcPr>
          <w:p w14:paraId="5FFF5B04" w14:textId="77777777" w:rsidR="00005BBB" w:rsidRPr="00BC0D1F" w:rsidRDefault="00005BBB" w:rsidP="00F06348">
            <w:pPr>
              <w:pStyle w:val="TableText"/>
              <w:spacing w:before="40" w:after="40"/>
              <w:ind w:right="85"/>
              <w:jc w:val="right"/>
              <w:rPr>
                <w:sz w:val="15"/>
                <w:szCs w:val="15"/>
              </w:rPr>
            </w:pPr>
            <w:r w:rsidRPr="00BC0D1F">
              <w:rPr>
                <w:sz w:val="15"/>
                <w:szCs w:val="15"/>
              </w:rPr>
              <w:t>1,311,848</w:t>
            </w:r>
          </w:p>
        </w:tc>
        <w:tc>
          <w:tcPr>
            <w:tcW w:w="2976" w:type="dxa"/>
            <w:gridSpan w:val="2"/>
            <w:tcBorders>
              <w:top w:val="nil"/>
              <w:left w:val="nil"/>
              <w:bottom w:val="nil"/>
              <w:right w:val="nil"/>
            </w:tcBorders>
            <w:shd w:val="clear" w:color="auto" w:fill="auto"/>
          </w:tcPr>
          <w:p w14:paraId="62539420" w14:textId="77777777" w:rsidR="00005BBB" w:rsidRPr="00BC0D1F" w:rsidRDefault="00005BBB" w:rsidP="00F06348">
            <w:pPr>
              <w:pStyle w:val="TableText"/>
              <w:spacing w:before="40" w:after="40"/>
              <w:rPr>
                <w:sz w:val="15"/>
                <w:szCs w:val="15"/>
              </w:rPr>
            </w:pPr>
            <w:proofErr w:type="spellStart"/>
            <w:r w:rsidRPr="00BC0D1F">
              <w:rPr>
                <w:sz w:val="15"/>
                <w:szCs w:val="15"/>
              </w:rPr>
              <w:t>Waitemata</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3B666A24" w14:textId="77777777" w:rsidR="00005BBB" w:rsidRPr="00BC0D1F" w:rsidRDefault="00005BBB" w:rsidP="00F06348">
            <w:pPr>
              <w:pStyle w:val="TableText"/>
              <w:spacing w:before="40" w:after="40"/>
              <w:ind w:right="85"/>
              <w:jc w:val="right"/>
              <w:rPr>
                <w:sz w:val="15"/>
                <w:szCs w:val="15"/>
              </w:rPr>
            </w:pPr>
            <w:r w:rsidRPr="00BC0D1F">
              <w:rPr>
                <w:sz w:val="15"/>
                <w:szCs w:val="15"/>
              </w:rPr>
              <w:t>1,349,320</w:t>
            </w:r>
          </w:p>
        </w:tc>
        <w:tc>
          <w:tcPr>
            <w:tcW w:w="850" w:type="dxa"/>
            <w:tcBorders>
              <w:top w:val="nil"/>
              <w:left w:val="nil"/>
              <w:bottom w:val="nil"/>
              <w:right w:val="nil"/>
            </w:tcBorders>
            <w:shd w:val="clear" w:color="auto" w:fill="auto"/>
          </w:tcPr>
          <w:p w14:paraId="6302AABD" w14:textId="77777777" w:rsidR="00005BBB" w:rsidRPr="00BC0D1F" w:rsidRDefault="00005BBB" w:rsidP="00F06348">
            <w:pPr>
              <w:pStyle w:val="TableText"/>
              <w:spacing w:before="40" w:after="40"/>
              <w:jc w:val="right"/>
              <w:rPr>
                <w:sz w:val="15"/>
                <w:szCs w:val="15"/>
              </w:rPr>
            </w:pPr>
            <w:r w:rsidRPr="00BC0D1F">
              <w:rPr>
                <w:sz w:val="15"/>
                <w:szCs w:val="15"/>
              </w:rPr>
              <w:t>1,342,072</w:t>
            </w:r>
          </w:p>
        </w:tc>
        <w:tc>
          <w:tcPr>
            <w:tcW w:w="992" w:type="dxa"/>
            <w:tcBorders>
              <w:top w:val="nil"/>
              <w:left w:val="nil"/>
              <w:bottom w:val="nil"/>
              <w:right w:val="nil"/>
            </w:tcBorders>
            <w:shd w:val="clear" w:color="auto" w:fill="auto"/>
          </w:tcPr>
          <w:p w14:paraId="785CEF52" w14:textId="77777777" w:rsidR="00005BBB" w:rsidRPr="00BC0D1F" w:rsidRDefault="00005BBB" w:rsidP="00F06348">
            <w:pPr>
              <w:pStyle w:val="TableText"/>
              <w:spacing w:before="40" w:after="40"/>
              <w:jc w:val="right"/>
              <w:rPr>
                <w:sz w:val="15"/>
                <w:szCs w:val="15"/>
              </w:rPr>
            </w:pPr>
            <w:r w:rsidRPr="00BC0D1F">
              <w:rPr>
                <w:sz w:val="15"/>
                <w:szCs w:val="15"/>
              </w:rPr>
              <w:t>1,349,321</w:t>
            </w:r>
          </w:p>
        </w:tc>
        <w:tc>
          <w:tcPr>
            <w:tcW w:w="1276" w:type="dxa"/>
            <w:tcBorders>
              <w:top w:val="nil"/>
              <w:left w:val="nil"/>
              <w:bottom w:val="nil"/>
              <w:right w:val="nil"/>
            </w:tcBorders>
            <w:shd w:val="clear" w:color="auto" w:fill="auto"/>
          </w:tcPr>
          <w:p w14:paraId="205614C0" w14:textId="77777777" w:rsidR="00005BBB" w:rsidRPr="00BC0D1F" w:rsidRDefault="00005BBB" w:rsidP="00F06348">
            <w:pPr>
              <w:pStyle w:val="TableText"/>
              <w:spacing w:before="40" w:after="40"/>
              <w:jc w:val="right"/>
              <w:rPr>
                <w:sz w:val="15"/>
                <w:szCs w:val="15"/>
              </w:rPr>
            </w:pPr>
            <w:r w:rsidRPr="00BC0D1F">
              <w:rPr>
                <w:sz w:val="15"/>
                <w:szCs w:val="15"/>
              </w:rPr>
              <w:t>8.82%</w:t>
            </w:r>
          </w:p>
        </w:tc>
        <w:tc>
          <w:tcPr>
            <w:tcW w:w="1276" w:type="dxa"/>
            <w:tcBorders>
              <w:top w:val="nil"/>
              <w:left w:val="nil"/>
              <w:bottom w:val="nil"/>
              <w:right w:val="nil"/>
            </w:tcBorders>
            <w:shd w:val="clear" w:color="auto" w:fill="auto"/>
          </w:tcPr>
          <w:p w14:paraId="2166DC40" w14:textId="77777777" w:rsidR="00005BBB" w:rsidRPr="00BC0D1F" w:rsidRDefault="00005BBB" w:rsidP="00F06348">
            <w:pPr>
              <w:pStyle w:val="TableText"/>
              <w:spacing w:before="40" w:after="40"/>
              <w:ind w:left="85"/>
              <w:rPr>
                <w:sz w:val="15"/>
                <w:szCs w:val="15"/>
              </w:rPr>
            </w:pPr>
          </w:p>
        </w:tc>
      </w:tr>
      <w:tr w:rsidR="00810942" w:rsidRPr="00BC0D1F" w14:paraId="44B81318" w14:textId="77777777" w:rsidTr="00F06348">
        <w:trPr>
          <w:cantSplit/>
        </w:trPr>
        <w:tc>
          <w:tcPr>
            <w:tcW w:w="993" w:type="dxa"/>
            <w:tcBorders>
              <w:top w:val="nil"/>
              <w:left w:val="nil"/>
              <w:bottom w:val="nil"/>
              <w:right w:val="nil"/>
            </w:tcBorders>
            <w:shd w:val="clear" w:color="auto" w:fill="auto"/>
          </w:tcPr>
          <w:p w14:paraId="0F583027" w14:textId="77777777" w:rsidR="00005BBB" w:rsidRPr="00BC0D1F" w:rsidRDefault="00005BBB" w:rsidP="00F06348">
            <w:pPr>
              <w:pStyle w:val="TableText"/>
              <w:spacing w:before="40" w:after="40"/>
              <w:ind w:right="85"/>
              <w:jc w:val="right"/>
              <w:rPr>
                <w:sz w:val="15"/>
                <w:szCs w:val="15"/>
              </w:rPr>
            </w:pPr>
            <w:r w:rsidRPr="00BC0D1F">
              <w:rPr>
                <w:sz w:val="15"/>
                <w:szCs w:val="15"/>
              </w:rPr>
              <w:t>1,092,298</w:t>
            </w:r>
          </w:p>
        </w:tc>
        <w:tc>
          <w:tcPr>
            <w:tcW w:w="2976" w:type="dxa"/>
            <w:gridSpan w:val="2"/>
            <w:tcBorders>
              <w:top w:val="nil"/>
              <w:left w:val="nil"/>
              <w:bottom w:val="nil"/>
              <w:right w:val="nil"/>
            </w:tcBorders>
            <w:shd w:val="clear" w:color="auto" w:fill="auto"/>
          </w:tcPr>
          <w:p w14:paraId="453BF1AE" w14:textId="77777777" w:rsidR="00005BBB" w:rsidRPr="00BC0D1F" w:rsidRDefault="00005BBB" w:rsidP="00F06348">
            <w:pPr>
              <w:pStyle w:val="TableText"/>
              <w:spacing w:before="40" w:after="40"/>
              <w:rPr>
                <w:sz w:val="15"/>
                <w:szCs w:val="15"/>
              </w:rPr>
            </w:pPr>
            <w:r w:rsidRPr="00BC0D1F">
              <w:rPr>
                <w:sz w:val="15"/>
                <w:szCs w:val="15"/>
              </w:rPr>
              <w:t>Auckland DHB</w:t>
            </w:r>
          </w:p>
        </w:tc>
        <w:tc>
          <w:tcPr>
            <w:tcW w:w="993" w:type="dxa"/>
            <w:tcBorders>
              <w:top w:val="nil"/>
              <w:left w:val="nil"/>
              <w:bottom w:val="nil"/>
              <w:right w:val="nil"/>
            </w:tcBorders>
            <w:shd w:val="clear" w:color="auto" w:fill="D9D9D9"/>
          </w:tcPr>
          <w:p w14:paraId="27B382D2" w14:textId="77777777" w:rsidR="00005BBB" w:rsidRPr="00BC0D1F" w:rsidRDefault="00005BBB" w:rsidP="00F06348">
            <w:pPr>
              <w:pStyle w:val="TableText"/>
              <w:spacing w:before="40" w:after="40"/>
              <w:ind w:right="85"/>
              <w:jc w:val="right"/>
              <w:rPr>
                <w:sz w:val="15"/>
                <w:szCs w:val="15"/>
              </w:rPr>
            </w:pPr>
            <w:r w:rsidRPr="00BC0D1F">
              <w:rPr>
                <w:sz w:val="15"/>
                <w:szCs w:val="15"/>
              </w:rPr>
              <w:t>1,118,297</w:t>
            </w:r>
          </w:p>
        </w:tc>
        <w:tc>
          <w:tcPr>
            <w:tcW w:w="850" w:type="dxa"/>
            <w:tcBorders>
              <w:top w:val="nil"/>
              <w:left w:val="nil"/>
              <w:bottom w:val="nil"/>
              <w:right w:val="nil"/>
            </w:tcBorders>
            <w:shd w:val="clear" w:color="auto" w:fill="auto"/>
          </w:tcPr>
          <w:p w14:paraId="2CAE6744" w14:textId="77777777" w:rsidR="00005BBB" w:rsidRPr="00BC0D1F" w:rsidRDefault="00005BBB" w:rsidP="00F06348">
            <w:pPr>
              <w:pStyle w:val="TableText"/>
              <w:spacing w:before="40" w:after="40"/>
              <w:jc w:val="right"/>
              <w:rPr>
                <w:sz w:val="15"/>
                <w:szCs w:val="15"/>
              </w:rPr>
            </w:pPr>
            <w:r w:rsidRPr="00BC0D1F">
              <w:rPr>
                <w:sz w:val="15"/>
                <w:szCs w:val="15"/>
              </w:rPr>
              <w:t>1,115,555</w:t>
            </w:r>
          </w:p>
        </w:tc>
        <w:tc>
          <w:tcPr>
            <w:tcW w:w="992" w:type="dxa"/>
            <w:tcBorders>
              <w:top w:val="nil"/>
              <w:left w:val="nil"/>
              <w:bottom w:val="nil"/>
              <w:right w:val="nil"/>
            </w:tcBorders>
            <w:shd w:val="clear" w:color="auto" w:fill="auto"/>
          </w:tcPr>
          <w:p w14:paraId="39BC5F4A" w14:textId="77777777" w:rsidR="00005BBB" w:rsidRPr="00BC0D1F" w:rsidRDefault="00005BBB" w:rsidP="00F06348">
            <w:pPr>
              <w:pStyle w:val="TableText"/>
              <w:spacing w:before="40" w:after="40"/>
              <w:jc w:val="right"/>
              <w:rPr>
                <w:sz w:val="15"/>
                <w:szCs w:val="15"/>
              </w:rPr>
            </w:pPr>
            <w:r w:rsidRPr="00BC0D1F">
              <w:rPr>
                <w:sz w:val="15"/>
                <w:szCs w:val="15"/>
              </w:rPr>
              <w:t>1,118,297</w:t>
            </w:r>
          </w:p>
        </w:tc>
        <w:tc>
          <w:tcPr>
            <w:tcW w:w="1276" w:type="dxa"/>
            <w:tcBorders>
              <w:top w:val="nil"/>
              <w:left w:val="nil"/>
              <w:bottom w:val="nil"/>
              <w:right w:val="nil"/>
            </w:tcBorders>
            <w:shd w:val="clear" w:color="auto" w:fill="auto"/>
          </w:tcPr>
          <w:p w14:paraId="0AA06D95" w14:textId="77777777" w:rsidR="00005BBB" w:rsidRPr="00BC0D1F" w:rsidRDefault="00005BBB" w:rsidP="00F06348">
            <w:pPr>
              <w:pStyle w:val="TableText"/>
              <w:spacing w:before="40" w:after="40"/>
              <w:jc w:val="right"/>
              <w:rPr>
                <w:sz w:val="15"/>
                <w:szCs w:val="15"/>
              </w:rPr>
            </w:pPr>
            <w:r w:rsidRPr="00BC0D1F">
              <w:rPr>
                <w:sz w:val="15"/>
                <w:szCs w:val="15"/>
              </w:rPr>
              <w:t>7.31%</w:t>
            </w:r>
          </w:p>
        </w:tc>
        <w:tc>
          <w:tcPr>
            <w:tcW w:w="1276" w:type="dxa"/>
            <w:tcBorders>
              <w:top w:val="nil"/>
              <w:left w:val="nil"/>
              <w:bottom w:val="nil"/>
              <w:right w:val="nil"/>
            </w:tcBorders>
            <w:shd w:val="clear" w:color="auto" w:fill="auto"/>
          </w:tcPr>
          <w:p w14:paraId="47989C7C" w14:textId="77777777" w:rsidR="00005BBB" w:rsidRPr="00BC0D1F" w:rsidRDefault="00005BBB" w:rsidP="00F06348">
            <w:pPr>
              <w:pStyle w:val="TableText"/>
              <w:spacing w:before="40" w:after="40"/>
              <w:ind w:left="85"/>
              <w:rPr>
                <w:sz w:val="15"/>
                <w:szCs w:val="15"/>
              </w:rPr>
            </w:pPr>
          </w:p>
        </w:tc>
      </w:tr>
      <w:tr w:rsidR="00810942" w:rsidRPr="00BC0D1F" w14:paraId="6FFD2A69" w14:textId="77777777" w:rsidTr="005D78F1">
        <w:trPr>
          <w:cantSplit/>
        </w:trPr>
        <w:tc>
          <w:tcPr>
            <w:tcW w:w="993" w:type="dxa"/>
            <w:tcBorders>
              <w:top w:val="nil"/>
              <w:left w:val="nil"/>
              <w:bottom w:val="nil"/>
              <w:right w:val="nil"/>
            </w:tcBorders>
            <w:shd w:val="clear" w:color="auto" w:fill="auto"/>
          </w:tcPr>
          <w:p w14:paraId="64C15596" w14:textId="77777777" w:rsidR="00005BBB" w:rsidRPr="00BC0D1F" w:rsidRDefault="00005BBB" w:rsidP="00F06348">
            <w:pPr>
              <w:pStyle w:val="TableText"/>
              <w:spacing w:before="40" w:after="40"/>
              <w:ind w:right="85"/>
              <w:jc w:val="right"/>
              <w:rPr>
                <w:sz w:val="15"/>
                <w:szCs w:val="15"/>
              </w:rPr>
            </w:pPr>
            <w:r w:rsidRPr="00BC0D1F">
              <w:rPr>
                <w:sz w:val="15"/>
                <w:szCs w:val="15"/>
              </w:rPr>
              <w:t>1,246,364</w:t>
            </w:r>
          </w:p>
        </w:tc>
        <w:tc>
          <w:tcPr>
            <w:tcW w:w="2976" w:type="dxa"/>
            <w:gridSpan w:val="2"/>
            <w:tcBorders>
              <w:top w:val="nil"/>
              <w:left w:val="nil"/>
              <w:bottom w:val="nil"/>
              <w:right w:val="nil"/>
            </w:tcBorders>
            <w:shd w:val="clear" w:color="auto" w:fill="auto"/>
          </w:tcPr>
          <w:p w14:paraId="67FD3B79" w14:textId="77777777" w:rsidR="00005BBB" w:rsidRPr="00BC0D1F" w:rsidRDefault="00005BBB" w:rsidP="00F06348">
            <w:pPr>
              <w:pStyle w:val="TableText"/>
              <w:spacing w:before="40" w:after="40"/>
              <w:rPr>
                <w:sz w:val="15"/>
                <w:szCs w:val="15"/>
              </w:rPr>
            </w:pPr>
            <w:r w:rsidRPr="00BC0D1F">
              <w:rPr>
                <w:sz w:val="15"/>
                <w:szCs w:val="15"/>
              </w:rPr>
              <w:t xml:space="preserve">Counties </w:t>
            </w:r>
            <w:proofErr w:type="spellStart"/>
            <w:r w:rsidRPr="00BC0D1F">
              <w:rPr>
                <w:sz w:val="15"/>
                <w:szCs w:val="15"/>
              </w:rPr>
              <w:t>Manukau</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78DF84F1" w14:textId="77777777" w:rsidR="00005BBB" w:rsidRPr="00BC0D1F" w:rsidRDefault="00005BBB" w:rsidP="00F06348">
            <w:pPr>
              <w:pStyle w:val="TableText"/>
              <w:spacing w:before="40" w:after="40"/>
              <w:ind w:right="85"/>
              <w:jc w:val="right"/>
              <w:rPr>
                <w:sz w:val="15"/>
                <w:szCs w:val="15"/>
              </w:rPr>
            </w:pPr>
            <w:r w:rsidRPr="00BC0D1F">
              <w:rPr>
                <w:sz w:val="15"/>
                <w:szCs w:val="15"/>
              </w:rPr>
              <w:t>1,274,349</w:t>
            </w:r>
          </w:p>
        </w:tc>
        <w:tc>
          <w:tcPr>
            <w:tcW w:w="850" w:type="dxa"/>
            <w:tcBorders>
              <w:top w:val="nil"/>
              <w:left w:val="nil"/>
              <w:bottom w:val="nil"/>
              <w:right w:val="nil"/>
            </w:tcBorders>
            <w:shd w:val="clear" w:color="auto" w:fill="auto"/>
          </w:tcPr>
          <w:p w14:paraId="31FC18A6" w14:textId="77777777" w:rsidR="00005BBB" w:rsidRPr="00BC0D1F" w:rsidRDefault="00005BBB" w:rsidP="00F06348">
            <w:pPr>
              <w:pStyle w:val="TableText"/>
              <w:spacing w:before="40" w:after="40"/>
              <w:jc w:val="right"/>
              <w:rPr>
                <w:sz w:val="15"/>
                <w:szCs w:val="15"/>
              </w:rPr>
            </w:pPr>
            <w:r w:rsidRPr="00BC0D1F">
              <w:rPr>
                <w:sz w:val="15"/>
                <w:szCs w:val="15"/>
              </w:rPr>
              <w:t>1,268,476</w:t>
            </w:r>
          </w:p>
        </w:tc>
        <w:tc>
          <w:tcPr>
            <w:tcW w:w="992" w:type="dxa"/>
            <w:tcBorders>
              <w:top w:val="nil"/>
              <w:left w:val="nil"/>
              <w:bottom w:val="nil"/>
              <w:right w:val="nil"/>
            </w:tcBorders>
            <w:shd w:val="clear" w:color="auto" w:fill="auto"/>
          </w:tcPr>
          <w:p w14:paraId="2F4A5EF7" w14:textId="77777777" w:rsidR="00005BBB" w:rsidRPr="00BC0D1F" w:rsidRDefault="00005BBB" w:rsidP="00F06348">
            <w:pPr>
              <w:pStyle w:val="TableText"/>
              <w:spacing w:before="40" w:after="40"/>
              <w:jc w:val="right"/>
              <w:rPr>
                <w:sz w:val="15"/>
                <w:szCs w:val="15"/>
              </w:rPr>
            </w:pPr>
            <w:r w:rsidRPr="00BC0D1F">
              <w:rPr>
                <w:sz w:val="15"/>
                <w:szCs w:val="15"/>
              </w:rPr>
              <w:t>1,274,349</w:t>
            </w:r>
          </w:p>
        </w:tc>
        <w:tc>
          <w:tcPr>
            <w:tcW w:w="1276" w:type="dxa"/>
            <w:tcBorders>
              <w:top w:val="nil"/>
              <w:left w:val="nil"/>
              <w:bottom w:val="nil"/>
              <w:right w:val="nil"/>
            </w:tcBorders>
            <w:shd w:val="clear" w:color="auto" w:fill="auto"/>
          </w:tcPr>
          <w:p w14:paraId="5329E838" w14:textId="77777777" w:rsidR="00005BBB" w:rsidRPr="00BC0D1F" w:rsidRDefault="00005BBB" w:rsidP="00F06348">
            <w:pPr>
              <w:pStyle w:val="TableText"/>
              <w:spacing w:before="40" w:after="40"/>
              <w:jc w:val="right"/>
              <w:rPr>
                <w:sz w:val="15"/>
                <w:szCs w:val="15"/>
              </w:rPr>
            </w:pPr>
            <w:r w:rsidRPr="00BC0D1F">
              <w:rPr>
                <w:sz w:val="15"/>
                <w:szCs w:val="15"/>
              </w:rPr>
              <w:t>8.33%</w:t>
            </w:r>
          </w:p>
        </w:tc>
        <w:tc>
          <w:tcPr>
            <w:tcW w:w="1276" w:type="dxa"/>
            <w:tcBorders>
              <w:top w:val="nil"/>
              <w:left w:val="nil"/>
              <w:bottom w:val="nil"/>
              <w:right w:val="nil"/>
            </w:tcBorders>
            <w:shd w:val="clear" w:color="auto" w:fill="auto"/>
          </w:tcPr>
          <w:p w14:paraId="09BE98EB" w14:textId="77777777" w:rsidR="00005BBB" w:rsidRPr="00BC0D1F" w:rsidRDefault="00005BBB" w:rsidP="00F06348">
            <w:pPr>
              <w:pStyle w:val="TableText"/>
              <w:spacing w:before="40" w:after="40"/>
              <w:ind w:left="85"/>
              <w:rPr>
                <w:sz w:val="15"/>
                <w:szCs w:val="15"/>
              </w:rPr>
            </w:pPr>
          </w:p>
        </w:tc>
      </w:tr>
      <w:tr w:rsidR="00810942" w:rsidRPr="00BC0D1F" w14:paraId="711D80D5" w14:textId="77777777" w:rsidTr="005D78F1">
        <w:trPr>
          <w:cantSplit/>
        </w:trPr>
        <w:tc>
          <w:tcPr>
            <w:tcW w:w="993" w:type="dxa"/>
            <w:tcBorders>
              <w:top w:val="nil"/>
              <w:left w:val="nil"/>
              <w:bottom w:val="nil"/>
              <w:right w:val="nil"/>
            </w:tcBorders>
            <w:shd w:val="clear" w:color="auto" w:fill="auto"/>
          </w:tcPr>
          <w:p w14:paraId="5E510371" w14:textId="77777777" w:rsidR="00005BBB" w:rsidRPr="00BC0D1F" w:rsidRDefault="00005BBB" w:rsidP="00F06348">
            <w:pPr>
              <w:pStyle w:val="TableText"/>
              <w:spacing w:before="40" w:after="40"/>
              <w:ind w:right="85"/>
              <w:jc w:val="right"/>
              <w:rPr>
                <w:sz w:val="15"/>
                <w:szCs w:val="15"/>
              </w:rPr>
            </w:pPr>
            <w:r w:rsidRPr="00BC0D1F">
              <w:rPr>
                <w:sz w:val="15"/>
                <w:szCs w:val="15"/>
              </w:rPr>
              <w:t>1,002,406</w:t>
            </w:r>
          </w:p>
        </w:tc>
        <w:tc>
          <w:tcPr>
            <w:tcW w:w="2976" w:type="dxa"/>
            <w:gridSpan w:val="2"/>
            <w:tcBorders>
              <w:top w:val="nil"/>
              <w:left w:val="nil"/>
              <w:bottom w:val="nil"/>
              <w:right w:val="nil"/>
            </w:tcBorders>
            <w:shd w:val="clear" w:color="auto" w:fill="auto"/>
          </w:tcPr>
          <w:p w14:paraId="64FDE548" w14:textId="77777777" w:rsidR="00005BBB" w:rsidRPr="00BC0D1F" w:rsidRDefault="00005BBB" w:rsidP="00F06348">
            <w:pPr>
              <w:pStyle w:val="TableText"/>
              <w:spacing w:before="40" w:after="40"/>
              <w:rPr>
                <w:sz w:val="15"/>
                <w:szCs w:val="15"/>
              </w:rPr>
            </w:pPr>
            <w:r w:rsidRPr="00BC0D1F">
              <w:rPr>
                <w:sz w:val="15"/>
                <w:szCs w:val="15"/>
              </w:rPr>
              <w:t>Waikato DHB</w:t>
            </w:r>
          </w:p>
        </w:tc>
        <w:tc>
          <w:tcPr>
            <w:tcW w:w="993" w:type="dxa"/>
            <w:tcBorders>
              <w:top w:val="nil"/>
              <w:left w:val="nil"/>
              <w:bottom w:val="nil"/>
              <w:right w:val="nil"/>
            </w:tcBorders>
            <w:shd w:val="clear" w:color="auto" w:fill="D9D9D9"/>
          </w:tcPr>
          <w:p w14:paraId="7B51F62F" w14:textId="77777777" w:rsidR="00005BBB" w:rsidRPr="00BC0D1F" w:rsidRDefault="00005BBB" w:rsidP="00F06348">
            <w:pPr>
              <w:pStyle w:val="TableText"/>
              <w:spacing w:before="40" w:after="40"/>
              <w:ind w:right="85"/>
              <w:jc w:val="right"/>
              <w:rPr>
                <w:sz w:val="15"/>
                <w:szCs w:val="15"/>
              </w:rPr>
            </w:pPr>
            <w:r w:rsidRPr="00BC0D1F">
              <w:rPr>
                <w:sz w:val="15"/>
                <w:szCs w:val="15"/>
              </w:rPr>
              <w:t>1,042,740</w:t>
            </w:r>
          </w:p>
        </w:tc>
        <w:tc>
          <w:tcPr>
            <w:tcW w:w="850" w:type="dxa"/>
            <w:tcBorders>
              <w:top w:val="nil"/>
              <w:left w:val="nil"/>
              <w:bottom w:val="nil"/>
              <w:right w:val="nil"/>
            </w:tcBorders>
            <w:shd w:val="clear" w:color="auto" w:fill="auto"/>
          </w:tcPr>
          <w:p w14:paraId="125E7305" w14:textId="77777777" w:rsidR="00005BBB" w:rsidRPr="00BC0D1F" w:rsidRDefault="00005BBB" w:rsidP="00F06348">
            <w:pPr>
              <w:pStyle w:val="TableText"/>
              <w:spacing w:before="40" w:after="40"/>
              <w:jc w:val="right"/>
              <w:rPr>
                <w:sz w:val="15"/>
                <w:szCs w:val="15"/>
              </w:rPr>
            </w:pPr>
            <w:r w:rsidRPr="00BC0D1F">
              <w:rPr>
                <w:sz w:val="15"/>
                <w:szCs w:val="15"/>
              </w:rPr>
              <w:t>1,040,100</w:t>
            </w:r>
          </w:p>
        </w:tc>
        <w:tc>
          <w:tcPr>
            <w:tcW w:w="992" w:type="dxa"/>
            <w:tcBorders>
              <w:top w:val="nil"/>
              <w:left w:val="nil"/>
              <w:bottom w:val="nil"/>
              <w:right w:val="nil"/>
            </w:tcBorders>
            <w:shd w:val="clear" w:color="auto" w:fill="auto"/>
          </w:tcPr>
          <w:p w14:paraId="4C6F49BA" w14:textId="77777777" w:rsidR="00005BBB" w:rsidRPr="00BC0D1F" w:rsidRDefault="00005BBB" w:rsidP="00F06348">
            <w:pPr>
              <w:pStyle w:val="TableText"/>
              <w:spacing w:before="40" w:after="40"/>
              <w:jc w:val="right"/>
              <w:rPr>
                <w:sz w:val="15"/>
                <w:szCs w:val="15"/>
              </w:rPr>
            </w:pPr>
            <w:r w:rsidRPr="00BC0D1F">
              <w:rPr>
                <w:sz w:val="15"/>
                <w:szCs w:val="15"/>
              </w:rPr>
              <w:t>1,042,741</w:t>
            </w:r>
          </w:p>
        </w:tc>
        <w:tc>
          <w:tcPr>
            <w:tcW w:w="1276" w:type="dxa"/>
            <w:tcBorders>
              <w:top w:val="nil"/>
              <w:left w:val="nil"/>
              <w:bottom w:val="nil"/>
              <w:right w:val="nil"/>
            </w:tcBorders>
            <w:shd w:val="clear" w:color="auto" w:fill="auto"/>
          </w:tcPr>
          <w:p w14:paraId="646C4646" w14:textId="77777777" w:rsidR="00005BBB" w:rsidRPr="00BC0D1F" w:rsidRDefault="00005BBB" w:rsidP="00F06348">
            <w:pPr>
              <w:pStyle w:val="TableText"/>
              <w:spacing w:before="40" w:after="40"/>
              <w:jc w:val="right"/>
              <w:rPr>
                <w:sz w:val="15"/>
                <w:szCs w:val="15"/>
              </w:rPr>
            </w:pPr>
            <w:r w:rsidRPr="00BC0D1F">
              <w:rPr>
                <w:sz w:val="15"/>
                <w:szCs w:val="15"/>
              </w:rPr>
              <w:t>6.82%</w:t>
            </w:r>
          </w:p>
        </w:tc>
        <w:tc>
          <w:tcPr>
            <w:tcW w:w="1276" w:type="dxa"/>
            <w:tcBorders>
              <w:top w:val="nil"/>
              <w:left w:val="nil"/>
              <w:bottom w:val="nil"/>
              <w:right w:val="nil"/>
            </w:tcBorders>
            <w:shd w:val="clear" w:color="auto" w:fill="auto"/>
          </w:tcPr>
          <w:p w14:paraId="28D0E63D" w14:textId="77777777" w:rsidR="00005BBB" w:rsidRPr="00BC0D1F" w:rsidRDefault="00005BBB" w:rsidP="00F06348">
            <w:pPr>
              <w:pStyle w:val="TableText"/>
              <w:spacing w:before="40" w:after="40"/>
              <w:ind w:left="85"/>
              <w:rPr>
                <w:sz w:val="15"/>
                <w:szCs w:val="15"/>
              </w:rPr>
            </w:pPr>
          </w:p>
        </w:tc>
      </w:tr>
      <w:tr w:rsidR="00810942" w:rsidRPr="00BC0D1F" w14:paraId="554FA47C" w14:textId="77777777" w:rsidTr="005D78F1">
        <w:trPr>
          <w:cantSplit/>
        </w:trPr>
        <w:tc>
          <w:tcPr>
            <w:tcW w:w="993" w:type="dxa"/>
            <w:tcBorders>
              <w:top w:val="nil"/>
              <w:left w:val="nil"/>
              <w:bottom w:val="nil"/>
              <w:right w:val="nil"/>
            </w:tcBorders>
            <w:shd w:val="clear" w:color="auto" w:fill="auto"/>
          </w:tcPr>
          <w:p w14:paraId="13E460F2" w14:textId="77777777" w:rsidR="00005BBB" w:rsidRPr="00BC0D1F" w:rsidRDefault="00005BBB" w:rsidP="00F06348">
            <w:pPr>
              <w:pStyle w:val="TableText"/>
              <w:spacing w:before="40" w:after="40"/>
              <w:ind w:right="85"/>
              <w:jc w:val="right"/>
              <w:rPr>
                <w:sz w:val="15"/>
                <w:szCs w:val="15"/>
              </w:rPr>
            </w:pPr>
            <w:r w:rsidRPr="00BC0D1F">
              <w:rPr>
                <w:sz w:val="15"/>
                <w:szCs w:val="15"/>
              </w:rPr>
              <w:t>278,253</w:t>
            </w:r>
          </w:p>
        </w:tc>
        <w:tc>
          <w:tcPr>
            <w:tcW w:w="2976" w:type="dxa"/>
            <w:gridSpan w:val="2"/>
            <w:tcBorders>
              <w:top w:val="nil"/>
              <w:left w:val="nil"/>
              <w:bottom w:val="nil"/>
              <w:right w:val="nil"/>
            </w:tcBorders>
            <w:shd w:val="clear" w:color="auto" w:fill="auto"/>
          </w:tcPr>
          <w:p w14:paraId="3B67D73E" w14:textId="77777777" w:rsidR="00005BBB" w:rsidRPr="00BC0D1F" w:rsidRDefault="00005BBB" w:rsidP="00F06348">
            <w:pPr>
              <w:pStyle w:val="TableText"/>
              <w:spacing w:before="40" w:after="40"/>
              <w:rPr>
                <w:sz w:val="15"/>
                <w:szCs w:val="15"/>
              </w:rPr>
            </w:pPr>
            <w:r w:rsidRPr="00BC0D1F">
              <w:rPr>
                <w:sz w:val="15"/>
                <w:szCs w:val="15"/>
              </w:rPr>
              <w:t>Lakes DHB</w:t>
            </w:r>
          </w:p>
        </w:tc>
        <w:tc>
          <w:tcPr>
            <w:tcW w:w="993" w:type="dxa"/>
            <w:tcBorders>
              <w:top w:val="nil"/>
              <w:left w:val="nil"/>
              <w:bottom w:val="nil"/>
              <w:right w:val="nil"/>
            </w:tcBorders>
            <w:shd w:val="clear" w:color="auto" w:fill="D9D9D9"/>
          </w:tcPr>
          <w:p w14:paraId="19B92943" w14:textId="77777777" w:rsidR="00005BBB" w:rsidRPr="00BC0D1F" w:rsidRDefault="00005BBB" w:rsidP="00F06348">
            <w:pPr>
              <w:pStyle w:val="TableText"/>
              <w:spacing w:before="40" w:after="40"/>
              <w:ind w:right="85"/>
              <w:jc w:val="right"/>
              <w:rPr>
                <w:sz w:val="15"/>
                <w:szCs w:val="15"/>
              </w:rPr>
            </w:pPr>
            <w:r w:rsidRPr="00BC0D1F">
              <w:rPr>
                <w:sz w:val="15"/>
                <w:szCs w:val="15"/>
              </w:rPr>
              <w:t>284,778</w:t>
            </w:r>
          </w:p>
        </w:tc>
        <w:tc>
          <w:tcPr>
            <w:tcW w:w="850" w:type="dxa"/>
            <w:tcBorders>
              <w:top w:val="nil"/>
              <w:left w:val="nil"/>
              <w:bottom w:val="nil"/>
              <w:right w:val="nil"/>
            </w:tcBorders>
            <w:shd w:val="clear" w:color="auto" w:fill="auto"/>
          </w:tcPr>
          <w:p w14:paraId="6F70AA9B" w14:textId="77777777" w:rsidR="00005BBB" w:rsidRPr="00BC0D1F" w:rsidRDefault="00005BBB" w:rsidP="00F06348">
            <w:pPr>
              <w:pStyle w:val="TableText"/>
              <w:spacing w:before="40" w:after="40"/>
              <w:jc w:val="right"/>
              <w:rPr>
                <w:sz w:val="15"/>
                <w:szCs w:val="15"/>
              </w:rPr>
            </w:pPr>
            <w:r w:rsidRPr="00BC0D1F">
              <w:rPr>
                <w:sz w:val="15"/>
                <w:szCs w:val="15"/>
              </w:rPr>
              <w:t>283,482</w:t>
            </w:r>
          </w:p>
        </w:tc>
        <w:tc>
          <w:tcPr>
            <w:tcW w:w="992" w:type="dxa"/>
            <w:tcBorders>
              <w:top w:val="nil"/>
              <w:left w:val="nil"/>
              <w:bottom w:val="nil"/>
              <w:right w:val="nil"/>
            </w:tcBorders>
            <w:shd w:val="clear" w:color="auto" w:fill="auto"/>
          </w:tcPr>
          <w:p w14:paraId="504DF026" w14:textId="77777777" w:rsidR="00005BBB" w:rsidRPr="00BC0D1F" w:rsidRDefault="00005BBB" w:rsidP="00F06348">
            <w:pPr>
              <w:pStyle w:val="TableText"/>
              <w:spacing w:before="40" w:after="40"/>
              <w:jc w:val="right"/>
              <w:rPr>
                <w:sz w:val="15"/>
                <w:szCs w:val="15"/>
              </w:rPr>
            </w:pPr>
            <w:r w:rsidRPr="00BC0D1F">
              <w:rPr>
                <w:sz w:val="15"/>
                <w:szCs w:val="15"/>
              </w:rPr>
              <w:t>284,778</w:t>
            </w:r>
          </w:p>
        </w:tc>
        <w:tc>
          <w:tcPr>
            <w:tcW w:w="1276" w:type="dxa"/>
            <w:tcBorders>
              <w:top w:val="nil"/>
              <w:left w:val="nil"/>
              <w:bottom w:val="nil"/>
              <w:right w:val="nil"/>
            </w:tcBorders>
            <w:shd w:val="clear" w:color="auto" w:fill="auto"/>
          </w:tcPr>
          <w:p w14:paraId="5902B4C0" w14:textId="77777777" w:rsidR="00005BBB" w:rsidRPr="00BC0D1F" w:rsidRDefault="00005BBB" w:rsidP="00F06348">
            <w:pPr>
              <w:pStyle w:val="TableText"/>
              <w:spacing w:before="40" w:after="40"/>
              <w:jc w:val="right"/>
              <w:rPr>
                <w:sz w:val="15"/>
                <w:szCs w:val="15"/>
              </w:rPr>
            </w:pPr>
            <w:r w:rsidRPr="00BC0D1F">
              <w:rPr>
                <w:sz w:val="15"/>
                <w:szCs w:val="15"/>
              </w:rPr>
              <w:t>1.86%</w:t>
            </w:r>
          </w:p>
        </w:tc>
        <w:tc>
          <w:tcPr>
            <w:tcW w:w="1276" w:type="dxa"/>
            <w:tcBorders>
              <w:top w:val="nil"/>
              <w:left w:val="nil"/>
              <w:bottom w:val="nil"/>
              <w:right w:val="nil"/>
            </w:tcBorders>
            <w:shd w:val="clear" w:color="auto" w:fill="auto"/>
          </w:tcPr>
          <w:p w14:paraId="57DD0683" w14:textId="77777777" w:rsidR="00005BBB" w:rsidRPr="00BC0D1F" w:rsidRDefault="00005BBB" w:rsidP="00F06348">
            <w:pPr>
              <w:pStyle w:val="TableText"/>
              <w:spacing w:before="40" w:after="40"/>
              <w:ind w:left="85"/>
              <w:rPr>
                <w:sz w:val="15"/>
                <w:szCs w:val="15"/>
              </w:rPr>
            </w:pPr>
          </w:p>
        </w:tc>
      </w:tr>
      <w:tr w:rsidR="00810942" w:rsidRPr="00BC0D1F" w14:paraId="05CA26DC" w14:textId="77777777" w:rsidTr="00F06348">
        <w:trPr>
          <w:cantSplit/>
        </w:trPr>
        <w:tc>
          <w:tcPr>
            <w:tcW w:w="993" w:type="dxa"/>
            <w:tcBorders>
              <w:top w:val="nil"/>
              <w:left w:val="nil"/>
              <w:bottom w:val="nil"/>
              <w:right w:val="nil"/>
            </w:tcBorders>
            <w:shd w:val="clear" w:color="auto" w:fill="auto"/>
          </w:tcPr>
          <w:p w14:paraId="6B65FB2A" w14:textId="77777777" w:rsidR="00005BBB" w:rsidRPr="00BC0D1F" w:rsidRDefault="00005BBB" w:rsidP="00F06348">
            <w:pPr>
              <w:pStyle w:val="TableText"/>
              <w:spacing w:before="40" w:after="40"/>
              <w:ind w:right="85"/>
              <w:jc w:val="right"/>
              <w:rPr>
                <w:sz w:val="15"/>
                <w:szCs w:val="15"/>
              </w:rPr>
            </w:pPr>
            <w:r w:rsidRPr="00BC0D1F">
              <w:rPr>
                <w:sz w:val="15"/>
                <w:szCs w:val="15"/>
              </w:rPr>
              <w:t>614,392</w:t>
            </w:r>
          </w:p>
        </w:tc>
        <w:tc>
          <w:tcPr>
            <w:tcW w:w="2976" w:type="dxa"/>
            <w:gridSpan w:val="2"/>
            <w:tcBorders>
              <w:top w:val="nil"/>
              <w:left w:val="nil"/>
              <w:bottom w:val="nil"/>
              <w:right w:val="nil"/>
            </w:tcBorders>
            <w:shd w:val="clear" w:color="auto" w:fill="auto"/>
          </w:tcPr>
          <w:p w14:paraId="42617D75" w14:textId="77777777" w:rsidR="00005BBB" w:rsidRPr="00BC0D1F" w:rsidRDefault="00005BBB" w:rsidP="00F06348">
            <w:pPr>
              <w:pStyle w:val="TableText"/>
              <w:spacing w:before="40" w:after="40"/>
              <w:rPr>
                <w:sz w:val="15"/>
                <w:szCs w:val="15"/>
              </w:rPr>
            </w:pPr>
            <w:r w:rsidRPr="00BC0D1F">
              <w:rPr>
                <w:sz w:val="15"/>
                <w:szCs w:val="15"/>
              </w:rPr>
              <w:t>Bay of Plenty DHB</w:t>
            </w:r>
          </w:p>
        </w:tc>
        <w:tc>
          <w:tcPr>
            <w:tcW w:w="993" w:type="dxa"/>
            <w:tcBorders>
              <w:top w:val="nil"/>
              <w:left w:val="nil"/>
              <w:bottom w:val="nil"/>
              <w:right w:val="nil"/>
            </w:tcBorders>
            <w:shd w:val="clear" w:color="auto" w:fill="D9D9D9"/>
          </w:tcPr>
          <w:p w14:paraId="3116CD71" w14:textId="77777777" w:rsidR="00005BBB" w:rsidRPr="00BC0D1F" w:rsidRDefault="00005BBB" w:rsidP="00F06348">
            <w:pPr>
              <w:pStyle w:val="TableText"/>
              <w:spacing w:before="40" w:after="40"/>
              <w:ind w:right="85"/>
              <w:jc w:val="right"/>
              <w:rPr>
                <w:sz w:val="15"/>
                <w:szCs w:val="15"/>
              </w:rPr>
            </w:pPr>
            <w:r w:rsidRPr="00BC0D1F">
              <w:rPr>
                <w:sz w:val="15"/>
                <w:szCs w:val="15"/>
              </w:rPr>
              <w:t>638,060</w:t>
            </w:r>
          </w:p>
        </w:tc>
        <w:tc>
          <w:tcPr>
            <w:tcW w:w="850" w:type="dxa"/>
            <w:tcBorders>
              <w:top w:val="nil"/>
              <w:left w:val="nil"/>
              <w:bottom w:val="nil"/>
              <w:right w:val="nil"/>
            </w:tcBorders>
            <w:shd w:val="clear" w:color="auto" w:fill="auto"/>
          </w:tcPr>
          <w:p w14:paraId="52D43D05" w14:textId="77777777" w:rsidR="00005BBB" w:rsidRPr="00BC0D1F" w:rsidRDefault="00005BBB" w:rsidP="00F06348">
            <w:pPr>
              <w:pStyle w:val="TableText"/>
              <w:spacing w:before="40" w:after="40"/>
              <w:jc w:val="right"/>
              <w:rPr>
                <w:sz w:val="15"/>
                <w:szCs w:val="15"/>
              </w:rPr>
            </w:pPr>
            <w:r w:rsidRPr="00BC0D1F">
              <w:rPr>
                <w:sz w:val="15"/>
                <w:szCs w:val="15"/>
              </w:rPr>
              <w:t>633,648</w:t>
            </w:r>
          </w:p>
        </w:tc>
        <w:tc>
          <w:tcPr>
            <w:tcW w:w="992" w:type="dxa"/>
            <w:tcBorders>
              <w:top w:val="nil"/>
              <w:left w:val="nil"/>
              <w:bottom w:val="nil"/>
              <w:right w:val="nil"/>
            </w:tcBorders>
            <w:shd w:val="clear" w:color="auto" w:fill="auto"/>
          </w:tcPr>
          <w:p w14:paraId="3335C1E8" w14:textId="77777777" w:rsidR="00005BBB" w:rsidRPr="00BC0D1F" w:rsidRDefault="00005BBB" w:rsidP="00F06348">
            <w:pPr>
              <w:pStyle w:val="TableText"/>
              <w:spacing w:before="40" w:after="40"/>
              <w:jc w:val="right"/>
              <w:rPr>
                <w:sz w:val="15"/>
                <w:szCs w:val="15"/>
              </w:rPr>
            </w:pPr>
            <w:r w:rsidRPr="00BC0D1F">
              <w:rPr>
                <w:sz w:val="15"/>
                <w:szCs w:val="15"/>
              </w:rPr>
              <w:t>638,061</w:t>
            </w:r>
          </w:p>
        </w:tc>
        <w:tc>
          <w:tcPr>
            <w:tcW w:w="1276" w:type="dxa"/>
            <w:tcBorders>
              <w:top w:val="nil"/>
              <w:left w:val="nil"/>
              <w:bottom w:val="nil"/>
              <w:right w:val="nil"/>
            </w:tcBorders>
            <w:shd w:val="clear" w:color="auto" w:fill="auto"/>
          </w:tcPr>
          <w:p w14:paraId="305CB9FF" w14:textId="77777777" w:rsidR="00005BBB" w:rsidRPr="00BC0D1F" w:rsidRDefault="00005BBB" w:rsidP="00F06348">
            <w:pPr>
              <w:pStyle w:val="TableText"/>
              <w:spacing w:before="40" w:after="40"/>
              <w:jc w:val="right"/>
              <w:rPr>
                <w:sz w:val="15"/>
                <w:szCs w:val="15"/>
              </w:rPr>
            </w:pPr>
            <w:r w:rsidRPr="00BC0D1F">
              <w:rPr>
                <w:sz w:val="15"/>
                <w:szCs w:val="15"/>
              </w:rPr>
              <w:t>4.17%</w:t>
            </w:r>
          </w:p>
        </w:tc>
        <w:tc>
          <w:tcPr>
            <w:tcW w:w="1276" w:type="dxa"/>
            <w:tcBorders>
              <w:top w:val="nil"/>
              <w:left w:val="nil"/>
              <w:bottom w:val="nil"/>
              <w:right w:val="nil"/>
            </w:tcBorders>
            <w:shd w:val="clear" w:color="auto" w:fill="auto"/>
          </w:tcPr>
          <w:p w14:paraId="705847DF" w14:textId="77777777" w:rsidR="00005BBB" w:rsidRPr="00BC0D1F" w:rsidRDefault="00005BBB" w:rsidP="00F06348">
            <w:pPr>
              <w:pStyle w:val="TableText"/>
              <w:spacing w:before="40" w:after="40"/>
              <w:ind w:left="85"/>
              <w:rPr>
                <w:sz w:val="15"/>
                <w:szCs w:val="15"/>
              </w:rPr>
            </w:pPr>
          </w:p>
        </w:tc>
      </w:tr>
      <w:tr w:rsidR="00810942" w:rsidRPr="00BC0D1F" w14:paraId="34160432" w14:textId="77777777" w:rsidTr="00F06348">
        <w:trPr>
          <w:cantSplit/>
        </w:trPr>
        <w:tc>
          <w:tcPr>
            <w:tcW w:w="993" w:type="dxa"/>
            <w:tcBorders>
              <w:top w:val="nil"/>
              <w:left w:val="nil"/>
              <w:bottom w:val="nil"/>
              <w:right w:val="nil"/>
            </w:tcBorders>
            <w:shd w:val="clear" w:color="auto" w:fill="auto"/>
          </w:tcPr>
          <w:p w14:paraId="37416851" w14:textId="77777777" w:rsidR="00005BBB" w:rsidRPr="00BC0D1F" w:rsidRDefault="00005BBB" w:rsidP="00F06348">
            <w:pPr>
              <w:pStyle w:val="TableText"/>
              <w:spacing w:before="40" w:after="40"/>
              <w:ind w:right="85"/>
              <w:jc w:val="right"/>
              <w:rPr>
                <w:sz w:val="15"/>
                <w:szCs w:val="15"/>
              </w:rPr>
            </w:pPr>
            <w:r w:rsidRPr="00BC0D1F">
              <w:rPr>
                <w:sz w:val="15"/>
                <w:szCs w:val="15"/>
              </w:rPr>
              <w:t>144,332</w:t>
            </w:r>
          </w:p>
        </w:tc>
        <w:tc>
          <w:tcPr>
            <w:tcW w:w="2976" w:type="dxa"/>
            <w:gridSpan w:val="2"/>
            <w:tcBorders>
              <w:top w:val="nil"/>
              <w:left w:val="nil"/>
              <w:bottom w:val="nil"/>
              <w:right w:val="nil"/>
            </w:tcBorders>
            <w:shd w:val="clear" w:color="auto" w:fill="auto"/>
          </w:tcPr>
          <w:p w14:paraId="634BAD36" w14:textId="62BB4F3E" w:rsidR="00005BBB" w:rsidRPr="00BC0D1F" w:rsidRDefault="00005BBB" w:rsidP="00AF1712">
            <w:pPr>
              <w:pStyle w:val="TableText"/>
              <w:spacing w:before="40" w:after="40"/>
              <w:rPr>
                <w:sz w:val="15"/>
                <w:szCs w:val="15"/>
              </w:rPr>
            </w:pPr>
            <w:proofErr w:type="spellStart"/>
            <w:r w:rsidRPr="00BC0D1F">
              <w:rPr>
                <w:sz w:val="15"/>
                <w:szCs w:val="15"/>
              </w:rPr>
              <w:t>Tair</w:t>
            </w:r>
            <w:r w:rsidR="00AF1712">
              <w:rPr>
                <w:rFonts w:cs="Arial"/>
                <w:sz w:val="15"/>
                <w:szCs w:val="15"/>
              </w:rPr>
              <w:t>ā</w:t>
            </w:r>
            <w:r w:rsidRPr="00BC0D1F">
              <w:rPr>
                <w:sz w:val="15"/>
                <w:szCs w:val="15"/>
              </w:rPr>
              <w:t>whiti</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6940DCE3" w14:textId="77777777" w:rsidR="00005BBB" w:rsidRPr="00BC0D1F" w:rsidRDefault="00005BBB" w:rsidP="00F06348">
            <w:pPr>
              <w:pStyle w:val="TableText"/>
              <w:spacing w:before="40" w:after="40"/>
              <w:ind w:right="85"/>
              <w:jc w:val="right"/>
              <w:rPr>
                <w:sz w:val="15"/>
                <w:szCs w:val="15"/>
              </w:rPr>
            </w:pPr>
            <w:r w:rsidRPr="00BC0D1F">
              <w:rPr>
                <w:sz w:val="15"/>
                <w:szCs w:val="15"/>
              </w:rPr>
              <w:t>147,136</w:t>
            </w:r>
          </w:p>
        </w:tc>
        <w:tc>
          <w:tcPr>
            <w:tcW w:w="850" w:type="dxa"/>
            <w:tcBorders>
              <w:top w:val="nil"/>
              <w:left w:val="nil"/>
              <w:bottom w:val="nil"/>
              <w:right w:val="nil"/>
            </w:tcBorders>
            <w:shd w:val="clear" w:color="auto" w:fill="auto"/>
          </w:tcPr>
          <w:p w14:paraId="7866DC5C" w14:textId="77777777" w:rsidR="00005BBB" w:rsidRPr="00BC0D1F" w:rsidRDefault="00005BBB" w:rsidP="00F06348">
            <w:pPr>
              <w:pStyle w:val="TableText"/>
              <w:spacing w:before="40" w:after="40"/>
              <w:jc w:val="right"/>
              <w:rPr>
                <w:sz w:val="15"/>
                <w:szCs w:val="15"/>
              </w:rPr>
            </w:pPr>
            <w:r w:rsidRPr="00BC0D1F">
              <w:rPr>
                <w:sz w:val="15"/>
                <w:szCs w:val="15"/>
              </w:rPr>
              <w:t>146,813</w:t>
            </w:r>
          </w:p>
        </w:tc>
        <w:tc>
          <w:tcPr>
            <w:tcW w:w="992" w:type="dxa"/>
            <w:tcBorders>
              <w:top w:val="nil"/>
              <w:left w:val="nil"/>
              <w:bottom w:val="nil"/>
              <w:right w:val="nil"/>
            </w:tcBorders>
            <w:shd w:val="clear" w:color="auto" w:fill="auto"/>
          </w:tcPr>
          <w:p w14:paraId="1D20A4D8" w14:textId="77777777" w:rsidR="00005BBB" w:rsidRPr="00BC0D1F" w:rsidRDefault="00005BBB" w:rsidP="00F06348">
            <w:pPr>
              <w:pStyle w:val="TableText"/>
              <w:spacing w:before="40" w:after="40"/>
              <w:jc w:val="right"/>
              <w:rPr>
                <w:sz w:val="15"/>
                <w:szCs w:val="15"/>
              </w:rPr>
            </w:pPr>
            <w:r w:rsidRPr="00BC0D1F">
              <w:rPr>
                <w:sz w:val="15"/>
                <w:szCs w:val="15"/>
              </w:rPr>
              <w:t>147,136</w:t>
            </w:r>
          </w:p>
        </w:tc>
        <w:tc>
          <w:tcPr>
            <w:tcW w:w="1276" w:type="dxa"/>
            <w:tcBorders>
              <w:top w:val="nil"/>
              <w:left w:val="nil"/>
              <w:bottom w:val="nil"/>
              <w:right w:val="nil"/>
            </w:tcBorders>
            <w:shd w:val="clear" w:color="auto" w:fill="auto"/>
          </w:tcPr>
          <w:p w14:paraId="0860A9D8" w14:textId="77777777" w:rsidR="00005BBB" w:rsidRPr="00BC0D1F" w:rsidRDefault="00005BBB" w:rsidP="00F06348">
            <w:pPr>
              <w:pStyle w:val="TableText"/>
              <w:spacing w:before="40" w:after="40"/>
              <w:jc w:val="right"/>
              <w:rPr>
                <w:sz w:val="15"/>
                <w:szCs w:val="15"/>
              </w:rPr>
            </w:pPr>
            <w:r w:rsidRPr="00BC0D1F">
              <w:rPr>
                <w:sz w:val="15"/>
                <w:szCs w:val="15"/>
              </w:rPr>
              <w:t>0.96%</w:t>
            </w:r>
          </w:p>
        </w:tc>
        <w:tc>
          <w:tcPr>
            <w:tcW w:w="1276" w:type="dxa"/>
            <w:tcBorders>
              <w:top w:val="nil"/>
              <w:left w:val="nil"/>
              <w:bottom w:val="nil"/>
              <w:right w:val="nil"/>
            </w:tcBorders>
            <w:shd w:val="clear" w:color="auto" w:fill="auto"/>
          </w:tcPr>
          <w:p w14:paraId="7F607FDB" w14:textId="77777777" w:rsidR="00005BBB" w:rsidRPr="00BC0D1F" w:rsidRDefault="00005BBB" w:rsidP="00F06348">
            <w:pPr>
              <w:pStyle w:val="TableText"/>
              <w:spacing w:before="40" w:after="40"/>
              <w:ind w:left="85"/>
              <w:rPr>
                <w:sz w:val="15"/>
                <w:szCs w:val="15"/>
              </w:rPr>
            </w:pPr>
          </w:p>
        </w:tc>
      </w:tr>
      <w:tr w:rsidR="00810942" w:rsidRPr="00BC0D1F" w14:paraId="579272D1" w14:textId="77777777" w:rsidTr="00F06348">
        <w:trPr>
          <w:cantSplit/>
        </w:trPr>
        <w:tc>
          <w:tcPr>
            <w:tcW w:w="993" w:type="dxa"/>
            <w:tcBorders>
              <w:top w:val="nil"/>
              <w:left w:val="nil"/>
              <w:bottom w:val="nil"/>
              <w:right w:val="nil"/>
            </w:tcBorders>
            <w:shd w:val="clear" w:color="auto" w:fill="auto"/>
          </w:tcPr>
          <w:p w14:paraId="4BABD3F2" w14:textId="77777777" w:rsidR="00005BBB" w:rsidRPr="00BC0D1F" w:rsidRDefault="00005BBB" w:rsidP="00F06348">
            <w:pPr>
              <w:pStyle w:val="TableText"/>
              <w:spacing w:before="40" w:after="40"/>
              <w:ind w:right="85"/>
              <w:jc w:val="right"/>
              <w:rPr>
                <w:sz w:val="15"/>
                <w:szCs w:val="15"/>
              </w:rPr>
            </w:pPr>
            <w:r w:rsidRPr="00BC0D1F">
              <w:rPr>
                <w:sz w:val="15"/>
                <w:szCs w:val="15"/>
              </w:rPr>
              <w:t>304,188</w:t>
            </w:r>
          </w:p>
        </w:tc>
        <w:tc>
          <w:tcPr>
            <w:tcW w:w="2976" w:type="dxa"/>
            <w:gridSpan w:val="2"/>
            <w:tcBorders>
              <w:top w:val="nil"/>
              <w:left w:val="nil"/>
              <w:bottom w:val="nil"/>
              <w:right w:val="nil"/>
            </w:tcBorders>
            <w:shd w:val="clear" w:color="auto" w:fill="auto"/>
          </w:tcPr>
          <w:p w14:paraId="19EEC654" w14:textId="77777777" w:rsidR="00005BBB" w:rsidRPr="00BC0D1F" w:rsidRDefault="00005BBB" w:rsidP="00F06348">
            <w:pPr>
              <w:pStyle w:val="TableText"/>
              <w:spacing w:before="40" w:after="40"/>
              <w:rPr>
                <w:sz w:val="15"/>
                <w:szCs w:val="15"/>
              </w:rPr>
            </w:pPr>
            <w:proofErr w:type="spellStart"/>
            <w:r w:rsidRPr="00BC0D1F">
              <w:rPr>
                <w:sz w:val="15"/>
                <w:szCs w:val="15"/>
              </w:rPr>
              <w:t>Taranaki</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783B4F11" w14:textId="77777777" w:rsidR="00005BBB" w:rsidRPr="00BC0D1F" w:rsidRDefault="00005BBB" w:rsidP="00F06348">
            <w:pPr>
              <w:pStyle w:val="TableText"/>
              <w:spacing w:before="40" w:after="40"/>
              <w:ind w:right="85"/>
              <w:jc w:val="right"/>
              <w:rPr>
                <w:sz w:val="15"/>
                <w:szCs w:val="15"/>
              </w:rPr>
            </w:pPr>
            <w:r w:rsidRPr="00BC0D1F">
              <w:rPr>
                <w:sz w:val="15"/>
                <w:szCs w:val="15"/>
              </w:rPr>
              <w:t>318,643</w:t>
            </w:r>
          </w:p>
        </w:tc>
        <w:tc>
          <w:tcPr>
            <w:tcW w:w="850" w:type="dxa"/>
            <w:tcBorders>
              <w:top w:val="nil"/>
              <w:left w:val="nil"/>
              <w:bottom w:val="nil"/>
              <w:right w:val="nil"/>
            </w:tcBorders>
            <w:shd w:val="clear" w:color="auto" w:fill="auto"/>
          </w:tcPr>
          <w:p w14:paraId="1655351E" w14:textId="77777777" w:rsidR="00005BBB" w:rsidRPr="00BC0D1F" w:rsidRDefault="00005BBB" w:rsidP="00F06348">
            <w:pPr>
              <w:pStyle w:val="TableText"/>
              <w:spacing w:before="40" w:after="40"/>
              <w:jc w:val="right"/>
              <w:rPr>
                <w:sz w:val="15"/>
                <w:szCs w:val="15"/>
              </w:rPr>
            </w:pPr>
            <w:r w:rsidRPr="00BC0D1F">
              <w:rPr>
                <w:sz w:val="15"/>
                <w:szCs w:val="15"/>
              </w:rPr>
              <w:t>317,712</w:t>
            </w:r>
          </w:p>
        </w:tc>
        <w:tc>
          <w:tcPr>
            <w:tcW w:w="992" w:type="dxa"/>
            <w:tcBorders>
              <w:top w:val="nil"/>
              <w:left w:val="nil"/>
              <w:bottom w:val="nil"/>
              <w:right w:val="nil"/>
            </w:tcBorders>
            <w:shd w:val="clear" w:color="auto" w:fill="auto"/>
          </w:tcPr>
          <w:p w14:paraId="5DE36FC7" w14:textId="77777777" w:rsidR="00005BBB" w:rsidRPr="00BC0D1F" w:rsidRDefault="00005BBB" w:rsidP="00F06348">
            <w:pPr>
              <w:pStyle w:val="TableText"/>
              <w:spacing w:before="40" w:after="40"/>
              <w:jc w:val="right"/>
              <w:rPr>
                <w:sz w:val="15"/>
                <w:szCs w:val="15"/>
              </w:rPr>
            </w:pPr>
            <w:r w:rsidRPr="00BC0D1F">
              <w:rPr>
                <w:sz w:val="15"/>
                <w:szCs w:val="15"/>
              </w:rPr>
              <w:t>318,644</w:t>
            </w:r>
          </w:p>
        </w:tc>
        <w:tc>
          <w:tcPr>
            <w:tcW w:w="1276" w:type="dxa"/>
            <w:tcBorders>
              <w:top w:val="nil"/>
              <w:left w:val="nil"/>
              <w:bottom w:val="nil"/>
              <w:right w:val="nil"/>
            </w:tcBorders>
            <w:shd w:val="clear" w:color="auto" w:fill="auto"/>
          </w:tcPr>
          <w:p w14:paraId="794401C0" w14:textId="77777777" w:rsidR="00005BBB" w:rsidRPr="00BC0D1F" w:rsidRDefault="00005BBB" w:rsidP="00F06348">
            <w:pPr>
              <w:pStyle w:val="TableText"/>
              <w:spacing w:before="40" w:after="40"/>
              <w:jc w:val="right"/>
              <w:rPr>
                <w:sz w:val="15"/>
                <w:szCs w:val="15"/>
              </w:rPr>
            </w:pPr>
            <w:r w:rsidRPr="00BC0D1F">
              <w:rPr>
                <w:sz w:val="15"/>
                <w:szCs w:val="15"/>
              </w:rPr>
              <w:t>2.08%</w:t>
            </w:r>
          </w:p>
        </w:tc>
        <w:tc>
          <w:tcPr>
            <w:tcW w:w="1276" w:type="dxa"/>
            <w:tcBorders>
              <w:top w:val="nil"/>
              <w:left w:val="nil"/>
              <w:bottom w:val="nil"/>
              <w:right w:val="nil"/>
            </w:tcBorders>
            <w:shd w:val="clear" w:color="auto" w:fill="auto"/>
          </w:tcPr>
          <w:p w14:paraId="4104287F" w14:textId="77777777" w:rsidR="00005BBB" w:rsidRPr="00BC0D1F" w:rsidRDefault="00005BBB" w:rsidP="00F06348">
            <w:pPr>
              <w:pStyle w:val="TableText"/>
              <w:spacing w:before="40" w:after="40"/>
              <w:ind w:left="85"/>
              <w:rPr>
                <w:sz w:val="15"/>
                <w:szCs w:val="15"/>
              </w:rPr>
            </w:pPr>
          </w:p>
        </w:tc>
      </w:tr>
      <w:tr w:rsidR="00810942" w:rsidRPr="00BC0D1F" w14:paraId="7087F588" w14:textId="77777777" w:rsidTr="00F06348">
        <w:trPr>
          <w:cantSplit/>
        </w:trPr>
        <w:tc>
          <w:tcPr>
            <w:tcW w:w="993" w:type="dxa"/>
            <w:tcBorders>
              <w:top w:val="nil"/>
              <w:left w:val="nil"/>
              <w:bottom w:val="nil"/>
              <w:right w:val="nil"/>
            </w:tcBorders>
            <w:shd w:val="clear" w:color="auto" w:fill="auto"/>
          </w:tcPr>
          <w:p w14:paraId="284B9E3C" w14:textId="77777777" w:rsidR="00005BBB" w:rsidRPr="00BC0D1F" w:rsidRDefault="00005BBB" w:rsidP="00F06348">
            <w:pPr>
              <w:pStyle w:val="TableText"/>
              <w:spacing w:before="40" w:after="40"/>
              <w:ind w:right="85"/>
              <w:jc w:val="right"/>
              <w:rPr>
                <w:sz w:val="15"/>
                <w:szCs w:val="15"/>
              </w:rPr>
            </w:pPr>
            <w:r w:rsidRPr="00BC0D1F">
              <w:rPr>
                <w:sz w:val="15"/>
                <w:szCs w:val="15"/>
              </w:rPr>
              <w:t>435,492</w:t>
            </w:r>
          </w:p>
        </w:tc>
        <w:tc>
          <w:tcPr>
            <w:tcW w:w="2976" w:type="dxa"/>
            <w:gridSpan w:val="2"/>
            <w:tcBorders>
              <w:top w:val="nil"/>
              <w:left w:val="nil"/>
              <w:bottom w:val="nil"/>
              <w:right w:val="nil"/>
            </w:tcBorders>
            <w:shd w:val="clear" w:color="auto" w:fill="auto"/>
          </w:tcPr>
          <w:p w14:paraId="78022342" w14:textId="77777777" w:rsidR="00005BBB" w:rsidRPr="00BC0D1F" w:rsidRDefault="00005BBB" w:rsidP="00F06348">
            <w:pPr>
              <w:pStyle w:val="TableText"/>
              <w:spacing w:before="40" w:after="40"/>
              <w:rPr>
                <w:sz w:val="15"/>
                <w:szCs w:val="15"/>
              </w:rPr>
            </w:pPr>
            <w:r w:rsidRPr="00BC0D1F">
              <w:rPr>
                <w:sz w:val="15"/>
                <w:szCs w:val="15"/>
              </w:rPr>
              <w:t>Hawke's Bay DHB</w:t>
            </w:r>
          </w:p>
        </w:tc>
        <w:tc>
          <w:tcPr>
            <w:tcW w:w="993" w:type="dxa"/>
            <w:tcBorders>
              <w:top w:val="nil"/>
              <w:left w:val="nil"/>
              <w:bottom w:val="nil"/>
              <w:right w:val="nil"/>
            </w:tcBorders>
            <w:shd w:val="clear" w:color="auto" w:fill="D9D9D9"/>
          </w:tcPr>
          <w:p w14:paraId="050F956A" w14:textId="77777777" w:rsidR="00005BBB" w:rsidRPr="00BC0D1F" w:rsidRDefault="00005BBB" w:rsidP="00F06348">
            <w:pPr>
              <w:pStyle w:val="TableText"/>
              <w:spacing w:before="40" w:after="40"/>
              <w:ind w:right="85"/>
              <w:jc w:val="right"/>
              <w:rPr>
                <w:sz w:val="15"/>
                <w:szCs w:val="15"/>
              </w:rPr>
            </w:pPr>
            <w:r w:rsidRPr="00BC0D1F">
              <w:rPr>
                <w:sz w:val="15"/>
                <w:szCs w:val="15"/>
              </w:rPr>
              <w:t>457,148</w:t>
            </w:r>
          </w:p>
        </w:tc>
        <w:tc>
          <w:tcPr>
            <w:tcW w:w="850" w:type="dxa"/>
            <w:tcBorders>
              <w:top w:val="nil"/>
              <w:left w:val="nil"/>
              <w:bottom w:val="nil"/>
              <w:right w:val="nil"/>
            </w:tcBorders>
            <w:shd w:val="clear" w:color="auto" w:fill="auto"/>
          </w:tcPr>
          <w:p w14:paraId="41E3AF7E" w14:textId="77777777" w:rsidR="00005BBB" w:rsidRPr="00BC0D1F" w:rsidRDefault="00005BBB" w:rsidP="00F06348">
            <w:pPr>
              <w:pStyle w:val="TableText"/>
              <w:spacing w:before="40" w:after="40"/>
              <w:jc w:val="right"/>
              <w:rPr>
                <w:sz w:val="15"/>
                <w:szCs w:val="15"/>
              </w:rPr>
            </w:pPr>
            <w:r w:rsidRPr="00BC0D1F">
              <w:rPr>
                <w:sz w:val="15"/>
                <w:szCs w:val="15"/>
              </w:rPr>
              <w:t>457,128</w:t>
            </w:r>
          </w:p>
        </w:tc>
        <w:tc>
          <w:tcPr>
            <w:tcW w:w="992" w:type="dxa"/>
            <w:tcBorders>
              <w:top w:val="nil"/>
              <w:left w:val="nil"/>
              <w:bottom w:val="nil"/>
              <w:right w:val="nil"/>
            </w:tcBorders>
            <w:shd w:val="clear" w:color="auto" w:fill="auto"/>
          </w:tcPr>
          <w:p w14:paraId="56D04026" w14:textId="77777777" w:rsidR="00005BBB" w:rsidRPr="00BC0D1F" w:rsidRDefault="00005BBB" w:rsidP="00F06348">
            <w:pPr>
              <w:pStyle w:val="TableText"/>
              <w:spacing w:before="40" w:after="40"/>
              <w:jc w:val="right"/>
              <w:rPr>
                <w:sz w:val="15"/>
                <w:szCs w:val="15"/>
              </w:rPr>
            </w:pPr>
            <w:r w:rsidRPr="00BC0D1F">
              <w:rPr>
                <w:sz w:val="15"/>
                <w:szCs w:val="15"/>
              </w:rPr>
              <w:t>461,348</w:t>
            </w:r>
          </w:p>
        </w:tc>
        <w:tc>
          <w:tcPr>
            <w:tcW w:w="1276" w:type="dxa"/>
            <w:tcBorders>
              <w:top w:val="nil"/>
              <w:left w:val="nil"/>
              <w:bottom w:val="nil"/>
              <w:right w:val="nil"/>
            </w:tcBorders>
            <w:shd w:val="clear" w:color="auto" w:fill="auto"/>
          </w:tcPr>
          <w:p w14:paraId="0E39E7AC" w14:textId="77777777" w:rsidR="00005BBB" w:rsidRPr="00BC0D1F" w:rsidRDefault="00005BBB" w:rsidP="00F06348">
            <w:pPr>
              <w:pStyle w:val="TableText"/>
              <w:spacing w:before="40" w:after="40"/>
              <w:jc w:val="right"/>
              <w:rPr>
                <w:sz w:val="15"/>
                <w:szCs w:val="15"/>
              </w:rPr>
            </w:pPr>
            <w:r w:rsidRPr="00BC0D1F">
              <w:rPr>
                <w:sz w:val="15"/>
                <w:szCs w:val="15"/>
              </w:rPr>
              <w:t>2.99%</w:t>
            </w:r>
          </w:p>
        </w:tc>
        <w:tc>
          <w:tcPr>
            <w:tcW w:w="1276" w:type="dxa"/>
            <w:tcBorders>
              <w:top w:val="nil"/>
              <w:left w:val="nil"/>
              <w:bottom w:val="nil"/>
              <w:right w:val="nil"/>
            </w:tcBorders>
            <w:shd w:val="clear" w:color="auto" w:fill="auto"/>
          </w:tcPr>
          <w:p w14:paraId="5E795A3E" w14:textId="77777777" w:rsidR="00005BBB" w:rsidRPr="00BC0D1F" w:rsidRDefault="00005BBB" w:rsidP="00F06348">
            <w:pPr>
              <w:pStyle w:val="TableText"/>
              <w:spacing w:before="40" w:after="40"/>
              <w:ind w:left="85"/>
              <w:rPr>
                <w:sz w:val="15"/>
                <w:szCs w:val="15"/>
              </w:rPr>
            </w:pPr>
          </w:p>
        </w:tc>
      </w:tr>
      <w:tr w:rsidR="00810942" w:rsidRPr="00BC0D1F" w14:paraId="10997BCA" w14:textId="77777777" w:rsidTr="00F06348">
        <w:trPr>
          <w:cantSplit/>
        </w:trPr>
        <w:tc>
          <w:tcPr>
            <w:tcW w:w="993" w:type="dxa"/>
            <w:tcBorders>
              <w:top w:val="nil"/>
              <w:left w:val="nil"/>
              <w:bottom w:val="nil"/>
              <w:right w:val="nil"/>
            </w:tcBorders>
            <w:shd w:val="clear" w:color="auto" w:fill="auto"/>
          </w:tcPr>
          <w:p w14:paraId="2AE349A9" w14:textId="77777777" w:rsidR="00005BBB" w:rsidRPr="00BC0D1F" w:rsidRDefault="00005BBB" w:rsidP="00F06348">
            <w:pPr>
              <w:pStyle w:val="TableText"/>
              <w:spacing w:before="40" w:after="40"/>
              <w:ind w:right="85"/>
              <w:jc w:val="right"/>
              <w:rPr>
                <w:sz w:val="15"/>
                <w:szCs w:val="15"/>
              </w:rPr>
            </w:pPr>
            <w:r w:rsidRPr="00BC0D1F">
              <w:rPr>
                <w:sz w:val="15"/>
                <w:szCs w:val="15"/>
              </w:rPr>
              <w:t>202,295</w:t>
            </w:r>
          </w:p>
        </w:tc>
        <w:tc>
          <w:tcPr>
            <w:tcW w:w="2976" w:type="dxa"/>
            <w:gridSpan w:val="2"/>
            <w:tcBorders>
              <w:top w:val="nil"/>
              <w:left w:val="nil"/>
              <w:bottom w:val="nil"/>
              <w:right w:val="nil"/>
            </w:tcBorders>
            <w:shd w:val="clear" w:color="auto" w:fill="auto"/>
          </w:tcPr>
          <w:p w14:paraId="6C8D978F" w14:textId="77777777" w:rsidR="00005BBB" w:rsidRPr="00BC0D1F" w:rsidRDefault="00005BBB" w:rsidP="00F06348">
            <w:pPr>
              <w:pStyle w:val="TableText"/>
              <w:spacing w:before="40" w:after="40"/>
              <w:rPr>
                <w:sz w:val="15"/>
                <w:szCs w:val="15"/>
              </w:rPr>
            </w:pPr>
            <w:proofErr w:type="spellStart"/>
            <w:r w:rsidRPr="00BC0D1F">
              <w:rPr>
                <w:sz w:val="15"/>
                <w:szCs w:val="15"/>
              </w:rPr>
              <w:t>Whanganui</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0EFC2783" w14:textId="77777777" w:rsidR="00005BBB" w:rsidRPr="00BC0D1F" w:rsidRDefault="00005BBB" w:rsidP="00F06348">
            <w:pPr>
              <w:pStyle w:val="TableText"/>
              <w:spacing w:before="40" w:after="40"/>
              <w:ind w:right="85"/>
              <w:jc w:val="right"/>
              <w:rPr>
                <w:sz w:val="15"/>
                <w:szCs w:val="15"/>
              </w:rPr>
            </w:pPr>
            <w:r w:rsidRPr="00BC0D1F">
              <w:rPr>
                <w:sz w:val="15"/>
                <w:szCs w:val="15"/>
              </w:rPr>
              <w:t>206,464</w:t>
            </w:r>
          </w:p>
        </w:tc>
        <w:tc>
          <w:tcPr>
            <w:tcW w:w="850" w:type="dxa"/>
            <w:tcBorders>
              <w:top w:val="nil"/>
              <w:left w:val="nil"/>
              <w:bottom w:val="nil"/>
              <w:right w:val="nil"/>
            </w:tcBorders>
            <w:shd w:val="clear" w:color="auto" w:fill="auto"/>
          </w:tcPr>
          <w:p w14:paraId="7A84890E" w14:textId="77777777" w:rsidR="00005BBB" w:rsidRPr="00BC0D1F" w:rsidRDefault="00005BBB" w:rsidP="00F06348">
            <w:pPr>
              <w:pStyle w:val="TableText"/>
              <w:spacing w:before="40" w:after="40"/>
              <w:jc w:val="right"/>
              <w:rPr>
                <w:sz w:val="15"/>
                <w:szCs w:val="15"/>
              </w:rPr>
            </w:pPr>
            <w:r w:rsidRPr="00BC0D1F">
              <w:rPr>
                <w:sz w:val="15"/>
                <w:szCs w:val="15"/>
              </w:rPr>
              <w:t>205,636</w:t>
            </w:r>
          </w:p>
        </w:tc>
        <w:tc>
          <w:tcPr>
            <w:tcW w:w="992" w:type="dxa"/>
            <w:tcBorders>
              <w:top w:val="nil"/>
              <w:left w:val="nil"/>
              <w:bottom w:val="nil"/>
              <w:right w:val="nil"/>
            </w:tcBorders>
            <w:shd w:val="clear" w:color="auto" w:fill="auto"/>
          </w:tcPr>
          <w:p w14:paraId="498ACE54" w14:textId="77777777" w:rsidR="00005BBB" w:rsidRPr="00BC0D1F" w:rsidRDefault="00005BBB" w:rsidP="00F06348">
            <w:pPr>
              <w:pStyle w:val="TableText"/>
              <w:spacing w:before="40" w:after="40"/>
              <w:jc w:val="right"/>
              <w:rPr>
                <w:sz w:val="15"/>
                <w:szCs w:val="15"/>
              </w:rPr>
            </w:pPr>
            <w:r w:rsidRPr="00BC0D1F">
              <w:rPr>
                <w:sz w:val="15"/>
                <w:szCs w:val="15"/>
              </w:rPr>
              <w:t>206,465</w:t>
            </w:r>
          </w:p>
        </w:tc>
        <w:tc>
          <w:tcPr>
            <w:tcW w:w="1276" w:type="dxa"/>
            <w:tcBorders>
              <w:top w:val="nil"/>
              <w:left w:val="nil"/>
              <w:bottom w:val="nil"/>
              <w:right w:val="nil"/>
            </w:tcBorders>
            <w:shd w:val="clear" w:color="auto" w:fill="auto"/>
          </w:tcPr>
          <w:p w14:paraId="6D1A4A40" w14:textId="77777777" w:rsidR="00005BBB" w:rsidRPr="00BC0D1F" w:rsidRDefault="00005BBB" w:rsidP="00F06348">
            <w:pPr>
              <w:pStyle w:val="TableText"/>
              <w:spacing w:before="40" w:after="40"/>
              <w:jc w:val="right"/>
              <w:rPr>
                <w:sz w:val="15"/>
                <w:szCs w:val="15"/>
              </w:rPr>
            </w:pPr>
            <w:r w:rsidRPr="00BC0D1F">
              <w:rPr>
                <w:sz w:val="15"/>
                <w:szCs w:val="15"/>
              </w:rPr>
              <w:t>1.35%</w:t>
            </w:r>
          </w:p>
        </w:tc>
        <w:tc>
          <w:tcPr>
            <w:tcW w:w="1276" w:type="dxa"/>
            <w:tcBorders>
              <w:top w:val="nil"/>
              <w:left w:val="nil"/>
              <w:bottom w:val="nil"/>
              <w:right w:val="nil"/>
            </w:tcBorders>
            <w:shd w:val="clear" w:color="auto" w:fill="auto"/>
          </w:tcPr>
          <w:p w14:paraId="249F5C02" w14:textId="714EE0E9" w:rsidR="00005BBB" w:rsidRPr="00BC0D1F" w:rsidRDefault="00BF547F" w:rsidP="00BF547F">
            <w:pPr>
              <w:pStyle w:val="TableText"/>
              <w:spacing w:before="40" w:after="40"/>
              <w:ind w:left="85"/>
              <w:rPr>
                <w:sz w:val="15"/>
                <w:szCs w:val="15"/>
              </w:rPr>
            </w:pPr>
            <w:r w:rsidRPr="00BC0D1F">
              <w:rPr>
                <w:sz w:val="15"/>
                <w:szCs w:val="15"/>
              </w:rPr>
              <w:t xml:space="preserve">DHBs Annual </w:t>
            </w:r>
          </w:p>
        </w:tc>
      </w:tr>
      <w:tr w:rsidR="00810942" w:rsidRPr="00BC0D1F" w14:paraId="5669815A" w14:textId="77777777" w:rsidTr="00F06348">
        <w:trPr>
          <w:cantSplit/>
        </w:trPr>
        <w:tc>
          <w:tcPr>
            <w:tcW w:w="993" w:type="dxa"/>
            <w:tcBorders>
              <w:top w:val="nil"/>
              <w:left w:val="nil"/>
              <w:bottom w:val="nil"/>
              <w:right w:val="nil"/>
            </w:tcBorders>
            <w:shd w:val="clear" w:color="auto" w:fill="auto"/>
          </w:tcPr>
          <w:p w14:paraId="6B2EBDA9" w14:textId="77777777" w:rsidR="00005BBB" w:rsidRPr="00BC0D1F" w:rsidRDefault="00005BBB" w:rsidP="00F06348">
            <w:pPr>
              <w:pStyle w:val="TableText"/>
              <w:spacing w:before="40" w:after="40"/>
              <w:ind w:right="85"/>
              <w:jc w:val="right"/>
              <w:rPr>
                <w:sz w:val="15"/>
                <w:szCs w:val="15"/>
              </w:rPr>
            </w:pPr>
            <w:r w:rsidRPr="00BC0D1F">
              <w:rPr>
                <w:sz w:val="15"/>
                <w:szCs w:val="15"/>
              </w:rPr>
              <w:t>458,021</w:t>
            </w:r>
          </w:p>
        </w:tc>
        <w:tc>
          <w:tcPr>
            <w:tcW w:w="2976" w:type="dxa"/>
            <w:gridSpan w:val="2"/>
            <w:tcBorders>
              <w:top w:val="nil"/>
              <w:left w:val="nil"/>
              <w:bottom w:val="nil"/>
              <w:right w:val="nil"/>
            </w:tcBorders>
            <w:shd w:val="clear" w:color="auto" w:fill="auto"/>
          </w:tcPr>
          <w:p w14:paraId="7B2EEEF5" w14:textId="77777777" w:rsidR="00005BBB" w:rsidRPr="00BC0D1F" w:rsidRDefault="00005BBB" w:rsidP="00F06348">
            <w:pPr>
              <w:pStyle w:val="TableText"/>
              <w:spacing w:before="40" w:after="40"/>
              <w:rPr>
                <w:sz w:val="15"/>
                <w:szCs w:val="15"/>
              </w:rPr>
            </w:pPr>
            <w:proofErr w:type="spellStart"/>
            <w:r w:rsidRPr="00BC0D1F">
              <w:rPr>
                <w:sz w:val="15"/>
                <w:szCs w:val="15"/>
              </w:rPr>
              <w:t>MidCentral</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529222DE" w14:textId="77777777" w:rsidR="00005BBB" w:rsidRPr="00BC0D1F" w:rsidRDefault="00005BBB" w:rsidP="00F06348">
            <w:pPr>
              <w:pStyle w:val="TableText"/>
              <w:spacing w:before="40" w:after="40"/>
              <w:ind w:right="85"/>
              <w:jc w:val="right"/>
              <w:rPr>
                <w:sz w:val="15"/>
                <w:szCs w:val="15"/>
              </w:rPr>
            </w:pPr>
            <w:r w:rsidRPr="00BC0D1F">
              <w:rPr>
                <w:sz w:val="15"/>
                <w:szCs w:val="15"/>
              </w:rPr>
              <w:t>467,256</w:t>
            </w:r>
          </w:p>
        </w:tc>
        <w:tc>
          <w:tcPr>
            <w:tcW w:w="850" w:type="dxa"/>
            <w:tcBorders>
              <w:top w:val="nil"/>
              <w:left w:val="nil"/>
              <w:bottom w:val="nil"/>
              <w:right w:val="nil"/>
            </w:tcBorders>
            <w:shd w:val="clear" w:color="auto" w:fill="auto"/>
          </w:tcPr>
          <w:p w14:paraId="4B506DD9" w14:textId="77777777" w:rsidR="00005BBB" w:rsidRPr="00BC0D1F" w:rsidRDefault="00005BBB" w:rsidP="00F06348">
            <w:pPr>
              <w:pStyle w:val="TableText"/>
              <w:spacing w:before="40" w:after="40"/>
              <w:jc w:val="right"/>
              <w:rPr>
                <w:sz w:val="15"/>
                <w:szCs w:val="15"/>
              </w:rPr>
            </w:pPr>
            <w:r w:rsidRPr="00BC0D1F">
              <w:rPr>
                <w:sz w:val="15"/>
                <w:szCs w:val="15"/>
              </w:rPr>
              <w:t>465,870</w:t>
            </w:r>
          </w:p>
        </w:tc>
        <w:tc>
          <w:tcPr>
            <w:tcW w:w="992" w:type="dxa"/>
            <w:tcBorders>
              <w:top w:val="nil"/>
              <w:left w:val="nil"/>
              <w:bottom w:val="nil"/>
              <w:right w:val="nil"/>
            </w:tcBorders>
            <w:shd w:val="clear" w:color="auto" w:fill="auto"/>
          </w:tcPr>
          <w:p w14:paraId="6792F772" w14:textId="77777777" w:rsidR="00005BBB" w:rsidRPr="00BC0D1F" w:rsidRDefault="00005BBB" w:rsidP="00F06348">
            <w:pPr>
              <w:pStyle w:val="TableText"/>
              <w:spacing w:before="40" w:after="40"/>
              <w:jc w:val="right"/>
              <w:rPr>
                <w:sz w:val="15"/>
                <w:szCs w:val="15"/>
              </w:rPr>
            </w:pPr>
            <w:r w:rsidRPr="00BC0D1F">
              <w:rPr>
                <w:sz w:val="15"/>
                <w:szCs w:val="15"/>
              </w:rPr>
              <w:t>467,257</w:t>
            </w:r>
          </w:p>
        </w:tc>
        <w:tc>
          <w:tcPr>
            <w:tcW w:w="1276" w:type="dxa"/>
            <w:tcBorders>
              <w:top w:val="nil"/>
              <w:left w:val="nil"/>
              <w:bottom w:val="nil"/>
              <w:right w:val="nil"/>
            </w:tcBorders>
            <w:shd w:val="clear" w:color="auto" w:fill="auto"/>
          </w:tcPr>
          <w:p w14:paraId="0C2BB38C" w14:textId="77777777" w:rsidR="00005BBB" w:rsidRPr="00BC0D1F" w:rsidRDefault="00005BBB" w:rsidP="00F06348">
            <w:pPr>
              <w:pStyle w:val="TableText"/>
              <w:spacing w:before="40" w:after="40"/>
              <w:jc w:val="right"/>
              <w:rPr>
                <w:sz w:val="15"/>
                <w:szCs w:val="15"/>
              </w:rPr>
            </w:pPr>
            <w:r w:rsidRPr="00BC0D1F">
              <w:rPr>
                <w:sz w:val="15"/>
                <w:szCs w:val="15"/>
              </w:rPr>
              <w:t>3.06%</w:t>
            </w:r>
          </w:p>
        </w:tc>
        <w:tc>
          <w:tcPr>
            <w:tcW w:w="1276" w:type="dxa"/>
            <w:tcBorders>
              <w:top w:val="nil"/>
              <w:left w:val="nil"/>
              <w:bottom w:val="nil"/>
              <w:right w:val="nil"/>
            </w:tcBorders>
            <w:shd w:val="clear" w:color="auto" w:fill="auto"/>
          </w:tcPr>
          <w:p w14:paraId="0393C141" w14:textId="7A173963" w:rsidR="00005BBB" w:rsidRPr="00BC0D1F" w:rsidRDefault="00BF547F" w:rsidP="00F06348">
            <w:pPr>
              <w:pStyle w:val="TableText"/>
              <w:spacing w:before="40" w:after="40"/>
              <w:ind w:left="85"/>
              <w:rPr>
                <w:sz w:val="15"/>
                <w:szCs w:val="15"/>
              </w:rPr>
            </w:pPr>
            <w:r w:rsidRPr="00BC0D1F">
              <w:rPr>
                <w:sz w:val="15"/>
                <w:szCs w:val="15"/>
              </w:rPr>
              <w:t>Reports</w:t>
            </w:r>
          </w:p>
        </w:tc>
      </w:tr>
      <w:tr w:rsidR="00810942" w:rsidRPr="00BC0D1F" w14:paraId="5AEB3F76" w14:textId="77777777" w:rsidTr="00F06348">
        <w:trPr>
          <w:cantSplit/>
        </w:trPr>
        <w:tc>
          <w:tcPr>
            <w:tcW w:w="993" w:type="dxa"/>
            <w:tcBorders>
              <w:top w:val="nil"/>
              <w:left w:val="nil"/>
              <w:bottom w:val="nil"/>
              <w:right w:val="nil"/>
            </w:tcBorders>
            <w:shd w:val="clear" w:color="auto" w:fill="auto"/>
          </w:tcPr>
          <w:p w14:paraId="28943004" w14:textId="77777777" w:rsidR="00005BBB" w:rsidRPr="00BC0D1F" w:rsidRDefault="00005BBB" w:rsidP="00F06348">
            <w:pPr>
              <w:pStyle w:val="TableText"/>
              <w:spacing w:before="40" w:after="40"/>
              <w:ind w:right="85"/>
              <w:jc w:val="right"/>
              <w:rPr>
                <w:sz w:val="15"/>
                <w:szCs w:val="15"/>
              </w:rPr>
            </w:pPr>
            <w:r w:rsidRPr="00BC0D1F">
              <w:rPr>
                <w:sz w:val="15"/>
                <w:szCs w:val="15"/>
              </w:rPr>
              <w:t>357,834</w:t>
            </w:r>
          </w:p>
        </w:tc>
        <w:tc>
          <w:tcPr>
            <w:tcW w:w="2976" w:type="dxa"/>
            <w:gridSpan w:val="2"/>
            <w:tcBorders>
              <w:top w:val="nil"/>
              <w:left w:val="nil"/>
              <w:bottom w:val="nil"/>
              <w:right w:val="nil"/>
            </w:tcBorders>
            <w:shd w:val="clear" w:color="auto" w:fill="auto"/>
          </w:tcPr>
          <w:p w14:paraId="5802C685" w14:textId="77777777" w:rsidR="00005BBB" w:rsidRPr="00BC0D1F" w:rsidRDefault="00005BBB" w:rsidP="00F06348">
            <w:pPr>
              <w:pStyle w:val="TableText"/>
              <w:spacing w:before="40" w:after="40"/>
              <w:rPr>
                <w:sz w:val="15"/>
                <w:szCs w:val="15"/>
              </w:rPr>
            </w:pPr>
            <w:r w:rsidRPr="00BC0D1F">
              <w:rPr>
                <w:sz w:val="15"/>
                <w:szCs w:val="15"/>
              </w:rPr>
              <w:t>Hutt Valley DHB</w:t>
            </w:r>
          </w:p>
        </w:tc>
        <w:tc>
          <w:tcPr>
            <w:tcW w:w="993" w:type="dxa"/>
            <w:tcBorders>
              <w:top w:val="nil"/>
              <w:left w:val="nil"/>
              <w:bottom w:val="nil"/>
              <w:right w:val="nil"/>
            </w:tcBorders>
            <w:shd w:val="clear" w:color="auto" w:fill="D9D9D9"/>
          </w:tcPr>
          <w:p w14:paraId="7D86B793" w14:textId="77777777" w:rsidR="00005BBB" w:rsidRPr="00BC0D1F" w:rsidRDefault="00005BBB" w:rsidP="00F06348">
            <w:pPr>
              <w:pStyle w:val="TableText"/>
              <w:spacing w:before="40" w:after="40"/>
              <w:ind w:right="85"/>
              <w:jc w:val="right"/>
              <w:rPr>
                <w:sz w:val="15"/>
                <w:szCs w:val="15"/>
              </w:rPr>
            </w:pPr>
            <w:r w:rsidRPr="00BC0D1F">
              <w:rPr>
                <w:sz w:val="15"/>
                <w:szCs w:val="15"/>
              </w:rPr>
              <w:t>365,331</w:t>
            </w:r>
          </w:p>
        </w:tc>
        <w:tc>
          <w:tcPr>
            <w:tcW w:w="850" w:type="dxa"/>
            <w:tcBorders>
              <w:top w:val="nil"/>
              <w:left w:val="nil"/>
              <w:bottom w:val="nil"/>
              <w:right w:val="nil"/>
            </w:tcBorders>
            <w:shd w:val="clear" w:color="auto" w:fill="auto"/>
          </w:tcPr>
          <w:p w14:paraId="343D8BBF" w14:textId="77777777" w:rsidR="00005BBB" w:rsidRPr="00BC0D1F" w:rsidRDefault="00005BBB" w:rsidP="00F06348">
            <w:pPr>
              <w:pStyle w:val="TableText"/>
              <w:spacing w:before="40" w:after="40"/>
              <w:jc w:val="right"/>
              <w:rPr>
                <w:sz w:val="15"/>
                <w:szCs w:val="15"/>
              </w:rPr>
            </w:pPr>
            <w:r w:rsidRPr="00BC0D1F">
              <w:rPr>
                <w:sz w:val="15"/>
                <w:szCs w:val="15"/>
              </w:rPr>
              <w:t>363,557</w:t>
            </w:r>
          </w:p>
        </w:tc>
        <w:tc>
          <w:tcPr>
            <w:tcW w:w="992" w:type="dxa"/>
            <w:tcBorders>
              <w:top w:val="nil"/>
              <w:left w:val="nil"/>
              <w:bottom w:val="nil"/>
              <w:right w:val="nil"/>
            </w:tcBorders>
            <w:shd w:val="clear" w:color="auto" w:fill="auto"/>
          </w:tcPr>
          <w:p w14:paraId="3826F647" w14:textId="77777777" w:rsidR="00005BBB" w:rsidRPr="00BC0D1F" w:rsidRDefault="00005BBB" w:rsidP="00F06348">
            <w:pPr>
              <w:pStyle w:val="TableText"/>
              <w:spacing w:before="40" w:after="40"/>
              <w:jc w:val="right"/>
              <w:rPr>
                <w:sz w:val="15"/>
                <w:szCs w:val="15"/>
              </w:rPr>
            </w:pPr>
            <w:r w:rsidRPr="00BC0D1F">
              <w:rPr>
                <w:sz w:val="15"/>
                <w:szCs w:val="15"/>
              </w:rPr>
              <w:t>365,331</w:t>
            </w:r>
          </w:p>
        </w:tc>
        <w:tc>
          <w:tcPr>
            <w:tcW w:w="1276" w:type="dxa"/>
            <w:tcBorders>
              <w:top w:val="nil"/>
              <w:left w:val="nil"/>
              <w:bottom w:val="nil"/>
              <w:right w:val="nil"/>
            </w:tcBorders>
            <w:shd w:val="clear" w:color="auto" w:fill="auto"/>
          </w:tcPr>
          <w:p w14:paraId="49C2DE1B" w14:textId="77777777" w:rsidR="00005BBB" w:rsidRPr="00BC0D1F" w:rsidRDefault="00005BBB" w:rsidP="00F06348">
            <w:pPr>
              <w:pStyle w:val="TableText"/>
              <w:spacing w:before="40" w:after="40"/>
              <w:jc w:val="right"/>
              <w:rPr>
                <w:sz w:val="15"/>
                <w:szCs w:val="15"/>
              </w:rPr>
            </w:pPr>
            <w:r w:rsidRPr="00BC0D1F">
              <w:rPr>
                <w:sz w:val="15"/>
                <w:szCs w:val="15"/>
              </w:rPr>
              <w:t>2.39%</w:t>
            </w:r>
          </w:p>
        </w:tc>
        <w:tc>
          <w:tcPr>
            <w:tcW w:w="1276" w:type="dxa"/>
            <w:tcBorders>
              <w:top w:val="nil"/>
              <w:left w:val="nil"/>
              <w:bottom w:val="nil"/>
              <w:right w:val="nil"/>
            </w:tcBorders>
            <w:shd w:val="clear" w:color="auto" w:fill="auto"/>
          </w:tcPr>
          <w:p w14:paraId="53CF8341" w14:textId="77777777" w:rsidR="00005BBB" w:rsidRPr="00BC0D1F" w:rsidRDefault="00005BBB" w:rsidP="00F06348">
            <w:pPr>
              <w:pStyle w:val="TableText"/>
              <w:spacing w:before="40" w:after="40"/>
              <w:ind w:left="85"/>
              <w:rPr>
                <w:sz w:val="15"/>
                <w:szCs w:val="15"/>
              </w:rPr>
            </w:pPr>
          </w:p>
        </w:tc>
      </w:tr>
      <w:tr w:rsidR="00810942" w:rsidRPr="00BC0D1F" w14:paraId="5E76FFA1" w14:textId="77777777" w:rsidTr="00F06348">
        <w:trPr>
          <w:cantSplit/>
        </w:trPr>
        <w:tc>
          <w:tcPr>
            <w:tcW w:w="993" w:type="dxa"/>
            <w:tcBorders>
              <w:top w:val="nil"/>
              <w:left w:val="nil"/>
              <w:bottom w:val="nil"/>
              <w:right w:val="nil"/>
            </w:tcBorders>
            <w:shd w:val="clear" w:color="auto" w:fill="auto"/>
          </w:tcPr>
          <w:p w14:paraId="0DEE6C75" w14:textId="77777777" w:rsidR="00005BBB" w:rsidRPr="00BC0D1F" w:rsidRDefault="00005BBB" w:rsidP="00F06348">
            <w:pPr>
              <w:pStyle w:val="TableText"/>
              <w:spacing w:before="40" w:after="40"/>
              <w:ind w:right="85"/>
              <w:jc w:val="right"/>
              <w:rPr>
                <w:sz w:val="15"/>
                <w:szCs w:val="15"/>
              </w:rPr>
            </w:pPr>
            <w:r w:rsidRPr="00BC0D1F">
              <w:rPr>
                <w:sz w:val="15"/>
                <w:szCs w:val="15"/>
              </w:rPr>
              <w:t>678,807</w:t>
            </w:r>
          </w:p>
        </w:tc>
        <w:tc>
          <w:tcPr>
            <w:tcW w:w="2976" w:type="dxa"/>
            <w:gridSpan w:val="2"/>
            <w:tcBorders>
              <w:top w:val="nil"/>
              <w:left w:val="nil"/>
              <w:bottom w:val="nil"/>
              <w:right w:val="nil"/>
            </w:tcBorders>
            <w:shd w:val="clear" w:color="auto" w:fill="auto"/>
          </w:tcPr>
          <w:p w14:paraId="0EC38F23" w14:textId="77777777" w:rsidR="00005BBB" w:rsidRPr="00BC0D1F" w:rsidRDefault="00005BBB" w:rsidP="00F06348">
            <w:pPr>
              <w:pStyle w:val="TableText"/>
              <w:spacing w:before="40" w:after="40"/>
              <w:rPr>
                <w:sz w:val="15"/>
                <w:szCs w:val="15"/>
              </w:rPr>
            </w:pPr>
            <w:r w:rsidRPr="00BC0D1F">
              <w:rPr>
                <w:sz w:val="15"/>
                <w:szCs w:val="15"/>
              </w:rPr>
              <w:t>Capital and Coast DHB</w:t>
            </w:r>
          </w:p>
        </w:tc>
        <w:tc>
          <w:tcPr>
            <w:tcW w:w="993" w:type="dxa"/>
            <w:tcBorders>
              <w:top w:val="nil"/>
              <w:left w:val="nil"/>
              <w:bottom w:val="nil"/>
              <w:right w:val="nil"/>
            </w:tcBorders>
            <w:shd w:val="clear" w:color="auto" w:fill="D9D9D9"/>
          </w:tcPr>
          <w:p w14:paraId="7F56E1E4" w14:textId="77777777" w:rsidR="00005BBB" w:rsidRPr="00BC0D1F" w:rsidRDefault="00005BBB" w:rsidP="00F06348">
            <w:pPr>
              <w:pStyle w:val="TableText"/>
              <w:spacing w:before="40" w:after="40"/>
              <w:ind w:right="85"/>
              <w:jc w:val="right"/>
              <w:rPr>
                <w:sz w:val="15"/>
                <w:szCs w:val="15"/>
              </w:rPr>
            </w:pPr>
            <w:r w:rsidRPr="00BC0D1F">
              <w:rPr>
                <w:sz w:val="15"/>
                <w:szCs w:val="15"/>
              </w:rPr>
              <w:t>690,915</w:t>
            </w:r>
          </w:p>
        </w:tc>
        <w:tc>
          <w:tcPr>
            <w:tcW w:w="850" w:type="dxa"/>
            <w:tcBorders>
              <w:top w:val="nil"/>
              <w:left w:val="nil"/>
              <w:bottom w:val="nil"/>
              <w:right w:val="nil"/>
            </w:tcBorders>
            <w:shd w:val="clear" w:color="auto" w:fill="auto"/>
          </w:tcPr>
          <w:p w14:paraId="4324E02A" w14:textId="77777777" w:rsidR="00005BBB" w:rsidRPr="00BC0D1F" w:rsidRDefault="00005BBB" w:rsidP="00F06348">
            <w:pPr>
              <w:pStyle w:val="TableText"/>
              <w:spacing w:before="40" w:after="40"/>
              <w:jc w:val="right"/>
              <w:rPr>
                <w:sz w:val="15"/>
                <w:szCs w:val="15"/>
              </w:rPr>
            </w:pPr>
            <w:r w:rsidRPr="00BC0D1F">
              <w:rPr>
                <w:sz w:val="15"/>
                <w:szCs w:val="15"/>
              </w:rPr>
              <w:t>689,554</w:t>
            </w:r>
          </w:p>
        </w:tc>
        <w:tc>
          <w:tcPr>
            <w:tcW w:w="992" w:type="dxa"/>
            <w:tcBorders>
              <w:top w:val="nil"/>
              <w:left w:val="nil"/>
              <w:bottom w:val="nil"/>
              <w:right w:val="nil"/>
            </w:tcBorders>
            <w:shd w:val="clear" w:color="auto" w:fill="auto"/>
          </w:tcPr>
          <w:p w14:paraId="78B87A4E" w14:textId="77777777" w:rsidR="00005BBB" w:rsidRPr="00BC0D1F" w:rsidRDefault="00005BBB" w:rsidP="00F06348">
            <w:pPr>
              <w:pStyle w:val="TableText"/>
              <w:spacing w:before="40" w:after="40"/>
              <w:jc w:val="right"/>
              <w:rPr>
                <w:sz w:val="15"/>
                <w:szCs w:val="15"/>
              </w:rPr>
            </w:pPr>
            <w:r w:rsidRPr="00BC0D1F">
              <w:rPr>
                <w:sz w:val="15"/>
                <w:szCs w:val="15"/>
              </w:rPr>
              <w:t>690,915</w:t>
            </w:r>
          </w:p>
        </w:tc>
        <w:tc>
          <w:tcPr>
            <w:tcW w:w="1276" w:type="dxa"/>
            <w:tcBorders>
              <w:top w:val="nil"/>
              <w:left w:val="nil"/>
              <w:bottom w:val="nil"/>
              <w:right w:val="nil"/>
            </w:tcBorders>
            <w:shd w:val="clear" w:color="auto" w:fill="auto"/>
          </w:tcPr>
          <w:p w14:paraId="5838F460" w14:textId="77777777" w:rsidR="00005BBB" w:rsidRPr="00BC0D1F" w:rsidRDefault="00005BBB" w:rsidP="00F06348">
            <w:pPr>
              <w:pStyle w:val="TableText"/>
              <w:spacing w:before="40" w:after="40"/>
              <w:jc w:val="right"/>
              <w:rPr>
                <w:sz w:val="15"/>
                <w:szCs w:val="15"/>
              </w:rPr>
            </w:pPr>
            <w:r w:rsidRPr="00BC0D1F">
              <w:rPr>
                <w:sz w:val="15"/>
                <w:szCs w:val="15"/>
              </w:rPr>
              <w:t>4.52%</w:t>
            </w:r>
          </w:p>
        </w:tc>
        <w:tc>
          <w:tcPr>
            <w:tcW w:w="1276" w:type="dxa"/>
            <w:tcBorders>
              <w:top w:val="nil"/>
              <w:left w:val="nil"/>
              <w:bottom w:val="nil"/>
              <w:right w:val="nil"/>
            </w:tcBorders>
            <w:shd w:val="clear" w:color="auto" w:fill="auto"/>
          </w:tcPr>
          <w:p w14:paraId="1C03F266" w14:textId="77777777" w:rsidR="00005BBB" w:rsidRPr="00BC0D1F" w:rsidRDefault="00005BBB" w:rsidP="00F06348">
            <w:pPr>
              <w:pStyle w:val="TableText"/>
              <w:spacing w:before="40" w:after="40"/>
              <w:ind w:left="85"/>
              <w:rPr>
                <w:sz w:val="15"/>
                <w:szCs w:val="15"/>
              </w:rPr>
            </w:pPr>
          </w:p>
        </w:tc>
      </w:tr>
      <w:tr w:rsidR="00810942" w:rsidRPr="00BC0D1F" w14:paraId="282D363B" w14:textId="77777777" w:rsidTr="00F06348">
        <w:trPr>
          <w:cantSplit/>
        </w:trPr>
        <w:tc>
          <w:tcPr>
            <w:tcW w:w="993" w:type="dxa"/>
            <w:tcBorders>
              <w:top w:val="nil"/>
              <w:left w:val="nil"/>
              <w:bottom w:val="nil"/>
              <w:right w:val="nil"/>
            </w:tcBorders>
            <w:shd w:val="clear" w:color="auto" w:fill="auto"/>
          </w:tcPr>
          <w:p w14:paraId="1639B5C2" w14:textId="77777777" w:rsidR="00005BBB" w:rsidRPr="00BC0D1F" w:rsidRDefault="00005BBB" w:rsidP="00F06348">
            <w:pPr>
              <w:pStyle w:val="TableText"/>
              <w:spacing w:before="40" w:after="40"/>
              <w:ind w:right="85"/>
              <w:jc w:val="right"/>
              <w:rPr>
                <w:sz w:val="15"/>
                <w:szCs w:val="15"/>
              </w:rPr>
            </w:pPr>
            <w:r w:rsidRPr="00BC0D1F">
              <w:rPr>
                <w:sz w:val="15"/>
                <w:szCs w:val="15"/>
              </w:rPr>
              <w:t>122,511</w:t>
            </w:r>
          </w:p>
        </w:tc>
        <w:tc>
          <w:tcPr>
            <w:tcW w:w="2976" w:type="dxa"/>
            <w:gridSpan w:val="2"/>
            <w:tcBorders>
              <w:top w:val="nil"/>
              <w:left w:val="nil"/>
              <w:bottom w:val="nil"/>
              <w:right w:val="nil"/>
            </w:tcBorders>
            <w:shd w:val="clear" w:color="auto" w:fill="auto"/>
          </w:tcPr>
          <w:p w14:paraId="3EFE8707" w14:textId="77777777" w:rsidR="00005BBB" w:rsidRPr="00BC0D1F" w:rsidRDefault="00005BBB" w:rsidP="00F06348">
            <w:pPr>
              <w:pStyle w:val="TableText"/>
              <w:spacing w:before="40" w:after="40"/>
              <w:rPr>
                <w:sz w:val="15"/>
                <w:szCs w:val="15"/>
              </w:rPr>
            </w:pPr>
            <w:proofErr w:type="spellStart"/>
            <w:r w:rsidRPr="00BC0D1F">
              <w:rPr>
                <w:sz w:val="15"/>
                <w:szCs w:val="15"/>
              </w:rPr>
              <w:t>Wairarapa</w:t>
            </w:r>
            <w:proofErr w:type="spellEnd"/>
            <w:r w:rsidRPr="00BC0D1F">
              <w:rPr>
                <w:sz w:val="15"/>
                <w:szCs w:val="15"/>
              </w:rPr>
              <w:t xml:space="preserve"> DHB</w:t>
            </w:r>
          </w:p>
        </w:tc>
        <w:tc>
          <w:tcPr>
            <w:tcW w:w="993" w:type="dxa"/>
            <w:tcBorders>
              <w:top w:val="nil"/>
              <w:left w:val="nil"/>
              <w:bottom w:val="nil"/>
              <w:right w:val="nil"/>
            </w:tcBorders>
            <w:shd w:val="clear" w:color="auto" w:fill="D9D9D9"/>
          </w:tcPr>
          <w:p w14:paraId="458EF02F" w14:textId="77777777" w:rsidR="00005BBB" w:rsidRPr="00BC0D1F" w:rsidRDefault="00005BBB" w:rsidP="00F06348">
            <w:pPr>
              <w:pStyle w:val="TableText"/>
              <w:spacing w:before="40" w:after="40"/>
              <w:ind w:right="85"/>
              <w:jc w:val="right"/>
              <w:rPr>
                <w:sz w:val="15"/>
                <w:szCs w:val="15"/>
              </w:rPr>
            </w:pPr>
            <w:r w:rsidRPr="00BC0D1F">
              <w:rPr>
                <w:sz w:val="15"/>
                <w:szCs w:val="15"/>
              </w:rPr>
              <w:t>128,179</w:t>
            </w:r>
          </w:p>
        </w:tc>
        <w:tc>
          <w:tcPr>
            <w:tcW w:w="850" w:type="dxa"/>
            <w:tcBorders>
              <w:top w:val="nil"/>
              <w:left w:val="nil"/>
              <w:bottom w:val="nil"/>
              <w:right w:val="nil"/>
            </w:tcBorders>
            <w:shd w:val="clear" w:color="auto" w:fill="auto"/>
          </w:tcPr>
          <w:p w14:paraId="17A11058" w14:textId="77777777" w:rsidR="00005BBB" w:rsidRPr="00BC0D1F" w:rsidRDefault="00005BBB" w:rsidP="00F06348">
            <w:pPr>
              <w:pStyle w:val="TableText"/>
              <w:spacing w:before="40" w:after="40"/>
              <w:jc w:val="right"/>
              <w:rPr>
                <w:sz w:val="15"/>
                <w:szCs w:val="15"/>
              </w:rPr>
            </w:pPr>
            <w:r w:rsidRPr="00BC0D1F">
              <w:rPr>
                <w:sz w:val="15"/>
                <w:szCs w:val="15"/>
              </w:rPr>
              <w:t>127,817</w:t>
            </w:r>
          </w:p>
        </w:tc>
        <w:tc>
          <w:tcPr>
            <w:tcW w:w="992" w:type="dxa"/>
            <w:tcBorders>
              <w:top w:val="nil"/>
              <w:left w:val="nil"/>
              <w:bottom w:val="nil"/>
              <w:right w:val="nil"/>
            </w:tcBorders>
            <w:shd w:val="clear" w:color="auto" w:fill="auto"/>
          </w:tcPr>
          <w:p w14:paraId="18FCCE92" w14:textId="77777777" w:rsidR="00005BBB" w:rsidRPr="00BC0D1F" w:rsidRDefault="00005BBB" w:rsidP="00F06348">
            <w:pPr>
              <w:pStyle w:val="TableText"/>
              <w:spacing w:before="40" w:after="40"/>
              <w:jc w:val="right"/>
              <w:rPr>
                <w:sz w:val="15"/>
                <w:szCs w:val="15"/>
              </w:rPr>
            </w:pPr>
            <w:r w:rsidRPr="00BC0D1F">
              <w:rPr>
                <w:sz w:val="15"/>
                <w:szCs w:val="15"/>
              </w:rPr>
              <w:t>128,179</w:t>
            </w:r>
          </w:p>
        </w:tc>
        <w:tc>
          <w:tcPr>
            <w:tcW w:w="1276" w:type="dxa"/>
            <w:tcBorders>
              <w:top w:val="nil"/>
              <w:left w:val="nil"/>
              <w:bottom w:val="nil"/>
              <w:right w:val="nil"/>
            </w:tcBorders>
            <w:shd w:val="clear" w:color="auto" w:fill="auto"/>
          </w:tcPr>
          <w:p w14:paraId="358D7F45" w14:textId="77777777" w:rsidR="00005BBB" w:rsidRPr="00BC0D1F" w:rsidRDefault="00005BBB" w:rsidP="00F06348">
            <w:pPr>
              <w:pStyle w:val="TableText"/>
              <w:spacing w:before="40" w:after="40"/>
              <w:jc w:val="right"/>
              <w:rPr>
                <w:sz w:val="15"/>
                <w:szCs w:val="15"/>
              </w:rPr>
            </w:pPr>
            <w:r w:rsidRPr="00BC0D1F">
              <w:rPr>
                <w:sz w:val="15"/>
                <w:szCs w:val="15"/>
              </w:rPr>
              <w:t>0.84%</w:t>
            </w:r>
          </w:p>
        </w:tc>
        <w:tc>
          <w:tcPr>
            <w:tcW w:w="1276" w:type="dxa"/>
            <w:tcBorders>
              <w:top w:val="nil"/>
              <w:left w:val="nil"/>
              <w:bottom w:val="nil"/>
              <w:right w:val="nil"/>
            </w:tcBorders>
            <w:shd w:val="clear" w:color="auto" w:fill="auto"/>
          </w:tcPr>
          <w:p w14:paraId="105857CE" w14:textId="77777777" w:rsidR="00005BBB" w:rsidRPr="00BC0D1F" w:rsidRDefault="00005BBB" w:rsidP="00F06348">
            <w:pPr>
              <w:pStyle w:val="TableText"/>
              <w:spacing w:before="40" w:after="40"/>
              <w:ind w:left="85"/>
              <w:rPr>
                <w:sz w:val="15"/>
                <w:szCs w:val="15"/>
              </w:rPr>
            </w:pPr>
          </w:p>
        </w:tc>
      </w:tr>
      <w:tr w:rsidR="00810942" w:rsidRPr="00BC0D1F" w14:paraId="1667BDB6" w14:textId="77777777" w:rsidTr="00F06348">
        <w:trPr>
          <w:cantSplit/>
        </w:trPr>
        <w:tc>
          <w:tcPr>
            <w:tcW w:w="993" w:type="dxa"/>
            <w:tcBorders>
              <w:top w:val="nil"/>
              <w:left w:val="nil"/>
              <w:bottom w:val="nil"/>
              <w:right w:val="nil"/>
            </w:tcBorders>
            <w:shd w:val="clear" w:color="auto" w:fill="auto"/>
          </w:tcPr>
          <w:p w14:paraId="69863858" w14:textId="77777777" w:rsidR="00005BBB" w:rsidRPr="00BC0D1F" w:rsidRDefault="00005BBB" w:rsidP="00F06348">
            <w:pPr>
              <w:pStyle w:val="TableText"/>
              <w:spacing w:before="40" w:after="40"/>
              <w:ind w:right="85"/>
              <w:jc w:val="right"/>
              <w:rPr>
                <w:sz w:val="15"/>
                <w:szCs w:val="15"/>
              </w:rPr>
            </w:pPr>
            <w:r w:rsidRPr="00BC0D1F">
              <w:rPr>
                <w:sz w:val="15"/>
                <w:szCs w:val="15"/>
              </w:rPr>
              <w:t>378,204</w:t>
            </w:r>
          </w:p>
        </w:tc>
        <w:tc>
          <w:tcPr>
            <w:tcW w:w="2976" w:type="dxa"/>
            <w:gridSpan w:val="2"/>
            <w:tcBorders>
              <w:top w:val="nil"/>
              <w:left w:val="nil"/>
              <w:bottom w:val="nil"/>
              <w:right w:val="nil"/>
            </w:tcBorders>
            <w:shd w:val="clear" w:color="auto" w:fill="auto"/>
          </w:tcPr>
          <w:p w14:paraId="5D2C69AC" w14:textId="77777777" w:rsidR="00005BBB" w:rsidRPr="00BC0D1F" w:rsidRDefault="00005BBB" w:rsidP="00F06348">
            <w:pPr>
              <w:pStyle w:val="TableText"/>
              <w:spacing w:before="40" w:after="40"/>
              <w:rPr>
                <w:sz w:val="15"/>
                <w:szCs w:val="15"/>
              </w:rPr>
            </w:pPr>
            <w:r w:rsidRPr="00BC0D1F">
              <w:rPr>
                <w:sz w:val="15"/>
                <w:szCs w:val="15"/>
              </w:rPr>
              <w:t>Nelson-Marlborough DHB</w:t>
            </w:r>
          </w:p>
        </w:tc>
        <w:tc>
          <w:tcPr>
            <w:tcW w:w="993" w:type="dxa"/>
            <w:tcBorders>
              <w:top w:val="nil"/>
              <w:left w:val="nil"/>
              <w:bottom w:val="nil"/>
              <w:right w:val="nil"/>
            </w:tcBorders>
            <w:shd w:val="clear" w:color="auto" w:fill="D9D9D9"/>
          </w:tcPr>
          <w:p w14:paraId="0BDEE64C" w14:textId="77777777" w:rsidR="00005BBB" w:rsidRPr="00BC0D1F" w:rsidRDefault="00005BBB" w:rsidP="00F06348">
            <w:pPr>
              <w:pStyle w:val="TableText"/>
              <w:spacing w:before="40" w:after="40"/>
              <w:ind w:right="85"/>
              <w:jc w:val="right"/>
              <w:rPr>
                <w:sz w:val="15"/>
                <w:szCs w:val="15"/>
              </w:rPr>
            </w:pPr>
            <w:r w:rsidRPr="00BC0D1F">
              <w:rPr>
                <w:sz w:val="15"/>
                <w:szCs w:val="15"/>
              </w:rPr>
              <w:t>394,740</w:t>
            </w:r>
          </w:p>
        </w:tc>
        <w:tc>
          <w:tcPr>
            <w:tcW w:w="850" w:type="dxa"/>
            <w:tcBorders>
              <w:top w:val="nil"/>
              <w:left w:val="nil"/>
              <w:bottom w:val="nil"/>
              <w:right w:val="nil"/>
            </w:tcBorders>
            <w:shd w:val="clear" w:color="auto" w:fill="auto"/>
          </w:tcPr>
          <w:p w14:paraId="013599ED" w14:textId="77777777" w:rsidR="00005BBB" w:rsidRPr="00BC0D1F" w:rsidRDefault="00005BBB" w:rsidP="00F06348">
            <w:pPr>
              <w:pStyle w:val="TableText"/>
              <w:spacing w:before="40" w:after="40"/>
              <w:jc w:val="right"/>
              <w:rPr>
                <w:sz w:val="15"/>
                <w:szCs w:val="15"/>
              </w:rPr>
            </w:pPr>
            <w:r w:rsidRPr="00BC0D1F">
              <w:rPr>
                <w:sz w:val="15"/>
                <w:szCs w:val="15"/>
              </w:rPr>
              <w:t>393,161</w:t>
            </w:r>
          </w:p>
        </w:tc>
        <w:tc>
          <w:tcPr>
            <w:tcW w:w="992" w:type="dxa"/>
            <w:tcBorders>
              <w:top w:val="nil"/>
              <w:left w:val="nil"/>
              <w:bottom w:val="nil"/>
              <w:right w:val="nil"/>
            </w:tcBorders>
            <w:shd w:val="clear" w:color="auto" w:fill="auto"/>
          </w:tcPr>
          <w:p w14:paraId="005EC1F0" w14:textId="77777777" w:rsidR="00005BBB" w:rsidRPr="00BC0D1F" w:rsidRDefault="00005BBB" w:rsidP="00F06348">
            <w:pPr>
              <w:pStyle w:val="TableText"/>
              <w:spacing w:before="40" w:after="40"/>
              <w:jc w:val="right"/>
              <w:rPr>
                <w:sz w:val="15"/>
                <w:szCs w:val="15"/>
              </w:rPr>
            </w:pPr>
            <w:r w:rsidRPr="00BC0D1F">
              <w:rPr>
                <w:sz w:val="15"/>
                <w:szCs w:val="15"/>
              </w:rPr>
              <w:t>394,740</w:t>
            </w:r>
          </w:p>
        </w:tc>
        <w:tc>
          <w:tcPr>
            <w:tcW w:w="1276" w:type="dxa"/>
            <w:tcBorders>
              <w:top w:val="nil"/>
              <w:left w:val="nil"/>
              <w:bottom w:val="nil"/>
              <w:right w:val="nil"/>
            </w:tcBorders>
            <w:shd w:val="clear" w:color="auto" w:fill="auto"/>
          </w:tcPr>
          <w:p w14:paraId="4E42C770" w14:textId="77777777" w:rsidR="00005BBB" w:rsidRPr="00BC0D1F" w:rsidRDefault="00005BBB" w:rsidP="00F06348">
            <w:pPr>
              <w:pStyle w:val="TableText"/>
              <w:spacing w:before="40" w:after="40"/>
              <w:jc w:val="right"/>
              <w:rPr>
                <w:sz w:val="15"/>
                <w:szCs w:val="15"/>
              </w:rPr>
            </w:pPr>
            <w:r w:rsidRPr="00BC0D1F">
              <w:rPr>
                <w:sz w:val="15"/>
                <w:szCs w:val="15"/>
              </w:rPr>
              <w:t>2.58%</w:t>
            </w:r>
          </w:p>
        </w:tc>
        <w:tc>
          <w:tcPr>
            <w:tcW w:w="1276" w:type="dxa"/>
            <w:tcBorders>
              <w:top w:val="nil"/>
              <w:left w:val="nil"/>
              <w:bottom w:val="nil"/>
              <w:right w:val="nil"/>
            </w:tcBorders>
            <w:shd w:val="clear" w:color="auto" w:fill="auto"/>
          </w:tcPr>
          <w:p w14:paraId="72EA0250" w14:textId="77777777" w:rsidR="00005BBB" w:rsidRPr="00BC0D1F" w:rsidRDefault="00005BBB" w:rsidP="00F06348">
            <w:pPr>
              <w:pStyle w:val="TableText"/>
              <w:spacing w:before="40" w:after="40"/>
              <w:ind w:left="85"/>
              <w:rPr>
                <w:sz w:val="15"/>
                <w:szCs w:val="15"/>
              </w:rPr>
            </w:pPr>
          </w:p>
        </w:tc>
      </w:tr>
      <w:tr w:rsidR="00810942" w:rsidRPr="00BC0D1F" w14:paraId="74CF45B9" w14:textId="77777777" w:rsidTr="00F06348">
        <w:trPr>
          <w:cantSplit/>
        </w:trPr>
        <w:tc>
          <w:tcPr>
            <w:tcW w:w="993" w:type="dxa"/>
            <w:tcBorders>
              <w:top w:val="nil"/>
              <w:left w:val="nil"/>
              <w:bottom w:val="nil"/>
              <w:right w:val="nil"/>
            </w:tcBorders>
            <w:shd w:val="clear" w:color="auto" w:fill="auto"/>
          </w:tcPr>
          <w:p w14:paraId="24E5B254" w14:textId="77777777" w:rsidR="00005BBB" w:rsidRPr="00BC0D1F" w:rsidRDefault="00005BBB" w:rsidP="00F06348">
            <w:pPr>
              <w:pStyle w:val="TableText"/>
              <w:spacing w:before="40" w:after="40"/>
              <w:ind w:right="85"/>
              <w:jc w:val="right"/>
              <w:rPr>
                <w:sz w:val="15"/>
                <w:szCs w:val="15"/>
              </w:rPr>
            </w:pPr>
            <w:r w:rsidRPr="00BC0D1F">
              <w:rPr>
                <w:sz w:val="15"/>
                <w:szCs w:val="15"/>
              </w:rPr>
              <w:t>119,604</w:t>
            </w:r>
          </w:p>
        </w:tc>
        <w:tc>
          <w:tcPr>
            <w:tcW w:w="2976" w:type="dxa"/>
            <w:gridSpan w:val="2"/>
            <w:tcBorders>
              <w:top w:val="nil"/>
              <w:left w:val="nil"/>
              <w:bottom w:val="nil"/>
              <w:right w:val="nil"/>
            </w:tcBorders>
            <w:shd w:val="clear" w:color="auto" w:fill="auto"/>
          </w:tcPr>
          <w:p w14:paraId="1AF717BC" w14:textId="77777777" w:rsidR="00005BBB" w:rsidRPr="00BC0D1F" w:rsidRDefault="00005BBB" w:rsidP="00F06348">
            <w:pPr>
              <w:pStyle w:val="TableText"/>
              <w:spacing w:before="40" w:after="40"/>
              <w:rPr>
                <w:sz w:val="15"/>
                <w:szCs w:val="15"/>
              </w:rPr>
            </w:pPr>
            <w:r w:rsidRPr="00BC0D1F">
              <w:rPr>
                <w:sz w:val="15"/>
                <w:szCs w:val="15"/>
              </w:rPr>
              <w:t>West Coast DHB</w:t>
            </w:r>
          </w:p>
        </w:tc>
        <w:tc>
          <w:tcPr>
            <w:tcW w:w="993" w:type="dxa"/>
            <w:tcBorders>
              <w:top w:val="nil"/>
              <w:left w:val="nil"/>
              <w:bottom w:val="nil"/>
              <w:right w:val="nil"/>
            </w:tcBorders>
            <w:shd w:val="clear" w:color="auto" w:fill="D9D9D9"/>
          </w:tcPr>
          <w:p w14:paraId="14564B43" w14:textId="77777777" w:rsidR="00005BBB" w:rsidRPr="00BC0D1F" w:rsidRDefault="00005BBB" w:rsidP="00F06348">
            <w:pPr>
              <w:pStyle w:val="TableText"/>
              <w:spacing w:before="40" w:after="40"/>
              <w:ind w:right="85"/>
              <w:jc w:val="right"/>
              <w:rPr>
                <w:sz w:val="15"/>
                <w:szCs w:val="15"/>
              </w:rPr>
            </w:pPr>
            <w:r w:rsidRPr="00BC0D1F">
              <w:rPr>
                <w:sz w:val="15"/>
                <w:szCs w:val="15"/>
              </w:rPr>
              <w:t>121,928</w:t>
            </w:r>
          </w:p>
        </w:tc>
        <w:tc>
          <w:tcPr>
            <w:tcW w:w="850" w:type="dxa"/>
            <w:tcBorders>
              <w:top w:val="nil"/>
              <w:left w:val="nil"/>
              <w:bottom w:val="nil"/>
              <w:right w:val="nil"/>
            </w:tcBorders>
            <w:shd w:val="clear" w:color="auto" w:fill="auto"/>
          </w:tcPr>
          <w:p w14:paraId="4D91F326" w14:textId="77777777" w:rsidR="00005BBB" w:rsidRPr="00BC0D1F" w:rsidRDefault="00005BBB" w:rsidP="00F06348">
            <w:pPr>
              <w:pStyle w:val="TableText"/>
              <w:spacing w:before="40" w:after="40"/>
              <w:jc w:val="right"/>
              <w:rPr>
                <w:sz w:val="15"/>
                <w:szCs w:val="15"/>
              </w:rPr>
            </w:pPr>
            <w:r w:rsidRPr="00BC0D1F">
              <w:rPr>
                <w:sz w:val="15"/>
                <w:szCs w:val="15"/>
              </w:rPr>
              <w:t>121,511</w:t>
            </w:r>
          </w:p>
        </w:tc>
        <w:tc>
          <w:tcPr>
            <w:tcW w:w="992" w:type="dxa"/>
            <w:tcBorders>
              <w:top w:val="nil"/>
              <w:left w:val="nil"/>
              <w:bottom w:val="nil"/>
              <w:right w:val="nil"/>
            </w:tcBorders>
            <w:shd w:val="clear" w:color="auto" w:fill="auto"/>
          </w:tcPr>
          <w:p w14:paraId="7329E047" w14:textId="77777777" w:rsidR="00005BBB" w:rsidRPr="00BC0D1F" w:rsidRDefault="00005BBB" w:rsidP="00F06348">
            <w:pPr>
              <w:pStyle w:val="TableText"/>
              <w:spacing w:before="40" w:after="40"/>
              <w:jc w:val="right"/>
              <w:rPr>
                <w:sz w:val="15"/>
                <w:szCs w:val="15"/>
              </w:rPr>
            </w:pPr>
            <w:r w:rsidRPr="00BC0D1F">
              <w:rPr>
                <w:sz w:val="15"/>
                <w:szCs w:val="15"/>
              </w:rPr>
              <w:t>121,929</w:t>
            </w:r>
          </w:p>
        </w:tc>
        <w:tc>
          <w:tcPr>
            <w:tcW w:w="1276" w:type="dxa"/>
            <w:tcBorders>
              <w:top w:val="nil"/>
              <w:left w:val="nil"/>
              <w:bottom w:val="nil"/>
              <w:right w:val="nil"/>
            </w:tcBorders>
            <w:shd w:val="clear" w:color="auto" w:fill="auto"/>
          </w:tcPr>
          <w:p w14:paraId="288DFE14" w14:textId="77777777" w:rsidR="00005BBB" w:rsidRPr="00BC0D1F" w:rsidRDefault="00005BBB" w:rsidP="00F06348">
            <w:pPr>
              <w:pStyle w:val="TableText"/>
              <w:spacing w:before="40" w:after="40"/>
              <w:jc w:val="right"/>
              <w:rPr>
                <w:sz w:val="15"/>
                <w:szCs w:val="15"/>
              </w:rPr>
            </w:pPr>
            <w:r w:rsidRPr="00BC0D1F">
              <w:rPr>
                <w:sz w:val="15"/>
                <w:szCs w:val="15"/>
              </w:rPr>
              <w:t>0.80%</w:t>
            </w:r>
          </w:p>
        </w:tc>
        <w:tc>
          <w:tcPr>
            <w:tcW w:w="1276" w:type="dxa"/>
            <w:tcBorders>
              <w:top w:val="nil"/>
              <w:left w:val="nil"/>
              <w:bottom w:val="nil"/>
              <w:right w:val="nil"/>
            </w:tcBorders>
            <w:shd w:val="clear" w:color="auto" w:fill="auto"/>
          </w:tcPr>
          <w:p w14:paraId="6A590986" w14:textId="77777777" w:rsidR="00005BBB" w:rsidRPr="00BC0D1F" w:rsidRDefault="00005BBB" w:rsidP="00F06348">
            <w:pPr>
              <w:pStyle w:val="TableText"/>
              <w:spacing w:before="40" w:after="40"/>
              <w:ind w:left="85"/>
              <w:rPr>
                <w:sz w:val="15"/>
                <w:szCs w:val="15"/>
              </w:rPr>
            </w:pPr>
          </w:p>
        </w:tc>
      </w:tr>
      <w:tr w:rsidR="00810942" w:rsidRPr="00BC0D1F" w14:paraId="57524418" w14:textId="77777777" w:rsidTr="00F06348">
        <w:trPr>
          <w:cantSplit/>
        </w:trPr>
        <w:tc>
          <w:tcPr>
            <w:tcW w:w="993" w:type="dxa"/>
            <w:tcBorders>
              <w:top w:val="nil"/>
              <w:left w:val="nil"/>
              <w:bottom w:val="nil"/>
              <w:right w:val="nil"/>
            </w:tcBorders>
            <w:shd w:val="clear" w:color="auto" w:fill="auto"/>
          </w:tcPr>
          <w:p w14:paraId="4EB2C790" w14:textId="77777777" w:rsidR="00005BBB" w:rsidRPr="00BC0D1F" w:rsidRDefault="00005BBB" w:rsidP="00F06348">
            <w:pPr>
              <w:pStyle w:val="TableText"/>
              <w:spacing w:before="40" w:after="40"/>
              <w:ind w:right="85"/>
              <w:jc w:val="right"/>
              <w:rPr>
                <w:sz w:val="15"/>
                <w:szCs w:val="15"/>
              </w:rPr>
            </w:pPr>
            <w:r w:rsidRPr="00BC0D1F">
              <w:rPr>
                <w:sz w:val="15"/>
                <w:szCs w:val="15"/>
              </w:rPr>
              <w:t>1,268,439</w:t>
            </w:r>
          </w:p>
        </w:tc>
        <w:tc>
          <w:tcPr>
            <w:tcW w:w="2976" w:type="dxa"/>
            <w:gridSpan w:val="2"/>
            <w:tcBorders>
              <w:top w:val="nil"/>
              <w:left w:val="nil"/>
              <w:bottom w:val="nil"/>
              <w:right w:val="nil"/>
            </w:tcBorders>
            <w:shd w:val="clear" w:color="auto" w:fill="auto"/>
          </w:tcPr>
          <w:p w14:paraId="3B9EB4CE" w14:textId="77777777" w:rsidR="00005BBB" w:rsidRPr="00BC0D1F" w:rsidRDefault="00005BBB" w:rsidP="00F06348">
            <w:pPr>
              <w:pStyle w:val="TableText"/>
              <w:spacing w:before="40" w:after="40"/>
              <w:rPr>
                <w:sz w:val="15"/>
                <w:szCs w:val="15"/>
              </w:rPr>
            </w:pPr>
            <w:r w:rsidRPr="00BC0D1F">
              <w:rPr>
                <w:sz w:val="15"/>
                <w:szCs w:val="15"/>
              </w:rPr>
              <w:t>Canterbury DHB</w:t>
            </w:r>
          </w:p>
        </w:tc>
        <w:tc>
          <w:tcPr>
            <w:tcW w:w="993" w:type="dxa"/>
            <w:tcBorders>
              <w:top w:val="nil"/>
              <w:left w:val="nil"/>
              <w:bottom w:val="nil"/>
              <w:right w:val="nil"/>
            </w:tcBorders>
            <w:shd w:val="clear" w:color="auto" w:fill="D9D9D9"/>
          </w:tcPr>
          <w:p w14:paraId="528B2657" w14:textId="77777777" w:rsidR="00005BBB" w:rsidRPr="00BC0D1F" w:rsidRDefault="00005BBB" w:rsidP="00F06348">
            <w:pPr>
              <w:pStyle w:val="TableText"/>
              <w:spacing w:before="40" w:after="40"/>
              <w:ind w:right="85"/>
              <w:jc w:val="right"/>
              <w:rPr>
                <w:sz w:val="15"/>
                <w:szCs w:val="15"/>
              </w:rPr>
            </w:pPr>
            <w:r w:rsidRPr="00BC0D1F">
              <w:rPr>
                <w:sz w:val="15"/>
                <w:szCs w:val="15"/>
              </w:rPr>
              <w:t>1,314,527</w:t>
            </w:r>
          </w:p>
        </w:tc>
        <w:tc>
          <w:tcPr>
            <w:tcW w:w="850" w:type="dxa"/>
            <w:tcBorders>
              <w:top w:val="nil"/>
              <w:left w:val="nil"/>
              <w:bottom w:val="nil"/>
              <w:right w:val="nil"/>
            </w:tcBorders>
            <w:shd w:val="clear" w:color="auto" w:fill="auto"/>
          </w:tcPr>
          <w:p w14:paraId="3F4AB9D6" w14:textId="77777777" w:rsidR="00005BBB" w:rsidRPr="00BC0D1F" w:rsidRDefault="00005BBB" w:rsidP="00F06348">
            <w:pPr>
              <w:pStyle w:val="TableText"/>
              <w:spacing w:before="40" w:after="40"/>
              <w:jc w:val="right"/>
              <w:rPr>
                <w:sz w:val="15"/>
                <w:szCs w:val="15"/>
              </w:rPr>
            </w:pPr>
            <w:r w:rsidRPr="00BC0D1F">
              <w:rPr>
                <w:sz w:val="15"/>
                <w:szCs w:val="15"/>
              </w:rPr>
              <w:t>1,281,426</w:t>
            </w:r>
          </w:p>
        </w:tc>
        <w:tc>
          <w:tcPr>
            <w:tcW w:w="992" w:type="dxa"/>
            <w:tcBorders>
              <w:top w:val="nil"/>
              <w:left w:val="nil"/>
              <w:bottom w:val="nil"/>
              <w:right w:val="nil"/>
            </w:tcBorders>
            <w:shd w:val="clear" w:color="auto" w:fill="auto"/>
          </w:tcPr>
          <w:p w14:paraId="30C8259A" w14:textId="77777777" w:rsidR="00005BBB" w:rsidRPr="00BC0D1F" w:rsidRDefault="00005BBB" w:rsidP="00F06348">
            <w:pPr>
              <w:pStyle w:val="TableText"/>
              <w:spacing w:before="40" w:after="40"/>
              <w:jc w:val="right"/>
              <w:rPr>
                <w:sz w:val="15"/>
                <w:szCs w:val="15"/>
              </w:rPr>
            </w:pPr>
            <w:r w:rsidRPr="00BC0D1F">
              <w:rPr>
                <w:sz w:val="15"/>
                <w:szCs w:val="15"/>
              </w:rPr>
              <w:t>1,317,045</w:t>
            </w:r>
          </w:p>
        </w:tc>
        <w:tc>
          <w:tcPr>
            <w:tcW w:w="1276" w:type="dxa"/>
            <w:tcBorders>
              <w:top w:val="nil"/>
              <w:left w:val="nil"/>
              <w:bottom w:val="nil"/>
              <w:right w:val="nil"/>
            </w:tcBorders>
            <w:shd w:val="clear" w:color="auto" w:fill="auto"/>
          </w:tcPr>
          <w:p w14:paraId="09575D24" w14:textId="77777777" w:rsidR="00005BBB" w:rsidRPr="00BC0D1F" w:rsidRDefault="00005BBB" w:rsidP="00F06348">
            <w:pPr>
              <w:pStyle w:val="TableText"/>
              <w:spacing w:before="40" w:after="40"/>
              <w:jc w:val="right"/>
              <w:rPr>
                <w:sz w:val="15"/>
                <w:szCs w:val="15"/>
              </w:rPr>
            </w:pPr>
            <w:r w:rsidRPr="00BC0D1F">
              <w:rPr>
                <w:sz w:val="15"/>
                <w:szCs w:val="15"/>
              </w:rPr>
              <w:t>8.60%</w:t>
            </w:r>
          </w:p>
        </w:tc>
        <w:tc>
          <w:tcPr>
            <w:tcW w:w="1276" w:type="dxa"/>
            <w:tcBorders>
              <w:top w:val="nil"/>
              <w:left w:val="nil"/>
              <w:bottom w:val="nil"/>
              <w:right w:val="nil"/>
            </w:tcBorders>
            <w:shd w:val="clear" w:color="auto" w:fill="auto"/>
          </w:tcPr>
          <w:p w14:paraId="779CD989" w14:textId="77777777" w:rsidR="00005BBB" w:rsidRPr="00BC0D1F" w:rsidRDefault="00005BBB" w:rsidP="00F06348">
            <w:pPr>
              <w:pStyle w:val="TableText"/>
              <w:spacing w:before="40" w:after="40"/>
              <w:ind w:left="85"/>
              <w:rPr>
                <w:sz w:val="15"/>
                <w:szCs w:val="15"/>
              </w:rPr>
            </w:pPr>
          </w:p>
        </w:tc>
      </w:tr>
      <w:tr w:rsidR="00810942" w:rsidRPr="00BC0D1F" w14:paraId="0A10D497" w14:textId="77777777" w:rsidTr="00F06348">
        <w:trPr>
          <w:cantSplit/>
        </w:trPr>
        <w:tc>
          <w:tcPr>
            <w:tcW w:w="993" w:type="dxa"/>
            <w:tcBorders>
              <w:top w:val="nil"/>
              <w:left w:val="nil"/>
              <w:bottom w:val="nil"/>
              <w:right w:val="nil"/>
            </w:tcBorders>
            <w:shd w:val="clear" w:color="auto" w:fill="auto"/>
          </w:tcPr>
          <w:p w14:paraId="0A0B3925" w14:textId="77777777" w:rsidR="00005BBB" w:rsidRPr="00BC0D1F" w:rsidRDefault="00005BBB" w:rsidP="00F06348">
            <w:pPr>
              <w:pStyle w:val="TableText"/>
              <w:spacing w:before="40" w:after="40"/>
              <w:ind w:right="85"/>
              <w:jc w:val="right"/>
              <w:rPr>
                <w:sz w:val="15"/>
                <w:szCs w:val="15"/>
              </w:rPr>
            </w:pPr>
            <w:r w:rsidRPr="00BC0D1F">
              <w:rPr>
                <w:sz w:val="15"/>
                <w:szCs w:val="15"/>
              </w:rPr>
              <w:t>164,568</w:t>
            </w:r>
          </w:p>
        </w:tc>
        <w:tc>
          <w:tcPr>
            <w:tcW w:w="2976" w:type="dxa"/>
            <w:gridSpan w:val="2"/>
            <w:tcBorders>
              <w:top w:val="nil"/>
              <w:left w:val="nil"/>
              <w:bottom w:val="nil"/>
              <w:right w:val="nil"/>
            </w:tcBorders>
            <w:shd w:val="clear" w:color="auto" w:fill="auto"/>
          </w:tcPr>
          <w:p w14:paraId="6B9BED8C" w14:textId="77777777" w:rsidR="00005BBB" w:rsidRPr="00BC0D1F" w:rsidRDefault="00005BBB" w:rsidP="00F06348">
            <w:pPr>
              <w:pStyle w:val="TableText"/>
              <w:spacing w:before="40" w:after="40"/>
              <w:rPr>
                <w:sz w:val="15"/>
                <w:szCs w:val="15"/>
              </w:rPr>
            </w:pPr>
            <w:r w:rsidRPr="00BC0D1F">
              <w:rPr>
                <w:sz w:val="15"/>
                <w:szCs w:val="15"/>
              </w:rPr>
              <w:t>South Canterbury DHB</w:t>
            </w:r>
          </w:p>
        </w:tc>
        <w:tc>
          <w:tcPr>
            <w:tcW w:w="993" w:type="dxa"/>
            <w:tcBorders>
              <w:top w:val="nil"/>
              <w:left w:val="nil"/>
              <w:bottom w:val="nil"/>
              <w:right w:val="nil"/>
            </w:tcBorders>
            <w:shd w:val="clear" w:color="auto" w:fill="D9D9D9"/>
          </w:tcPr>
          <w:p w14:paraId="57F4FB09" w14:textId="77777777" w:rsidR="00005BBB" w:rsidRPr="00BC0D1F" w:rsidRDefault="00005BBB" w:rsidP="00F06348">
            <w:pPr>
              <w:pStyle w:val="TableText"/>
              <w:spacing w:before="40" w:after="40"/>
              <w:ind w:right="85"/>
              <w:jc w:val="right"/>
              <w:rPr>
                <w:sz w:val="15"/>
                <w:szCs w:val="15"/>
              </w:rPr>
            </w:pPr>
            <w:r w:rsidRPr="00BC0D1F">
              <w:rPr>
                <w:sz w:val="15"/>
                <w:szCs w:val="15"/>
              </w:rPr>
              <w:t>167,795</w:t>
            </w:r>
          </w:p>
        </w:tc>
        <w:tc>
          <w:tcPr>
            <w:tcW w:w="850" w:type="dxa"/>
            <w:tcBorders>
              <w:top w:val="nil"/>
              <w:left w:val="nil"/>
              <w:bottom w:val="nil"/>
              <w:right w:val="nil"/>
            </w:tcBorders>
            <w:shd w:val="clear" w:color="auto" w:fill="auto"/>
          </w:tcPr>
          <w:p w14:paraId="6C4F66C0" w14:textId="77777777" w:rsidR="00005BBB" w:rsidRPr="00BC0D1F" w:rsidRDefault="00005BBB" w:rsidP="00F06348">
            <w:pPr>
              <w:pStyle w:val="TableText"/>
              <w:spacing w:before="40" w:after="40"/>
              <w:jc w:val="right"/>
              <w:rPr>
                <w:sz w:val="15"/>
                <w:szCs w:val="15"/>
              </w:rPr>
            </w:pPr>
            <w:r w:rsidRPr="00BC0D1F">
              <w:rPr>
                <w:sz w:val="15"/>
                <w:szCs w:val="15"/>
              </w:rPr>
              <w:t>167,378</w:t>
            </w:r>
          </w:p>
        </w:tc>
        <w:tc>
          <w:tcPr>
            <w:tcW w:w="992" w:type="dxa"/>
            <w:tcBorders>
              <w:top w:val="nil"/>
              <w:left w:val="nil"/>
              <w:bottom w:val="nil"/>
              <w:right w:val="nil"/>
            </w:tcBorders>
            <w:shd w:val="clear" w:color="auto" w:fill="auto"/>
          </w:tcPr>
          <w:p w14:paraId="3D25D5D3" w14:textId="77777777" w:rsidR="00005BBB" w:rsidRPr="00BC0D1F" w:rsidRDefault="00005BBB" w:rsidP="00F06348">
            <w:pPr>
              <w:pStyle w:val="TableText"/>
              <w:spacing w:before="40" w:after="40"/>
              <w:jc w:val="right"/>
              <w:rPr>
                <w:sz w:val="15"/>
                <w:szCs w:val="15"/>
              </w:rPr>
            </w:pPr>
            <w:r w:rsidRPr="00BC0D1F">
              <w:rPr>
                <w:sz w:val="15"/>
                <w:szCs w:val="15"/>
              </w:rPr>
              <w:t>167,795</w:t>
            </w:r>
          </w:p>
        </w:tc>
        <w:tc>
          <w:tcPr>
            <w:tcW w:w="1276" w:type="dxa"/>
            <w:tcBorders>
              <w:top w:val="nil"/>
              <w:left w:val="nil"/>
              <w:bottom w:val="nil"/>
              <w:right w:val="nil"/>
            </w:tcBorders>
            <w:shd w:val="clear" w:color="auto" w:fill="auto"/>
          </w:tcPr>
          <w:p w14:paraId="6F88E614" w14:textId="77777777" w:rsidR="00005BBB" w:rsidRPr="00BC0D1F" w:rsidRDefault="00005BBB" w:rsidP="00F06348">
            <w:pPr>
              <w:pStyle w:val="TableText"/>
              <w:spacing w:before="40" w:after="40"/>
              <w:jc w:val="right"/>
              <w:rPr>
                <w:sz w:val="15"/>
                <w:szCs w:val="15"/>
              </w:rPr>
            </w:pPr>
            <w:r w:rsidRPr="00BC0D1F">
              <w:rPr>
                <w:sz w:val="15"/>
                <w:szCs w:val="15"/>
              </w:rPr>
              <w:t>1.10%</w:t>
            </w:r>
          </w:p>
        </w:tc>
        <w:tc>
          <w:tcPr>
            <w:tcW w:w="1276" w:type="dxa"/>
            <w:tcBorders>
              <w:top w:val="nil"/>
              <w:left w:val="nil"/>
              <w:bottom w:val="nil"/>
              <w:right w:val="nil"/>
            </w:tcBorders>
            <w:shd w:val="clear" w:color="auto" w:fill="auto"/>
          </w:tcPr>
          <w:p w14:paraId="71EF72B7" w14:textId="77777777" w:rsidR="00005BBB" w:rsidRPr="00BC0D1F" w:rsidRDefault="00005BBB" w:rsidP="00F06348">
            <w:pPr>
              <w:pStyle w:val="TableText"/>
              <w:spacing w:before="40" w:after="40"/>
              <w:ind w:left="85"/>
              <w:rPr>
                <w:sz w:val="15"/>
                <w:szCs w:val="15"/>
              </w:rPr>
            </w:pPr>
          </w:p>
        </w:tc>
      </w:tr>
      <w:tr w:rsidR="00810942" w:rsidRPr="00BC0D1F" w14:paraId="5AC97BF6" w14:textId="77777777" w:rsidTr="00F06348">
        <w:trPr>
          <w:cantSplit/>
        </w:trPr>
        <w:tc>
          <w:tcPr>
            <w:tcW w:w="993" w:type="dxa"/>
            <w:tcBorders>
              <w:top w:val="nil"/>
              <w:left w:val="nil"/>
              <w:bottom w:val="nil"/>
              <w:right w:val="nil"/>
            </w:tcBorders>
            <w:shd w:val="clear" w:color="auto" w:fill="auto"/>
          </w:tcPr>
          <w:p w14:paraId="42B84CF1" w14:textId="77777777" w:rsidR="00005BBB" w:rsidRPr="00BC0D1F" w:rsidRDefault="00005BBB" w:rsidP="00F06348">
            <w:pPr>
              <w:pStyle w:val="TableText"/>
              <w:spacing w:before="40" w:after="40"/>
              <w:ind w:right="85"/>
              <w:jc w:val="right"/>
              <w:rPr>
                <w:sz w:val="15"/>
                <w:szCs w:val="15"/>
              </w:rPr>
            </w:pPr>
            <w:r w:rsidRPr="00BC0D1F">
              <w:rPr>
                <w:sz w:val="15"/>
                <w:szCs w:val="15"/>
              </w:rPr>
              <w:t>776,461</w:t>
            </w:r>
          </w:p>
        </w:tc>
        <w:tc>
          <w:tcPr>
            <w:tcW w:w="2976" w:type="dxa"/>
            <w:gridSpan w:val="2"/>
            <w:tcBorders>
              <w:top w:val="nil"/>
              <w:left w:val="nil"/>
              <w:bottom w:val="nil"/>
              <w:right w:val="nil"/>
            </w:tcBorders>
            <w:shd w:val="clear" w:color="auto" w:fill="auto"/>
          </w:tcPr>
          <w:p w14:paraId="336C9A36" w14:textId="77777777" w:rsidR="00005BBB" w:rsidRPr="00BC0D1F" w:rsidRDefault="00005BBB" w:rsidP="00F06348">
            <w:pPr>
              <w:pStyle w:val="TableText"/>
              <w:spacing w:before="40" w:after="40"/>
              <w:rPr>
                <w:sz w:val="15"/>
                <w:szCs w:val="15"/>
              </w:rPr>
            </w:pPr>
            <w:r w:rsidRPr="00BC0D1F">
              <w:rPr>
                <w:sz w:val="15"/>
                <w:szCs w:val="15"/>
              </w:rPr>
              <w:t>Southern DHB</w:t>
            </w:r>
          </w:p>
        </w:tc>
        <w:tc>
          <w:tcPr>
            <w:tcW w:w="993" w:type="dxa"/>
            <w:tcBorders>
              <w:top w:val="nil"/>
              <w:left w:val="nil"/>
              <w:bottom w:val="nil"/>
              <w:right w:val="nil"/>
            </w:tcBorders>
            <w:shd w:val="clear" w:color="auto" w:fill="D9D9D9"/>
          </w:tcPr>
          <w:p w14:paraId="6864C93B" w14:textId="77777777" w:rsidR="00005BBB" w:rsidRPr="00BC0D1F" w:rsidRDefault="00005BBB" w:rsidP="00F06348">
            <w:pPr>
              <w:pStyle w:val="TableText"/>
              <w:spacing w:before="40" w:after="40"/>
              <w:ind w:right="85"/>
              <w:jc w:val="right"/>
              <w:rPr>
                <w:sz w:val="15"/>
                <w:szCs w:val="15"/>
              </w:rPr>
            </w:pPr>
            <w:r w:rsidRPr="00BC0D1F">
              <w:rPr>
                <w:sz w:val="15"/>
                <w:szCs w:val="15"/>
              </w:rPr>
              <w:t>791,729</w:t>
            </w:r>
          </w:p>
        </w:tc>
        <w:tc>
          <w:tcPr>
            <w:tcW w:w="850" w:type="dxa"/>
            <w:tcBorders>
              <w:top w:val="nil"/>
              <w:left w:val="nil"/>
              <w:bottom w:val="nil"/>
              <w:right w:val="nil"/>
            </w:tcBorders>
            <w:shd w:val="clear" w:color="auto" w:fill="auto"/>
          </w:tcPr>
          <w:p w14:paraId="7D88BE70" w14:textId="77777777" w:rsidR="00005BBB" w:rsidRPr="00BC0D1F" w:rsidRDefault="00005BBB" w:rsidP="00F06348">
            <w:pPr>
              <w:pStyle w:val="TableText"/>
              <w:spacing w:before="40" w:after="40"/>
              <w:jc w:val="right"/>
              <w:rPr>
                <w:sz w:val="15"/>
                <w:szCs w:val="15"/>
              </w:rPr>
            </w:pPr>
            <w:r w:rsidRPr="00BC0D1F">
              <w:rPr>
                <w:sz w:val="15"/>
                <w:szCs w:val="15"/>
              </w:rPr>
              <w:t>789,623</w:t>
            </w:r>
          </w:p>
        </w:tc>
        <w:tc>
          <w:tcPr>
            <w:tcW w:w="992" w:type="dxa"/>
            <w:tcBorders>
              <w:top w:val="nil"/>
              <w:left w:val="nil"/>
              <w:bottom w:val="nil"/>
              <w:right w:val="nil"/>
            </w:tcBorders>
            <w:shd w:val="clear" w:color="auto" w:fill="auto"/>
          </w:tcPr>
          <w:p w14:paraId="01FEBF02" w14:textId="77777777" w:rsidR="00005BBB" w:rsidRPr="00BC0D1F" w:rsidRDefault="00005BBB" w:rsidP="00F06348">
            <w:pPr>
              <w:pStyle w:val="TableText"/>
              <w:spacing w:before="40" w:after="40"/>
              <w:jc w:val="right"/>
              <w:rPr>
                <w:sz w:val="15"/>
                <w:szCs w:val="15"/>
              </w:rPr>
            </w:pPr>
            <w:r w:rsidRPr="00BC0D1F">
              <w:rPr>
                <w:sz w:val="15"/>
                <w:szCs w:val="15"/>
              </w:rPr>
              <w:t>791,730</w:t>
            </w:r>
          </w:p>
        </w:tc>
        <w:tc>
          <w:tcPr>
            <w:tcW w:w="1276" w:type="dxa"/>
            <w:tcBorders>
              <w:top w:val="nil"/>
              <w:left w:val="nil"/>
              <w:bottom w:val="nil"/>
              <w:right w:val="nil"/>
            </w:tcBorders>
            <w:shd w:val="clear" w:color="auto" w:fill="auto"/>
          </w:tcPr>
          <w:p w14:paraId="24F26DFE" w14:textId="77777777" w:rsidR="00005BBB" w:rsidRPr="00BC0D1F" w:rsidRDefault="00005BBB" w:rsidP="00F06348">
            <w:pPr>
              <w:pStyle w:val="TableText"/>
              <w:spacing w:before="40" w:after="40"/>
              <w:jc w:val="right"/>
              <w:rPr>
                <w:sz w:val="15"/>
                <w:szCs w:val="15"/>
              </w:rPr>
            </w:pPr>
            <w:r w:rsidRPr="00BC0D1F">
              <w:rPr>
                <w:sz w:val="15"/>
                <w:szCs w:val="15"/>
              </w:rPr>
              <w:t>5.18%</w:t>
            </w:r>
          </w:p>
        </w:tc>
        <w:tc>
          <w:tcPr>
            <w:tcW w:w="1276" w:type="dxa"/>
            <w:tcBorders>
              <w:top w:val="nil"/>
              <w:left w:val="nil"/>
              <w:bottom w:val="nil"/>
              <w:right w:val="nil"/>
            </w:tcBorders>
            <w:shd w:val="clear" w:color="auto" w:fill="auto"/>
          </w:tcPr>
          <w:p w14:paraId="037280F2" w14:textId="77777777" w:rsidR="00005BBB" w:rsidRPr="00BC0D1F" w:rsidRDefault="00005BBB" w:rsidP="00F06348">
            <w:pPr>
              <w:pStyle w:val="TableText"/>
              <w:spacing w:before="40" w:after="40"/>
              <w:ind w:left="85"/>
              <w:rPr>
                <w:sz w:val="15"/>
                <w:szCs w:val="15"/>
              </w:rPr>
            </w:pPr>
          </w:p>
        </w:tc>
      </w:tr>
      <w:tr w:rsidR="00810942" w:rsidRPr="00BC0D1F" w14:paraId="002E81CD" w14:textId="77777777" w:rsidTr="00F06348">
        <w:trPr>
          <w:cantSplit/>
        </w:trPr>
        <w:tc>
          <w:tcPr>
            <w:tcW w:w="993" w:type="dxa"/>
            <w:tcBorders>
              <w:top w:val="nil"/>
              <w:left w:val="nil"/>
              <w:bottom w:val="single" w:sz="4" w:space="0" w:color="A6A6A6"/>
              <w:right w:val="nil"/>
            </w:tcBorders>
            <w:shd w:val="clear" w:color="auto" w:fill="auto"/>
          </w:tcPr>
          <w:p w14:paraId="7EA5611C" w14:textId="77777777" w:rsidR="00D60822" w:rsidRPr="00BC0D1F" w:rsidRDefault="00D60822" w:rsidP="00F06348">
            <w:pPr>
              <w:pStyle w:val="TableText"/>
              <w:spacing w:before="40" w:after="40"/>
              <w:ind w:right="85"/>
              <w:jc w:val="right"/>
              <w:rPr>
                <w:b/>
                <w:sz w:val="15"/>
                <w:szCs w:val="15"/>
              </w:rPr>
            </w:pPr>
            <w:r w:rsidRPr="00BC0D1F">
              <w:rPr>
                <w:b/>
                <w:sz w:val="15"/>
                <w:szCs w:val="15"/>
              </w:rPr>
              <w:t>11,444,185</w:t>
            </w:r>
          </w:p>
        </w:tc>
        <w:tc>
          <w:tcPr>
            <w:tcW w:w="2976" w:type="dxa"/>
            <w:gridSpan w:val="2"/>
            <w:tcBorders>
              <w:top w:val="nil"/>
              <w:left w:val="nil"/>
              <w:bottom w:val="single" w:sz="4" w:space="0" w:color="A6A6A6"/>
              <w:right w:val="nil"/>
            </w:tcBorders>
            <w:shd w:val="clear" w:color="auto" w:fill="auto"/>
          </w:tcPr>
          <w:p w14:paraId="298B59B9" w14:textId="77777777" w:rsidR="00D60822" w:rsidRPr="00BC0D1F" w:rsidRDefault="00D60822" w:rsidP="00F06348">
            <w:pPr>
              <w:pStyle w:val="TableText"/>
              <w:spacing w:before="40" w:after="40"/>
              <w:rPr>
                <w:b/>
                <w:sz w:val="15"/>
                <w:szCs w:val="15"/>
              </w:rPr>
            </w:pPr>
            <w:r w:rsidRPr="00BC0D1F">
              <w:rPr>
                <w:b/>
                <w:sz w:val="15"/>
                <w:szCs w:val="15"/>
              </w:rPr>
              <w:t>Total health and disability support services for District Health Boards</w:t>
            </w:r>
          </w:p>
        </w:tc>
        <w:tc>
          <w:tcPr>
            <w:tcW w:w="993" w:type="dxa"/>
            <w:tcBorders>
              <w:top w:val="nil"/>
              <w:left w:val="nil"/>
              <w:bottom w:val="single" w:sz="4" w:space="0" w:color="A6A6A6"/>
              <w:right w:val="nil"/>
            </w:tcBorders>
            <w:shd w:val="clear" w:color="auto" w:fill="D9D9D9"/>
          </w:tcPr>
          <w:p w14:paraId="61FDCD12" w14:textId="77777777" w:rsidR="00D60822" w:rsidRPr="00BC0D1F" w:rsidRDefault="00D60822" w:rsidP="00F06348">
            <w:pPr>
              <w:pStyle w:val="TableText"/>
              <w:spacing w:before="40" w:after="40"/>
              <w:ind w:right="85"/>
              <w:jc w:val="right"/>
              <w:rPr>
                <w:b/>
                <w:sz w:val="15"/>
                <w:szCs w:val="15"/>
              </w:rPr>
            </w:pPr>
            <w:r w:rsidRPr="00BC0D1F">
              <w:rPr>
                <w:b/>
                <w:sz w:val="15"/>
                <w:szCs w:val="15"/>
              </w:rPr>
              <w:t>11,791,121</w:t>
            </w:r>
          </w:p>
        </w:tc>
        <w:tc>
          <w:tcPr>
            <w:tcW w:w="850" w:type="dxa"/>
            <w:tcBorders>
              <w:top w:val="nil"/>
              <w:left w:val="nil"/>
              <w:bottom w:val="single" w:sz="4" w:space="0" w:color="A6A6A6"/>
              <w:right w:val="nil"/>
            </w:tcBorders>
            <w:shd w:val="clear" w:color="auto" w:fill="auto"/>
          </w:tcPr>
          <w:p w14:paraId="60B11496" w14:textId="77777777" w:rsidR="00D60822" w:rsidRPr="00BC0D1F" w:rsidRDefault="00D60822" w:rsidP="00F06348">
            <w:pPr>
              <w:pStyle w:val="TableText"/>
              <w:spacing w:before="40" w:after="40"/>
              <w:jc w:val="right"/>
              <w:rPr>
                <w:b/>
                <w:sz w:val="15"/>
                <w:szCs w:val="15"/>
              </w:rPr>
            </w:pPr>
            <w:r w:rsidRPr="00BC0D1F">
              <w:rPr>
                <w:b/>
                <w:sz w:val="15"/>
                <w:szCs w:val="15"/>
              </w:rPr>
              <w:t>11,719,827</w:t>
            </w:r>
          </w:p>
        </w:tc>
        <w:tc>
          <w:tcPr>
            <w:tcW w:w="992" w:type="dxa"/>
            <w:tcBorders>
              <w:top w:val="nil"/>
              <w:left w:val="nil"/>
              <w:bottom w:val="single" w:sz="4" w:space="0" w:color="A6A6A6"/>
              <w:right w:val="nil"/>
            </w:tcBorders>
            <w:shd w:val="clear" w:color="auto" w:fill="auto"/>
          </w:tcPr>
          <w:p w14:paraId="046FB1A9" w14:textId="77777777" w:rsidR="00D60822" w:rsidRPr="00BC0D1F" w:rsidRDefault="00D60822" w:rsidP="00F06348">
            <w:pPr>
              <w:pStyle w:val="TableText"/>
              <w:spacing w:before="40" w:after="40"/>
              <w:jc w:val="right"/>
              <w:rPr>
                <w:b/>
                <w:sz w:val="15"/>
                <w:szCs w:val="15"/>
              </w:rPr>
            </w:pPr>
            <w:r w:rsidRPr="00BC0D1F">
              <w:rPr>
                <w:b/>
                <w:sz w:val="15"/>
                <w:szCs w:val="15"/>
              </w:rPr>
              <w:t>11,797,847</w:t>
            </w:r>
          </w:p>
        </w:tc>
        <w:tc>
          <w:tcPr>
            <w:tcW w:w="1276" w:type="dxa"/>
            <w:tcBorders>
              <w:top w:val="nil"/>
              <w:left w:val="nil"/>
              <w:bottom w:val="single" w:sz="4" w:space="0" w:color="A6A6A6"/>
              <w:right w:val="nil"/>
            </w:tcBorders>
            <w:shd w:val="clear" w:color="auto" w:fill="auto"/>
          </w:tcPr>
          <w:p w14:paraId="4BFF5AD7" w14:textId="77777777" w:rsidR="00D60822" w:rsidRPr="00BC0D1F" w:rsidRDefault="00D60822" w:rsidP="00F06348">
            <w:pPr>
              <w:pStyle w:val="TableText"/>
              <w:spacing w:before="40" w:after="40"/>
              <w:jc w:val="right"/>
              <w:rPr>
                <w:b/>
                <w:sz w:val="15"/>
                <w:szCs w:val="15"/>
              </w:rPr>
            </w:pPr>
            <w:r w:rsidRPr="00BC0D1F">
              <w:rPr>
                <w:b/>
                <w:sz w:val="15"/>
                <w:szCs w:val="15"/>
              </w:rPr>
              <w:t>77.11%</w:t>
            </w:r>
          </w:p>
        </w:tc>
        <w:tc>
          <w:tcPr>
            <w:tcW w:w="1276" w:type="dxa"/>
            <w:tcBorders>
              <w:top w:val="nil"/>
              <w:left w:val="nil"/>
              <w:bottom w:val="single" w:sz="4" w:space="0" w:color="A6A6A6"/>
              <w:right w:val="nil"/>
            </w:tcBorders>
            <w:shd w:val="clear" w:color="auto" w:fill="auto"/>
          </w:tcPr>
          <w:p w14:paraId="1E4CB7A9" w14:textId="77777777" w:rsidR="00D60822" w:rsidRPr="00BC0D1F" w:rsidRDefault="00D60822" w:rsidP="00F06348">
            <w:pPr>
              <w:pStyle w:val="TableText"/>
              <w:spacing w:before="40" w:after="40"/>
              <w:ind w:left="85"/>
              <w:rPr>
                <w:b/>
                <w:sz w:val="15"/>
                <w:szCs w:val="15"/>
              </w:rPr>
            </w:pPr>
          </w:p>
        </w:tc>
      </w:tr>
      <w:tr w:rsidR="00810942" w:rsidRPr="00BC0D1F" w14:paraId="63CDD881" w14:textId="77777777" w:rsidTr="00F06348">
        <w:trPr>
          <w:cantSplit/>
        </w:trPr>
        <w:tc>
          <w:tcPr>
            <w:tcW w:w="993" w:type="dxa"/>
            <w:tcBorders>
              <w:top w:val="single" w:sz="4" w:space="0" w:color="A6A6A6"/>
              <w:left w:val="nil"/>
              <w:bottom w:val="nil"/>
              <w:right w:val="nil"/>
            </w:tcBorders>
            <w:shd w:val="clear" w:color="auto" w:fill="auto"/>
          </w:tcPr>
          <w:p w14:paraId="133639D1" w14:textId="77777777" w:rsidR="00D60822" w:rsidRPr="00BC0D1F" w:rsidRDefault="00D60822" w:rsidP="00F06348">
            <w:pPr>
              <w:pStyle w:val="TableText"/>
              <w:spacing w:before="40" w:after="40"/>
              <w:ind w:right="85"/>
              <w:jc w:val="right"/>
              <w:rPr>
                <w:sz w:val="15"/>
                <w:szCs w:val="15"/>
              </w:rPr>
            </w:pPr>
            <w:r w:rsidRPr="00BC0D1F">
              <w:rPr>
                <w:sz w:val="15"/>
                <w:szCs w:val="15"/>
              </w:rPr>
              <w:t>1,126,061</w:t>
            </w:r>
          </w:p>
        </w:tc>
        <w:tc>
          <w:tcPr>
            <w:tcW w:w="2551" w:type="dxa"/>
            <w:tcBorders>
              <w:top w:val="single" w:sz="4" w:space="0" w:color="A6A6A6"/>
              <w:left w:val="nil"/>
              <w:bottom w:val="nil"/>
              <w:right w:val="nil"/>
            </w:tcBorders>
            <w:shd w:val="clear" w:color="auto" w:fill="auto"/>
          </w:tcPr>
          <w:p w14:paraId="2254BE14" w14:textId="77777777" w:rsidR="00D60822" w:rsidRPr="00BC0D1F" w:rsidRDefault="00D60822" w:rsidP="00F06348">
            <w:pPr>
              <w:pStyle w:val="TableText"/>
              <w:spacing w:before="40" w:after="40"/>
              <w:rPr>
                <w:sz w:val="15"/>
                <w:szCs w:val="15"/>
              </w:rPr>
            </w:pPr>
            <w:r w:rsidRPr="00BC0D1F">
              <w:rPr>
                <w:sz w:val="15"/>
                <w:szCs w:val="15"/>
              </w:rPr>
              <w:t>National disability support services</w:t>
            </w:r>
          </w:p>
        </w:tc>
        <w:tc>
          <w:tcPr>
            <w:tcW w:w="425" w:type="dxa"/>
            <w:tcBorders>
              <w:top w:val="single" w:sz="4" w:space="0" w:color="A6A6A6"/>
              <w:left w:val="nil"/>
              <w:bottom w:val="nil"/>
              <w:right w:val="nil"/>
            </w:tcBorders>
            <w:shd w:val="clear" w:color="auto" w:fill="auto"/>
          </w:tcPr>
          <w:p w14:paraId="280CBB1F" w14:textId="77777777" w:rsidR="00D60822" w:rsidRPr="00BC0D1F" w:rsidRDefault="00D60822" w:rsidP="00F06348">
            <w:pPr>
              <w:pStyle w:val="TableText"/>
              <w:spacing w:before="40" w:after="40"/>
              <w:jc w:val="center"/>
              <w:rPr>
                <w:sz w:val="15"/>
                <w:szCs w:val="15"/>
              </w:rPr>
            </w:pPr>
            <w:r w:rsidRPr="00BC0D1F">
              <w:rPr>
                <w:sz w:val="15"/>
                <w:szCs w:val="15"/>
              </w:rPr>
              <w:t>2.1</w:t>
            </w:r>
          </w:p>
        </w:tc>
        <w:tc>
          <w:tcPr>
            <w:tcW w:w="993" w:type="dxa"/>
            <w:tcBorders>
              <w:top w:val="single" w:sz="4" w:space="0" w:color="A6A6A6"/>
              <w:left w:val="nil"/>
              <w:bottom w:val="nil"/>
              <w:right w:val="nil"/>
            </w:tcBorders>
            <w:shd w:val="clear" w:color="auto" w:fill="D9D9D9"/>
          </w:tcPr>
          <w:p w14:paraId="0B73669D" w14:textId="77777777" w:rsidR="00D60822" w:rsidRPr="00BC0D1F" w:rsidRDefault="00D60822" w:rsidP="00F06348">
            <w:pPr>
              <w:pStyle w:val="TableText"/>
              <w:spacing w:before="40" w:after="40"/>
              <w:ind w:right="85"/>
              <w:jc w:val="right"/>
              <w:rPr>
                <w:sz w:val="15"/>
                <w:szCs w:val="15"/>
              </w:rPr>
            </w:pPr>
            <w:r w:rsidRPr="00BC0D1F">
              <w:rPr>
                <w:sz w:val="15"/>
                <w:szCs w:val="15"/>
              </w:rPr>
              <w:t>1,167,483</w:t>
            </w:r>
          </w:p>
        </w:tc>
        <w:tc>
          <w:tcPr>
            <w:tcW w:w="850" w:type="dxa"/>
            <w:tcBorders>
              <w:top w:val="single" w:sz="4" w:space="0" w:color="A6A6A6"/>
              <w:left w:val="nil"/>
              <w:bottom w:val="nil"/>
              <w:right w:val="nil"/>
            </w:tcBorders>
            <w:shd w:val="clear" w:color="auto" w:fill="auto"/>
          </w:tcPr>
          <w:p w14:paraId="65343A0C" w14:textId="77777777" w:rsidR="00D60822" w:rsidRPr="00BC0D1F" w:rsidRDefault="00D60822" w:rsidP="00F06348">
            <w:pPr>
              <w:pStyle w:val="TableText"/>
              <w:spacing w:before="40" w:after="40"/>
              <w:jc w:val="right"/>
              <w:rPr>
                <w:sz w:val="15"/>
                <w:szCs w:val="15"/>
              </w:rPr>
            </w:pPr>
            <w:r w:rsidRPr="00BC0D1F">
              <w:rPr>
                <w:sz w:val="15"/>
                <w:szCs w:val="15"/>
              </w:rPr>
              <w:t>1,158,113</w:t>
            </w:r>
          </w:p>
        </w:tc>
        <w:tc>
          <w:tcPr>
            <w:tcW w:w="992" w:type="dxa"/>
            <w:tcBorders>
              <w:top w:val="single" w:sz="4" w:space="0" w:color="A6A6A6"/>
              <w:left w:val="nil"/>
              <w:bottom w:val="nil"/>
              <w:right w:val="nil"/>
            </w:tcBorders>
            <w:shd w:val="clear" w:color="auto" w:fill="auto"/>
          </w:tcPr>
          <w:p w14:paraId="1FA3D439" w14:textId="77777777" w:rsidR="00D60822" w:rsidRPr="00BC0D1F" w:rsidRDefault="00D60822" w:rsidP="00F06348">
            <w:pPr>
              <w:pStyle w:val="TableText"/>
              <w:spacing w:before="40" w:after="40"/>
              <w:jc w:val="right"/>
              <w:rPr>
                <w:sz w:val="15"/>
                <w:szCs w:val="15"/>
              </w:rPr>
            </w:pPr>
            <w:r w:rsidRPr="00BC0D1F">
              <w:rPr>
                <w:sz w:val="15"/>
                <w:szCs w:val="15"/>
              </w:rPr>
              <w:t>1,167,968</w:t>
            </w:r>
          </w:p>
        </w:tc>
        <w:tc>
          <w:tcPr>
            <w:tcW w:w="1276" w:type="dxa"/>
            <w:tcBorders>
              <w:top w:val="single" w:sz="4" w:space="0" w:color="A6A6A6"/>
              <w:left w:val="nil"/>
              <w:bottom w:val="nil"/>
              <w:right w:val="nil"/>
            </w:tcBorders>
            <w:shd w:val="clear" w:color="auto" w:fill="auto"/>
          </w:tcPr>
          <w:p w14:paraId="6B115DD4" w14:textId="26F1AED0" w:rsidR="00D60822" w:rsidRPr="00BC0D1F" w:rsidRDefault="00D60822" w:rsidP="005D78F1">
            <w:pPr>
              <w:pStyle w:val="TableText"/>
              <w:spacing w:before="40" w:after="40"/>
              <w:jc w:val="right"/>
              <w:rPr>
                <w:sz w:val="15"/>
                <w:szCs w:val="15"/>
              </w:rPr>
            </w:pPr>
            <w:r w:rsidRPr="00BC0D1F">
              <w:rPr>
                <w:sz w:val="15"/>
                <w:szCs w:val="15"/>
              </w:rPr>
              <w:t>7.6</w:t>
            </w:r>
            <w:r w:rsidR="005D78F1">
              <w:rPr>
                <w:sz w:val="15"/>
                <w:szCs w:val="15"/>
              </w:rPr>
              <w:t>4</w:t>
            </w:r>
            <w:r w:rsidRPr="00BC0D1F">
              <w:rPr>
                <w:sz w:val="15"/>
                <w:szCs w:val="15"/>
              </w:rPr>
              <w:t>%</w:t>
            </w:r>
          </w:p>
        </w:tc>
        <w:tc>
          <w:tcPr>
            <w:tcW w:w="1276" w:type="dxa"/>
            <w:tcBorders>
              <w:top w:val="single" w:sz="4" w:space="0" w:color="A6A6A6"/>
              <w:left w:val="nil"/>
              <w:bottom w:val="nil"/>
              <w:right w:val="nil"/>
            </w:tcBorders>
            <w:shd w:val="clear" w:color="auto" w:fill="auto"/>
          </w:tcPr>
          <w:p w14:paraId="14498707" w14:textId="3890BE2E" w:rsidR="00D60822" w:rsidRPr="00BC0D1F" w:rsidRDefault="00D60822" w:rsidP="00F06348">
            <w:pPr>
              <w:pStyle w:val="TableText"/>
              <w:spacing w:before="40" w:after="40"/>
              <w:ind w:left="85"/>
              <w:rPr>
                <w:sz w:val="15"/>
                <w:szCs w:val="15"/>
              </w:rPr>
            </w:pPr>
          </w:p>
        </w:tc>
      </w:tr>
      <w:tr w:rsidR="00810942" w:rsidRPr="00BC0D1F" w14:paraId="574FADF0" w14:textId="77777777" w:rsidTr="00F06348">
        <w:trPr>
          <w:cantSplit/>
        </w:trPr>
        <w:tc>
          <w:tcPr>
            <w:tcW w:w="993" w:type="dxa"/>
            <w:tcBorders>
              <w:top w:val="nil"/>
              <w:left w:val="nil"/>
              <w:bottom w:val="nil"/>
              <w:right w:val="nil"/>
            </w:tcBorders>
            <w:shd w:val="clear" w:color="auto" w:fill="auto"/>
          </w:tcPr>
          <w:p w14:paraId="6AF7B935" w14:textId="77777777" w:rsidR="00D60822" w:rsidRPr="00BC0D1F" w:rsidRDefault="00D60822" w:rsidP="00F06348">
            <w:pPr>
              <w:pStyle w:val="TableText"/>
              <w:spacing w:before="40" w:after="40"/>
              <w:ind w:right="85"/>
              <w:jc w:val="right"/>
              <w:rPr>
                <w:sz w:val="15"/>
                <w:szCs w:val="15"/>
              </w:rPr>
            </w:pPr>
            <w:r w:rsidRPr="00BC0D1F">
              <w:rPr>
                <w:sz w:val="15"/>
                <w:szCs w:val="15"/>
              </w:rPr>
              <w:t>396,571</w:t>
            </w:r>
          </w:p>
        </w:tc>
        <w:tc>
          <w:tcPr>
            <w:tcW w:w="2551" w:type="dxa"/>
            <w:tcBorders>
              <w:top w:val="nil"/>
              <w:left w:val="nil"/>
              <w:bottom w:val="nil"/>
              <w:right w:val="nil"/>
            </w:tcBorders>
            <w:shd w:val="clear" w:color="auto" w:fill="auto"/>
          </w:tcPr>
          <w:p w14:paraId="3C89191F" w14:textId="77777777" w:rsidR="00D60822" w:rsidRPr="00BC0D1F" w:rsidRDefault="00D60822" w:rsidP="00F06348">
            <w:pPr>
              <w:pStyle w:val="TableText"/>
              <w:spacing w:before="40" w:after="40"/>
              <w:rPr>
                <w:sz w:val="15"/>
                <w:szCs w:val="15"/>
              </w:rPr>
            </w:pPr>
            <w:r w:rsidRPr="00BC0D1F">
              <w:rPr>
                <w:sz w:val="15"/>
                <w:szCs w:val="15"/>
              </w:rPr>
              <w:t>Public health services purchasing</w:t>
            </w:r>
          </w:p>
        </w:tc>
        <w:tc>
          <w:tcPr>
            <w:tcW w:w="425" w:type="dxa"/>
            <w:tcBorders>
              <w:top w:val="nil"/>
              <w:left w:val="nil"/>
              <w:bottom w:val="nil"/>
              <w:right w:val="nil"/>
            </w:tcBorders>
            <w:shd w:val="clear" w:color="auto" w:fill="auto"/>
          </w:tcPr>
          <w:p w14:paraId="72957F45" w14:textId="77777777" w:rsidR="00D60822" w:rsidRPr="00BC0D1F" w:rsidRDefault="00D60822" w:rsidP="00F06348">
            <w:pPr>
              <w:pStyle w:val="TableText"/>
              <w:spacing w:before="40" w:after="40"/>
              <w:jc w:val="center"/>
              <w:rPr>
                <w:sz w:val="15"/>
                <w:szCs w:val="15"/>
              </w:rPr>
            </w:pPr>
            <w:r w:rsidRPr="00BC0D1F">
              <w:rPr>
                <w:sz w:val="15"/>
                <w:szCs w:val="15"/>
              </w:rPr>
              <w:t>2.2</w:t>
            </w:r>
          </w:p>
        </w:tc>
        <w:tc>
          <w:tcPr>
            <w:tcW w:w="993" w:type="dxa"/>
            <w:tcBorders>
              <w:top w:val="nil"/>
              <w:left w:val="nil"/>
              <w:bottom w:val="nil"/>
              <w:right w:val="nil"/>
            </w:tcBorders>
            <w:shd w:val="clear" w:color="auto" w:fill="D9D9D9"/>
          </w:tcPr>
          <w:p w14:paraId="6C405F11" w14:textId="77777777" w:rsidR="00D60822" w:rsidRPr="00BC0D1F" w:rsidRDefault="00D60822" w:rsidP="00F06348">
            <w:pPr>
              <w:pStyle w:val="TableText"/>
              <w:spacing w:before="40" w:after="40"/>
              <w:ind w:right="85"/>
              <w:jc w:val="right"/>
              <w:rPr>
                <w:sz w:val="15"/>
                <w:szCs w:val="15"/>
              </w:rPr>
            </w:pPr>
            <w:r w:rsidRPr="00BC0D1F">
              <w:rPr>
                <w:sz w:val="15"/>
                <w:szCs w:val="15"/>
              </w:rPr>
              <w:t>372,112</w:t>
            </w:r>
          </w:p>
        </w:tc>
        <w:tc>
          <w:tcPr>
            <w:tcW w:w="850" w:type="dxa"/>
            <w:tcBorders>
              <w:top w:val="nil"/>
              <w:left w:val="nil"/>
              <w:bottom w:val="nil"/>
              <w:right w:val="nil"/>
            </w:tcBorders>
            <w:shd w:val="clear" w:color="auto" w:fill="auto"/>
          </w:tcPr>
          <w:p w14:paraId="7C8C09AE" w14:textId="77777777" w:rsidR="00D60822" w:rsidRPr="00BC0D1F" w:rsidRDefault="00D60822" w:rsidP="00F06348">
            <w:pPr>
              <w:pStyle w:val="TableText"/>
              <w:spacing w:before="40" w:after="40"/>
              <w:jc w:val="right"/>
              <w:rPr>
                <w:sz w:val="15"/>
                <w:szCs w:val="15"/>
              </w:rPr>
            </w:pPr>
            <w:r w:rsidRPr="00BC0D1F">
              <w:rPr>
                <w:sz w:val="15"/>
                <w:szCs w:val="15"/>
              </w:rPr>
              <w:t>427,491</w:t>
            </w:r>
          </w:p>
        </w:tc>
        <w:tc>
          <w:tcPr>
            <w:tcW w:w="992" w:type="dxa"/>
            <w:tcBorders>
              <w:top w:val="nil"/>
              <w:left w:val="nil"/>
              <w:bottom w:val="nil"/>
              <w:right w:val="nil"/>
            </w:tcBorders>
            <w:shd w:val="clear" w:color="auto" w:fill="auto"/>
          </w:tcPr>
          <w:p w14:paraId="235C57D1" w14:textId="77777777" w:rsidR="00D60822" w:rsidRPr="00BC0D1F" w:rsidRDefault="00D60822" w:rsidP="00F06348">
            <w:pPr>
              <w:pStyle w:val="TableText"/>
              <w:spacing w:before="40" w:after="40"/>
              <w:jc w:val="right"/>
              <w:rPr>
                <w:sz w:val="15"/>
                <w:szCs w:val="15"/>
              </w:rPr>
            </w:pPr>
            <w:r w:rsidRPr="00BC0D1F">
              <w:rPr>
                <w:sz w:val="15"/>
                <w:szCs w:val="15"/>
              </w:rPr>
              <w:t>376,602</w:t>
            </w:r>
          </w:p>
        </w:tc>
        <w:tc>
          <w:tcPr>
            <w:tcW w:w="1276" w:type="dxa"/>
            <w:tcBorders>
              <w:top w:val="nil"/>
              <w:left w:val="nil"/>
              <w:bottom w:val="nil"/>
              <w:right w:val="nil"/>
            </w:tcBorders>
            <w:shd w:val="clear" w:color="auto" w:fill="auto"/>
          </w:tcPr>
          <w:p w14:paraId="28A1AD4A" w14:textId="77777777" w:rsidR="00D60822" w:rsidRPr="00BC0D1F" w:rsidRDefault="00D60822" w:rsidP="00F06348">
            <w:pPr>
              <w:pStyle w:val="TableText"/>
              <w:spacing w:before="40" w:after="40"/>
              <w:jc w:val="right"/>
              <w:rPr>
                <w:sz w:val="15"/>
                <w:szCs w:val="15"/>
              </w:rPr>
            </w:pPr>
            <w:r w:rsidRPr="00BC0D1F">
              <w:rPr>
                <w:sz w:val="15"/>
                <w:szCs w:val="15"/>
              </w:rPr>
              <w:t>2.43%</w:t>
            </w:r>
          </w:p>
        </w:tc>
        <w:tc>
          <w:tcPr>
            <w:tcW w:w="1276" w:type="dxa"/>
            <w:tcBorders>
              <w:top w:val="nil"/>
              <w:left w:val="nil"/>
              <w:bottom w:val="nil"/>
              <w:right w:val="nil"/>
            </w:tcBorders>
            <w:shd w:val="clear" w:color="auto" w:fill="auto"/>
          </w:tcPr>
          <w:p w14:paraId="5D81CAD8" w14:textId="77777777" w:rsidR="00D60822" w:rsidRPr="00BC0D1F" w:rsidRDefault="00D60822" w:rsidP="00F06348">
            <w:pPr>
              <w:pStyle w:val="TableText"/>
              <w:spacing w:before="40" w:after="40"/>
              <w:ind w:left="85"/>
              <w:rPr>
                <w:sz w:val="15"/>
                <w:szCs w:val="15"/>
              </w:rPr>
            </w:pPr>
          </w:p>
        </w:tc>
      </w:tr>
      <w:tr w:rsidR="00810942" w:rsidRPr="00BC0D1F" w14:paraId="40D7910C" w14:textId="77777777" w:rsidTr="00F06348">
        <w:trPr>
          <w:cantSplit/>
        </w:trPr>
        <w:tc>
          <w:tcPr>
            <w:tcW w:w="993" w:type="dxa"/>
            <w:tcBorders>
              <w:top w:val="nil"/>
              <w:left w:val="nil"/>
              <w:bottom w:val="nil"/>
              <w:right w:val="nil"/>
            </w:tcBorders>
            <w:shd w:val="clear" w:color="auto" w:fill="auto"/>
          </w:tcPr>
          <w:p w14:paraId="26D0B87D" w14:textId="77777777" w:rsidR="00D60822" w:rsidRPr="00BC0D1F" w:rsidRDefault="00D60822" w:rsidP="00F06348">
            <w:pPr>
              <w:pStyle w:val="TableText"/>
              <w:spacing w:before="40" w:after="40"/>
              <w:ind w:right="85"/>
              <w:jc w:val="right"/>
              <w:rPr>
                <w:sz w:val="15"/>
                <w:szCs w:val="15"/>
              </w:rPr>
            </w:pPr>
            <w:r w:rsidRPr="00BC0D1F">
              <w:rPr>
                <w:sz w:val="15"/>
                <w:szCs w:val="15"/>
              </w:rPr>
              <w:t>82,538</w:t>
            </w:r>
          </w:p>
        </w:tc>
        <w:tc>
          <w:tcPr>
            <w:tcW w:w="2551" w:type="dxa"/>
            <w:tcBorders>
              <w:top w:val="nil"/>
              <w:left w:val="nil"/>
              <w:bottom w:val="nil"/>
              <w:right w:val="nil"/>
            </w:tcBorders>
            <w:shd w:val="clear" w:color="auto" w:fill="auto"/>
          </w:tcPr>
          <w:p w14:paraId="30426742" w14:textId="77777777" w:rsidR="00D60822" w:rsidRPr="00BC0D1F" w:rsidRDefault="00D60822" w:rsidP="00F06348">
            <w:pPr>
              <w:pStyle w:val="TableText"/>
              <w:spacing w:before="40" w:after="40"/>
              <w:rPr>
                <w:sz w:val="15"/>
                <w:szCs w:val="15"/>
              </w:rPr>
            </w:pPr>
            <w:r w:rsidRPr="00BC0D1F">
              <w:rPr>
                <w:sz w:val="15"/>
                <w:szCs w:val="15"/>
              </w:rPr>
              <w:t>National child health services</w:t>
            </w:r>
          </w:p>
        </w:tc>
        <w:tc>
          <w:tcPr>
            <w:tcW w:w="425" w:type="dxa"/>
            <w:tcBorders>
              <w:top w:val="nil"/>
              <w:left w:val="nil"/>
              <w:bottom w:val="nil"/>
              <w:right w:val="nil"/>
            </w:tcBorders>
            <w:shd w:val="clear" w:color="auto" w:fill="auto"/>
          </w:tcPr>
          <w:p w14:paraId="7E800C44"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11637CE0" w14:textId="77777777" w:rsidR="00D60822" w:rsidRPr="00BC0D1F" w:rsidRDefault="00D60822" w:rsidP="00F06348">
            <w:pPr>
              <w:pStyle w:val="TableText"/>
              <w:spacing w:before="40" w:after="40"/>
              <w:ind w:right="85"/>
              <w:jc w:val="right"/>
              <w:rPr>
                <w:sz w:val="15"/>
                <w:szCs w:val="15"/>
              </w:rPr>
            </w:pPr>
            <w:r w:rsidRPr="00BC0D1F">
              <w:rPr>
                <w:sz w:val="15"/>
                <w:szCs w:val="15"/>
              </w:rPr>
              <w:t>83,559</w:t>
            </w:r>
          </w:p>
        </w:tc>
        <w:tc>
          <w:tcPr>
            <w:tcW w:w="850" w:type="dxa"/>
            <w:tcBorders>
              <w:top w:val="nil"/>
              <w:left w:val="nil"/>
              <w:bottom w:val="nil"/>
              <w:right w:val="nil"/>
            </w:tcBorders>
            <w:shd w:val="clear" w:color="auto" w:fill="auto"/>
          </w:tcPr>
          <w:p w14:paraId="30BA4DB4" w14:textId="77777777" w:rsidR="00D60822" w:rsidRPr="00BC0D1F" w:rsidRDefault="00D60822" w:rsidP="00F06348">
            <w:pPr>
              <w:pStyle w:val="TableText"/>
              <w:spacing w:before="40" w:after="40"/>
              <w:jc w:val="right"/>
              <w:rPr>
                <w:sz w:val="15"/>
                <w:szCs w:val="15"/>
              </w:rPr>
            </w:pPr>
            <w:r w:rsidRPr="00BC0D1F">
              <w:rPr>
                <w:sz w:val="15"/>
                <w:szCs w:val="15"/>
              </w:rPr>
              <w:t>87,048</w:t>
            </w:r>
          </w:p>
        </w:tc>
        <w:tc>
          <w:tcPr>
            <w:tcW w:w="992" w:type="dxa"/>
            <w:tcBorders>
              <w:top w:val="nil"/>
              <w:left w:val="nil"/>
              <w:bottom w:val="nil"/>
              <w:right w:val="nil"/>
            </w:tcBorders>
            <w:shd w:val="clear" w:color="auto" w:fill="auto"/>
          </w:tcPr>
          <w:p w14:paraId="7643D24C" w14:textId="77777777" w:rsidR="00D60822" w:rsidRPr="00BC0D1F" w:rsidRDefault="00D60822" w:rsidP="00F06348">
            <w:pPr>
              <w:pStyle w:val="TableText"/>
              <w:spacing w:before="40" w:after="40"/>
              <w:jc w:val="right"/>
              <w:rPr>
                <w:sz w:val="15"/>
                <w:szCs w:val="15"/>
              </w:rPr>
            </w:pPr>
            <w:r w:rsidRPr="00BC0D1F">
              <w:rPr>
                <w:sz w:val="15"/>
                <w:szCs w:val="15"/>
              </w:rPr>
              <w:t>85,249</w:t>
            </w:r>
          </w:p>
        </w:tc>
        <w:tc>
          <w:tcPr>
            <w:tcW w:w="1276" w:type="dxa"/>
            <w:tcBorders>
              <w:top w:val="nil"/>
              <w:left w:val="nil"/>
              <w:bottom w:val="nil"/>
              <w:right w:val="nil"/>
            </w:tcBorders>
            <w:shd w:val="clear" w:color="auto" w:fill="auto"/>
          </w:tcPr>
          <w:p w14:paraId="22E79AA2" w14:textId="77777777" w:rsidR="00D60822" w:rsidRPr="00BC0D1F" w:rsidRDefault="00D60822" w:rsidP="00F06348">
            <w:pPr>
              <w:pStyle w:val="TableText"/>
              <w:spacing w:before="40" w:after="40"/>
              <w:jc w:val="right"/>
              <w:rPr>
                <w:sz w:val="15"/>
                <w:szCs w:val="15"/>
              </w:rPr>
            </w:pPr>
            <w:r w:rsidRPr="00BC0D1F">
              <w:rPr>
                <w:sz w:val="15"/>
                <w:szCs w:val="15"/>
              </w:rPr>
              <w:t>0.55%</w:t>
            </w:r>
          </w:p>
        </w:tc>
        <w:tc>
          <w:tcPr>
            <w:tcW w:w="1276" w:type="dxa"/>
            <w:tcBorders>
              <w:top w:val="nil"/>
              <w:left w:val="nil"/>
              <w:bottom w:val="nil"/>
              <w:right w:val="nil"/>
            </w:tcBorders>
            <w:shd w:val="clear" w:color="auto" w:fill="auto"/>
          </w:tcPr>
          <w:p w14:paraId="2A23F76B" w14:textId="77777777" w:rsidR="00D60822" w:rsidRPr="00BC0D1F" w:rsidRDefault="00D60822" w:rsidP="00F06348">
            <w:pPr>
              <w:pStyle w:val="TableText"/>
              <w:spacing w:before="40" w:after="40"/>
              <w:ind w:left="85"/>
              <w:rPr>
                <w:sz w:val="15"/>
                <w:szCs w:val="15"/>
              </w:rPr>
            </w:pPr>
          </w:p>
        </w:tc>
      </w:tr>
      <w:tr w:rsidR="00810942" w:rsidRPr="00BC0D1F" w14:paraId="46426A33" w14:textId="77777777" w:rsidTr="00F06348">
        <w:trPr>
          <w:cantSplit/>
        </w:trPr>
        <w:tc>
          <w:tcPr>
            <w:tcW w:w="993" w:type="dxa"/>
            <w:tcBorders>
              <w:top w:val="nil"/>
              <w:left w:val="nil"/>
              <w:bottom w:val="nil"/>
              <w:right w:val="nil"/>
            </w:tcBorders>
            <w:shd w:val="clear" w:color="auto" w:fill="auto"/>
          </w:tcPr>
          <w:p w14:paraId="28E456A6" w14:textId="77777777" w:rsidR="00D60822" w:rsidRPr="00BC0D1F" w:rsidRDefault="00D60822" w:rsidP="00F06348">
            <w:pPr>
              <w:pStyle w:val="TableText"/>
              <w:spacing w:before="40" w:after="40"/>
              <w:ind w:right="85"/>
              <w:jc w:val="right"/>
              <w:rPr>
                <w:sz w:val="15"/>
                <w:szCs w:val="15"/>
              </w:rPr>
            </w:pPr>
            <w:r w:rsidRPr="00BC0D1F">
              <w:rPr>
                <w:sz w:val="15"/>
                <w:szCs w:val="15"/>
              </w:rPr>
              <w:t>289,972</w:t>
            </w:r>
          </w:p>
        </w:tc>
        <w:tc>
          <w:tcPr>
            <w:tcW w:w="2551" w:type="dxa"/>
            <w:tcBorders>
              <w:top w:val="nil"/>
              <w:left w:val="nil"/>
              <w:bottom w:val="nil"/>
              <w:right w:val="nil"/>
            </w:tcBorders>
            <w:shd w:val="clear" w:color="auto" w:fill="auto"/>
          </w:tcPr>
          <w:p w14:paraId="5ADCD740" w14:textId="77777777" w:rsidR="00D60822" w:rsidRPr="00BC0D1F" w:rsidRDefault="00D60822" w:rsidP="00F06348">
            <w:pPr>
              <w:pStyle w:val="TableText"/>
              <w:spacing w:before="40" w:after="40"/>
              <w:rPr>
                <w:sz w:val="15"/>
                <w:szCs w:val="15"/>
              </w:rPr>
            </w:pPr>
            <w:r w:rsidRPr="00BC0D1F">
              <w:rPr>
                <w:sz w:val="15"/>
                <w:szCs w:val="15"/>
              </w:rPr>
              <w:t>National elective services</w:t>
            </w:r>
          </w:p>
        </w:tc>
        <w:tc>
          <w:tcPr>
            <w:tcW w:w="425" w:type="dxa"/>
            <w:tcBorders>
              <w:top w:val="nil"/>
              <w:left w:val="nil"/>
              <w:bottom w:val="nil"/>
              <w:right w:val="nil"/>
            </w:tcBorders>
            <w:shd w:val="clear" w:color="auto" w:fill="auto"/>
          </w:tcPr>
          <w:p w14:paraId="653A8DE3" w14:textId="77777777" w:rsidR="00D60822" w:rsidRPr="00BC0D1F" w:rsidRDefault="00D60822" w:rsidP="00F06348">
            <w:pPr>
              <w:pStyle w:val="TableText"/>
              <w:spacing w:before="40" w:after="40"/>
              <w:jc w:val="center"/>
              <w:rPr>
                <w:sz w:val="15"/>
                <w:szCs w:val="15"/>
              </w:rPr>
            </w:pPr>
            <w:r w:rsidRPr="00BC0D1F">
              <w:rPr>
                <w:sz w:val="15"/>
                <w:szCs w:val="15"/>
              </w:rPr>
              <w:t>2.3</w:t>
            </w:r>
          </w:p>
        </w:tc>
        <w:tc>
          <w:tcPr>
            <w:tcW w:w="993" w:type="dxa"/>
            <w:tcBorders>
              <w:top w:val="nil"/>
              <w:left w:val="nil"/>
              <w:bottom w:val="nil"/>
              <w:right w:val="nil"/>
            </w:tcBorders>
            <w:shd w:val="clear" w:color="auto" w:fill="D9D9D9"/>
          </w:tcPr>
          <w:p w14:paraId="12621CED" w14:textId="77777777" w:rsidR="00D60822" w:rsidRPr="00BC0D1F" w:rsidRDefault="00D60822" w:rsidP="00F06348">
            <w:pPr>
              <w:pStyle w:val="TableText"/>
              <w:spacing w:before="40" w:after="40"/>
              <w:ind w:right="85"/>
              <w:jc w:val="right"/>
              <w:rPr>
                <w:sz w:val="15"/>
                <w:szCs w:val="15"/>
              </w:rPr>
            </w:pPr>
            <w:r w:rsidRPr="00BC0D1F">
              <w:rPr>
                <w:sz w:val="15"/>
                <w:szCs w:val="15"/>
              </w:rPr>
              <w:t>323,180</w:t>
            </w:r>
          </w:p>
        </w:tc>
        <w:tc>
          <w:tcPr>
            <w:tcW w:w="850" w:type="dxa"/>
            <w:tcBorders>
              <w:top w:val="nil"/>
              <w:left w:val="nil"/>
              <w:bottom w:val="nil"/>
              <w:right w:val="nil"/>
            </w:tcBorders>
            <w:shd w:val="clear" w:color="auto" w:fill="auto"/>
          </w:tcPr>
          <w:p w14:paraId="58FC734F" w14:textId="77777777" w:rsidR="00D60822" w:rsidRPr="00BC0D1F" w:rsidRDefault="00D60822" w:rsidP="00F06348">
            <w:pPr>
              <w:pStyle w:val="TableText"/>
              <w:spacing w:before="40" w:after="40"/>
              <w:jc w:val="right"/>
              <w:rPr>
                <w:sz w:val="15"/>
                <w:szCs w:val="15"/>
              </w:rPr>
            </w:pPr>
            <w:r w:rsidRPr="00BC0D1F">
              <w:rPr>
                <w:sz w:val="15"/>
                <w:szCs w:val="15"/>
              </w:rPr>
              <w:t>316,512</w:t>
            </w:r>
          </w:p>
        </w:tc>
        <w:tc>
          <w:tcPr>
            <w:tcW w:w="992" w:type="dxa"/>
            <w:tcBorders>
              <w:top w:val="nil"/>
              <w:left w:val="nil"/>
              <w:bottom w:val="nil"/>
              <w:right w:val="nil"/>
            </w:tcBorders>
            <w:shd w:val="clear" w:color="auto" w:fill="auto"/>
          </w:tcPr>
          <w:p w14:paraId="67E074EA" w14:textId="77777777" w:rsidR="00D60822" w:rsidRPr="00BC0D1F" w:rsidRDefault="00D60822" w:rsidP="00F06348">
            <w:pPr>
              <w:pStyle w:val="TableText"/>
              <w:spacing w:before="40" w:after="40"/>
              <w:jc w:val="right"/>
              <w:rPr>
                <w:sz w:val="15"/>
                <w:szCs w:val="15"/>
              </w:rPr>
            </w:pPr>
            <w:r w:rsidRPr="00BC0D1F">
              <w:rPr>
                <w:sz w:val="15"/>
                <w:szCs w:val="15"/>
              </w:rPr>
              <w:t>324,367</w:t>
            </w:r>
          </w:p>
        </w:tc>
        <w:tc>
          <w:tcPr>
            <w:tcW w:w="1276" w:type="dxa"/>
            <w:tcBorders>
              <w:top w:val="nil"/>
              <w:left w:val="nil"/>
              <w:bottom w:val="nil"/>
              <w:right w:val="nil"/>
            </w:tcBorders>
            <w:shd w:val="clear" w:color="auto" w:fill="auto"/>
          </w:tcPr>
          <w:p w14:paraId="28F21F55" w14:textId="77777777" w:rsidR="00D60822" w:rsidRPr="00BC0D1F" w:rsidRDefault="00D60822" w:rsidP="00F06348">
            <w:pPr>
              <w:pStyle w:val="TableText"/>
              <w:spacing w:before="40" w:after="40"/>
              <w:jc w:val="right"/>
              <w:rPr>
                <w:sz w:val="15"/>
                <w:szCs w:val="15"/>
              </w:rPr>
            </w:pPr>
            <w:r w:rsidRPr="00BC0D1F">
              <w:rPr>
                <w:sz w:val="15"/>
                <w:szCs w:val="15"/>
              </w:rPr>
              <w:t>2.11%</w:t>
            </w:r>
          </w:p>
        </w:tc>
        <w:tc>
          <w:tcPr>
            <w:tcW w:w="1276" w:type="dxa"/>
            <w:tcBorders>
              <w:top w:val="nil"/>
              <w:left w:val="nil"/>
              <w:bottom w:val="nil"/>
              <w:right w:val="nil"/>
            </w:tcBorders>
            <w:shd w:val="clear" w:color="auto" w:fill="auto"/>
          </w:tcPr>
          <w:p w14:paraId="6BA8D00D" w14:textId="77777777" w:rsidR="00D60822" w:rsidRPr="00BC0D1F" w:rsidRDefault="00D60822" w:rsidP="00F06348">
            <w:pPr>
              <w:pStyle w:val="TableText"/>
              <w:spacing w:before="40" w:after="40"/>
              <w:ind w:left="85"/>
              <w:rPr>
                <w:sz w:val="15"/>
                <w:szCs w:val="15"/>
              </w:rPr>
            </w:pPr>
          </w:p>
        </w:tc>
      </w:tr>
      <w:tr w:rsidR="00810942" w:rsidRPr="00BC0D1F" w14:paraId="704B4B4F" w14:textId="77777777" w:rsidTr="00F06348">
        <w:trPr>
          <w:cantSplit/>
        </w:trPr>
        <w:tc>
          <w:tcPr>
            <w:tcW w:w="993" w:type="dxa"/>
            <w:tcBorders>
              <w:top w:val="nil"/>
              <w:left w:val="nil"/>
              <w:bottom w:val="nil"/>
              <w:right w:val="nil"/>
            </w:tcBorders>
            <w:shd w:val="clear" w:color="auto" w:fill="auto"/>
          </w:tcPr>
          <w:p w14:paraId="7CF0FA85" w14:textId="77777777" w:rsidR="00D60822" w:rsidRPr="00BC0D1F" w:rsidRDefault="00D60822" w:rsidP="00F06348">
            <w:pPr>
              <w:pStyle w:val="TableText"/>
              <w:spacing w:before="40" w:after="40"/>
              <w:ind w:right="85"/>
              <w:jc w:val="right"/>
              <w:rPr>
                <w:sz w:val="15"/>
                <w:szCs w:val="15"/>
              </w:rPr>
            </w:pPr>
            <w:r w:rsidRPr="00BC0D1F">
              <w:rPr>
                <w:sz w:val="15"/>
                <w:szCs w:val="15"/>
              </w:rPr>
              <w:t>97,105</w:t>
            </w:r>
          </w:p>
        </w:tc>
        <w:tc>
          <w:tcPr>
            <w:tcW w:w="2551" w:type="dxa"/>
            <w:tcBorders>
              <w:top w:val="nil"/>
              <w:left w:val="nil"/>
              <w:bottom w:val="nil"/>
              <w:right w:val="nil"/>
            </w:tcBorders>
            <w:shd w:val="clear" w:color="auto" w:fill="auto"/>
          </w:tcPr>
          <w:p w14:paraId="43C7B1E8" w14:textId="77777777" w:rsidR="00D60822" w:rsidRPr="00BC0D1F" w:rsidRDefault="00D60822" w:rsidP="00F06348">
            <w:pPr>
              <w:pStyle w:val="TableText"/>
              <w:spacing w:before="40" w:after="40"/>
              <w:rPr>
                <w:sz w:val="15"/>
                <w:szCs w:val="15"/>
              </w:rPr>
            </w:pPr>
            <w:r w:rsidRPr="00BC0D1F">
              <w:rPr>
                <w:sz w:val="15"/>
                <w:szCs w:val="15"/>
              </w:rPr>
              <w:t>National emergency services</w:t>
            </w:r>
          </w:p>
        </w:tc>
        <w:tc>
          <w:tcPr>
            <w:tcW w:w="425" w:type="dxa"/>
            <w:tcBorders>
              <w:top w:val="nil"/>
              <w:left w:val="nil"/>
              <w:bottom w:val="nil"/>
              <w:right w:val="nil"/>
            </w:tcBorders>
            <w:shd w:val="clear" w:color="auto" w:fill="auto"/>
          </w:tcPr>
          <w:p w14:paraId="5F00F935"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43653D9F" w14:textId="77777777" w:rsidR="00D60822" w:rsidRPr="00BC0D1F" w:rsidRDefault="00D60822" w:rsidP="00F06348">
            <w:pPr>
              <w:pStyle w:val="TableText"/>
              <w:spacing w:before="40" w:after="40"/>
              <w:ind w:right="85"/>
              <w:jc w:val="right"/>
              <w:rPr>
                <w:sz w:val="15"/>
                <w:szCs w:val="15"/>
              </w:rPr>
            </w:pPr>
            <w:r w:rsidRPr="00BC0D1F">
              <w:rPr>
                <w:sz w:val="15"/>
                <w:szCs w:val="15"/>
              </w:rPr>
              <w:t>95,540</w:t>
            </w:r>
          </w:p>
        </w:tc>
        <w:tc>
          <w:tcPr>
            <w:tcW w:w="850" w:type="dxa"/>
            <w:tcBorders>
              <w:top w:val="nil"/>
              <w:left w:val="nil"/>
              <w:bottom w:val="nil"/>
              <w:right w:val="nil"/>
            </w:tcBorders>
            <w:shd w:val="clear" w:color="auto" w:fill="auto"/>
          </w:tcPr>
          <w:p w14:paraId="1DF9CEA9" w14:textId="77777777" w:rsidR="00D60822" w:rsidRPr="00BC0D1F" w:rsidRDefault="00D60822" w:rsidP="00F06348">
            <w:pPr>
              <w:pStyle w:val="TableText"/>
              <w:spacing w:before="40" w:after="40"/>
              <w:jc w:val="right"/>
              <w:rPr>
                <w:sz w:val="15"/>
                <w:szCs w:val="15"/>
              </w:rPr>
            </w:pPr>
            <w:r w:rsidRPr="00BC0D1F">
              <w:rPr>
                <w:sz w:val="15"/>
                <w:szCs w:val="15"/>
              </w:rPr>
              <w:t>96,440</w:t>
            </w:r>
          </w:p>
        </w:tc>
        <w:tc>
          <w:tcPr>
            <w:tcW w:w="992" w:type="dxa"/>
            <w:tcBorders>
              <w:top w:val="nil"/>
              <w:left w:val="nil"/>
              <w:bottom w:val="nil"/>
              <w:right w:val="nil"/>
            </w:tcBorders>
            <w:shd w:val="clear" w:color="auto" w:fill="auto"/>
          </w:tcPr>
          <w:p w14:paraId="1379F154" w14:textId="77777777" w:rsidR="00D60822" w:rsidRPr="00BC0D1F" w:rsidRDefault="00D60822" w:rsidP="00F06348">
            <w:pPr>
              <w:pStyle w:val="TableText"/>
              <w:spacing w:before="40" w:after="40"/>
              <w:jc w:val="right"/>
              <w:rPr>
                <w:sz w:val="15"/>
                <w:szCs w:val="15"/>
              </w:rPr>
            </w:pPr>
            <w:r w:rsidRPr="00BC0D1F">
              <w:rPr>
                <w:sz w:val="15"/>
                <w:szCs w:val="15"/>
              </w:rPr>
              <w:t>95,559</w:t>
            </w:r>
          </w:p>
        </w:tc>
        <w:tc>
          <w:tcPr>
            <w:tcW w:w="1276" w:type="dxa"/>
            <w:tcBorders>
              <w:top w:val="nil"/>
              <w:left w:val="nil"/>
              <w:bottom w:val="nil"/>
              <w:right w:val="nil"/>
            </w:tcBorders>
            <w:shd w:val="clear" w:color="auto" w:fill="auto"/>
          </w:tcPr>
          <w:p w14:paraId="482BE561" w14:textId="77777777" w:rsidR="00D60822" w:rsidRPr="00BC0D1F" w:rsidRDefault="00D60822" w:rsidP="00F06348">
            <w:pPr>
              <w:pStyle w:val="TableText"/>
              <w:spacing w:before="40" w:after="40"/>
              <w:jc w:val="right"/>
              <w:rPr>
                <w:sz w:val="15"/>
                <w:szCs w:val="15"/>
              </w:rPr>
            </w:pPr>
            <w:r w:rsidRPr="00BC0D1F">
              <w:rPr>
                <w:sz w:val="15"/>
                <w:szCs w:val="15"/>
              </w:rPr>
              <w:t>0.62%</w:t>
            </w:r>
          </w:p>
        </w:tc>
        <w:tc>
          <w:tcPr>
            <w:tcW w:w="1276" w:type="dxa"/>
            <w:tcBorders>
              <w:top w:val="nil"/>
              <w:left w:val="nil"/>
              <w:bottom w:val="nil"/>
              <w:right w:val="nil"/>
            </w:tcBorders>
            <w:shd w:val="clear" w:color="auto" w:fill="auto"/>
          </w:tcPr>
          <w:p w14:paraId="570B871D" w14:textId="77777777" w:rsidR="00D60822" w:rsidRPr="00BC0D1F" w:rsidRDefault="00D60822" w:rsidP="00F06348">
            <w:pPr>
              <w:pStyle w:val="TableText"/>
              <w:spacing w:before="40" w:after="40"/>
              <w:ind w:left="85"/>
              <w:rPr>
                <w:sz w:val="15"/>
                <w:szCs w:val="15"/>
              </w:rPr>
            </w:pPr>
          </w:p>
        </w:tc>
      </w:tr>
      <w:tr w:rsidR="00810942" w:rsidRPr="00BC0D1F" w14:paraId="481EDCFA" w14:textId="77777777" w:rsidTr="00F06348">
        <w:trPr>
          <w:cantSplit/>
        </w:trPr>
        <w:tc>
          <w:tcPr>
            <w:tcW w:w="993" w:type="dxa"/>
            <w:tcBorders>
              <w:top w:val="nil"/>
              <w:left w:val="nil"/>
              <w:bottom w:val="nil"/>
              <w:right w:val="nil"/>
            </w:tcBorders>
            <w:shd w:val="clear" w:color="auto" w:fill="auto"/>
          </w:tcPr>
          <w:p w14:paraId="1395057F" w14:textId="77777777" w:rsidR="00D60822" w:rsidRPr="00BC0D1F" w:rsidRDefault="000677F9" w:rsidP="00F06348">
            <w:pPr>
              <w:pStyle w:val="TableText"/>
              <w:spacing w:before="40" w:after="40"/>
              <w:ind w:right="85"/>
              <w:jc w:val="right"/>
              <w:rPr>
                <w:sz w:val="15"/>
                <w:szCs w:val="15"/>
              </w:rPr>
            </w:pPr>
            <w:r w:rsidRPr="00BC0D1F">
              <w:rPr>
                <w:sz w:val="15"/>
                <w:szCs w:val="15"/>
              </w:rPr>
              <w:t>4</w:t>
            </w:r>
            <w:r w:rsidR="008234DC" w:rsidRPr="00BC0D1F">
              <w:rPr>
                <w:sz w:val="15"/>
                <w:szCs w:val="15"/>
              </w:rPr>
              <w:t>,</w:t>
            </w:r>
            <w:r w:rsidR="00D60822" w:rsidRPr="00BC0D1F">
              <w:rPr>
                <w:sz w:val="15"/>
                <w:szCs w:val="15"/>
              </w:rPr>
              <w:t>195</w:t>
            </w:r>
          </w:p>
        </w:tc>
        <w:tc>
          <w:tcPr>
            <w:tcW w:w="2551" w:type="dxa"/>
            <w:tcBorders>
              <w:top w:val="nil"/>
              <w:left w:val="nil"/>
              <w:bottom w:val="nil"/>
              <w:right w:val="nil"/>
            </w:tcBorders>
            <w:shd w:val="clear" w:color="auto" w:fill="auto"/>
          </w:tcPr>
          <w:p w14:paraId="57008CE9" w14:textId="77777777" w:rsidR="00D60822" w:rsidRPr="00BC0D1F" w:rsidRDefault="00D60822" w:rsidP="00F06348">
            <w:pPr>
              <w:pStyle w:val="TableText"/>
              <w:spacing w:before="40" w:after="40"/>
              <w:rPr>
                <w:sz w:val="15"/>
                <w:szCs w:val="15"/>
              </w:rPr>
            </w:pPr>
            <w:r w:rsidRPr="00BC0D1F">
              <w:rPr>
                <w:sz w:val="15"/>
                <w:szCs w:val="15"/>
              </w:rPr>
              <w:t>National Māori health services</w:t>
            </w:r>
          </w:p>
        </w:tc>
        <w:tc>
          <w:tcPr>
            <w:tcW w:w="425" w:type="dxa"/>
            <w:tcBorders>
              <w:top w:val="nil"/>
              <w:left w:val="nil"/>
              <w:bottom w:val="nil"/>
              <w:right w:val="nil"/>
            </w:tcBorders>
            <w:shd w:val="clear" w:color="auto" w:fill="auto"/>
          </w:tcPr>
          <w:p w14:paraId="4B2AB430" w14:textId="77777777" w:rsidR="00D60822" w:rsidRPr="00BC0D1F" w:rsidRDefault="00D60822" w:rsidP="00F06348">
            <w:pPr>
              <w:pStyle w:val="TableText"/>
              <w:spacing w:before="40" w:after="40"/>
              <w:jc w:val="center"/>
              <w:rPr>
                <w:sz w:val="15"/>
                <w:szCs w:val="15"/>
              </w:rPr>
            </w:pPr>
            <w:r w:rsidRPr="00BC0D1F">
              <w:rPr>
                <w:sz w:val="15"/>
                <w:szCs w:val="15"/>
              </w:rPr>
              <w:t>2.4</w:t>
            </w:r>
          </w:p>
        </w:tc>
        <w:tc>
          <w:tcPr>
            <w:tcW w:w="993" w:type="dxa"/>
            <w:tcBorders>
              <w:top w:val="nil"/>
              <w:left w:val="nil"/>
              <w:bottom w:val="nil"/>
              <w:right w:val="nil"/>
            </w:tcBorders>
            <w:shd w:val="clear" w:color="auto" w:fill="D9D9D9"/>
          </w:tcPr>
          <w:p w14:paraId="404F84B5" w14:textId="77777777" w:rsidR="00D60822" w:rsidRPr="00BC0D1F" w:rsidRDefault="00D60822" w:rsidP="00F06348">
            <w:pPr>
              <w:pStyle w:val="TableText"/>
              <w:spacing w:before="40" w:after="40"/>
              <w:ind w:right="85"/>
              <w:jc w:val="right"/>
              <w:rPr>
                <w:sz w:val="15"/>
                <w:szCs w:val="15"/>
              </w:rPr>
            </w:pPr>
            <w:r w:rsidRPr="00BC0D1F">
              <w:rPr>
                <w:sz w:val="15"/>
                <w:szCs w:val="15"/>
              </w:rPr>
              <w:t>4</w:t>
            </w:r>
            <w:r w:rsidR="008234DC" w:rsidRPr="00BC0D1F">
              <w:rPr>
                <w:sz w:val="15"/>
                <w:szCs w:val="15"/>
              </w:rPr>
              <w:t>,</w:t>
            </w:r>
            <w:r w:rsidRPr="00BC0D1F">
              <w:rPr>
                <w:sz w:val="15"/>
                <w:szCs w:val="15"/>
              </w:rPr>
              <w:t>066</w:t>
            </w:r>
          </w:p>
        </w:tc>
        <w:tc>
          <w:tcPr>
            <w:tcW w:w="850" w:type="dxa"/>
            <w:tcBorders>
              <w:top w:val="nil"/>
              <w:left w:val="nil"/>
              <w:bottom w:val="nil"/>
              <w:right w:val="nil"/>
            </w:tcBorders>
            <w:shd w:val="clear" w:color="auto" w:fill="auto"/>
          </w:tcPr>
          <w:p w14:paraId="45A2E37A" w14:textId="77777777" w:rsidR="00D60822" w:rsidRPr="00BC0D1F" w:rsidRDefault="000677F9" w:rsidP="00F06348">
            <w:pPr>
              <w:pStyle w:val="TableText"/>
              <w:spacing w:before="40" w:after="40"/>
              <w:jc w:val="right"/>
              <w:rPr>
                <w:sz w:val="15"/>
                <w:szCs w:val="15"/>
              </w:rPr>
            </w:pPr>
            <w:r w:rsidRPr="00BC0D1F">
              <w:rPr>
                <w:sz w:val="15"/>
                <w:szCs w:val="15"/>
              </w:rPr>
              <w:t>7</w:t>
            </w:r>
            <w:r w:rsidR="008234DC" w:rsidRPr="00BC0D1F">
              <w:rPr>
                <w:sz w:val="15"/>
                <w:szCs w:val="15"/>
              </w:rPr>
              <w:t>,</w:t>
            </w:r>
            <w:r w:rsidR="00D60822" w:rsidRPr="00BC0D1F">
              <w:rPr>
                <w:sz w:val="15"/>
                <w:szCs w:val="15"/>
              </w:rPr>
              <w:t>308</w:t>
            </w:r>
          </w:p>
        </w:tc>
        <w:tc>
          <w:tcPr>
            <w:tcW w:w="992" w:type="dxa"/>
            <w:tcBorders>
              <w:top w:val="nil"/>
              <w:left w:val="nil"/>
              <w:bottom w:val="nil"/>
              <w:right w:val="nil"/>
            </w:tcBorders>
            <w:shd w:val="clear" w:color="auto" w:fill="auto"/>
          </w:tcPr>
          <w:p w14:paraId="14FDA35A" w14:textId="77777777" w:rsidR="00D60822" w:rsidRPr="00BC0D1F" w:rsidRDefault="00D60822" w:rsidP="00F06348">
            <w:pPr>
              <w:pStyle w:val="TableText"/>
              <w:spacing w:before="40" w:after="40"/>
              <w:jc w:val="right"/>
              <w:rPr>
                <w:sz w:val="15"/>
                <w:szCs w:val="15"/>
              </w:rPr>
            </w:pPr>
            <w:r w:rsidRPr="00BC0D1F">
              <w:rPr>
                <w:sz w:val="15"/>
                <w:szCs w:val="15"/>
              </w:rPr>
              <w:t>4</w:t>
            </w:r>
            <w:r w:rsidR="008234DC" w:rsidRPr="00BC0D1F">
              <w:rPr>
                <w:sz w:val="15"/>
                <w:szCs w:val="15"/>
              </w:rPr>
              <w:t>,</w:t>
            </w:r>
            <w:r w:rsidRPr="00BC0D1F">
              <w:rPr>
                <w:sz w:val="15"/>
                <w:szCs w:val="15"/>
              </w:rPr>
              <w:t>517</w:t>
            </w:r>
          </w:p>
        </w:tc>
        <w:tc>
          <w:tcPr>
            <w:tcW w:w="1276" w:type="dxa"/>
            <w:tcBorders>
              <w:top w:val="nil"/>
              <w:left w:val="nil"/>
              <w:bottom w:val="nil"/>
              <w:right w:val="nil"/>
            </w:tcBorders>
            <w:shd w:val="clear" w:color="auto" w:fill="auto"/>
          </w:tcPr>
          <w:p w14:paraId="617079FA" w14:textId="77777777" w:rsidR="00D60822" w:rsidRPr="00BC0D1F" w:rsidRDefault="00D60822" w:rsidP="00F06348">
            <w:pPr>
              <w:pStyle w:val="TableText"/>
              <w:spacing w:before="40" w:after="40"/>
              <w:jc w:val="right"/>
              <w:rPr>
                <w:sz w:val="15"/>
                <w:szCs w:val="15"/>
              </w:rPr>
            </w:pPr>
            <w:r w:rsidRPr="00BC0D1F">
              <w:rPr>
                <w:sz w:val="15"/>
                <w:szCs w:val="15"/>
              </w:rPr>
              <w:t>0.03%</w:t>
            </w:r>
          </w:p>
        </w:tc>
        <w:tc>
          <w:tcPr>
            <w:tcW w:w="1276" w:type="dxa"/>
            <w:tcBorders>
              <w:top w:val="nil"/>
              <w:left w:val="nil"/>
              <w:bottom w:val="nil"/>
              <w:right w:val="nil"/>
            </w:tcBorders>
            <w:shd w:val="clear" w:color="auto" w:fill="auto"/>
          </w:tcPr>
          <w:p w14:paraId="33045432" w14:textId="77777777" w:rsidR="00D60822" w:rsidRPr="00BC0D1F" w:rsidRDefault="00D60822" w:rsidP="00F06348">
            <w:pPr>
              <w:pStyle w:val="TableText"/>
              <w:spacing w:before="40" w:after="40"/>
              <w:ind w:left="85"/>
              <w:rPr>
                <w:sz w:val="15"/>
                <w:szCs w:val="15"/>
              </w:rPr>
            </w:pPr>
          </w:p>
        </w:tc>
      </w:tr>
      <w:tr w:rsidR="00810942" w:rsidRPr="00BC0D1F" w14:paraId="2AA701A1" w14:textId="77777777" w:rsidTr="00F06348">
        <w:trPr>
          <w:cantSplit/>
        </w:trPr>
        <w:tc>
          <w:tcPr>
            <w:tcW w:w="993" w:type="dxa"/>
            <w:tcBorders>
              <w:top w:val="nil"/>
              <w:left w:val="nil"/>
              <w:bottom w:val="nil"/>
              <w:right w:val="nil"/>
            </w:tcBorders>
            <w:shd w:val="clear" w:color="auto" w:fill="auto"/>
          </w:tcPr>
          <w:p w14:paraId="6310425A" w14:textId="77777777" w:rsidR="00D60822" w:rsidRPr="00BC0D1F" w:rsidRDefault="00D60822" w:rsidP="00F06348">
            <w:pPr>
              <w:pStyle w:val="TableText"/>
              <w:spacing w:before="40" w:after="40"/>
              <w:ind w:right="85"/>
              <w:jc w:val="right"/>
              <w:rPr>
                <w:sz w:val="15"/>
                <w:szCs w:val="15"/>
              </w:rPr>
            </w:pPr>
            <w:r w:rsidRPr="00BC0D1F">
              <w:rPr>
                <w:sz w:val="15"/>
                <w:szCs w:val="15"/>
              </w:rPr>
              <w:t>143,848</w:t>
            </w:r>
          </w:p>
        </w:tc>
        <w:tc>
          <w:tcPr>
            <w:tcW w:w="2551" w:type="dxa"/>
            <w:tcBorders>
              <w:top w:val="nil"/>
              <w:left w:val="nil"/>
              <w:bottom w:val="nil"/>
              <w:right w:val="nil"/>
            </w:tcBorders>
            <w:shd w:val="clear" w:color="auto" w:fill="auto"/>
          </w:tcPr>
          <w:p w14:paraId="01CE673E" w14:textId="77777777" w:rsidR="00D60822" w:rsidRPr="00BC0D1F" w:rsidRDefault="00D60822" w:rsidP="00F06348">
            <w:pPr>
              <w:pStyle w:val="TableText"/>
              <w:spacing w:before="40" w:after="40"/>
              <w:rPr>
                <w:sz w:val="15"/>
                <w:szCs w:val="15"/>
              </w:rPr>
            </w:pPr>
            <w:r w:rsidRPr="00BC0D1F">
              <w:rPr>
                <w:sz w:val="15"/>
                <w:szCs w:val="15"/>
              </w:rPr>
              <w:t>National maternity services</w:t>
            </w:r>
          </w:p>
        </w:tc>
        <w:tc>
          <w:tcPr>
            <w:tcW w:w="425" w:type="dxa"/>
            <w:tcBorders>
              <w:top w:val="nil"/>
              <w:left w:val="nil"/>
              <w:bottom w:val="nil"/>
              <w:right w:val="nil"/>
            </w:tcBorders>
            <w:shd w:val="clear" w:color="auto" w:fill="auto"/>
          </w:tcPr>
          <w:p w14:paraId="665B6241"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5AD54250" w14:textId="77777777" w:rsidR="00D60822" w:rsidRPr="00BC0D1F" w:rsidRDefault="00D60822" w:rsidP="00F06348">
            <w:pPr>
              <w:pStyle w:val="TableText"/>
              <w:spacing w:before="40" w:after="40"/>
              <w:ind w:right="85"/>
              <w:jc w:val="right"/>
              <w:rPr>
                <w:sz w:val="15"/>
                <w:szCs w:val="15"/>
              </w:rPr>
            </w:pPr>
            <w:r w:rsidRPr="00BC0D1F">
              <w:rPr>
                <w:sz w:val="15"/>
                <w:szCs w:val="15"/>
              </w:rPr>
              <w:t>144,589</w:t>
            </w:r>
          </w:p>
        </w:tc>
        <w:tc>
          <w:tcPr>
            <w:tcW w:w="850" w:type="dxa"/>
            <w:tcBorders>
              <w:top w:val="nil"/>
              <w:left w:val="nil"/>
              <w:bottom w:val="nil"/>
              <w:right w:val="nil"/>
            </w:tcBorders>
            <w:shd w:val="clear" w:color="auto" w:fill="auto"/>
          </w:tcPr>
          <w:p w14:paraId="425DDAB8" w14:textId="77777777" w:rsidR="00D60822" w:rsidRPr="00BC0D1F" w:rsidRDefault="00D60822" w:rsidP="00F06348">
            <w:pPr>
              <w:pStyle w:val="TableText"/>
              <w:spacing w:before="40" w:after="40"/>
              <w:jc w:val="right"/>
              <w:rPr>
                <w:sz w:val="15"/>
                <w:szCs w:val="15"/>
              </w:rPr>
            </w:pPr>
            <w:r w:rsidRPr="00BC0D1F">
              <w:rPr>
                <w:sz w:val="15"/>
                <w:szCs w:val="15"/>
              </w:rPr>
              <w:t>146,767</w:t>
            </w:r>
          </w:p>
        </w:tc>
        <w:tc>
          <w:tcPr>
            <w:tcW w:w="992" w:type="dxa"/>
            <w:tcBorders>
              <w:top w:val="nil"/>
              <w:left w:val="nil"/>
              <w:bottom w:val="nil"/>
              <w:right w:val="nil"/>
            </w:tcBorders>
            <w:shd w:val="clear" w:color="auto" w:fill="auto"/>
          </w:tcPr>
          <w:p w14:paraId="259C8EA6" w14:textId="77777777" w:rsidR="00D60822" w:rsidRPr="00BC0D1F" w:rsidRDefault="00D60822" w:rsidP="00F06348">
            <w:pPr>
              <w:pStyle w:val="TableText"/>
              <w:spacing w:before="40" w:after="40"/>
              <w:jc w:val="right"/>
              <w:rPr>
                <w:sz w:val="15"/>
                <w:szCs w:val="15"/>
              </w:rPr>
            </w:pPr>
            <w:r w:rsidRPr="00BC0D1F">
              <w:rPr>
                <w:sz w:val="15"/>
                <w:szCs w:val="15"/>
              </w:rPr>
              <w:t>144,657</w:t>
            </w:r>
          </w:p>
        </w:tc>
        <w:tc>
          <w:tcPr>
            <w:tcW w:w="1276" w:type="dxa"/>
            <w:tcBorders>
              <w:top w:val="nil"/>
              <w:left w:val="nil"/>
              <w:bottom w:val="nil"/>
              <w:right w:val="nil"/>
            </w:tcBorders>
            <w:shd w:val="clear" w:color="auto" w:fill="auto"/>
          </w:tcPr>
          <w:p w14:paraId="02194CED" w14:textId="77777777" w:rsidR="00D60822" w:rsidRPr="00BC0D1F" w:rsidRDefault="00D60822" w:rsidP="00F06348">
            <w:pPr>
              <w:pStyle w:val="TableText"/>
              <w:spacing w:before="40" w:after="40"/>
              <w:jc w:val="right"/>
              <w:rPr>
                <w:sz w:val="15"/>
                <w:szCs w:val="15"/>
              </w:rPr>
            </w:pPr>
            <w:r w:rsidRPr="00BC0D1F">
              <w:rPr>
                <w:sz w:val="15"/>
                <w:szCs w:val="15"/>
              </w:rPr>
              <w:t>0.95%</w:t>
            </w:r>
          </w:p>
        </w:tc>
        <w:tc>
          <w:tcPr>
            <w:tcW w:w="1276" w:type="dxa"/>
            <w:tcBorders>
              <w:top w:val="nil"/>
              <w:left w:val="nil"/>
              <w:bottom w:val="nil"/>
              <w:right w:val="nil"/>
            </w:tcBorders>
            <w:shd w:val="clear" w:color="auto" w:fill="auto"/>
          </w:tcPr>
          <w:p w14:paraId="1FA8D2AD" w14:textId="77777777" w:rsidR="00D60822" w:rsidRPr="00BC0D1F" w:rsidRDefault="00D60822" w:rsidP="00F06348">
            <w:pPr>
              <w:pStyle w:val="TableText"/>
              <w:spacing w:before="40" w:after="40"/>
              <w:ind w:left="85"/>
              <w:rPr>
                <w:sz w:val="15"/>
                <w:szCs w:val="15"/>
              </w:rPr>
            </w:pPr>
          </w:p>
        </w:tc>
      </w:tr>
      <w:tr w:rsidR="00810942" w:rsidRPr="00BC0D1F" w14:paraId="3FCA88CD" w14:textId="77777777" w:rsidTr="00F06348">
        <w:trPr>
          <w:cantSplit/>
        </w:trPr>
        <w:tc>
          <w:tcPr>
            <w:tcW w:w="993" w:type="dxa"/>
            <w:tcBorders>
              <w:top w:val="nil"/>
              <w:left w:val="nil"/>
              <w:bottom w:val="nil"/>
              <w:right w:val="nil"/>
            </w:tcBorders>
            <w:shd w:val="clear" w:color="auto" w:fill="auto"/>
          </w:tcPr>
          <w:p w14:paraId="63F6529B" w14:textId="77777777" w:rsidR="00D60822" w:rsidRPr="00BC0D1F" w:rsidRDefault="00D60822" w:rsidP="00F06348">
            <w:pPr>
              <w:pStyle w:val="TableText"/>
              <w:spacing w:before="40" w:after="40"/>
              <w:ind w:right="85"/>
              <w:jc w:val="right"/>
              <w:rPr>
                <w:sz w:val="15"/>
                <w:szCs w:val="15"/>
              </w:rPr>
            </w:pPr>
            <w:r w:rsidRPr="00BC0D1F">
              <w:rPr>
                <w:sz w:val="15"/>
                <w:szCs w:val="15"/>
              </w:rPr>
              <w:t>45,626</w:t>
            </w:r>
          </w:p>
        </w:tc>
        <w:tc>
          <w:tcPr>
            <w:tcW w:w="2551" w:type="dxa"/>
            <w:tcBorders>
              <w:top w:val="nil"/>
              <w:left w:val="nil"/>
              <w:bottom w:val="nil"/>
              <w:right w:val="nil"/>
            </w:tcBorders>
            <w:shd w:val="clear" w:color="auto" w:fill="auto"/>
          </w:tcPr>
          <w:p w14:paraId="7BCBEB55" w14:textId="77777777" w:rsidR="00D60822" w:rsidRPr="00BC0D1F" w:rsidRDefault="00D60822" w:rsidP="00F06348">
            <w:pPr>
              <w:pStyle w:val="TableText"/>
              <w:spacing w:before="40" w:after="40"/>
              <w:rPr>
                <w:sz w:val="15"/>
                <w:szCs w:val="15"/>
              </w:rPr>
            </w:pPr>
            <w:r w:rsidRPr="00BC0D1F">
              <w:rPr>
                <w:sz w:val="15"/>
                <w:szCs w:val="15"/>
              </w:rPr>
              <w:t>National mental health services</w:t>
            </w:r>
          </w:p>
        </w:tc>
        <w:tc>
          <w:tcPr>
            <w:tcW w:w="425" w:type="dxa"/>
            <w:tcBorders>
              <w:top w:val="nil"/>
              <w:left w:val="nil"/>
              <w:bottom w:val="nil"/>
              <w:right w:val="nil"/>
            </w:tcBorders>
            <w:shd w:val="clear" w:color="auto" w:fill="auto"/>
          </w:tcPr>
          <w:p w14:paraId="591012B7" w14:textId="77777777" w:rsidR="00D60822" w:rsidRPr="00BC0D1F" w:rsidRDefault="00D60822" w:rsidP="00F06348">
            <w:pPr>
              <w:pStyle w:val="TableText"/>
              <w:spacing w:before="40" w:after="40"/>
              <w:jc w:val="center"/>
              <w:rPr>
                <w:sz w:val="15"/>
                <w:szCs w:val="15"/>
              </w:rPr>
            </w:pPr>
            <w:r w:rsidRPr="00BC0D1F">
              <w:rPr>
                <w:sz w:val="15"/>
                <w:szCs w:val="15"/>
              </w:rPr>
              <w:t>2.5</w:t>
            </w:r>
          </w:p>
        </w:tc>
        <w:tc>
          <w:tcPr>
            <w:tcW w:w="993" w:type="dxa"/>
            <w:tcBorders>
              <w:top w:val="nil"/>
              <w:left w:val="nil"/>
              <w:bottom w:val="nil"/>
              <w:right w:val="nil"/>
            </w:tcBorders>
            <w:shd w:val="clear" w:color="auto" w:fill="D9D9D9"/>
          </w:tcPr>
          <w:p w14:paraId="58AAD39D" w14:textId="77777777" w:rsidR="00D60822" w:rsidRPr="00BC0D1F" w:rsidRDefault="00D60822" w:rsidP="00F06348">
            <w:pPr>
              <w:pStyle w:val="TableText"/>
              <w:spacing w:before="40" w:after="40"/>
              <w:ind w:right="85"/>
              <w:jc w:val="right"/>
              <w:rPr>
                <w:sz w:val="15"/>
                <w:szCs w:val="15"/>
              </w:rPr>
            </w:pPr>
            <w:r w:rsidRPr="00BC0D1F">
              <w:rPr>
                <w:sz w:val="15"/>
                <w:szCs w:val="15"/>
              </w:rPr>
              <w:t>53,114</w:t>
            </w:r>
          </w:p>
        </w:tc>
        <w:tc>
          <w:tcPr>
            <w:tcW w:w="850" w:type="dxa"/>
            <w:tcBorders>
              <w:top w:val="nil"/>
              <w:left w:val="nil"/>
              <w:bottom w:val="nil"/>
              <w:right w:val="nil"/>
            </w:tcBorders>
            <w:shd w:val="clear" w:color="auto" w:fill="auto"/>
          </w:tcPr>
          <w:p w14:paraId="2C8525C6" w14:textId="77777777" w:rsidR="00D60822" w:rsidRPr="00BC0D1F" w:rsidRDefault="00D60822" w:rsidP="00F06348">
            <w:pPr>
              <w:pStyle w:val="TableText"/>
              <w:spacing w:before="40" w:after="40"/>
              <w:jc w:val="right"/>
              <w:rPr>
                <w:sz w:val="15"/>
                <w:szCs w:val="15"/>
              </w:rPr>
            </w:pPr>
            <w:r w:rsidRPr="00BC0D1F">
              <w:rPr>
                <w:sz w:val="15"/>
                <w:szCs w:val="15"/>
              </w:rPr>
              <w:t>55,797</w:t>
            </w:r>
          </w:p>
        </w:tc>
        <w:tc>
          <w:tcPr>
            <w:tcW w:w="992" w:type="dxa"/>
            <w:tcBorders>
              <w:top w:val="nil"/>
              <w:left w:val="nil"/>
              <w:bottom w:val="nil"/>
              <w:right w:val="nil"/>
            </w:tcBorders>
            <w:shd w:val="clear" w:color="auto" w:fill="auto"/>
          </w:tcPr>
          <w:p w14:paraId="0B06DA73" w14:textId="77777777" w:rsidR="00D60822" w:rsidRPr="00BC0D1F" w:rsidRDefault="00D60822" w:rsidP="00F06348">
            <w:pPr>
              <w:pStyle w:val="TableText"/>
              <w:spacing w:before="40" w:after="40"/>
              <w:jc w:val="right"/>
              <w:rPr>
                <w:sz w:val="15"/>
                <w:szCs w:val="15"/>
              </w:rPr>
            </w:pPr>
            <w:r w:rsidRPr="00BC0D1F">
              <w:rPr>
                <w:sz w:val="15"/>
                <w:szCs w:val="15"/>
              </w:rPr>
              <w:t>53,482</w:t>
            </w:r>
          </w:p>
        </w:tc>
        <w:tc>
          <w:tcPr>
            <w:tcW w:w="1276" w:type="dxa"/>
            <w:tcBorders>
              <w:top w:val="nil"/>
              <w:left w:val="nil"/>
              <w:bottom w:val="nil"/>
              <w:right w:val="nil"/>
            </w:tcBorders>
            <w:shd w:val="clear" w:color="auto" w:fill="auto"/>
          </w:tcPr>
          <w:p w14:paraId="20F72620" w14:textId="77777777" w:rsidR="00D60822" w:rsidRPr="00BC0D1F" w:rsidRDefault="00D60822" w:rsidP="00F06348">
            <w:pPr>
              <w:pStyle w:val="TableText"/>
              <w:spacing w:before="40" w:after="40"/>
              <w:jc w:val="right"/>
              <w:rPr>
                <w:sz w:val="15"/>
                <w:szCs w:val="15"/>
              </w:rPr>
            </w:pPr>
            <w:r w:rsidRPr="00BC0D1F">
              <w:rPr>
                <w:sz w:val="15"/>
                <w:szCs w:val="15"/>
              </w:rPr>
              <w:t>0.35%</w:t>
            </w:r>
          </w:p>
        </w:tc>
        <w:tc>
          <w:tcPr>
            <w:tcW w:w="1276" w:type="dxa"/>
            <w:tcBorders>
              <w:top w:val="nil"/>
              <w:left w:val="nil"/>
              <w:bottom w:val="nil"/>
              <w:right w:val="nil"/>
            </w:tcBorders>
            <w:shd w:val="clear" w:color="auto" w:fill="auto"/>
          </w:tcPr>
          <w:p w14:paraId="447E63E1" w14:textId="77777777" w:rsidR="00D60822" w:rsidRPr="00BC0D1F" w:rsidRDefault="00D60822" w:rsidP="00F06348">
            <w:pPr>
              <w:pStyle w:val="TableText"/>
              <w:spacing w:before="40" w:after="40"/>
              <w:ind w:left="85"/>
              <w:rPr>
                <w:sz w:val="15"/>
                <w:szCs w:val="15"/>
              </w:rPr>
            </w:pPr>
          </w:p>
        </w:tc>
      </w:tr>
      <w:tr w:rsidR="00810942" w:rsidRPr="00BC0D1F" w14:paraId="007B46E1" w14:textId="77777777" w:rsidTr="00F06348">
        <w:trPr>
          <w:cantSplit/>
        </w:trPr>
        <w:tc>
          <w:tcPr>
            <w:tcW w:w="993" w:type="dxa"/>
            <w:tcBorders>
              <w:top w:val="nil"/>
              <w:left w:val="nil"/>
              <w:bottom w:val="nil"/>
              <w:right w:val="nil"/>
            </w:tcBorders>
            <w:shd w:val="clear" w:color="auto" w:fill="auto"/>
          </w:tcPr>
          <w:p w14:paraId="57EF070C" w14:textId="77777777" w:rsidR="00D60822" w:rsidRPr="00BC0D1F" w:rsidRDefault="00D60822" w:rsidP="00F06348">
            <w:pPr>
              <w:pStyle w:val="TableText"/>
              <w:spacing w:before="40" w:after="40"/>
              <w:ind w:right="85"/>
              <w:jc w:val="right"/>
              <w:rPr>
                <w:sz w:val="15"/>
                <w:szCs w:val="15"/>
              </w:rPr>
            </w:pPr>
            <w:r w:rsidRPr="00BC0D1F">
              <w:rPr>
                <w:sz w:val="15"/>
                <w:szCs w:val="15"/>
              </w:rPr>
              <w:t>21,171</w:t>
            </w:r>
          </w:p>
        </w:tc>
        <w:tc>
          <w:tcPr>
            <w:tcW w:w="2551" w:type="dxa"/>
            <w:tcBorders>
              <w:top w:val="nil"/>
              <w:left w:val="nil"/>
              <w:bottom w:val="nil"/>
              <w:right w:val="nil"/>
            </w:tcBorders>
            <w:shd w:val="clear" w:color="auto" w:fill="auto"/>
          </w:tcPr>
          <w:p w14:paraId="07EE4AC1" w14:textId="77777777" w:rsidR="00D60822" w:rsidRPr="00BC0D1F" w:rsidRDefault="00D60822" w:rsidP="00F06348">
            <w:pPr>
              <w:pStyle w:val="TableText"/>
              <w:spacing w:before="40" w:after="40"/>
              <w:rPr>
                <w:sz w:val="15"/>
                <w:szCs w:val="15"/>
              </w:rPr>
            </w:pPr>
            <w:r w:rsidRPr="00BC0D1F">
              <w:rPr>
                <w:sz w:val="15"/>
                <w:szCs w:val="15"/>
              </w:rPr>
              <w:t>National contracted services</w:t>
            </w:r>
            <w:r w:rsidR="00CF4DCF" w:rsidRPr="00BC0D1F">
              <w:rPr>
                <w:sz w:val="15"/>
                <w:szCs w:val="15"/>
              </w:rPr>
              <w:t xml:space="preserve"> – </w:t>
            </w:r>
            <w:r w:rsidRPr="00BC0D1F">
              <w:rPr>
                <w:sz w:val="15"/>
                <w:szCs w:val="15"/>
              </w:rPr>
              <w:t>other</w:t>
            </w:r>
          </w:p>
        </w:tc>
        <w:tc>
          <w:tcPr>
            <w:tcW w:w="425" w:type="dxa"/>
            <w:tcBorders>
              <w:top w:val="nil"/>
              <w:left w:val="nil"/>
              <w:bottom w:val="nil"/>
              <w:right w:val="nil"/>
            </w:tcBorders>
            <w:shd w:val="clear" w:color="auto" w:fill="auto"/>
          </w:tcPr>
          <w:p w14:paraId="5BB67719"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0203E1A3" w14:textId="77777777" w:rsidR="00D60822" w:rsidRPr="00BC0D1F" w:rsidRDefault="00D60822" w:rsidP="00F06348">
            <w:pPr>
              <w:pStyle w:val="TableText"/>
              <w:spacing w:before="40" w:after="40"/>
              <w:ind w:right="85"/>
              <w:jc w:val="right"/>
              <w:rPr>
                <w:sz w:val="15"/>
                <w:szCs w:val="15"/>
              </w:rPr>
            </w:pPr>
            <w:r w:rsidRPr="00BC0D1F">
              <w:rPr>
                <w:sz w:val="15"/>
                <w:szCs w:val="15"/>
              </w:rPr>
              <w:t>24,518</w:t>
            </w:r>
          </w:p>
        </w:tc>
        <w:tc>
          <w:tcPr>
            <w:tcW w:w="850" w:type="dxa"/>
            <w:tcBorders>
              <w:top w:val="nil"/>
              <w:left w:val="nil"/>
              <w:bottom w:val="nil"/>
              <w:right w:val="nil"/>
            </w:tcBorders>
            <w:shd w:val="clear" w:color="auto" w:fill="auto"/>
          </w:tcPr>
          <w:p w14:paraId="69F3DEBD" w14:textId="77777777" w:rsidR="00D60822" w:rsidRPr="00BC0D1F" w:rsidRDefault="00D60822" w:rsidP="00F06348">
            <w:pPr>
              <w:pStyle w:val="TableText"/>
              <w:spacing w:before="40" w:after="40"/>
              <w:jc w:val="right"/>
              <w:rPr>
                <w:sz w:val="15"/>
                <w:szCs w:val="15"/>
              </w:rPr>
            </w:pPr>
            <w:r w:rsidRPr="00BC0D1F">
              <w:rPr>
                <w:sz w:val="15"/>
                <w:szCs w:val="15"/>
              </w:rPr>
              <w:t>45,378</w:t>
            </w:r>
          </w:p>
        </w:tc>
        <w:tc>
          <w:tcPr>
            <w:tcW w:w="992" w:type="dxa"/>
            <w:tcBorders>
              <w:top w:val="nil"/>
              <w:left w:val="nil"/>
              <w:bottom w:val="nil"/>
              <w:right w:val="nil"/>
            </w:tcBorders>
            <w:shd w:val="clear" w:color="auto" w:fill="auto"/>
          </w:tcPr>
          <w:p w14:paraId="4BB4DF2A" w14:textId="77777777" w:rsidR="00D60822" w:rsidRPr="00BC0D1F" w:rsidRDefault="00D60822" w:rsidP="00F06348">
            <w:pPr>
              <w:pStyle w:val="TableText"/>
              <w:spacing w:before="40" w:after="40"/>
              <w:jc w:val="right"/>
              <w:rPr>
                <w:sz w:val="15"/>
                <w:szCs w:val="15"/>
              </w:rPr>
            </w:pPr>
            <w:r w:rsidRPr="00BC0D1F">
              <w:rPr>
                <w:sz w:val="15"/>
                <w:szCs w:val="15"/>
              </w:rPr>
              <w:t>25,820</w:t>
            </w:r>
          </w:p>
        </w:tc>
        <w:tc>
          <w:tcPr>
            <w:tcW w:w="1276" w:type="dxa"/>
            <w:tcBorders>
              <w:top w:val="nil"/>
              <w:left w:val="nil"/>
              <w:bottom w:val="nil"/>
              <w:right w:val="nil"/>
            </w:tcBorders>
            <w:shd w:val="clear" w:color="auto" w:fill="auto"/>
          </w:tcPr>
          <w:p w14:paraId="74E22B51" w14:textId="77777777" w:rsidR="00D60822" w:rsidRPr="00BC0D1F" w:rsidRDefault="00D60822" w:rsidP="00F06348">
            <w:pPr>
              <w:pStyle w:val="TableText"/>
              <w:spacing w:before="40" w:after="40"/>
              <w:jc w:val="right"/>
              <w:rPr>
                <w:sz w:val="15"/>
                <w:szCs w:val="15"/>
              </w:rPr>
            </w:pPr>
            <w:r w:rsidRPr="00BC0D1F">
              <w:rPr>
                <w:sz w:val="15"/>
                <w:szCs w:val="15"/>
              </w:rPr>
              <w:t>0.16%</w:t>
            </w:r>
          </w:p>
        </w:tc>
        <w:tc>
          <w:tcPr>
            <w:tcW w:w="1276" w:type="dxa"/>
            <w:tcBorders>
              <w:top w:val="nil"/>
              <w:left w:val="nil"/>
              <w:bottom w:val="nil"/>
              <w:right w:val="nil"/>
            </w:tcBorders>
            <w:shd w:val="clear" w:color="auto" w:fill="auto"/>
          </w:tcPr>
          <w:p w14:paraId="23A4B332" w14:textId="0EEFE202" w:rsidR="00D60822" w:rsidRPr="00BC0D1F" w:rsidRDefault="00BF547F" w:rsidP="00BF547F">
            <w:pPr>
              <w:pStyle w:val="TableText"/>
              <w:spacing w:before="40" w:after="40"/>
              <w:ind w:left="85"/>
              <w:rPr>
                <w:sz w:val="15"/>
                <w:szCs w:val="15"/>
              </w:rPr>
            </w:pPr>
            <w:r w:rsidRPr="00BC0D1F">
              <w:rPr>
                <w:sz w:val="15"/>
                <w:szCs w:val="15"/>
              </w:rPr>
              <w:t xml:space="preserve">Vote Health </w:t>
            </w:r>
          </w:p>
        </w:tc>
      </w:tr>
      <w:tr w:rsidR="00810942" w:rsidRPr="00BC0D1F" w14:paraId="16DD4F9E" w14:textId="77777777" w:rsidTr="00F06348">
        <w:trPr>
          <w:cantSplit/>
        </w:trPr>
        <w:tc>
          <w:tcPr>
            <w:tcW w:w="993" w:type="dxa"/>
            <w:tcBorders>
              <w:top w:val="nil"/>
              <w:left w:val="nil"/>
              <w:bottom w:val="nil"/>
              <w:right w:val="nil"/>
            </w:tcBorders>
            <w:shd w:val="clear" w:color="auto" w:fill="auto"/>
          </w:tcPr>
          <w:p w14:paraId="145AE4AE" w14:textId="77777777" w:rsidR="00D60822" w:rsidRPr="00BC0D1F" w:rsidRDefault="00D60822" w:rsidP="00F06348">
            <w:pPr>
              <w:pStyle w:val="TableText"/>
              <w:spacing w:before="40" w:after="40"/>
              <w:ind w:right="85"/>
              <w:jc w:val="right"/>
              <w:rPr>
                <w:sz w:val="15"/>
                <w:szCs w:val="15"/>
              </w:rPr>
            </w:pPr>
            <w:r w:rsidRPr="00BC0D1F">
              <w:rPr>
                <w:sz w:val="15"/>
                <w:szCs w:val="15"/>
              </w:rPr>
              <w:t>242</w:t>
            </w:r>
          </w:p>
        </w:tc>
        <w:tc>
          <w:tcPr>
            <w:tcW w:w="2551" w:type="dxa"/>
            <w:tcBorders>
              <w:top w:val="nil"/>
              <w:left w:val="nil"/>
              <w:bottom w:val="nil"/>
              <w:right w:val="nil"/>
            </w:tcBorders>
            <w:shd w:val="clear" w:color="auto" w:fill="auto"/>
          </w:tcPr>
          <w:p w14:paraId="7E03B0DD" w14:textId="77777777" w:rsidR="00D60822" w:rsidRPr="00BC0D1F" w:rsidRDefault="00D60822" w:rsidP="00F06348">
            <w:pPr>
              <w:pStyle w:val="TableText"/>
              <w:spacing w:before="40" w:after="40"/>
              <w:rPr>
                <w:sz w:val="15"/>
                <w:szCs w:val="15"/>
              </w:rPr>
            </w:pPr>
            <w:r w:rsidRPr="00BC0D1F">
              <w:rPr>
                <w:sz w:val="15"/>
                <w:szCs w:val="15"/>
              </w:rPr>
              <w:t>National advisory and support services</w:t>
            </w:r>
          </w:p>
        </w:tc>
        <w:tc>
          <w:tcPr>
            <w:tcW w:w="425" w:type="dxa"/>
            <w:tcBorders>
              <w:top w:val="nil"/>
              <w:left w:val="nil"/>
              <w:bottom w:val="nil"/>
              <w:right w:val="nil"/>
            </w:tcBorders>
            <w:shd w:val="clear" w:color="auto" w:fill="auto"/>
          </w:tcPr>
          <w:p w14:paraId="6EA508D4"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4C509CE2" w14:textId="77777777" w:rsidR="00D60822" w:rsidRPr="00BC0D1F" w:rsidRDefault="000677F9" w:rsidP="00F06348">
            <w:pPr>
              <w:pStyle w:val="TableText"/>
              <w:spacing w:before="40" w:after="40"/>
              <w:ind w:right="85"/>
              <w:jc w:val="right"/>
              <w:rPr>
                <w:sz w:val="15"/>
                <w:szCs w:val="15"/>
              </w:rPr>
            </w:pPr>
            <w:r w:rsidRPr="00BC0D1F">
              <w:rPr>
                <w:sz w:val="15"/>
                <w:szCs w:val="15"/>
              </w:rPr>
              <w:t>–</w:t>
            </w:r>
          </w:p>
        </w:tc>
        <w:tc>
          <w:tcPr>
            <w:tcW w:w="850" w:type="dxa"/>
            <w:tcBorders>
              <w:top w:val="nil"/>
              <w:left w:val="nil"/>
              <w:bottom w:val="nil"/>
              <w:right w:val="nil"/>
            </w:tcBorders>
            <w:shd w:val="clear" w:color="auto" w:fill="auto"/>
          </w:tcPr>
          <w:p w14:paraId="4B9F6B48" w14:textId="77777777" w:rsidR="00D60822" w:rsidRPr="00BC0D1F" w:rsidRDefault="00D60822" w:rsidP="00F06348">
            <w:pPr>
              <w:pStyle w:val="TableText"/>
              <w:spacing w:before="40" w:after="40"/>
              <w:jc w:val="right"/>
              <w:rPr>
                <w:sz w:val="15"/>
                <w:szCs w:val="15"/>
              </w:rPr>
            </w:pPr>
            <w:r w:rsidRPr="00BC0D1F">
              <w:rPr>
                <w:sz w:val="15"/>
                <w:szCs w:val="15"/>
              </w:rPr>
              <w:t>260</w:t>
            </w:r>
          </w:p>
        </w:tc>
        <w:tc>
          <w:tcPr>
            <w:tcW w:w="992" w:type="dxa"/>
            <w:tcBorders>
              <w:top w:val="nil"/>
              <w:left w:val="nil"/>
              <w:bottom w:val="nil"/>
              <w:right w:val="nil"/>
            </w:tcBorders>
            <w:shd w:val="clear" w:color="auto" w:fill="auto"/>
          </w:tcPr>
          <w:p w14:paraId="3DE3998D" w14:textId="77777777" w:rsidR="00D60822" w:rsidRPr="00BC0D1F" w:rsidRDefault="000677F9" w:rsidP="00F06348">
            <w:pPr>
              <w:pStyle w:val="TableText"/>
              <w:spacing w:before="40" w:after="40"/>
              <w:jc w:val="right"/>
              <w:rPr>
                <w:sz w:val="15"/>
                <w:szCs w:val="15"/>
              </w:rPr>
            </w:pPr>
            <w:r w:rsidRPr="00BC0D1F">
              <w:rPr>
                <w:sz w:val="15"/>
                <w:szCs w:val="15"/>
              </w:rPr>
              <w:t>–</w:t>
            </w:r>
          </w:p>
        </w:tc>
        <w:tc>
          <w:tcPr>
            <w:tcW w:w="1276" w:type="dxa"/>
            <w:tcBorders>
              <w:top w:val="nil"/>
              <w:left w:val="nil"/>
              <w:bottom w:val="nil"/>
              <w:right w:val="nil"/>
            </w:tcBorders>
            <w:shd w:val="clear" w:color="auto" w:fill="auto"/>
          </w:tcPr>
          <w:p w14:paraId="5F867B61" w14:textId="77777777" w:rsidR="00D60822" w:rsidRPr="00BC0D1F" w:rsidRDefault="00D60822" w:rsidP="00F06348">
            <w:pPr>
              <w:pStyle w:val="TableText"/>
              <w:spacing w:before="40" w:after="40"/>
              <w:jc w:val="right"/>
              <w:rPr>
                <w:sz w:val="15"/>
                <w:szCs w:val="15"/>
              </w:rPr>
            </w:pPr>
            <w:r w:rsidRPr="00BC0D1F">
              <w:rPr>
                <w:sz w:val="15"/>
                <w:szCs w:val="15"/>
              </w:rPr>
              <w:t>0.00%</w:t>
            </w:r>
          </w:p>
        </w:tc>
        <w:tc>
          <w:tcPr>
            <w:tcW w:w="1276" w:type="dxa"/>
            <w:tcBorders>
              <w:top w:val="nil"/>
              <w:left w:val="nil"/>
              <w:bottom w:val="nil"/>
              <w:right w:val="nil"/>
            </w:tcBorders>
            <w:shd w:val="clear" w:color="auto" w:fill="auto"/>
          </w:tcPr>
          <w:p w14:paraId="45382B2E" w14:textId="28BDA857" w:rsidR="00D60822" w:rsidRPr="00BC0D1F" w:rsidRDefault="00BF547F" w:rsidP="00F06348">
            <w:pPr>
              <w:pStyle w:val="TableText"/>
              <w:spacing w:before="40" w:after="40"/>
              <w:ind w:left="85"/>
              <w:rPr>
                <w:sz w:val="15"/>
                <w:szCs w:val="15"/>
              </w:rPr>
            </w:pPr>
            <w:r w:rsidRPr="00BC0D1F">
              <w:rPr>
                <w:sz w:val="15"/>
                <w:szCs w:val="15"/>
              </w:rPr>
              <w:t>Annual Report</w:t>
            </w:r>
          </w:p>
        </w:tc>
      </w:tr>
      <w:tr w:rsidR="00810942" w:rsidRPr="00BC0D1F" w14:paraId="4DDD2A19" w14:textId="77777777" w:rsidTr="00F06348">
        <w:trPr>
          <w:cantSplit/>
        </w:trPr>
        <w:tc>
          <w:tcPr>
            <w:tcW w:w="993" w:type="dxa"/>
            <w:tcBorders>
              <w:top w:val="nil"/>
              <w:left w:val="nil"/>
              <w:bottom w:val="nil"/>
              <w:right w:val="nil"/>
            </w:tcBorders>
            <w:shd w:val="clear" w:color="auto" w:fill="auto"/>
          </w:tcPr>
          <w:p w14:paraId="434413F3" w14:textId="77777777" w:rsidR="00D31199" w:rsidRPr="00BC0D1F" w:rsidRDefault="00D31199" w:rsidP="00F06348">
            <w:pPr>
              <w:pStyle w:val="TableText"/>
              <w:spacing w:before="40" w:after="40"/>
              <w:ind w:right="85"/>
              <w:jc w:val="right"/>
              <w:rPr>
                <w:sz w:val="15"/>
                <w:szCs w:val="15"/>
              </w:rPr>
            </w:pPr>
            <w:r w:rsidRPr="00BC0D1F">
              <w:rPr>
                <w:sz w:val="15"/>
                <w:szCs w:val="15"/>
              </w:rPr>
              <w:t>27,583</w:t>
            </w:r>
          </w:p>
        </w:tc>
        <w:tc>
          <w:tcPr>
            <w:tcW w:w="2551" w:type="dxa"/>
            <w:tcBorders>
              <w:top w:val="nil"/>
              <w:left w:val="nil"/>
              <w:bottom w:val="nil"/>
              <w:right w:val="nil"/>
            </w:tcBorders>
            <w:shd w:val="clear" w:color="auto" w:fill="auto"/>
          </w:tcPr>
          <w:p w14:paraId="25BE29EB" w14:textId="77777777" w:rsidR="00D31199" w:rsidRPr="00BC0D1F" w:rsidRDefault="00D31199" w:rsidP="00F06348">
            <w:pPr>
              <w:pStyle w:val="TableText"/>
              <w:spacing w:before="40" w:after="40"/>
              <w:rPr>
                <w:sz w:val="15"/>
                <w:szCs w:val="15"/>
              </w:rPr>
            </w:pPr>
            <w:r w:rsidRPr="00BC0D1F">
              <w:rPr>
                <w:sz w:val="15"/>
                <w:szCs w:val="15"/>
              </w:rPr>
              <w:t>Monitoring and protecting health and disability consumer interests</w:t>
            </w:r>
          </w:p>
        </w:tc>
        <w:tc>
          <w:tcPr>
            <w:tcW w:w="425" w:type="dxa"/>
            <w:tcBorders>
              <w:top w:val="nil"/>
              <w:left w:val="nil"/>
              <w:bottom w:val="nil"/>
              <w:right w:val="nil"/>
            </w:tcBorders>
            <w:shd w:val="clear" w:color="auto" w:fill="auto"/>
          </w:tcPr>
          <w:p w14:paraId="0B5AF1A5" w14:textId="77777777" w:rsidR="00D31199" w:rsidRPr="00BC0D1F" w:rsidRDefault="00D31199"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3AF4EF2E" w14:textId="77777777" w:rsidR="00D31199" w:rsidRPr="00BC0D1F" w:rsidRDefault="00D31199" w:rsidP="00F06348">
            <w:pPr>
              <w:pStyle w:val="TableText"/>
              <w:spacing w:before="40" w:after="40"/>
              <w:ind w:right="85"/>
              <w:jc w:val="right"/>
              <w:rPr>
                <w:sz w:val="15"/>
                <w:szCs w:val="15"/>
              </w:rPr>
            </w:pPr>
            <w:r w:rsidRPr="00BC0D1F">
              <w:rPr>
                <w:sz w:val="15"/>
                <w:szCs w:val="15"/>
              </w:rPr>
              <w:t>27,510</w:t>
            </w:r>
          </w:p>
        </w:tc>
        <w:tc>
          <w:tcPr>
            <w:tcW w:w="850" w:type="dxa"/>
            <w:tcBorders>
              <w:top w:val="nil"/>
              <w:left w:val="nil"/>
              <w:bottom w:val="nil"/>
              <w:right w:val="nil"/>
            </w:tcBorders>
            <w:shd w:val="clear" w:color="auto" w:fill="auto"/>
          </w:tcPr>
          <w:p w14:paraId="61887FF1" w14:textId="77777777" w:rsidR="00D31199" w:rsidRPr="00BC0D1F" w:rsidRDefault="00D31199" w:rsidP="00F06348">
            <w:pPr>
              <w:pStyle w:val="TableText"/>
              <w:spacing w:before="40" w:after="40"/>
              <w:jc w:val="right"/>
              <w:rPr>
                <w:sz w:val="15"/>
                <w:szCs w:val="15"/>
              </w:rPr>
            </w:pPr>
            <w:r w:rsidRPr="00BC0D1F">
              <w:rPr>
                <w:sz w:val="15"/>
                <w:szCs w:val="15"/>
              </w:rPr>
              <w:t>27,096</w:t>
            </w:r>
          </w:p>
        </w:tc>
        <w:tc>
          <w:tcPr>
            <w:tcW w:w="992" w:type="dxa"/>
            <w:tcBorders>
              <w:top w:val="nil"/>
              <w:left w:val="nil"/>
              <w:bottom w:val="nil"/>
              <w:right w:val="nil"/>
            </w:tcBorders>
            <w:shd w:val="clear" w:color="auto" w:fill="auto"/>
          </w:tcPr>
          <w:p w14:paraId="4CA11E49" w14:textId="77777777" w:rsidR="00D31199" w:rsidRPr="00BC0D1F" w:rsidRDefault="00D31199" w:rsidP="00F06348">
            <w:pPr>
              <w:pStyle w:val="TableText"/>
              <w:spacing w:before="40" w:after="40"/>
              <w:jc w:val="right"/>
              <w:rPr>
                <w:sz w:val="15"/>
                <w:szCs w:val="15"/>
              </w:rPr>
            </w:pPr>
            <w:r w:rsidRPr="00BC0D1F">
              <w:rPr>
                <w:sz w:val="15"/>
                <w:szCs w:val="15"/>
              </w:rPr>
              <w:t>27,596</w:t>
            </w:r>
          </w:p>
        </w:tc>
        <w:tc>
          <w:tcPr>
            <w:tcW w:w="1276" w:type="dxa"/>
            <w:tcBorders>
              <w:top w:val="nil"/>
              <w:left w:val="nil"/>
              <w:bottom w:val="nil"/>
              <w:right w:val="nil"/>
            </w:tcBorders>
            <w:shd w:val="clear" w:color="auto" w:fill="auto"/>
          </w:tcPr>
          <w:p w14:paraId="5C13B946" w14:textId="77777777" w:rsidR="00D31199" w:rsidRPr="00BC0D1F" w:rsidRDefault="00D31199" w:rsidP="00F06348">
            <w:pPr>
              <w:pStyle w:val="TableText"/>
              <w:spacing w:before="40" w:after="40"/>
              <w:jc w:val="right"/>
              <w:rPr>
                <w:sz w:val="15"/>
                <w:szCs w:val="15"/>
              </w:rPr>
            </w:pPr>
            <w:r w:rsidRPr="00BC0D1F">
              <w:rPr>
                <w:sz w:val="15"/>
                <w:szCs w:val="15"/>
              </w:rPr>
              <w:t>0.18%</w:t>
            </w:r>
          </w:p>
        </w:tc>
        <w:tc>
          <w:tcPr>
            <w:tcW w:w="1276" w:type="dxa"/>
            <w:tcBorders>
              <w:top w:val="nil"/>
              <w:left w:val="nil"/>
              <w:bottom w:val="nil"/>
              <w:right w:val="nil"/>
            </w:tcBorders>
            <w:shd w:val="clear" w:color="auto" w:fill="auto"/>
          </w:tcPr>
          <w:p w14:paraId="7BB79BB3" w14:textId="77777777" w:rsidR="00D31199" w:rsidRPr="00BC0D1F" w:rsidRDefault="00D31199" w:rsidP="00F06348">
            <w:pPr>
              <w:pStyle w:val="TableText"/>
              <w:spacing w:before="40" w:after="40"/>
              <w:ind w:left="85"/>
              <w:rPr>
                <w:sz w:val="15"/>
                <w:szCs w:val="15"/>
              </w:rPr>
            </w:pPr>
          </w:p>
        </w:tc>
      </w:tr>
      <w:tr w:rsidR="00810942" w:rsidRPr="00BC0D1F" w14:paraId="7C5AF166" w14:textId="77777777" w:rsidTr="00F06348">
        <w:trPr>
          <w:cantSplit/>
        </w:trPr>
        <w:tc>
          <w:tcPr>
            <w:tcW w:w="993" w:type="dxa"/>
            <w:tcBorders>
              <w:top w:val="nil"/>
              <w:left w:val="nil"/>
              <w:bottom w:val="nil"/>
              <w:right w:val="nil"/>
            </w:tcBorders>
            <w:shd w:val="clear" w:color="auto" w:fill="auto"/>
          </w:tcPr>
          <w:p w14:paraId="38A4D587" w14:textId="77777777" w:rsidR="00D60822" w:rsidRPr="00BC0D1F" w:rsidRDefault="00D60822" w:rsidP="00F06348">
            <w:pPr>
              <w:pStyle w:val="TableText"/>
              <w:spacing w:before="40" w:after="40"/>
              <w:ind w:right="85"/>
              <w:jc w:val="right"/>
              <w:rPr>
                <w:sz w:val="15"/>
                <w:szCs w:val="15"/>
              </w:rPr>
            </w:pPr>
            <w:r w:rsidRPr="00BC0D1F">
              <w:rPr>
                <w:sz w:val="15"/>
                <w:szCs w:val="15"/>
              </w:rPr>
              <w:t>15,735</w:t>
            </w:r>
          </w:p>
        </w:tc>
        <w:tc>
          <w:tcPr>
            <w:tcW w:w="2551" w:type="dxa"/>
            <w:tcBorders>
              <w:top w:val="nil"/>
              <w:left w:val="nil"/>
              <w:bottom w:val="nil"/>
              <w:right w:val="nil"/>
            </w:tcBorders>
            <w:shd w:val="clear" w:color="auto" w:fill="auto"/>
          </w:tcPr>
          <w:p w14:paraId="26A06AB8" w14:textId="77777777" w:rsidR="00D60822" w:rsidRPr="00BC0D1F" w:rsidRDefault="00D60822" w:rsidP="00F06348">
            <w:pPr>
              <w:pStyle w:val="TableText"/>
              <w:spacing w:before="40" w:after="40"/>
              <w:rPr>
                <w:sz w:val="15"/>
                <w:szCs w:val="15"/>
              </w:rPr>
            </w:pPr>
            <w:r w:rsidRPr="00BC0D1F">
              <w:rPr>
                <w:sz w:val="15"/>
                <w:szCs w:val="15"/>
              </w:rPr>
              <w:t>Problem gambling services</w:t>
            </w:r>
          </w:p>
        </w:tc>
        <w:tc>
          <w:tcPr>
            <w:tcW w:w="425" w:type="dxa"/>
            <w:tcBorders>
              <w:top w:val="nil"/>
              <w:left w:val="nil"/>
              <w:bottom w:val="nil"/>
              <w:right w:val="nil"/>
            </w:tcBorders>
            <w:shd w:val="clear" w:color="auto" w:fill="auto"/>
          </w:tcPr>
          <w:p w14:paraId="732AE40A"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4F7B539C" w14:textId="77777777" w:rsidR="00D60822" w:rsidRPr="00BC0D1F" w:rsidRDefault="00D60822" w:rsidP="00F06348">
            <w:pPr>
              <w:pStyle w:val="TableText"/>
              <w:spacing w:before="40" w:after="40"/>
              <w:ind w:right="85"/>
              <w:jc w:val="right"/>
              <w:rPr>
                <w:sz w:val="15"/>
                <w:szCs w:val="15"/>
              </w:rPr>
            </w:pPr>
            <w:r w:rsidRPr="00BC0D1F">
              <w:rPr>
                <w:sz w:val="15"/>
                <w:szCs w:val="15"/>
              </w:rPr>
              <w:t>18,205</w:t>
            </w:r>
          </w:p>
        </w:tc>
        <w:tc>
          <w:tcPr>
            <w:tcW w:w="850" w:type="dxa"/>
            <w:tcBorders>
              <w:top w:val="nil"/>
              <w:left w:val="nil"/>
              <w:bottom w:val="nil"/>
              <w:right w:val="nil"/>
            </w:tcBorders>
            <w:shd w:val="clear" w:color="auto" w:fill="auto"/>
          </w:tcPr>
          <w:p w14:paraId="49436ACD" w14:textId="77777777" w:rsidR="00D60822" w:rsidRPr="00BC0D1F" w:rsidRDefault="00D60822" w:rsidP="00F06348">
            <w:pPr>
              <w:pStyle w:val="TableText"/>
              <w:spacing w:before="40" w:after="40"/>
              <w:jc w:val="right"/>
              <w:rPr>
                <w:sz w:val="15"/>
                <w:szCs w:val="15"/>
              </w:rPr>
            </w:pPr>
            <w:r w:rsidRPr="00BC0D1F">
              <w:rPr>
                <w:sz w:val="15"/>
                <w:szCs w:val="15"/>
              </w:rPr>
              <w:t>17,130</w:t>
            </w:r>
          </w:p>
        </w:tc>
        <w:tc>
          <w:tcPr>
            <w:tcW w:w="992" w:type="dxa"/>
            <w:tcBorders>
              <w:top w:val="nil"/>
              <w:left w:val="nil"/>
              <w:bottom w:val="nil"/>
              <w:right w:val="nil"/>
            </w:tcBorders>
            <w:shd w:val="clear" w:color="auto" w:fill="auto"/>
          </w:tcPr>
          <w:p w14:paraId="3A65203A" w14:textId="77777777" w:rsidR="00D60822" w:rsidRPr="00BC0D1F" w:rsidRDefault="00D60822" w:rsidP="00F06348">
            <w:pPr>
              <w:pStyle w:val="TableText"/>
              <w:spacing w:before="40" w:after="40"/>
              <w:jc w:val="right"/>
              <w:rPr>
                <w:sz w:val="15"/>
                <w:szCs w:val="15"/>
              </w:rPr>
            </w:pPr>
            <w:r w:rsidRPr="00BC0D1F">
              <w:rPr>
                <w:sz w:val="15"/>
                <w:szCs w:val="15"/>
              </w:rPr>
              <w:t>20,630</w:t>
            </w:r>
          </w:p>
        </w:tc>
        <w:tc>
          <w:tcPr>
            <w:tcW w:w="1276" w:type="dxa"/>
            <w:tcBorders>
              <w:top w:val="nil"/>
              <w:left w:val="nil"/>
              <w:bottom w:val="nil"/>
              <w:right w:val="nil"/>
            </w:tcBorders>
            <w:shd w:val="clear" w:color="auto" w:fill="auto"/>
          </w:tcPr>
          <w:p w14:paraId="54921E2C" w14:textId="77777777" w:rsidR="00D60822" w:rsidRPr="00BC0D1F" w:rsidRDefault="00D60822" w:rsidP="00F06348">
            <w:pPr>
              <w:pStyle w:val="TableText"/>
              <w:spacing w:before="40" w:after="40"/>
              <w:jc w:val="right"/>
              <w:rPr>
                <w:sz w:val="15"/>
                <w:szCs w:val="15"/>
              </w:rPr>
            </w:pPr>
            <w:r w:rsidRPr="00BC0D1F">
              <w:rPr>
                <w:sz w:val="15"/>
                <w:szCs w:val="15"/>
              </w:rPr>
              <w:t>0.12%</w:t>
            </w:r>
          </w:p>
        </w:tc>
        <w:tc>
          <w:tcPr>
            <w:tcW w:w="1276" w:type="dxa"/>
            <w:tcBorders>
              <w:top w:val="nil"/>
              <w:left w:val="nil"/>
              <w:bottom w:val="nil"/>
              <w:right w:val="nil"/>
            </w:tcBorders>
            <w:shd w:val="clear" w:color="auto" w:fill="auto"/>
          </w:tcPr>
          <w:p w14:paraId="049C544E" w14:textId="77777777" w:rsidR="00D60822" w:rsidRPr="00BC0D1F" w:rsidRDefault="00D60822" w:rsidP="00F06348">
            <w:pPr>
              <w:pStyle w:val="TableText"/>
              <w:spacing w:before="40" w:after="40"/>
              <w:ind w:left="85"/>
              <w:rPr>
                <w:sz w:val="15"/>
                <w:szCs w:val="15"/>
              </w:rPr>
            </w:pPr>
          </w:p>
        </w:tc>
      </w:tr>
      <w:tr w:rsidR="00810942" w:rsidRPr="00BC0D1F" w14:paraId="06205BC2" w14:textId="77777777" w:rsidTr="00F06348">
        <w:trPr>
          <w:cantSplit/>
        </w:trPr>
        <w:tc>
          <w:tcPr>
            <w:tcW w:w="993" w:type="dxa"/>
            <w:tcBorders>
              <w:top w:val="nil"/>
              <w:left w:val="nil"/>
              <w:bottom w:val="nil"/>
              <w:right w:val="nil"/>
            </w:tcBorders>
            <w:shd w:val="clear" w:color="auto" w:fill="auto"/>
          </w:tcPr>
          <w:p w14:paraId="47EBD7AE" w14:textId="77777777" w:rsidR="00D60822" w:rsidRPr="00BC0D1F" w:rsidRDefault="00D60822" w:rsidP="00F06348">
            <w:pPr>
              <w:pStyle w:val="TableText"/>
              <w:spacing w:before="40" w:after="40"/>
              <w:ind w:right="85"/>
              <w:jc w:val="right"/>
              <w:rPr>
                <w:sz w:val="15"/>
                <w:szCs w:val="15"/>
              </w:rPr>
            </w:pPr>
            <w:r w:rsidRPr="00BC0D1F">
              <w:rPr>
                <w:sz w:val="15"/>
                <w:szCs w:val="15"/>
              </w:rPr>
              <w:t>176,560</w:t>
            </w:r>
          </w:p>
        </w:tc>
        <w:tc>
          <w:tcPr>
            <w:tcW w:w="2551" w:type="dxa"/>
            <w:tcBorders>
              <w:top w:val="nil"/>
              <w:left w:val="nil"/>
              <w:bottom w:val="nil"/>
              <w:right w:val="nil"/>
            </w:tcBorders>
            <w:shd w:val="clear" w:color="auto" w:fill="auto"/>
          </w:tcPr>
          <w:p w14:paraId="3DBE1157" w14:textId="77777777" w:rsidR="00D60822" w:rsidRPr="00BC0D1F" w:rsidRDefault="00D60822" w:rsidP="00F06348">
            <w:pPr>
              <w:pStyle w:val="TableText"/>
              <w:spacing w:before="40" w:after="40"/>
              <w:rPr>
                <w:sz w:val="15"/>
                <w:szCs w:val="15"/>
              </w:rPr>
            </w:pPr>
            <w:r w:rsidRPr="00BC0D1F">
              <w:rPr>
                <w:sz w:val="15"/>
                <w:szCs w:val="15"/>
              </w:rPr>
              <w:t>Health workforce training/development</w:t>
            </w:r>
          </w:p>
        </w:tc>
        <w:tc>
          <w:tcPr>
            <w:tcW w:w="425" w:type="dxa"/>
            <w:tcBorders>
              <w:top w:val="nil"/>
              <w:left w:val="nil"/>
              <w:bottom w:val="nil"/>
              <w:right w:val="nil"/>
            </w:tcBorders>
            <w:shd w:val="clear" w:color="auto" w:fill="auto"/>
          </w:tcPr>
          <w:p w14:paraId="3FAC1C5C"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48C8C286" w14:textId="77777777" w:rsidR="00D60822" w:rsidRPr="00BC0D1F" w:rsidRDefault="00D60822" w:rsidP="00F06348">
            <w:pPr>
              <w:pStyle w:val="TableText"/>
              <w:spacing w:before="40" w:after="40"/>
              <w:ind w:right="85"/>
              <w:jc w:val="right"/>
              <w:rPr>
                <w:sz w:val="15"/>
                <w:szCs w:val="15"/>
              </w:rPr>
            </w:pPr>
            <w:r w:rsidRPr="00BC0D1F">
              <w:rPr>
                <w:sz w:val="15"/>
                <w:szCs w:val="15"/>
              </w:rPr>
              <w:t>176,252</w:t>
            </w:r>
          </w:p>
        </w:tc>
        <w:tc>
          <w:tcPr>
            <w:tcW w:w="850" w:type="dxa"/>
            <w:tcBorders>
              <w:top w:val="nil"/>
              <w:left w:val="nil"/>
              <w:bottom w:val="nil"/>
              <w:right w:val="nil"/>
            </w:tcBorders>
            <w:shd w:val="clear" w:color="auto" w:fill="auto"/>
          </w:tcPr>
          <w:p w14:paraId="58DB64FF" w14:textId="77777777" w:rsidR="00D60822" w:rsidRPr="00BC0D1F" w:rsidRDefault="00D60822" w:rsidP="00F06348">
            <w:pPr>
              <w:pStyle w:val="TableText"/>
              <w:spacing w:before="40" w:after="40"/>
              <w:jc w:val="right"/>
              <w:rPr>
                <w:sz w:val="15"/>
                <w:szCs w:val="15"/>
              </w:rPr>
            </w:pPr>
            <w:r w:rsidRPr="00BC0D1F">
              <w:rPr>
                <w:sz w:val="15"/>
                <w:szCs w:val="15"/>
              </w:rPr>
              <w:t>174,250</w:t>
            </w:r>
          </w:p>
        </w:tc>
        <w:tc>
          <w:tcPr>
            <w:tcW w:w="992" w:type="dxa"/>
            <w:tcBorders>
              <w:top w:val="nil"/>
              <w:left w:val="nil"/>
              <w:bottom w:val="nil"/>
              <w:right w:val="nil"/>
            </w:tcBorders>
            <w:shd w:val="clear" w:color="auto" w:fill="auto"/>
          </w:tcPr>
          <w:p w14:paraId="73BE6E10" w14:textId="77777777" w:rsidR="00D60822" w:rsidRPr="00BC0D1F" w:rsidRDefault="00D60822" w:rsidP="00F06348">
            <w:pPr>
              <w:pStyle w:val="TableText"/>
              <w:spacing w:before="40" w:after="40"/>
              <w:jc w:val="right"/>
              <w:rPr>
                <w:sz w:val="15"/>
                <w:szCs w:val="15"/>
              </w:rPr>
            </w:pPr>
            <w:r w:rsidRPr="00BC0D1F">
              <w:rPr>
                <w:sz w:val="15"/>
                <w:szCs w:val="15"/>
              </w:rPr>
              <w:t>176,302</w:t>
            </w:r>
          </w:p>
        </w:tc>
        <w:tc>
          <w:tcPr>
            <w:tcW w:w="1276" w:type="dxa"/>
            <w:tcBorders>
              <w:top w:val="nil"/>
              <w:left w:val="nil"/>
              <w:bottom w:val="nil"/>
              <w:right w:val="nil"/>
            </w:tcBorders>
            <w:shd w:val="clear" w:color="auto" w:fill="auto"/>
          </w:tcPr>
          <w:p w14:paraId="6B915D70" w14:textId="77777777" w:rsidR="00D60822" w:rsidRPr="00BC0D1F" w:rsidRDefault="00D60822" w:rsidP="00F06348">
            <w:pPr>
              <w:pStyle w:val="TableText"/>
              <w:spacing w:before="40" w:after="40"/>
              <w:jc w:val="right"/>
              <w:rPr>
                <w:sz w:val="15"/>
                <w:szCs w:val="15"/>
              </w:rPr>
            </w:pPr>
            <w:r w:rsidRPr="00BC0D1F">
              <w:rPr>
                <w:sz w:val="15"/>
                <w:szCs w:val="15"/>
              </w:rPr>
              <w:t>1.15%</w:t>
            </w:r>
          </w:p>
        </w:tc>
        <w:tc>
          <w:tcPr>
            <w:tcW w:w="1276" w:type="dxa"/>
            <w:tcBorders>
              <w:top w:val="nil"/>
              <w:left w:val="nil"/>
              <w:bottom w:val="nil"/>
              <w:right w:val="nil"/>
            </w:tcBorders>
            <w:shd w:val="clear" w:color="auto" w:fill="auto"/>
          </w:tcPr>
          <w:p w14:paraId="42BA74D1" w14:textId="77777777" w:rsidR="00D60822" w:rsidRPr="00BC0D1F" w:rsidRDefault="00D60822" w:rsidP="00F06348">
            <w:pPr>
              <w:pStyle w:val="TableText"/>
              <w:spacing w:before="40" w:after="40"/>
              <w:ind w:left="85"/>
              <w:rPr>
                <w:sz w:val="15"/>
                <w:szCs w:val="15"/>
              </w:rPr>
            </w:pPr>
          </w:p>
        </w:tc>
      </w:tr>
      <w:tr w:rsidR="00810942" w:rsidRPr="00BC0D1F" w14:paraId="1DEC7DBF" w14:textId="77777777" w:rsidTr="00F06348">
        <w:trPr>
          <w:cantSplit/>
        </w:trPr>
        <w:tc>
          <w:tcPr>
            <w:tcW w:w="993" w:type="dxa"/>
            <w:tcBorders>
              <w:top w:val="nil"/>
              <w:left w:val="nil"/>
              <w:bottom w:val="nil"/>
              <w:right w:val="nil"/>
            </w:tcBorders>
            <w:shd w:val="clear" w:color="auto" w:fill="auto"/>
          </w:tcPr>
          <w:p w14:paraId="226CCF2F" w14:textId="77777777" w:rsidR="00D60822" w:rsidRPr="00BC0D1F" w:rsidRDefault="00D60822" w:rsidP="00F06348">
            <w:pPr>
              <w:pStyle w:val="TableText"/>
              <w:spacing w:before="40" w:after="40"/>
              <w:ind w:right="85"/>
              <w:jc w:val="right"/>
              <w:rPr>
                <w:sz w:val="15"/>
                <w:szCs w:val="15"/>
              </w:rPr>
            </w:pPr>
            <w:r w:rsidRPr="00BC0D1F">
              <w:rPr>
                <w:sz w:val="15"/>
                <w:szCs w:val="15"/>
              </w:rPr>
              <w:t>154,935</w:t>
            </w:r>
          </w:p>
        </w:tc>
        <w:tc>
          <w:tcPr>
            <w:tcW w:w="2551" w:type="dxa"/>
            <w:tcBorders>
              <w:top w:val="nil"/>
              <w:left w:val="nil"/>
              <w:bottom w:val="nil"/>
              <w:right w:val="nil"/>
            </w:tcBorders>
            <w:shd w:val="clear" w:color="auto" w:fill="auto"/>
          </w:tcPr>
          <w:p w14:paraId="43551045" w14:textId="77777777" w:rsidR="00D60822" w:rsidRPr="00BC0D1F" w:rsidRDefault="00D60822" w:rsidP="00F06348">
            <w:pPr>
              <w:pStyle w:val="TableText"/>
              <w:spacing w:before="40" w:after="40"/>
              <w:rPr>
                <w:sz w:val="15"/>
                <w:szCs w:val="15"/>
              </w:rPr>
            </w:pPr>
            <w:r w:rsidRPr="00BC0D1F">
              <w:rPr>
                <w:sz w:val="15"/>
                <w:szCs w:val="15"/>
              </w:rPr>
              <w:t>Primary health care strategy</w:t>
            </w:r>
          </w:p>
        </w:tc>
        <w:tc>
          <w:tcPr>
            <w:tcW w:w="425" w:type="dxa"/>
            <w:tcBorders>
              <w:top w:val="nil"/>
              <w:left w:val="nil"/>
              <w:bottom w:val="nil"/>
              <w:right w:val="nil"/>
            </w:tcBorders>
            <w:shd w:val="clear" w:color="auto" w:fill="auto"/>
          </w:tcPr>
          <w:p w14:paraId="315E0ADF" w14:textId="77777777" w:rsidR="00D60822" w:rsidRPr="00BC0D1F" w:rsidRDefault="00D60822" w:rsidP="00F06348">
            <w:pPr>
              <w:pStyle w:val="TableText"/>
              <w:spacing w:before="40" w:after="40"/>
              <w:jc w:val="center"/>
              <w:rPr>
                <w:sz w:val="15"/>
                <w:szCs w:val="15"/>
              </w:rPr>
            </w:pPr>
            <w:r w:rsidRPr="00BC0D1F">
              <w:rPr>
                <w:sz w:val="15"/>
                <w:szCs w:val="15"/>
              </w:rPr>
              <w:t>2.6</w:t>
            </w:r>
          </w:p>
        </w:tc>
        <w:tc>
          <w:tcPr>
            <w:tcW w:w="993" w:type="dxa"/>
            <w:tcBorders>
              <w:top w:val="nil"/>
              <w:left w:val="nil"/>
              <w:bottom w:val="nil"/>
              <w:right w:val="nil"/>
            </w:tcBorders>
            <w:shd w:val="clear" w:color="auto" w:fill="D9D9D9"/>
          </w:tcPr>
          <w:p w14:paraId="7FD3E4C0" w14:textId="77777777" w:rsidR="00D60822" w:rsidRPr="00BC0D1F" w:rsidRDefault="00D60822" w:rsidP="00F06348">
            <w:pPr>
              <w:pStyle w:val="TableText"/>
              <w:spacing w:before="40" w:after="40"/>
              <w:ind w:right="85"/>
              <w:jc w:val="right"/>
              <w:rPr>
                <w:sz w:val="15"/>
                <w:szCs w:val="15"/>
              </w:rPr>
            </w:pPr>
            <w:r w:rsidRPr="00BC0D1F">
              <w:rPr>
                <w:sz w:val="15"/>
                <w:szCs w:val="15"/>
              </w:rPr>
              <w:t>179,615</w:t>
            </w:r>
          </w:p>
        </w:tc>
        <w:tc>
          <w:tcPr>
            <w:tcW w:w="850" w:type="dxa"/>
            <w:tcBorders>
              <w:top w:val="nil"/>
              <w:left w:val="nil"/>
              <w:bottom w:val="nil"/>
              <w:right w:val="nil"/>
            </w:tcBorders>
            <w:shd w:val="clear" w:color="auto" w:fill="auto"/>
          </w:tcPr>
          <w:p w14:paraId="7EFB8E7C" w14:textId="77777777" w:rsidR="00D60822" w:rsidRPr="00BC0D1F" w:rsidRDefault="00D60822" w:rsidP="00F06348">
            <w:pPr>
              <w:pStyle w:val="TableText"/>
              <w:spacing w:before="40" w:after="40"/>
              <w:jc w:val="right"/>
              <w:rPr>
                <w:sz w:val="15"/>
                <w:szCs w:val="15"/>
              </w:rPr>
            </w:pPr>
            <w:r w:rsidRPr="00BC0D1F">
              <w:rPr>
                <w:sz w:val="15"/>
                <w:szCs w:val="15"/>
              </w:rPr>
              <w:t>172,130</w:t>
            </w:r>
          </w:p>
        </w:tc>
        <w:tc>
          <w:tcPr>
            <w:tcW w:w="992" w:type="dxa"/>
            <w:tcBorders>
              <w:top w:val="nil"/>
              <w:left w:val="nil"/>
              <w:bottom w:val="nil"/>
              <w:right w:val="nil"/>
            </w:tcBorders>
            <w:shd w:val="clear" w:color="auto" w:fill="auto"/>
          </w:tcPr>
          <w:p w14:paraId="13962B41" w14:textId="77777777" w:rsidR="00D60822" w:rsidRPr="00BC0D1F" w:rsidRDefault="00D60822" w:rsidP="00F06348">
            <w:pPr>
              <w:pStyle w:val="TableText"/>
              <w:spacing w:before="40" w:after="40"/>
              <w:jc w:val="right"/>
              <w:rPr>
                <w:sz w:val="15"/>
                <w:szCs w:val="15"/>
              </w:rPr>
            </w:pPr>
            <w:r w:rsidRPr="00BC0D1F">
              <w:rPr>
                <w:sz w:val="15"/>
                <w:szCs w:val="15"/>
              </w:rPr>
              <w:t>179,974</w:t>
            </w:r>
          </w:p>
        </w:tc>
        <w:tc>
          <w:tcPr>
            <w:tcW w:w="1276" w:type="dxa"/>
            <w:tcBorders>
              <w:top w:val="nil"/>
              <w:left w:val="nil"/>
              <w:bottom w:val="nil"/>
              <w:right w:val="nil"/>
            </w:tcBorders>
            <w:shd w:val="clear" w:color="auto" w:fill="auto"/>
          </w:tcPr>
          <w:p w14:paraId="03060800" w14:textId="77777777" w:rsidR="00D60822" w:rsidRPr="00BC0D1F" w:rsidRDefault="00D60822" w:rsidP="00F06348">
            <w:pPr>
              <w:pStyle w:val="TableText"/>
              <w:spacing w:before="40" w:after="40"/>
              <w:jc w:val="right"/>
              <w:rPr>
                <w:sz w:val="15"/>
                <w:szCs w:val="15"/>
              </w:rPr>
            </w:pPr>
            <w:r w:rsidRPr="00BC0D1F">
              <w:rPr>
                <w:sz w:val="15"/>
                <w:szCs w:val="15"/>
              </w:rPr>
              <w:t>1.17%</w:t>
            </w:r>
          </w:p>
        </w:tc>
        <w:tc>
          <w:tcPr>
            <w:tcW w:w="1276" w:type="dxa"/>
            <w:tcBorders>
              <w:top w:val="nil"/>
              <w:left w:val="nil"/>
              <w:bottom w:val="nil"/>
              <w:right w:val="nil"/>
            </w:tcBorders>
            <w:shd w:val="clear" w:color="auto" w:fill="auto"/>
          </w:tcPr>
          <w:p w14:paraId="196DA1FF" w14:textId="77777777" w:rsidR="00D60822" w:rsidRPr="00BC0D1F" w:rsidRDefault="00D60822" w:rsidP="00F06348">
            <w:pPr>
              <w:pStyle w:val="TableText"/>
              <w:spacing w:before="40" w:after="40"/>
              <w:ind w:left="85"/>
              <w:rPr>
                <w:sz w:val="15"/>
                <w:szCs w:val="15"/>
              </w:rPr>
            </w:pPr>
          </w:p>
        </w:tc>
      </w:tr>
      <w:tr w:rsidR="00810942" w:rsidRPr="00BC0D1F" w14:paraId="1C245E25" w14:textId="77777777" w:rsidTr="00F06348">
        <w:trPr>
          <w:cantSplit/>
        </w:trPr>
        <w:tc>
          <w:tcPr>
            <w:tcW w:w="993" w:type="dxa"/>
            <w:tcBorders>
              <w:top w:val="nil"/>
              <w:left w:val="nil"/>
              <w:bottom w:val="nil"/>
              <w:right w:val="nil"/>
            </w:tcBorders>
            <w:shd w:val="clear" w:color="auto" w:fill="auto"/>
          </w:tcPr>
          <w:p w14:paraId="14A0C528" w14:textId="77777777" w:rsidR="00D60822" w:rsidRPr="00BC0D1F" w:rsidRDefault="00D60822" w:rsidP="00F06348">
            <w:pPr>
              <w:pStyle w:val="TableText"/>
              <w:spacing w:before="40" w:after="40"/>
              <w:ind w:right="85"/>
              <w:jc w:val="right"/>
              <w:rPr>
                <w:sz w:val="15"/>
                <w:szCs w:val="15"/>
              </w:rPr>
            </w:pPr>
            <w:r w:rsidRPr="00BC0D1F">
              <w:rPr>
                <w:sz w:val="15"/>
                <w:szCs w:val="15"/>
              </w:rPr>
              <w:t>84,748</w:t>
            </w:r>
          </w:p>
        </w:tc>
        <w:tc>
          <w:tcPr>
            <w:tcW w:w="2551" w:type="dxa"/>
            <w:tcBorders>
              <w:top w:val="nil"/>
              <w:left w:val="nil"/>
              <w:bottom w:val="nil"/>
              <w:right w:val="nil"/>
            </w:tcBorders>
            <w:shd w:val="clear" w:color="auto" w:fill="auto"/>
          </w:tcPr>
          <w:p w14:paraId="76B84EEB" w14:textId="77777777" w:rsidR="00D60822" w:rsidRPr="00BC0D1F" w:rsidRDefault="00D60822" w:rsidP="00F06348">
            <w:pPr>
              <w:pStyle w:val="TableText"/>
              <w:spacing w:before="40" w:after="40"/>
              <w:rPr>
                <w:sz w:val="15"/>
                <w:szCs w:val="15"/>
              </w:rPr>
            </w:pPr>
            <w:r w:rsidRPr="00BC0D1F">
              <w:rPr>
                <w:sz w:val="15"/>
                <w:szCs w:val="15"/>
              </w:rPr>
              <w:t>National Personal Health Services</w:t>
            </w:r>
          </w:p>
        </w:tc>
        <w:tc>
          <w:tcPr>
            <w:tcW w:w="425" w:type="dxa"/>
            <w:tcBorders>
              <w:top w:val="nil"/>
              <w:left w:val="nil"/>
              <w:bottom w:val="nil"/>
              <w:right w:val="nil"/>
            </w:tcBorders>
            <w:shd w:val="clear" w:color="auto" w:fill="auto"/>
          </w:tcPr>
          <w:p w14:paraId="17B880D7"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1C336823" w14:textId="77777777" w:rsidR="00D60822" w:rsidRPr="00BC0D1F" w:rsidRDefault="00D60822" w:rsidP="00F06348">
            <w:pPr>
              <w:pStyle w:val="TableText"/>
              <w:spacing w:before="40" w:after="40"/>
              <w:ind w:right="85"/>
              <w:jc w:val="right"/>
              <w:rPr>
                <w:sz w:val="15"/>
                <w:szCs w:val="15"/>
              </w:rPr>
            </w:pPr>
            <w:r w:rsidRPr="00BC0D1F">
              <w:rPr>
                <w:sz w:val="15"/>
                <w:szCs w:val="15"/>
              </w:rPr>
              <w:t>105,563</w:t>
            </w:r>
          </w:p>
        </w:tc>
        <w:tc>
          <w:tcPr>
            <w:tcW w:w="850" w:type="dxa"/>
            <w:tcBorders>
              <w:top w:val="nil"/>
              <w:left w:val="nil"/>
              <w:bottom w:val="nil"/>
              <w:right w:val="nil"/>
            </w:tcBorders>
            <w:shd w:val="clear" w:color="auto" w:fill="auto"/>
          </w:tcPr>
          <w:p w14:paraId="7B2ECABF" w14:textId="77777777" w:rsidR="00D60822" w:rsidRPr="00BC0D1F" w:rsidRDefault="00D60822" w:rsidP="00F06348">
            <w:pPr>
              <w:pStyle w:val="TableText"/>
              <w:spacing w:before="40" w:after="40"/>
              <w:jc w:val="right"/>
              <w:rPr>
                <w:sz w:val="15"/>
                <w:szCs w:val="15"/>
              </w:rPr>
            </w:pPr>
            <w:r w:rsidRPr="00BC0D1F">
              <w:rPr>
                <w:sz w:val="15"/>
                <w:szCs w:val="15"/>
              </w:rPr>
              <w:t>77,933</w:t>
            </w:r>
          </w:p>
        </w:tc>
        <w:tc>
          <w:tcPr>
            <w:tcW w:w="992" w:type="dxa"/>
            <w:tcBorders>
              <w:top w:val="nil"/>
              <w:left w:val="nil"/>
              <w:bottom w:val="nil"/>
              <w:right w:val="nil"/>
            </w:tcBorders>
            <w:shd w:val="clear" w:color="auto" w:fill="auto"/>
          </w:tcPr>
          <w:p w14:paraId="4D24FEE4" w14:textId="77777777" w:rsidR="00D60822" w:rsidRPr="00BC0D1F" w:rsidRDefault="00D60822" w:rsidP="00F06348">
            <w:pPr>
              <w:pStyle w:val="TableText"/>
              <w:spacing w:before="40" w:after="40"/>
              <w:jc w:val="right"/>
              <w:rPr>
                <w:sz w:val="15"/>
                <w:szCs w:val="15"/>
              </w:rPr>
            </w:pPr>
            <w:r w:rsidRPr="00BC0D1F">
              <w:rPr>
                <w:sz w:val="15"/>
                <w:szCs w:val="15"/>
              </w:rPr>
              <w:t>107,428</w:t>
            </w:r>
          </w:p>
        </w:tc>
        <w:tc>
          <w:tcPr>
            <w:tcW w:w="1276" w:type="dxa"/>
            <w:tcBorders>
              <w:top w:val="nil"/>
              <w:left w:val="nil"/>
              <w:bottom w:val="nil"/>
              <w:right w:val="nil"/>
            </w:tcBorders>
            <w:shd w:val="clear" w:color="auto" w:fill="auto"/>
          </w:tcPr>
          <w:p w14:paraId="1F535443" w14:textId="77777777" w:rsidR="00D60822" w:rsidRPr="00BC0D1F" w:rsidRDefault="00D60822" w:rsidP="00F06348">
            <w:pPr>
              <w:pStyle w:val="TableText"/>
              <w:spacing w:before="40" w:after="40"/>
              <w:jc w:val="right"/>
              <w:rPr>
                <w:sz w:val="15"/>
                <w:szCs w:val="15"/>
              </w:rPr>
            </w:pPr>
            <w:r w:rsidRPr="00BC0D1F">
              <w:rPr>
                <w:sz w:val="15"/>
                <w:szCs w:val="15"/>
              </w:rPr>
              <w:t>0.69%</w:t>
            </w:r>
          </w:p>
        </w:tc>
        <w:tc>
          <w:tcPr>
            <w:tcW w:w="1276" w:type="dxa"/>
            <w:tcBorders>
              <w:top w:val="nil"/>
              <w:left w:val="nil"/>
              <w:bottom w:val="nil"/>
              <w:right w:val="nil"/>
            </w:tcBorders>
            <w:shd w:val="clear" w:color="auto" w:fill="auto"/>
          </w:tcPr>
          <w:p w14:paraId="5AD4433D" w14:textId="77777777" w:rsidR="00D60822" w:rsidRPr="00BC0D1F" w:rsidRDefault="00D60822" w:rsidP="00F06348">
            <w:pPr>
              <w:pStyle w:val="TableText"/>
              <w:spacing w:before="40" w:after="40"/>
              <w:ind w:left="85"/>
              <w:rPr>
                <w:sz w:val="15"/>
                <w:szCs w:val="15"/>
              </w:rPr>
            </w:pPr>
          </w:p>
        </w:tc>
      </w:tr>
      <w:tr w:rsidR="00810942" w:rsidRPr="00BC0D1F" w14:paraId="642890F2" w14:textId="77777777" w:rsidTr="00F06348">
        <w:trPr>
          <w:cantSplit/>
        </w:trPr>
        <w:tc>
          <w:tcPr>
            <w:tcW w:w="993" w:type="dxa"/>
            <w:tcBorders>
              <w:top w:val="nil"/>
              <w:left w:val="nil"/>
              <w:bottom w:val="nil"/>
              <w:right w:val="nil"/>
            </w:tcBorders>
            <w:shd w:val="clear" w:color="auto" w:fill="auto"/>
          </w:tcPr>
          <w:p w14:paraId="3A3C62E5" w14:textId="77777777" w:rsidR="00D60822" w:rsidRPr="00BC0D1F" w:rsidRDefault="00D60822" w:rsidP="00F06348">
            <w:pPr>
              <w:pStyle w:val="TableText"/>
              <w:spacing w:before="40" w:after="40"/>
              <w:ind w:right="85"/>
              <w:jc w:val="right"/>
              <w:rPr>
                <w:sz w:val="15"/>
                <w:szCs w:val="15"/>
              </w:rPr>
            </w:pPr>
            <w:r w:rsidRPr="00BC0D1F">
              <w:rPr>
                <w:sz w:val="15"/>
                <w:szCs w:val="15"/>
              </w:rPr>
              <w:t>13,851</w:t>
            </w:r>
          </w:p>
        </w:tc>
        <w:tc>
          <w:tcPr>
            <w:tcW w:w="2551" w:type="dxa"/>
            <w:tcBorders>
              <w:top w:val="nil"/>
              <w:left w:val="nil"/>
              <w:bottom w:val="nil"/>
              <w:right w:val="nil"/>
            </w:tcBorders>
            <w:shd w:val="clear" w:color="auto" w:fill="auto"/>
          </w:tcPr>
          <w:p w14:paraId="39AAC089" w14:textId="77777777" w:rsidR="00D60822" w:rsidRPr="00BC0D1F" w:rsidRDefault="00D60822" w:rsidP="00F06348">
            <w:pPr>
              <w:pStyle w:val="TableText"/>
              <w:spacing w:before="40" w:after="40"/>
              <w:rPr>
                <w:sz w:val="15"/>
                <w:szCs w:val="15"/>
              </w:rPr>
            </w:pPr>
            <w:r w:rsidRPr="00BC0D1F">
              <w:rPr>
                <w:sz w:val="15"/>
                <w:szCs w:val="15"/>
              </w:rPr>
              <w:t>National Health Information Systems</w:t>
            </w:r>
          </w:p>
        </w:tc>
        <w:tc>
          <w:tcPr>
            <w:tcW w:w="425" w:type="dxa"/>
            <w:tcBorders>
              <w:top w:val="nil"/>
              <w:left w:val="nil"/>
              <w:bottom w:val="nil"/>
              <w:right w:val="nil"/>
            </w:tcBorders>
            <w:shd w:val="clear" w:color="auto" w:fill="auto"/>
          </w:tcPr>
          <w:p w14:paraId="66A91D56"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00D756B8" w14:textId="77777777" w:rsidR="00D60822" w:rsidRPr="00BC0D1F" w:rsidRDefault="00D60822" w:rsidP="00F06348">
            <w:pPr>
              <w:pStyle w:val="TableText"/>
              <w:spacing w:before="40" w:after="40"/>
              <w:ind w:right="85"/>
              <w:jc w:val="right"/>
              <w:rPr>
                <w:sz w:val="15"/>
                <w:szCs w:val="15"/>
              </w:rPr>
            </w:pPr>
            <w:r w:rsidRPr="00BC0D1F">
              <w:rPr>
                <w:sz w:val="15"/>
                <w:szCs w:val="15"/>
              </w:rPr>
              <w:t>10,534</w:t>
            </w:r>
          </w:p>
        </w:tc>
        <w:tc>
          <w:tcPr>
            <w:tcW w:w="850" w:type="dxa"/>
            <w:tcBorders>
              <w:top w:val="nil"/>
              <w:left w:val="nil"/>
              <w:bottom w:val="nil"/>
              <w:right w:val="nil"/>
            </w:tcBorders>
            <w:shd w:val="clear" w:color="auto" w:fill="auto"/>
          </w:tcPr>
          <w:p w14:paraId="60268897" w14:textId="77777777" w:rsidR="00D60822" w:rsidRPr="00BC0D1F" w:rsidRDefault="00D60822" w:rsidP="00F06348">
            <w:pPr>
              <w:pStyle w:val="TableText"/>
              <w:spacing w:before="40" w:after="40"/>
              <w:jc w:val="right"/>
              <w:rPr>
                <w:sz w:val="15"/>
                <w:szCs w:val="15"/>
              </w:rPr>
            </w:pPr>
            <w:r w:rsidRPr="00BC0D1F">
              <w:rPr>
                <w:sz w:val="15"/>
                <w:szCs w:val="15"/>
              </w:rPr>
              <w:t>14,887</w:t>
            </w:r>
          </w:p>
        </w:tc>
        <w:tc>
          <w:tcPr>
            <w:tcW w:w="992" w:type="dxa"/>
            <w:tcBorders>
              <w:top w:val="nil"/>
              <w:left w:val="nil"/>
              <w:bottom w:val="nil"/>
              <w:right w:val="nil"/>
            </w:tcBorders>
            <w:shd w:val="clear" w:color="auto" w:fill="auto"/>
          </w:tcPr>
          <w:p w14:paraId="4152E817" w14:textId="77777777" w:rsidR="00D60822" w:rsidRPr="00BC0D1F" w:rsidRDefault="00D60822" w:rsidP="00F06348">
            <w:pPr>
              <w:pStyle w:val="TableText"/>
              <w:spacing w:before="40" w:after="40"/>
              <w:jc w:val="right"/>
              <w:rPr>
                <w:sz w:val="15"/>
                <w:szCs w:val="15"/>
              </w:rPr>
            </w:pPr>
            <w:r w:rsidRPr="00BC0D1F">
              <w:rPr>
                <w:sz w:val="15"/>
                <w:szCs w:val="15"/>
              </w:rPr>
              <w:t>12,046</w:t>
            </w:r>
          </w:p>
        </w:tc>
        <w:tc>
          <w:tcPr>
            <w:tcW w:w="1276" w:type="dxa"/>
            <w:tcBorders>
              <w:top w:val="nil"/>
              <w:left w:val="nil"/>
              <w:bottom w:val="nil"/>
              <w:right w:val="nil"/>
            </w:tcBorders>
            <w:shd w:val="clear" w:color="auto" w:fill="auto"/>
          </w:tcPr>
          <w:p w14:paraId="249E9A7E" w14:textId="77777777" w:rsidR="00D60822" w:rsidRPr="00BC0D1F" w:rsidRDefault="00D60822" w:rsidP="00F06348">
            <w:pPr>
              <w:pStyle w:val="TableText"/>
              <w:spacing w:before="40" w:after="40"/>
              <w:jc w:val="right"/>
              <w:rPr>
                <w:sz w:val="15"/>
                <w:szCs w:val="15"/>
              </w:rPr>
            </w:pPr>
            <w:r w:rsidRPr="00BC0D1F">
              <w:rPr>
                <w:sz w:val="15"/>
                <w:szCs w:val="15"/>
              </w:rPr>
              <w:t>0.07%</w:t>
            </w:r>
          </w:p>
        </w:tc>
        <w:tc>
          <w:tcPr>
            <w:tcW w:w="1276" w:type="dxa"/>
            <w:tcBorders>
              <w:top w:val="nil"/>
              <w:left w:val="nil"/>
              <w:bottom w:val="nil"/>
              <w:right w:val="nil"/>
            </w:tcBorders>
            <w:shd w:val="clear" w:color="auto" w:fill="auto"/>
          </w:tcPr>
          <w:p w14:paraId="739988F8" w14:textId="77777777" w:rsidR="00D60822" w:rsidRPr="00BC0D1F" w:rsidRDefault="00D60822" w:rsidP="00F06348">
            <w:pPr>
              <w:pStyle w:val="TableText"/>
              <w:spacing w:before="40" w:after="40"/>
              <w:ind w:left="85"/>
              <w:rPr>
                <w:sz w:val="15"/>
                <w:szCs w:val="15"/>
              </w:rPr>
            </w:pPr>
          </w:p>
        </w:tc>
      </w:tr>
      <w:tr w:rsidR="00810942" w:rsidRPr="00BC0D1F" w14:paraId="0099A54F" w14:textId="77777777" w:rsidTr="00F06348">
        <w:trPr>
          <w:cantSplit/>
        </w:trPr>
        <w:tc>
          <w:tcPr>
            <w:tcW w:w="993" w:type="dxa"/>
            <w:tcBorders>
              <w:top w:val="nil"/>
              <w:left w:val="nil"/>
              <w:bottom w:val="nil"/>
              <w:right w:val="nil"/>
            </w:tcBorders>
            <w:shd w:val="clear" w:color="auto" w:fill="auto"/>
          </w:tcPr>
          <w:p w14:paraId="034D81B0" w14:textId="77777777" w:rsidR="00D31199" w:rsidRPr="00BC0D1F" w:rsidRDefault="00D31199" w:rsidP="00F06348">
            <w:pPr>
              <w:pStyle w:val="TableText"/>
              <w:spacing w:before="40" w:after="40"/>
              <w:ind w:right="85"/>
              <w:jc w:val="right"/>
              <w:rPr>
                <w:b/>
                <w:sz w:val="15"/>
                <w:szCs w:val="15"/>
              </w:rPr>
            </w:pPr>
            <w:r w:rsidRPr="00BC0D1F">
              <w:rPr>
                <w:b/>
                <w:sz w:val="15"/>
                <w:szCs w:val="15"/>
              </w:rPr>
              <w:t>2,680,741</w:t>
            </w:r>
          </w:p>
        </w:tc>
        <w:tc>
          <w:tcPr>
            <w:tcW w:w="2551" w:type="dxa"/>
            <w:tcBorders>
              <w:top w:val="nil"/>
              <w:left w:val="nil"/>
              <w:bottom w:val="nil"/>
              <w:right w:val="nil"/>
            </w:tcBorders>
            <w:shd w:val="clear" w:color="auto" w:fill="auto"/>
          </w:tcPr>
          <w:p w14:paraId="4F74F462" w14:textId="77777777" w:rsidR="00D31199" w:rsidRPr="00BC0D1F" w:rsidRDefault="00D31199" w:rsidP="00F06348">
            <w:pPr>
              <w:pStyle w:val="TableText"/>
              <w:spacing w:before="40" w:after="40"/>
              <w:rPr>
                <w:b/>
                <w:sz w:val="15"/>
                <w:szCs w:val="15"/>
              </w:rPr>
            </w:pPr>
            <w:r w:rsidRPr="00BC0D1F">
              <w:rPr>
                <w:b/>
                <w:sz w:val="15"/>
                <w:szCs w:val="15"/>
              </w:rPr>
              <w:t>Total non-departmental output exp</w:t>
            </w:r>
            <w:r w:rsidR="003D580B" w:rsidRPr="00BC0D1F">
              <w:rPr>
                <w:b/>
                <w:sz w:val="15"/>
                <w:szCs w:val="15"/>
              </w:rPr>
              <w:t>e</w:t>
            </w:r>
            <w:r w:rsidRPr="00BC0D1F">
              <w:rPr>
                <w:b/>
                <w:sz w:val="15"/>
                <w:szCs w:val="15"/>
              </w:rPr>
              <w:t>nses (other)</w:t>
            </w:r>
          </w:p>
        </w:tc>
        <w:tc>
          <w:tcPr>
            <w:tcW w:w="425" w:type="dxa"/>
            <w:tcBorders>
              <w:top w:val="nil"/>
              <w:left w:val="nil"/>
              <w:bottom w:val="nil"/>
              <w:right w:val="nil"/>
            </w:tcBorders>
            <w:shd w:val="clear" w:color="auto" w:fill="auto"/>
          </w:tcPr>
          <w:p w14:paraId="54D03D54" w14:textId="77777777" w:rsidR="00D31199" w:rsidRPr="00BC0D1F" w:rsidRDefault="00D31199" w:rsidP="00F06348">
            <w:pPr>
              <w:pStyle w:val="TableText"/>
              <w:spacing w:before="40" w:after="40"/>
              <w:jc w:val="center"/>
              <w:rPr>
                <w:b/>
                <w:sz w:val="15"/>
                <w:szCs w:val="15"/>
              </w:rPr>
            </w:pPr>
          </w:p>
        </w:tc>
        <w:tc>
          <w:tcPr>
            <w:tcW w:w="993" w:type="dxa"/>
            <w:tcBorders>
              <w:top w:val="nil"/>
              <w:left w:val="nil"/>
              <w:bottom w:val="nil"/>
              <w:right w:val="nil"/>
            </w:tcBorders>
            <w:shd w:val="clear" w:color="auto" w:fill="D9D9D9"/>
          </w:tcPr>
          <w:p w14:paraId="53CD954F" w14:textId="77777777" w:rsidR="00D31199" w:rsidRPr="00BC0D1F" w:rsidRDefault="00D31199" w:rsidP="00F06348">
            <w:pPr>
              <w:pStyle w:val="TableText"/>
              <w:spacing w:before="40" w:after="40"/>
              <w:ind w:right="85"/>
              <w:jc w:val="right"/>
              <w:rPr>
                <w:b/>
                <w:sz w:val="15"/>
                <w:szCs w:val="15"/>
              </w:rPr>
            </w:pPr>
            <w:r w:rsidRPr="00BC0D1F">
              <w:rPr>
                <w:b/>
                <w:sz w:val="15"/>
                <w:szCs w:val="15"/>
              </w:rPr>
              <w:t>2,785,840</w:t>
            </w:r>
          </w:p>
        </w:tc>
        <w:tc>
          <w:tcPr>
            <w:tcW w:w="850" w:type="dxa"/>
            <w:tcBorders>
              <w:top w:val="nil"/>
              <w:left w:val="nil"/>
              <w:bottom w:val="nil"/>
              <w:right w:val="nil"/>
            </w:tcBorders>
            <w:shd w:val="clear" w:color="auto" w:fill="auto"/>
          </w:tcPr>
          <w:p w14:paraId="10E5D0B8" w14:textId="77777777" w:rsidR="00D31199" w:rsidRPr="00BC0D1F" w:rsidRDefault="00D31199" w:rsidP="00F06348">
            <w:pPr>
              <w:pStyle w:val="TableText"/>
              <w:spacing w:before="40" w:after="40"/>
              <w:jc w:val="right"/>
              <w:rPr>
                <w:b/>
                <w:sz w:val="15"/>
                <w:szCs w:val="15"/>
              </w:rPr>
            </w:pPr>
            <w:r w:rsidRPr="00BC0D1F">
              <w:rPr>
                <w:b/>
                <w:sz w:val="15"/>
                <w:szCs w:val="15"/>
              </w:rPr>
              <w:t>2,824,540</w:t>
            </w:r>
          </w:p>
        </w:tc>
        <w:tc>
          <w:tcPr>
            <w:tcW w:w="992" w:type="dxa"/>
            <w:tcBorders>
              <w:top w:val="nil"/>
              <w:left w:val="nil"/>
              <w:bottom w:val="nil"/>
              <w:right w:val="nil"/>
            </w:tcBorders>
            <w:shd w:val="clear" w:color="auto" w:fill="auto"/>
          </w:tcPr>
          <w:p w14:paraId="5B84CE3A" w14:textId="77777777" w:rsidR="00D31199" w:rsidRPr="00BC0D1F" w:rsidRDefault="00D31199" w:rsidP="00F06348">
            <w:pPr>
              <w:pStyle w:val="TableText"/>
              <w:spacing w:before="40" w:after="40"/>
              <w:jc w:val="right"/>
              <w:rPr>
                <w:b/>
                <w:sz w:val="15"/>
                <w:szCs w:val="15"/>
              </w:rPr>
            </w:pPr>
            <w:r w:rsidRPr="00BC0D1F">
              <w:rPr>
                <w:b/>
                <w:sz w:val="15"/>
                <w:szCs w:val="15"/>
              </w:rPr>
              <w:t>2,802,197</w:t>
            </w:r>
          </w:p>
        </w:tc>
        <w:tc>
          <w:tcPr>
            <w:tcW w:w="1276" w:type="dxa"/>
            <w:tcBorders>
              <w:top w:val="nil"/>
              <w:left w:val="nil"/>
              <w:bottom w:val="nil"/>
              <w:right w:val="nil"/>
            </w:tcBorders>
            <w:shd w:val="clear" w:color="auto" w:fill="auto"/>
          </w:tcPr>
          <w:p w14:paraId="10E8676E" w14:textId="77777777" w:rsidR="00D31199" w:rsidRPr="00BC0D1F" w:rsidRDefault="00D31199" w:rsidP="00F06348">
            <w:pPr>
              <w:pStyle w:val="TableText"/>
              <w:spacing w:before="40" w:after="40"/>
              <w:jc w:val="right"/>
              <w:rPr>
                <w:b/>
                <w:sz w:val="15"/>
                <w:szCs w:val="15"/>
              </w:rPr>
            </w:pPr>
            <w:r w:rsidRPr="00BC0D1F">
              <w:rPr>
                <w:b/>
                <w:sz w:val="15"/>
                <w:szCs w:val="15"/>
              </w:rPr>
              <w:t>18.22%</w:t>
            </w:r>
          </w:p>
        </w:tc>
        <w:tc>
          <w:tcPr>
            <w:tcW w:w="1276" w:type="dxa"/>
            <w:tcBorders>
              <w:top w:val="nil"/>
              <w:left w:val="nil"/>
              <w:bottom w:val="nil"/>
              <w:right w:val="nil"/>
            </w:tcBorders>
            <w:shd w:val="clear" w:color="auto" w:fill="auto"/>
          </w:tcPr>
          <w:p w14:paraId="3ED4B111" w14:textId="77777777" w:rsidR="00D31199" w:rsidRPr="00BC0D1F" w:rsidRDefault="00D31199" w:rsidP="00F06348">
            <w:pPr>
              <w:pStyle w:val="TableText"/>
              <w:spacing w:before="40" w:after="40"/>
              <w:ind w:left="85"/>
              <w:rPr>
                <w:b/>
                <w:sz w:val="15"/>
                <w:szCs w:val="15"/>
              </w:rPr>
            </w:pPr>
          </w:p>
        </w:tc>
      </w:tr>
      <w:tr w:rsidR="00810942" w:rsidRPr="00BC0D1F" w14:paraId="3B22BEA7" w14:textId="77777777" w:rsidTr="00F06348">
        <w:trPr>
          <w:cantSplit/>
        </w:trPr>
        <w:tc>
          <w:tcPr>
            <w:tcW w:w="993" w:type="dxa"/>
            <w:tcBorders>
              <w:top w:val="nil"/>
              <w:left w:val="nil"/>
              <w:bottom w:val="single" w:sz="4" w:space="0" w:color="A6A6A6"/>
              <w:right w:val="nil"/>
            </w:tcBorders>
            <w:shd w:val="clear" w:color="auto" w:fill="auto"/>
          </w:tcPr>
          <w:p w14:paraId="216769CB" w14:textId="77777777" w:rsidR="00D60822" w:rsidRPr="00BC0D1F" w:rsidRDefault="00D60822" w:rsidP="00F06348">
            <w:pPr>
              <w:pStyle w:val="TableText"/>
              <w:spacing w:before="40" w:after="40"/>
              <w:ind w:right="85"/>
              <w:jc w:val="right"/>
              <w:rPr>
                <w:b/>
                <w:sz w:val="15"/>
                <w:szCs w:val="15"/>
              </w:rPr>
            </w:pPr>
            <w:r w:rsidRPr="00BC0D1F">
              <w:rPr>
                <w:b/>
                <w:sz w:val="15"/>
                <w:szCs w:val="15"/>
              </w:rPr>
              <w:t>14,124,926</w:t>
            </w:r>
          </w:p>
        </w:tc>
        <w:tc>
          <w:tcPr>
            <w:tcW w:w="2551" w:type="dxa"/>
            <w:tcBorders>
              <w:top w:val="nil"/>
              <w:left w:val="nil"/>
              <w:bottom w:val="single" w:sz="4" w:space="0" w:color="A6A6A6"/>
              <w:right w:val="nil"/>
            </w:tcBorders>
            <w:shd w:val="clear" w:color="auto" w:fill="auto"/>
          </w:tcPr>
          <w:p w14:paraId="17525D07" w14:textId="77777777" w:rsidR="00D60822" w:rsidRPr="00BC0D1F" w:rsidRDefault="00D60822" w:rsidP="00F06348">
            <w:pPr>
              <w:pStyle w:val="TableText"/>
              <w:spacing w:before="40" w:after="40"/>
              <w:rPr>
                <w:b/>
                <w:sz w:val="15"/>
                <w:szCs w:val="15"/>
              </w:rPr>
            </w:pPr>
            <w:r w:rsidRPr="00BC0D1F">
              <w:rPr>
                <w:b/>
                <w:sz w:val="15"/>
                <w:szCs w:val="15"/>
              </w:rPr>
              <w:t>Total non-departmental output expenses</w:t>
            </w:r>
          </w:p>
        </w:tc>
        <w:tc>
          <w:tcPr>
            <w:tcW w:w="425" w:type="dxa"/>
            <w:tcBorders>
              <w:top w:val="nil"/>
              <w:left w:val="nil"/>
              <w:bottom w:val="single" w:sz="4" w:space="0" w:color="A6A6A6"/>
              <w:right w:val="nil"/>
            </w:tcBorders>
            <w:shd w:val="clear" w:color="auto" w:fill="auto"/>
          </w:tcPr>
          <w:p w14:paraId="4DC79113" w14:textId="77777777" w:rsidR="00D60822" w:rsidRPr="00BC0D1F" w:rsidRDefault="00D60822" w:rsidP="00F06348">
            <w:pPr>
              <w:pStyle w:val="TableText"/>
              <w:spacing w:before="40" w:after="40"/>
              <w:jc w:val="center"/>
              <w:rPr>
                <w:b/>
                <w:sz w:val="15"/>
                <w:szCs w:val="15"/>
              </w:rPr>
            </w:pPr>
          </w:p>
        </w:tc>
        <w:tc>
          <w:tcPr>
            <w:tcW w:w="993" w:type="dxa"/>
            <w:tcBorders>
              <w:top w:val="nil"/>
              <w:left w:val="nil"/>
              <w:bottom w:val="single" w:sz="4" w:space="0" w:color="A6A6A6"/>
              <w:right w:val="nil"/>
            </w:tcBorders>
            <w:shd w:val="clear" w:color="auto" w:fill="D9D9D9"/>
          </w:tcPr>
          <w:p w14:paraId="7C155895" w14:textId="77777777" w:rsidR="00D60822" w:rsidRPr="00BC0D1F" w:rsidRDefault="00D60822" w:rsidP="00F06348">
            <w:pPr>
              <w:pStyle w:val="TableText"/>
              <w:spacing w:before="40" w:after="40"/>
              <w:ind w:right="85"/>
              <w:jc w:val="right"/>
              <w:rPr>
                <w:b/>
                <w:sz w:val="15"/>
                <w:szCs w:val="15"/>
              </w:rPr>
            </w:pPr>
            <w:r w:rsidRPr="00BC0D1F">
              <w:rPr>
                <w:b/>
                <w:sz w:val="15"/>
                <w:szCs w:val="15"/>
              </w:rPr>
              <w:t>14,576,961</w:t>
            </w:r>
          </w:p>
        </w:tc>
        <w:tc>
          <w:tcPr>
            <w:tcW w:w="850" w:type="dxa"/>
            <w:tcBorders>
              <w:top w:val="nil"/>
              <w:left w:val="nil"/>
              <w:bottom w:val="single" w:sz="4" w:space="0" w:color="A6A6A6"/>
              <w:right w:val="nil"/>
            </w:tcBorders>
            <w:shd w:val="clear" w:color="auto" w:fill="auto"/>
          </w:tcPr>
          <w:p w14:paraId="59F44A02" w14:textId="77777777" w:rsidR="00D60822" w:rsidRPr="00BC0D1F" w:rsidRDefault="00D60822" w:rsidP="00F06348">
            <w:pPr>
              <w:pStyle w:val="TableText"/>
              <w:spacing w:before="40" w:after="40"/>
              <w:jc w:val="right"/>
              <w:rPr>
                <w:b/>
                <w:sz w:val="15"/>
                <w:szCs w:val="15"/>
              </w:rPr>
            </w:pPr>
            <w:r w:rsidRPr="00BC0D1F">
              <w:rPr>
                <w:b/>
                <w:sz w:val="15"/>
                <w:szCs w:val="15"/>
              </w:rPr>
              <w:t>14,544,367</w:t>
            </w:r>
          </w:p>
        </w:tc>
        <w:tc>
          <w:tcPr>
            <w:tcW w:w="992" w:type="dxa"/>
            <w:tcBorders>
              <w:top w:val="nil"/>
              <w:left w:val="nil"/>
              <w:bottom w:val="single" w:sz="4" w:space="0" w:color="A6A6A6"/>
              <w:right w:val="nil"/>
            </w:tcBorders>
            <w:shd w:val="clear" w:color="auto" w:fill="auto"/>
          </w:tcPr>
          <w:p w14:paraId="0BC80E90" w14:textId="77777777" w:rsidR="00D60822" w:rsidRPr="00BC0D1F" w:rsidRDefault="00D60822" w:rsidP="00F06348">
            <w:pPr>
              <w:pStyle w:val="TableText"/>
              <w:spacing w:before="40" w:after="40"/>
              <w:jc w:val="right"/>
              <w:rPr>
                <w:b/>
                <w:sz w:val="15"/>
                <w:szCs w:val="15"/>
              </w:rPr>
            </w:pPr>
            <w:r w:rsidRPr="00BC0D1F">
              <w:rPr>
                <w:b/>
                <w:sz w:val="15"/>
                <w:szCs w:val="15"/>
              </w:rPr>
              <w:t>14,600,044</w:t>
            </w:r>
          </w:p>
        </w:tc>
        <w:tc>
          <w:tcPr>
            <w:tcW w:w="1276" w:type="dxa"/>
            <w:tcBorders>
              <w:top w:val="nil"/>
              <w:left w:val="nil"/>
              <w:bottom w:val="single" w:sz="4" w:space="0" w:color="A6A6A6"/>
              <w:right w:val="nil"/>
            </w:tcBorders>
            <w:shd w:val="clear" w:color="auto" w:fill="auto"/>
          </w:tcPr>
          <w:p w14:paraId="14E36A01" w14:textId="77777777" w:rsidR="00D60822" w:rsidRPr="00BC0D1F" w:rsidRDefault="00D60822" w:rsidP="00F06348">
            <w:pPr>
              <w:pStyle w:val="TableText"/>
              <w:spacing w:before="40" w:after="40"/>
              <w:jc w:val="right"/>
              <w:rPr>
                <w:b/>
                <w:sz w:val="15"/>
                <w:szCs w:val="15"/>
              </w:rPr>
            </w:pPr>
            <w:r w:rsidRPr="00BC0D1F">
              <w:rPr>
                <w:b/>
                <w:sz w:val="15"/>
                <w:szCs w:val="15"/>
              </w:rPr>
              <w:t>95.33%</w:t>
            </w:r>
          </w:p>
        </w:tc>
        <w:tc>
          <w:tcPr>
            <w:tcW w:w="1276" w:type="dxa"/>
            <w:tcBorders>
              <w:top w:val="nil"/>
              <w:left w:val="nil"/>
              <w:bottom w:val="single" w:sz="4" w:space="0" w:color="A6A6A6"/>
              <w:right w:val="nil"/>
            </w:tcBorders>
            <w:shd w:val="clear" w:color="auto" w:fill="auto"/>
          </w:tcPr>
          <w:p w14:paraId="73666AF9" w14:textId="77777777" w:rsidR="00D60822" w:rsidRPr="00BC0D1F" w:rsidRDefault="00D60822" w:rsidP="00F06348">
            <w:pPr>
              <w:pStyle w:val="TableText"/>
              <w:spacing w:before="40" w:after="40"/>
              <w:ind w:left="85"/>
              <w:rPr>
                <w:b/>
                <w:sz w:val="15"/>
                <w:szCs w:val="15"/>
              </w:rPr>
            </w:pPr>
          </w:p>
        </w:tc>
      </w:tr>
    </w:tbl>
    <w:p w14:paraId="1AC35F18" w14:textId="77777777" w:rsidR="00C74455" w:rsidRDefault="00C74455">
      <w:r>
        <w:br w:type="page"/>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2551"/>
        <w:gridCol w:w="425"/>
        <w:gridCol w:w="993"/>
        <w:gridCol w:w="850"/>
        <w:gridCol w:w="992"/>
        <w:gridCol w:w="1276"/>
        <w:gridCol w:w="1276"/>
      </w:tblGrid>
      <w:tr w:rsidR="00C74455" w:rsidRPr="00BC0D1F" w14:paraId="61F362D9" w14:textId="77777777" w:rsidTr="008D3000">
        <w:trPr>
          <w:cantSplit/>
          <w:tblHeader/>
        </w:trPr>
        <w:tc>
          <w:tcPr>
            <w:tcW w:w="993" w:type="dxa"/>
            <w:tcBorders>
              <w:left w:val="nil"/>
              <w:bottom w:val="single" w:sz="4" w:space="0" w:color="auto"/>
              <w:right w:val="nil"/>
            </w:tcBorders>
            <w:shd w:val="clear" w:color="auto" w:fill="auto"/>
          </w:tcPr>
          <w:p w14:paraId="53B592C1" w14:textId="70A23B21" w:rsidR="00C74455" w:rsidRPr="00BC0D1F" w:rsidRDefault="00C74455" w:rsidP="008D3000">
            <w:pPr>
              <w:pStyle w:val="TableText"/>
              <w:spacing w:before="40" w:after="40"/>
              <w:ind w:right="85"/>
              <w:jc w:val="right"/>
              <w:rPr>
                <w:b/>
                <w:sz w:val="15"/>
                <w:szCs w:val="15"/>
              </w:rPr>
            </w:pPr>
            <w:r w:rsidRPr="00BC0D1F">
              <w:rPr>
                <w:b/>
                <w:sz w:val="15"/>
                <w:szCs w:val="15"/>
              </w:rPr>
              <w:lastRenderedPageBreak/>
              <w:t xml:space="preserve">Actual </w:t>
            </w:r>
            <w:r w:rsidRPr="00BC0D1F">
              <w:rPr>
                <w:rFonts w:ascii="Arial Bold" w:hAnsi="Arial Bold"/>
                <w:b/>
                <w:spacing w:val="-4"/>
                <w:sz w:val="15"/>
                <w:szCs w:val="15"/>
              </w:rPr>
              <w:t>expenditure</w:t>
            </w:r>
            <w:r w:rsidRPr="00BC0D1F">
              <w:rPr>
                <w:b/>
                <w:sz w:val="15"/>
                <w:szCs w:val="15"/>
              </w:rPr>
              <w:br/>
              <w:t>2015</w:t>
            </w:r>
            <w:r w:rsidRPr="00BC0D1F">
              <w:rPr>
                <w:b/>
                <w:sz w:val="15"/>
                <w:szCs w:val="15"/>
              </w:rPr>
              <w:br/>
              <w:t>$000</w:t>
            </w:r>
          </w:p>
        </w:tc>
        <w:tc>
          <w:tcPr>
            <w:tcW w:w="2976" w:type="dxa"/>
            <w:gridSpan w:val="2"/>
            <w:tcBorders>
              <w:left w:val="nil"/>
              <w:bottom w:val="single" w:sz="4" w:space="0" w:color="auto"/>
              <w:right w:val="nil"/>
            </w:tcBorders>
            <w:shd w:val="clear" w:color="auto" w:fill="auto"/>
          </w:tcPr>
          <w:p w14:paraId="77CBDE09" w14:textId="77777777" w:rsidR="00C74455" w:rsidRPr="00BC0D1F" w:rsidRDefault="00C74455" w:rsidP="008D3000">
            <w:pPr>
              <w:pStyle w:val="TableText"/>
              <w:spacing w:before="40" w:after="40"/>
              <w:rPr>
                <w:b/>
                <w:sz w:val="15"/>
                <w:szCs w:val="15"/>
              </w:rPr>
            </w:pPr>
            <w:r w:rsidRPr="00BC0D1F">
              <w:rPr>
                <w:b/>
                <w:sz w:val="15"/>
                <w:szCs w:val="15"/>
              </w:rPr>
              <w:t>Appropriation title</w:t>
            </w:r>
          </w:p>
        </w:tc>
        <w:tc>
          <w:tcPr>
            <w:tcW w:w="993" w:type="dxa"/>
            <w:tcBorders>
              <w:left w:val="nil"/>
              <w:bottom w:val="single" w:sz="4" w:space="0" w:color="auto"/>
              <w:right w:val="nil"/>
            </w:tcBorders>
            <w:shd w:val="clear" w:color="auto" w:fill="D9D9D9"/>
          </w:tcPr>
          <w:p w14:paraId="6311FCFF" w14:textId="77777777" w:rsidR="00C74455" w:rsidRPr="00BC0D1F" w:rsidRDefault="00C74455" w:rsidP="008D3000">
            <w:pPr>
              <w:pStyle w:val="TableText"/>
              <w:spacing w:before="40" w:after="40"/>
              <w:ind w:right="85"/>
              <w:jc w:val="right"/>
              <w:rPr>
                <w:b/>
                <w:sz w:val="15"/>
                <w:szCs w:val="15"/>
              </w:rPr>
            </w:pPr>
            <w:r w:rsidRPr="00BC0D1F">
              <w:rPr>
                <w:b/>
                <w:sz w:val="15"/>
                <w:szCs w:val="15"/>
              </w:rPr>
              <w:t xml:space="preserve">Actual </w:t>
            </w:r>
            <w:r w:rsidRPr="00BC0D1F">
              <w:rPr>
                <w:rFonts w:ascii="Arial Bold" w:hAnsi="Arial Bold"/>
                <w:b/>
                <w:spacing w:val="-4"/>
                <w:sz w:val="15"/>
                <w:szCs w:val="15"/>
              </w:rPr>
              <w:t>expenditure</w:t>
            </w:r>
            <w:r w:rsidRPr="00BC0D1F">
              <w:rPr>
                <w:b/>
                <w:sz w:val="15"/>
                <w:szCs w:val="15"/>
              </w:rPr>
              <w:br/>
              <w:t>2016</w:t>
            </w:r>
            <w:r w:rsidRPr="00BC0D1F">
              <w:rPr>
                <w:b/>
                <w:sz w:val="15"/>
                <w:szCs w:val="15"/>
              </w:rPr>
              <w:br/>
              <w:t>$000</w:t>
            </w:r>
          </w:p>
        </w:tc>
        <w:tc>
          <w:tcPr>
            <w:tcW w:w="850" w:type="dxa"/>
            <w:tcBorders>
              <w:left w:val="nil"/>
              <w:bottom w:val="single" w:sz="4" w:space="0" w:color="auto"/>
              <w:right w:val="nil"/>
            </w:tcBorders>
            <w:shd w:val="clear" w:color="auto" w:fill="auto"/>
          </w:tcPr>
          <w:p w14:paraId="4423BB0C" w14:textId="77777777" w:rsidR="00C74455" w:rsidRPr="00BC0D1F" w:rsidRDefault="00C74455" w:rsidP="008D3000">
            <w:pPr>
              <w:pStyle w:val="TableText"/>
              <w:spacing w:before="40" w:after="40"/>
              <w:jc w:val="right"/>
              <w:rPr>
                <w:b/>
                <w:sz w:val="15"/>
                <w:szCs w:val="15"/>
              </w:rPr>
            </w:pPr>
            <w:r w:rsidRPr="00BC0D1F">
              <w:rPr>
                <w:b/>
                <w:sz w:val="15"/>
                <w:szCs w:val="15"/>
              </w:rPr>
              <w:t>Main estimates</w:t>
            </w:r>
            <w:r w:rsidRPr="00BC0D1F">
              <w:rPr>
                <w:b/>
                <w:sz w:val="15"/>
                <w:szCs w:val="15"/>
              </w:rPr>
              <w:br/>
              <w:t>2016</w:t>
            </w:r>
            <w:r w:rsidRPr="00BC0D1F">
              <w:rPr>
                <w:b/>
                <w:sz w:val="15"/>
                <w:szCs w:val="15"/>
              </w:rPr>
              <w:br/>
              <w:t>$000</w:t>
            </w:r>
          </w:p>
        </w:tc>
        <w:tc>
          <w:tcPr>
            <w:tcW w:w="992" w:type="dxa"/>
            <w:tcBorders>
              <w:left w:val="nil"/>
              <w:bottom w:val="single" w:sz="4" w:space="0" w:color="auto"/>
              <w:right w:val="nil"/>
            </w:tcBorders>
            <w:shd w:val="clear" w:color="auto" w:fill="auto"/>
          </w:tcPr>
          <w:p w14:paraId="29CB913B" w14:textId="77777777" w:rsidR="00C74455" w:rsidRPr="00BC0D1F" w:rsidRDefault="00C74455" w:rsidP="008D3000">
            <w:pPr>
              <w:pStyle w:val="TableText"/>
              <w:spacing w:before="40" w:after="40"/>
              <w:jc w:val="right"/>
              <w:rPr>
                <w:b/>
                <w:sz w:val="15"/>
                <w:szCs w:val="15"/>
              </w:rPr>
            </w:pPr>
            <w:r w:rsidRPr="00BC0D1F">
              <w:rPr>
                <w:b/>
                <w:sz w:val="15"/>
                <w:szCs w:val="15"/>
              </w:rPr>
              <w:t xml:space="preserve">Voted^ </w:t>
            </w:r>
            <w:r w:rsidRPr="00BC0D1F">
              <w:rPr>
                <w:rFonts w:ascii="Arial Bold" w:hAnsi="Arial Bold"/>
                <w:b/>
                <w:spacing w:val="-4"/>
                <w:sz w:val="15"/>
                <w:szCs w:val="15"/>
              </w:rPr>
              <w:t>appropriation</w:t>
            </w:r>
            <w:r w:rsidRPr="00BC0D1F">
              <w:rPr>
                <w:b/>
                <w:sz w:val="15"/>
                <w:szCs w:val="15"/>
              </w:rPr>
              <w:br/>
              <w:t>2016</w:t>
            </w:r>
            <w:r w:rsidRPr="00BC0D1F">
              <w:rPr>
                <w:b/>
                <w:sz w:val="15"/>
                <w:szCs w:val="15"/>
              </w:rPr>
              <w:br/>
              <w:t>$000</w:t>
            </w:r>
          </w:p>
        </w:tc>
        <w:tc>
          <w:tcPr>
            <w:tcW w:w="1276" w:type="dxa"/>
            <w:tcBorders>
              <w:left w:val="nil"/>
              <w:bottom w:val="single" w:sz="4" w:space="0" w:color="auto"/>
              <w:right w:val="nil"/>
            </w:tcBorders>
            <w:shd w:val="clear" w:color="auto" w:fill="auto"/>
          </w:tcPr>
          <w:p w14:paraId="018F3E0F" w14:textId="77777777" w:rsidR="00C74455" w:rsidRPr="00BC0D1F" w:rsidRDefault="00C74455" w:rsidP="008D3000">
            <w:pPr>
              <w:pStyle w:val="TableText"/>
              <w:spacing w:before="40" w:after="40"/>
              <w:jc w:val="right"/>
              <w:rPr>
                <w:b/>
                <w:sz w:val="15"/>
                <w:szCs w:val="15"/>
              </w:rPr>
            </w:pPr>
            <w:r w:rsidRPr="00BC0D1F">
              <w:rPr>
                <w:b/>
                <w:sz w:val="15"/>
                <w:szCs w:val="15"/>
              </w:rPr>
              <w:t>Actual expenditure as a</w:t>
            </w:r>
            <w:r w:rsidRPr="00BC0D1F">
              <w:rPr>
                <w:b/>
                <w:sz w:val="15"/>
                <w:szCs w:val="15"/>
              </w:rPr>
              <w:br/>
              <w:t>% of total Vote</w:t>
            </w:r>
            <w:r w:rsidRPr="00BC0D1F">
              <w:rPr>
                <w:b/>
                <w:sz w:val="15"/>
                <w:szCs w:val="15"/>
              </w:rPr>
              <w:br/>
              <w:t>$000</w:t>
            </w:r>
          </w:p>
        </w:tc>
        <w:tc>
          <w:tcPr>
            <w:tcW w:w="1276" w:type="dxa"/>
            <w:tcBorders>
              <w:left w:val="nil"/>
              <w:bottom w:val="single" w:sz="4" w:space="0" w:color="auto"/>
              <w:right w:val="nil"/>
            </w:tcBorders>
            <w:shd w:val="clear" w:color="auto" w:fill="auto"/>
          </w:tcPr>
          <w:p w14:paraId="6F4C6CB6" w14:textId="77777777" w:rsidR="00C74455" w:rsidRPr="00BC0D1F" w:rsidRDefault="00C74455" w:rsidP="008D3000">
            <w:pPr>
              <w:pStyle w:val="TableText"/>
              <w:spacing w:before="40" w:after="40"/>
              <w:ind w:left="85"/>
              <w:jc w:val="center"/>
              <w:rPr>
                <w:b/>
                <w:sz w:val="15"/>
                <w:szCs w:val="15"/>
              </w:rPr>
            </w:pPr>
            <w:r w:rsidRPr="00BC0D1F">
              <w:rPr>
                <w:b/>
                <w:sz w:val="15"/>
                <w:szCs w:val="15"/>
              </w:rPr>
              <w:t>Location of end</w:t>
            </w:r>
            <w:r w:rsidRPr="00BC0D1F">
              <w:rPr>
                <w:b/>
                <w:sz w:val="15"/>
                <w:szCs w:val="15"/>
              </w:rPr>
              <w:noBreakHyphen/>
              <w:t>of-year performance information</w:t>
            </w:r>
          </w:p>
        </w:tc>
      </w:tr>
      <w:tr w:rsidR="00810942" w:rsidRPr="00BC0D1F" w14:paraId="08D2657A" w14:textId="77777777" w:rsidTr="00F06348">
        <w:trPr>
          <w:cantSplit/>
        </w:trPr>
        <w:tc>
          <w:tcPr>
            <w:tcW w:w="993" w:type="dxa"/>
            <w:tcBorders>
              <w:top w:val="single" w:sz="4" w:space="0" w:color="A6A6A6"/>
              <w:left w:val="nil"/>
              <w:bottom w:val="nil"/>
              <w:right w:val="nil"/>
            </w:tcBorders>
            <w:shd w:val="clear" w:color="auto" w:fill="D9D9D9"/>
          </w:tcPr>
          <w:p w14:paraId="3EF8F199" w14:textId="4BCDFB1B" w:rsidR="00D60822" w:rsidRPr="00BC0D1F" w:rsidRDefault="00D60822" w:rsidP="00F06348">
            <w:pPr>
              <w:pStyle w:val="TableText"/>
              <w:spacing w:before="40" w:after="40"/>
              <w:ind w:right="85"/>
              <w:jc w:val="right"/>
              <w:rPr>
                <w:b/>
                <w:sz w:val="15"/>
                <w:szCs w:val="15"/>
              </w:rPr>
            </w:pPr>
          </w:p>
        </w:tc>
        <w:tc>
          <w:tcPr>
            <w:tcW w:w="2551" w:type="dxa"/>
            <w:tcBorders>
              <w:top w:val="single" w:sz="4" w:space="0" w:color="A6A6A6"/>
              <w:left w:val="nil"/>
              <w:bottom w:val="nil"/>
              <w:right w:val="nil"/>
            </w:tcBorders>
            <w:shd w:val="clear" w:color="auto" w:fill="D9D9D9"/>
          </w:tcPr>
          <w:p w14:paraId="6F5947C1" w14:textId="77777777" w:rsidR="00D60822" w:rsidRPr="00BC0D1F" w:rsidRDefault="00D60822" w:rsidP="00F06348">
            <w:pPr>
              <w:pStyle w:val="TableText"/>
              <w:spacing w:before="40" w:after="40"/>
              <w:rPr>
                <w:b/>
                <w:sz w:val="15"/>
                <w:szCs w:val="15"/>
              </w:rPr>
            </w:pPr>
            <w:r w:rsidRPr="00BC0D1F">
              <w:rPr>
                <w:b/>
                <w:sz w:val="15"/>
                <w:szCs w:val="15"/>
              </w:rPr>
              <w:t>Non</w:t>
            </w:r>
            <w:r w:rsidR="00D31199" w:rsidRPr="00BC0D1F">
              <w:rPr>
                <w:b/>
                <w:sz w:val="15"/>
                <w:szCs w:val="15"/>
              </w:rPr>
              <w:t>-</w:t>
            </w:r>
            <w:r w:rsidRPr="00BC0D1F">
              <w:rPr>
                <w:b/>
                <w:sz w:val="15"/>
                <w:szCs w:val="15"/>
              </w:rPr>
              <w:t>departmental other expenses</w:t>
            </w:r>
          </w:p>
        </w:tc>
        <w:tc>
          <w:tcPr>
            <w:tcW w:w="425" w:type="dxa"/>
            <w:tcBorders>
              <w:top w:val="single" w:sz="4" w:space="0" w:color="A6A6A6"/>
              <w:left w:val="nil"/>
              <w:bottom w:val="nil"/>
              <w:right w:val="nil"/>
            </w:tcBorders>
            <w:shd w:val="clear" w:color="auto" w:fill="D9D9D9"/>
          </w:tcPr>
          <w:p w14:paraId="4F22BAC3" w14:textId="77777777" w:rsidR="00D60822" w:rsidRPr="00BC0D1F" w:rsidRDefault="00D60822" w:rsidP="00F06348">
            <w:pPr>
              <w:pStyle w:val="TableText"/>
              <w:spacing w:before="40" w:after="40"/>
              <w:jc w:val="center"/>
              <w:rPr>
                <w:b/>
                <w:sz w:val="15"/>
                <w:szCs w:val="15"/>
              </w:rPr>
            </w:pPr>
          </w:p>
        </w:tc>
        <w:tc>
          <w:tcPr>
            <w:tcW w:w="993" w:type="dxa"/>
            <w:tcBorders>
              <w:top w:val="single" w:sz="4" w:space="0" w:color="A6A6A6"/>
              <w:left w:val="nil"/>
              <w:bottom w:val="nil"/>
              <w:right w:val="nil"/>
            </w:tcBorders>
            <w:shd w:val="clear" w:color="auto" w:fill="D9D9D9"/>
          </w:tcPr>
          <w:p w14:paraId="0263AA3A" w14:textId="77777777" w:rsidR="00D60822" w:rsidRPr="00BC0D1F" w:rsidRDefault="00D60822" w:rsidP="00F06348">
            <w:pPr>
              <w:pStyle w:val="TableText"/>
              <w:spacing w:before="40" w:after="40"/>
              <w:ind w:right="85"/>
              <w:jc w:val="right"/>
              <w:rPr>
                <w:b/>
                <w:sz w:val="15"/>
                <w:szCs w:val="15"/>
              </w:rPr>
            </w:pPr>
          </w:p>
        </w:tc>
        <w:tc>
          <w:tcPr>
            <w:tcW w:w="850" w:type="dxa"/>
            <w:tcBorders>
              <w:top w:val="single" w:sz="4" w:space="0" w:color="A6A6A6"/>
              <w:left w:val="nil"/>
              <w:bottom w:val="nil"/>
              <w:right w:val="nil"/>
            </w:tcBorders>
            <w:shd w:val="clear" w:color="auto" w:fill="D9D9D9"/>
          </w:tcPr>
          <w:p w14:paraId="44862F50" w14:textId="77777777" w:rsidR="00D60822" w:rsidRPr="00BC0D1F" w:rsidRDefault="00D60822" w:rsidP="00F06348">
            <w:pPr>
              <w:pStyle w:val="TableText"/>
              <w:spacing w:before="40" w:after="40"/>
              <w:jc w:val="right"/>
              <w:rPr>
                <w:b/>
                <w:sz w:val="15"/>
                <w:szCs w:val="15"/>
              </w:rPr>
            </w:pPr>
          </w:p>
        </w:tc>
        <w:tc>
          <w:tcPr>
            <w:tcW w:w="992" w:type="dxa"/>
            <w:tcBorders>
              <w:top w:val="single" w:sz="4" w:space="0" w:color="A6A6A6"/>
              <w:left w:val="nil"/>
              <w:bottom w:val="nil"/>
              <w:right w:val="nil"/>
            </w:tcBorders>
            <w:shd w:val="clear" w:color="auto" w:fill="D9D9D9"/>
          </w:tcPr>
          <w:p w14:paraId="6AD1EB66"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1240A902" w14:textId="77777777" w:rsidR="00D60822" w:rsidRPr="00BC0D1F" w:rsidRDefault="00D60822" w:rsidP="00F06348">
            <w:pPr>
              <w:pStyle w:val="TableT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55A07C6E" w14:textId="77777777" w:rsidR="00D60822" w:rsidRPr="00BC0D1F" w:rsidRDefault="00D60822" w:rsidP="00F06348">
            <w:pPr>
              <w:pStyle w:val="TableText"/>
              <w:spacing w:before="40" w:after="40"/>
              <w:ind w:left="85"/>
              <w:rPr>
                <w:b/>
                <w:sz w:val="15"/>
                <w:szCs w:val="15"/>
              </w:rPr>
            </w:pPr>
          </w:p>
        </w:tc>
      </w:tr>
      <w:tr w:rsidR="00810942" w:rsidRPr="00BC0D1F" w14:paraId="768AF111" w14:textId="77777777" w:rsidTr="00F06348">
        <w:trPr>
          <w:cantSplit/>
        </w:trPr>
        <w:tc>
          <w:tcPr>
            <w:tcW w:w="993" w:type="dxa"/>
            <w:tcBorders>
              <w:top w:val="nil"/>
              <w:left w:val="nil"/>
              <w:bottom w:val="nil"/>
              <w:right w:val="nil"/>
            </w:tcBorders>
            <w:shd w:val="clear" w:color="auto" w:fill="auto"/>
          </w:tcPr>
          <w:p w14:paraId="0A8BA0D0" w14:textId="77777777" w:rsidR="00D60822" w:rsidRPr="00BC0D1F" w:rsidRDefault="000677F9" w:rsidP="00F06348">
            <w:pPr>
              <w:pStyle w:val="TableText"/>
              <w:spacing w:before="40" w:after="40"/>
              <w:ind w:right="85"/>
              <w:jc w:val="right"/>
              <w:rPr>
                <w:sz w:val="15"/>
                <w:szCs w:val="15"/>
              </w:rPr>
            </w:pPr>
            <w:r w:rsidRPr="00BC0D1F">
              <w:rPr>
                <w:sz w:val="15"/>
                <w:szCs w:val="15"/>
              </w:rPr>
              <w:t>1</w:t>
            </w:r>
            <w:r w:rsidR="008234DC" w:rsidRPr="00BC0D1F">
              <w:rPr>
                <w:sz w:val="15"/>
                <w:szCs w:val="15"/>
              </w:rPr>
              <w:t>,</w:t>
            </w:r>
            <w:r w:rsidR="00D60822" w:rsidRPr="00BC0D1F">
              <w:rPr>
                <w:sz w:val="15"/>
                <w:szCs w:val="15"/>
              </w:rPr>
              <w:t>480</w:t>
            </w:r>
          </w:p>
        </w:tc>
        <w:tc>
          <w:tcPr>
            <w:tcW w:w="2551" w:type="dxa"/>
            <w:tcBorders>
              <w:top w:val="nil"/>
              <w:left w:val="nil"/>
              <w:bottom w:val="nil"/>
              <w:right w:val="nil"/>
            </w:tcBorders>
            <w:shd w:val="clear" w:color="auto" w:fill="auto"/>
          </w:tcPr>
          <w:p w14:paraId="29A4F47A" w14:textId="77777777" w:rsidR="00D60822" w:rsidRPr="00BC0D1F" w:rsidRDefault="00D60822" w:rsidP="00F06348">
            <w:pPr>
              <w:pStyle w:val="TableText"/>
              <w:spacing w:before="40" w:after="40"/>
              <w:rPr>
                <w:sz w:val="15"/>
                <w:szCs w:val="15"/>
              </w:rPr>
            </w:pPr>
            <w:r w:rsidRPr="00BC0D1F">
              <w:rPr>
                <w:sz w:val="15"/>
                <w:szCs w:val="15"/>
              </w:rPr>
              <w:t>International health organisations</w:t>
            </w:r>
          </w:p>
        </w:tc>
        <w:tc>
          <w:tcPr>
            <w:tcW w:w="425" w:type="dxa"/>
            <w:tcBorders>
              <w:top w:val="nil"/>
              <w:left w:val="nil"/>
              <w:bottom w:val="nil"/>
              <w:right w:val="nil"/>
            </w:tcBorders>
            <w:shd w:val="clear" w:color="auto" w:fill="auto"/>
          </w:tcPr>
          <w:p w14:paraId="3843A68A"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1658DB25" w14:textId="77777777" w:rsidR="00D60822" w:rsidRPr="00BC0D1F" w:rsidRDefault="000677F9" w:rsidP="00F06348">
            <w:pPr>
              <w:pStyle w:val="TableText"/>
              <w:spacing w:before="40" w:after="40"/>
              <w:ind w:right="85"/>
              <w:jc w:val="right"/>
              <w:rPr>
                <w:sz w:val="15"/>
                <w:szCs w:val="15"/>
              </w:rPr>
            </w:pPr>
            <w:r w:rsidRPr="00BC0D1F">
              <w:rPr>
                <w:sz w:val="15"/>
                <w:szCs w:val="15"/>
              </w:rPr>
              <w:t>1</w:t>
            </w:r>
            <w:r w:rsidR="008234DC" w:rsidRPr="00BC0D1F">
              <w:rPr>
                <w:sz w:val="15"/>
                <w:szCs w:val="15"/>
              </w:rPr>
              <w:t>,</w:t>
            </w:r>
            <w:r w:rsidR="00D60822" w:rsidRPr="00BC0D1F">
              <w:rPr>
                <w:sz w:val="15"/>
                <w:szCs w:val="15"/>
              </w:rPr>
              <w:t>639</w:t>
            </w:r>
          </w:p>
        </w:tc>
        <w:tc>
          <w:tcPr>
            <w:tcW w:w="850" w:type="dxa"/>
            <w:tcBorders>
              <w:top w:val="nil"/>
              <w:left w:val="nil"/>
              <w:bottom w:val="nil"/>
              <w:right w:val="nil"/>
            </w:tcBorders>
            <w:shd w:val="clear" w:color="auto" w:fill="auto"/>
          </w:tcPr>
          <w:p w14:paraId="69DBDA34" w14:textId="77777777" w:rsidR="00D60822" w:rsidRPr="00BC0D1F" w:rsidRDefault="00D60822" w:rsidP="00F06348">
            <w:pPr>
              <w:pStyle w:val="TableText"/>
              <w:spacing w:before="40" w:after="40"/>
              <w:jc w:val="right"/>
              <w:rPr>
                <w:sz w:val="15"/>
                <w:szCs w:val="15"/>
              </w:rPr>
            </w:pPr>
            <w:r w:rsidRPr="00BC0D1F">
              <w:rPr>
                <w:sz w:val="15"/>
                <w:szCs w:val="15"/>
              </w:rPr>
              <w:t>2</w:t>
            </w:r>
            <w:r w:rsidR="008234DC" w:rsidRPr="00BC0D1F">
              <w:rPr>
                <w:sz w:val="15"/>
                <w:szCs w:val="15"/>
              </w:rPr>
              <w:t>,</w:t>
            </w:r>
            <w:r w:rsidRPr="00BC0D1F">
              <w:rPr>
                <w:sz w:val="15"/>
                <w:szCs w:val="15"/>
              </w:rPr>
              <w:t>030</w:t>
            </w:r>
          </w:p>
        </w:tc>
        <w:tc>
          <w:tcPr>
            <w:tcW w:w="992" w:type="dxa"/>
            <w:tcBorders>
              <w:top w:val="nil"/>
              <w:left w:val="nil"/>
              <w:bottom w:val="nil"/>
              <w:right w:val="nil"/>
            </w:tcBorders>
            <w:shd w:val="clear" w:color="auto" w:fill="auto"/>
          </w:tcPr>
          <w:p w14:paraId="324EECD6" w14:textId="77777777" w:rsidR="00D60822" w:rsidRPr="00BC0D1F" w:rsidRDefault="00D60822" w:rsidP="00F06348">
            <w:pPr>
              <w:pStyle w:val="TableText"/>
              <w:spacing w:before="40" w:after="40"/>
              <w:jc w:val="right"/>
              <w:rPr>
                <w:sz w:val="15"/>
                <w:szCs w:val="15"/>
              </w:rPr>
            </w:pPr>
            <w:r w:rsidRPr="00BC0D1F">
              <w:rPr>
                <w:sz w:val="15"/>
                <w:szCs w:val="15"/>
              </w:rPr>
              <w:t>1</w:t>
            </w:r>
            <w:r w:rsidR="008234DC" w:rsidRPr="00BC0D1F">
              <w:rPr>
                <w:sz w:val="15"/>
                <w:szCs w:val="15"/>
              </w:rPr>
              <w:t>,</w:t>
            </w:r>
            <w:r w:rsidRPr="00BC0D1F">
              <w:rPr>
                <w:sz w:val="15"/>
                <w:szCs w:val="15"/>
              </w:rPr>
              <w:t>650</w:t>
            </w:r>
          </w:p>
        </w:tc>
        <w:tc>
          <w:tcPr>
            <w:tcW w:w="1276" w:type="dxa"/>
            <w:tcBorders>
              <w:top w:val="nil"/>
              <w:left w:val="nil"/>
              <w:bottom w:val="nil"/>
              <w:right w:val="nil"/>
            </w:tcBorders>
            <w:shd w:val="clear" w:color="auto" w:fill="auto"/>
          </w:tcPr>
          <w:p w14:paraId="18E08F75" w14:textId="77777777" w:rsidR="00D60822" w:rsidRPr="00BC0D1F" w:rsidRDefault="00D60822" w:rsidP="00F06348">
            <w:pPr>
              <w:pStyle w:val="TableText"/>
              <w:spacing w:before="40" w:after="40"/>
              <w:jc w:val="right"/>
              <w:rPr>
                <w:sz w:val="15"/>
                <w:szCs w:val="15"/>
              </w:rPr>
            </w:pPr>
            <w:r w:rsidRPr="00BC0D1F">
              <w:rPr>
                <w:sz w:val="15"/>
                <w:szCs w:val="15"/>
              </w:rPr>
              <w:t>0.01%</w:t>
            </w:r>
          </w:p>
        </w:tc>
        <w:tc>
          <w:tcPr>
            <w:tcW w:w="1276" w:type="dxa"/>
            <w:tcBorders>
              <w:top w:val="nil"/>
              <w:left w:val="nil"/>
              <w:bottom w:val="nil"/>
              <w:right w:val="nil"/>
            </w:tcBorders>
            <w:shd w:val="clear" w:color="auto" w:fill="auto"/>
          </w:tcPr>
          <w:p w14:paraId="79EC3A71" w14:textId="6E046446" w:rsidR="00D60822" w:rsidRPr="00BC0D1F" w:rsidRDefault="00D60822" w:rsidP="00F06348">
            <w:pPr>
              <w:pStyle w:val="TableText"/>
              <w:spacing w:before="40" w:after="40"/>
              <w:ind w:left="85"/>
              <w:rPr>
                <w:sz w:val="15"/>
                <w:szCs w:val="15"/>
              </w:rPr>
            </w:pPr>
          </w:p>
        </w:tc>
      </w:tr>
      <w:tr w:rsidR="00810942" w:rsidRPr="00BC0D1F" w14:paraId="38E06CD1" w14:textId="77777777" w:rsidTr="00F06348">
        <w:trPr>
          <w:cantSplit/>
        </w:trPr>
        <w:tc>
          <w:tcPr>
            <w:tcW w:w="993" w:type="dxa"/>
            <w:tcBorders>
              <w:top w:val="nil"/>
              <w:left w:val="nil"/>
              <w:bottom w:val="nil"/>
              <w:right w:val="nil"/>
            </w:tcBorders>
            <w:shd w:val="clear" w:color="auto" w:fill="auto"/>
          </w:tcPr>
          <w:p w14:paraId="4B4F084B" w14:textId="77777777" w:rsidR="00D60822" w:rsidRPr="00BC0D1F" w:rsidRDefault="00D60822" w:rsidP="00F06348">
            <w:pPr>
              <w:pStyle w:val="TableText"/>
              <w:spacing w:before="40" w:after="40"/>
              <w:ind w:right="85"/>
              <w:jc w:val="right"/>
              <w:rPr>
                <w:sz w:val="15"/>
                <w:szCs w:val="15"/>
              </w:rPr>
            </w:pPr>
            <w:r w:rsidRPr="00BC0D1F">
              <w:rPr>
                <w:sz w:val="15"/>
                <w:szCs w:val="15"/>
              </w:rPr>
              <w:t>607</w:t>
            </w:r>
          </w:p>
        </w:tc>
        <w:tc>
          <w:tcPr>
            <w:tcW w:w="2551" w:type="dxa"/>
            <w:tcBorders>
              <w:top w:val="nil"/>
              <w:left w:val="nil"/>
              <w:bottom w:val="nil"/>
              <w:right w:val="nil"/>
            </w:tcBorders>
            <w:shd w:val="clear" w:color="auto" w:fill="auto"/>
          </w:tcPr>
          <w:p w14:paraId="31FE0D79" w14:textId="77777777" w:rsidR="00D60822" w:rsidRPr="00BC0D1F" w:rsidRDefault="00D60822" w:rsidP="00F06348">
            <w:pPr>
              <w:pStyle w:val="TableText"/>
              <w:spacing w:before="40" w:after="40"/>
              <w:rPr>
                <w:sz w:val="15"/>
                <w:szCs w:val="15"/>
              </w:rPr>
            </w:pPr>
            <w:r w:rsidRPr="00BC0D1F">
              <w:rPr>
                <w:sz w:val="15"/>
                <w:szCs w:val="15"/>
              </w:rPr>
              <w:t>Legal expenses</w:t>
            </w:r>
          </w:p>
        </w:tc>
        <w:tc>
          <w:tcPr>
            <w:tcW w:w="425" w:type="dxa"/>
            <w:tcBorders>
              <w:top w:val="nil"/>
              <w:left w:val="nil"/>
              <w:bottom w:val="nil"/>
              <w:right w:val="nil"/>
            </w:tcBorders>
            <w:shd w:val="clear" w:color="auto" w:fill="auto"/>
          </w:tcPr>
          <w:p w14:paraId="7A57A7D5"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0FCE7E28" w14:textId="77777777" w:rsidR="00D60822" w:rsidRPr="00BC0D1F" w:rsidRDefault="00D60822" w:rsidP="00F06348">
            <w:pPr>
              <w:pStyle w:val="TableText"/>
              <w:spacing w:before="40" w:after="40"/>
              <w:ind w:right="85"/>
              <w:jc w:val="right"/>
              <w:rPr>
                <w:sz w:val="15"/>
                <w:szCs w:val="15"/>
              </w:rPr>
            </w:pPr>
            <w:r w:rsidRPr="00BC0D1F">
              <w:rPr>
                <w:sz w:val="15"/>
                <w:szCs w:val="15"/>
              </w:rPr>
              <w:t>959</w:t>
            </w:r>
          </w:p>
        </w:tc>
        <w:tc>
          <w:tcPr>
            <w:tcW w:w="850" w:type="dxa"/>
            <w:tcBorders>
              <w:top w:val="nil"/>
              <w:left w:val="nil"/>
              <w:bottom w:val="nil"/>
              <w:right w:val="nil"/>
            </w:tcBorders>
            <w:shd w:val="clear" w:color="auto" w:fill="auto"/>
          </w:tcPr>
          <w:p w14:paraId="7FCA8E08" w14:textId="77777777" w:rsidR="00D60822" w:rsidRPr="00BC0D1F" w:rsidRDefault="00D60822" w:rsidP="00F06348">
            <w:pPr>
              <w:pStyle w:val="TableText"/>
              <w:spacing w:before="40" w:after="40"/>
              <w:jc w:val="right"/>
              <w:rPr>
                <w:sz w:val="15"/>
                <w:szCs w:val="15"/>
              </w:rPr>
            </w:pPr>
            <w:r w:rsidRPr="00BC0D1F">
              <w:rPr>
                <w:sz w:val="15"/>
                <w:szCs w:val="15"/>
              </w:rPr>
              <w:t>1</w:t>
            </w:r>
            <w:r w:rsidR="008234DC" w:rsidRPr="00BC0D1F">
              <w:rPr>
                <w:sz w:val="15"/>
                <w:szCs w:val="15"/>
              </w:rPr>
              <w:t>,</w:t>
            </w:r>
            <w:r w:rsidRPr="00BC0D1F">
              <w:rPr>
                <w:sz w:val="15"/>
                <w:szCs w:val="15"/>
              </w:rPr>
              <w:t>028</w:t>
            </w:r>
          </w:p>
        </w:tc>
        <w:tc>
          <w:tcPr>
            <w:tcW w:w="992" w:type="dxa"/>
            <w:tcBorders>
              <w:top w:val="nil"/>
              <w:left w:val="nil"/>
              <w:bottom w:val="nil"/>
              <w:right w:val="nil"/>
            </w:tcBorders>
            <w:shd w:val="clear" w:color="auto" w:fill="auto"/>
          </w:tcPr>
          <w:p w14:paraId="18B7D061" w14:textId="77777777" w:rsidR="00D60822" w:rsidRPr="00BC0D1F" w:rsidRDefault="00D60822" w:rsidP="00F06348">
            <w:pPr>
              <w:pStyle w:val="TableText"/>
              <w:spacing w:before="40" w:after="40"/>
              <w:jc w:val="right"/>
              <w:rPr>
                <w:sz w:val="15"/>
                <w:szCs w:val="15"/>
              </w:rPr>
            </w:pPr>
            <w:r w:rsidRPr="00BC0D1F">
              <w:rPr>
                <w:sz w:val="15"/>
                <w:szCs w:val="15"/>
              </w:rPr>
              <w:t>1</w:t>
            </w:r>
            <w:r w:rsidR="008234DC" w:rsidRPr="00BC0D1F">
              <w:rPr>
                <w:sz w:val="15"/>
                <w:szCs w:val="15"/>
              </w:rPr>
              <w:t>,</w:t>
            </w:r>
            <w:r w:rsidRPr="00BC0D1F">
              <w:rPr>
                <w:sz w:val="15"/>
                <w:szCs w:val="15"/>
              </w:rPr>
              <w:t>028</w:t>
            </w:r>
          </w:p>
        </w:tc>
        <w:tc>
          <w:tcPr>
            <w:tcW w:w="1276" w:type="dxa"/>
            <w:tcBorders>
              <w:top w:val="nil"/>
              <w:left w:val="nil"/>
              <w:bottom w:val="nil"/>
              <w:right w:val="nil"/>
            </w:tcBorders>
            <w:shd w:val="clear" w:color="auto" w:fill="auto"/>
          </w:tcPr>
          <w:p w14:paraId="5EC1DC4C" w14:textId="77777777" w:rsidR="00D60822" w:rsidRPr="00BC0D1F" w:rsidRDefault="00D60822" w:rsidP="00F06348">
            <w:pPr>
              <w:pStyle w:val="TableText"/>
              <w:spacing w:before="40" w:after="40"/>
              <w:jc w:val="right"/>
              <w:rPr>
                <w:sz w:val="15"/>
                <w:szCs w:val="15"/>
              </w:rPr>
            </w:pPr>
            <w:r w:rsidRPr="00BC0D1F">
              <w:rPr>
                <w:sz w:val="15"/>
                <w:szCs w:val="15"/>
              </w:rPr>
              <w:t>0.01%</w:t>
            </w:r>
          </w:p>
        </w:tc>
        <w:tc>
          <w:tcPr>
            <w:tcW w:w="1276" w:type="dxa"/>
            <w:tcBorders>
              <w:top w:val="nil"/>
              <w:left w:val="nil"/>
              <w:bottom w:val="nil"/>
              <w:right w:val="nil"/>
            </w:tcBorders>
            <w:shd w:val="clear" w:color="auto" w:fill="auto"/>
          </w:tcPr>
          <w:p w14:paraId="4E2D3F41" w14:textId="58346B47" w:rsidR="00D60822" w:rsidRPr="00BC0D1F" w:rsidRDefault="00BF547F" w:rsidP="00F06348">
            <w:pPr>
              <w:pStyle w:val="TableText"/>
              <w:spacing w:before="40" w:after="40"/>
              <w:ind w:left="85"/>
              <w:rPr>
                <w:sz w:val="15"/>
                <w:szCs w:val="15"/>
              </w:rPr>
            </w:pPr>
            <w:r w:rsidRPr="00BC0D1F">
              <w:rPr>
                <w:sz w:val="15"/>
                <w:szCs w:val="15"/>
              </w:rPr>
              <w:t>Exempt</w:t>
            </w:r>
          </w:p>
        </w:tc>
      </w:tr>
      <w:tr w:rsidR="00810942" w:rsidRPr="00BC0D1F" w14:paraId="3CF4269B" w14:textId="77777777" w:rsidTr="00F06348">
        <w:trPr>
          <w:cantSplit/>
        </w:trPr>
        <w:tc>
          <w:tcPr>
            <w:tcW w:w="993" w:type="dxa"/>
            <w:tcBorders>
              <w:top w:val="nil"/>
              <w:left w:val="nil"/>
              <w:bottom w:val="nil"/>
              <w:right w:val="nil"/>
            </w:tcBorders>
            <w:shd w:val="clear" w:color="auto" w:fill="auto"/>
          </w:tcPr>
          <w:p w14:paraId="14BB5D5A" w14:textId="77777777" w:rsidR="00D60822" w:rsidRPr="00BC0D1F" w:rsidRDefault="00D60822" w:rsidP="00F06348">
            <w:pPr>
              <w:pStyle w:val="TableText"/>
              <w:spacing w:before="40" w:after="40"/>
              <w:ind w:right="85"/>
              <w:jc w:val="right"/>
              <w:rPr>
                <w:sz w:val="15"/>
                <w:szCs w:val="15"/>
              </w:rPr>
            </w:pPr>
            <w:r w:rsidRPr="00BC0D1F">
              <w:rPr>
                <w:sz w:val="15"/>
                <w:szCs w:val="15"/>
              </w:rPr>
              <w:t>24,393</w:t>
            </w:r>
          </w:p>
        </w:tc>
        <w:tc>
          <w:tcPr>
            <w:tcW w:w="2551" w:type="dxa"/>
            <w:tcBorders>
              <w:top w:val="nil"/>
              <w:left w:val="nil"/>
              <w:bottom w:val="nil"/>
              <w:right w:val="nil"/>
            </w:tcBorders>
            <w:shd w:val="clear" w:color="auto" w:fill="auto"/>
          </w:tcPr>
          <w:p w14:paraId="72F90DD9" w14:textId="77777777" w:rsidR="00D60822" w:rsidRPr="00BC0D1F" w:rsidRDefault="00D60822" w:rsidP="00F06348">
            <w:pPr>
              <w:pStyle w:val="TableText"/>
              <w:spacing w:before="40" w:after="40"/>
              <w:rPr>
                <w:sz w:val="15"/>
                <w:szCs w:val="15"/>
              </w:rPr>
            </w:pPr>
            <w:r w:rsidRPr="00BC0D1F">
              <w:rPr>
                <w:sz w:val="15"/>
                <w:szCs w:val="15"/>
              </w:rPr>
              <w:t>Provider development</w:t>
            </w:r>
          </w:p>
        </w:tc>
        <w:tc>
          <w:tcPr>
            <w:tcW w:w="425" w:type="dxa"/>
            <w:tcBorders>
              <w:top w:val="nil"/>
              <w:left w:val="nil"/>
              <w:bottom w:val="nil"/>
              <w:right w:val="nil"/>
            </w:tcBorders>
            <w:shd w:val="clear" w:color="auto" w:fill="auto"/>
          </w:tcPr>
          <w:p w14:paraId="57953AF6"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1303D666" w14:textId="77777777" w:rsidR="00D60822" w:rsidRPr="00BC0D1F" w:rsidRDefault="00D60822" w:rsidP="00F06348">
            <w:pPr>
              <w:pStyle w:val="TableText"/>
              <w:spacing w:before="40" w:after="40"/>
              <w:ind w:right="85"/>
              <w:jc w:val="right"/>
              <w:rPr>
                <w:sz w:val="15"/>
                <w:szCs w:val="15"/>
              </w:rPr>
            </w:pPr>
            <w:r w:rsidRPr="00BC0D1F">
              <w:rPr>
                <w:sz w:val="15"/>
                <w:szCs w:val="15"/>
              </w:rPr>
              <w:t>22,709</w:t>
            </w:r>
          </w:p>
        </w:tc>
        <w:tc>
          <w:tcPr>
            <w:tcW w:w="850" w:type="dxa"/>
            <w:tcBorders>
              <w:top w:val="nil"/>
              <w:left w:val="nil"/>
              <w:bottom w:val="nil"/>
              <w:right w:val="nil"/>
            </w:tcBorders>
            <w:shd w:val="clear" w:color="auto" w:fill="auto"/>
          </w:tcPr>
          <w:p w14:paraId="1544B12B" w14:textId="77777777" w:rsidR="00D60822" w:rsidRPr="00BC0D1F" w:rsidRDefault="00D60822" w:rsidP="00F06348">
            <w:pPr>
              <w:pStyle w:val="TableText"/>
              <w:spacing w:before="40" w:after="40"/>
              <w:jc w:val="right"/>
              <w:rPr>
                <w:sz w:val="15"/>
                <w:szCs w:val="15"/>
              </w:rPr>
            </w:pPr>
            <w:r w:rsidRPr="00BC0D1F">
              <w:rPr>
                <w:sz w:val="15"/>
                <w:szCs w:val="15"/>
              </w:rPr>
              <w:t>25,414</w:t>
            </w:r>
          </w:p>
        </w:tc>
        <w:tc>
          <w:tcPr>
            <w:tcW w:w="992" w:type="dxa"/>
            <w:tcBorders>
              <w:top w:val="nil"/>
              <w:left w:val="nil"/>
              <w:bottom w:val="nil"/>
              <w:right w:val="nil"/>
            </w:tcBorders>
            <w:shd w:val="clear" w:color="auto" w:fill="auto"/>
          </w:tcPr>
          <w:p w14:paraId="074D753F" w14:textId="77777777" w:rsidR="00D60822" w:rsidRPr="00BC0D1F" w:rsidRDefault="00D60822" w:rsidP="00F06348">
            <w:pPr>
              <w:pStyle w:val="TableText"/>
              <w:spacing w:before="40" w:after="40"/>
              <w:jc w:val="right"/>
              <w:rPr>
                <w:sz w:val="15"/>
                <w:szCs w:val="15"/>
              </w:rPr>
            </w:pPr>
            <w:r w:rsidRPr="00BC0D1F">
              <w:rPr>
                <w:sz w:val="15"/>
                <w:szCs w:val="15"/>
              </w:rPr>
              <w:t>22,975</w:t>
            </w:r>
          </w:p>
        </w:tc>
        <w:tc>
          <w:tcPr>
            <w:tcW w:w="1276" w:type="dxa"/>
            <w:tcBorders>
              <w:top w:val="nil"/>
              <w:left w:val="nil"/>
              <w:bottom w:val="nil"/>
              <w:right w:val="nil"/>
            </w:tcBorders>
            <w:shd w:val="clear" w:color="auto" w:fill="auto"/>
          </w:tcPr>
          <w:p w14:paraId="4197B553" w14:textId="77777777" w:rsidR="00D60822" w:rsidRPr="00BC0D1F" w:rsidRDefault="00D60822" w:rsidP="00F06348">
            <w:pPr>
              <w:pStyle w:val="TableText"/>
              <w:spacing w:before="40" w:after="40"/>
              <w:jc w:val="right"/>
              <w:rPr>
                <w:sz w:val="15"/>
                <w:szCs w:val="15"/>
              </w:rPr>
            </w:pPr>
            <w:r w:rsidRPr="00BC0D1F">
              <w:rPr>
                <w:sz w:val="15"/>
                <w:szCs w:val="15"/>
              </w:rPr>
              <w:t>0.15%</w:t>
            </w:r>
          </w:p>
        </w:tc>
        <w:tc>
          <w:tcPr>
            <w:tcW w:w="1276" w:type="dxa"/>
            <w:tcBorders>
              <w:top w:val="nil"/>
              <w:left w:val="nil"/>
              <w:bottom w:val="nil"/>
              <w:right w:val="nil"/>
            </w:tcBorders>
            <w:shd w:val="clear" w:color="auto" w:fill="auto"/>
          </w:tcPr>
          <w:p w14:paraId="7413F6E8" w14:textId="77777777" w:rsidR="00D60822" w:rsidRPr="00BC0D1F" w:rsidRDefault="00D60822" w:rsidP="00F06348">
            <w:pPr>
              <w:pStyle w:val="TableText"/>
              <w:spacing w:before="40" w:after="40"/>
              <w:ind w:left="85"/>
              <w:rPr>
                <w:sz w:val="15"/>
                <w:szCs w:val="15"/>
              </w:rPr>
            </w:pPr>
          </w:p>
        </w:tc>
      </w:tr>
      <w:tr w:rsidR="00810942" w:rsidRPr="00BC0D1F" w14:paraId="353D056D" w14:textId="77777777" w:rsidTr="00F06348">
        <w:trPr>
          <w:cantSplit/>
        </w:trPr>
        <w:tc>
          <w:tcPr>
            <w:tcW w:w="993" w:type="dxa"/>
            <w:tcBorders>
              <w:top w:val="nil"/>
              <w:left w:val="nil"/>
              <w:bottom w:val="single" w:sz="4" w:space="0" w:color="A6A6A6"/>
              <w:right w:val="nil"/>
            </w:tcBorders>
            <w:shd w:val="clear" w:color="auto" w:fill="auto"/>
          </w:tcPr>
          <w:p w14:paraId="7D79D9C1" w14:textId="77777777" w:rsidR="00D60822" w:rsidRPr="00BC0D1F" w:rsidRDefault="00D60822" w:rsidP="00F06348">
            <w:pPr>
              <w:pStyle w:val="TableText"/>
              <w:spacing w:before="40" w:after="40"/>
              <w:ind w:right="85"/>
              <w:jc w:val="right"/>
              <w:rPr>
                <w:b/>
                <w:sz w:val="15"/>
                <w:szCs w:val="15"/>
              </w:rPr>
            </w:pPr>
            <w:r w:rsidRPr="00BC0D1F">
              <w:rPr>
                <w:b/>
                <w:sz w:val="15"/>
                <w:szCs w:val="15"/>
              </w:rPr>
              <w:t>26,480</w:t>
            </w:r>
          </w:p>
        </w:tc>
        <w:tc>
          <w:tcPr>
            <w:tcW w:w="2551" w:type="dxa"/>
            <w:tcBorders>
              <w:top w:val="nil"/>
              <w:left w:val="nil"/>
              <w:bottom w:val="single" w:sz="4" w:space="0" w:color="A6A6A6"/>
              <w:right w:val="nil"/>
            </w:tcBorders>
            <w:shd w:val="clear" w:color="auto" w:fill="auto"/>
          </w:tcPr>
          <w:p w14:paraId="46A3ABF6" w14:textId="77777777" w:rsidR="00D60822" w:rsidRPr="00BC0D1F" w:rsidRDefault="00D60822" w:rsidP="00F06348">
            <w:pPr>
              <w:pStyle w:val="TableText"/>
              <w:spacing w:before="40" w:after="40"/>
              <w:rPr>
                <w:b/>
                <w:sz w:val="15"/>
                <w:szCs w:val="15"/>
              </w:rPr>
            </w:pPr>
            <w:r w:rsidRPr="00BC0D1F">
              <w:rPr>
                <w:b/>
                <w:sz w:val="15"/>
                <w:szCs w:val="15"/>
              </w:rPr>
              <w:t>Total non</w:t>
            </w:r>
            <w:r w:rsidR="00D31199" w:rsidRPr="00BC0D1F">
              <w:rPr>
                <w:b/>
                <w:sz w:val="15"/>
                <w:szCs w:val="15"/>
              </w:rPr>
              <w:t>-</w:t>
            </w:r>
            <w:r w:rsidRPr="00BC0D1F">
              <w:rPr>
                <w:b/>
                <w:sz w:val="15"/>
                <w:szCs w:val="15"/>
              </w:rPr>
              <w:t>departmental other expenses</w:t>
            </w:r>
          </w:p>
        </w:tc>
        <w:tc>
          <w:tcPr>
            <w:tcW w:w="425" w:type="dxa"/>
            <w:tcBorders>
              <w:top w:val="nil"/>
              <w:left w:val="nil"/>
              <w:bottom w:val="single" w:sz="4" w:space="0" w:color="A6A6A6"/>
              <w:right w:val="nil"/>
            </w:tcBorders>
            <w:shd w:val="clear" w:color="auto" w:fill="auto"/>
          </w:tcPr>
          <w:p w14:paraId="1008D71C" w14:textId="77777777" w:rsidR="00D60822" w:rsidRPr="00BC0D1F" w:rsidRDefault="00D60822" w:rsidP="00F06348">
            <w:pPr>
              <w:pStyle w:val="TableText"/>
              <w:spacing w:before="40" w:after="40"/>
              <w:jc w:val="center"/>
              <w:rPr>
                <w:b/>
                <w:sz w:val="15"/>
                <w:szCs w:val="15"/>
              </w:rPr>
            </w:pPr>
          </w:p>
        </w:tc>
        <w:tc>
          <w:tcPr>
            <w:tcW w:w="993" w:type="dxa"/>
            <w:tcBorders>
              <w:top w:val="nil"/>
              <w:left w:val="nil"/>
              <w:bottom w:val="single" w:sz="4" w:space="0" w:color="A6A6A6"/>
              <w:right w:val="nil"/>
            </w:tcBorders>
            <w:shd w:val="clear" w:color="auto" w:fill="D9D9D9"/>
          </w:tcPr>
          <w:p w14:paraId="3E30FF60" w14:textId="77777777" w:rsidR="00D60822" w:rsidRPr="00BC0D1F" w:rsidRDefault="00D60822" w:rsidP="00F06348">
            <w:pPr>
              <w:pStyle w:val="TableText"/>
              <w:spacing w:before="40" w:after="40"/>
              <w:ind w:right="85"/>
              <w:jc w:val="right"/>
              <w:rPr>
                <w:b/>
                <w:sz w:val="15"/>
                <w:szCs w:val="15"/>
              </w:rPr>
            </w:pPr>
            <w:r w:rsidRPr="00BC0D1F">
              <w:rPr>
                <w:b/>
                <w:sz w:val="15"/>
                <w:szCs w:val="15"/>
              </w:rPr>
              <w:t>25,307</w:t>
            </w:r>
          </w:p>
        </w:tc>
        <w:tc>
          <w:tcPr>
            <w:tcW w:w="850" w:type="dxa"/>
            <w:tcBorders>
              <w:top w:val="nil"/>
              <w:left w:val="nil"/>
              <w:bottom w:val="single" w:sz="4" w:space="0" w:color="A6A6A6"/>
              <w:right w:val="nil"/>
            </w:tcBorders>
            <w:shd w:val="clear" w:color="auto" w:fill="auto"/>
          </w:tcPr>
          <w:p w14:paraId="78C1D42C" w14:textId="77777777" w:rsidR="00D60822" w:rsidRPr="00BC0D1F" w:rsidRDefault="00D60822" w:rsidP="00F06348">
            <w:pPr>
              <w:pStyle w:val="TableText"/>
              <w:spacing w:before="40" w:after="40"/>
              <w:jc w:val="right"/>
              <w:rPr>
                <w:b/>
                <w:sz w:val="15"/>
                <w:szCs w:val="15"/>
              </w:rPr>
            </w:pPr>
            <w:r w:rsidRPr="00BC0D1F">
              <w:rPr>
                <w:b/>
                <w:sz w:val="15"/>
                <w:szCs w:val="15"/>
              </w:rPr>
              <w:t>28,472</w:t>
            </w:r>
          </w:p>
        </w:tc>
        <w:tc>
          <w:tcPr>
            <w:tcW w:w="992" w:type="dxa"/>
            <w:tcBorders>
              <w:top w:val="nil"/>
              <w:left w:val="nil"/>
              <w:bottom w:val="single" w:sz="4" w:space="0" w:color="A6A6A6"/>
              <w:right w:val="nil"/>
            </w:tcBorders>
            <w:shd w:val="clear" w:color="auto" w:fill="auto"/>
          </w:tcPr>
          <w:p w14:paraId="3EF59512" w14:textId="77777777" w:rsidR="00D60822" w:rsidRPr="00BC0D1F" w:rsidRDefault="00D60822" w:rsidP="00F06348">
            <w:pPr>
              <w:pStyle w:val="TableText"/>
              <w:spacing w:before="40" w:after="40"/>
              <w:jc w:val="right"/>
              <w:rPr>
                <w:b/>
                <w:sz w:val="15"/>
                <w:szCs w:val="15"/>
              </w:rPr>
            </w:pPr>
            <w:r w:rsidRPr="00BC0D1F">
              <w:rPr>
                <w:b/>
                <w:sz w:val="15"/>
                <w:szCs w:val="15"/>
              </w:rPr>
              <w:t>25,653</w:t>
            </w:r>
          </w:p>
        </w:tc>
        <w:tc>
          <w:tcPr>
            <w:tcW w:w="1276" w:type="dxa"/>
            <w:tcBorders>
              <w:top w:val="nil"/>
              <w:left w:val="nil"/>
              <w:bottom w:val="single" w:sz="4" w:space="0" w:color="A6A6A6"/>
              <w:right w:val="nil"/>
            </w:tcBorders>
            <w:shd w:val="clear" w:color="auto" w:fill="auto"/>
          </w:tcPr>
          <w:p w14:paraId="6E649B65" w14:textId="77777777" w:rsidR="00D60822" w:rsidRPr="00BC0D1F" w:rsidRDefault="00D60822" w:rsidP="00F06348">
            <w:pPr>
              <w:pStyle w:val="TableText"/>
              <w:spacing w:before="40" w:after="40"/>
              <w:jc w:val="right"/>
              <w:rPr>
                <w:b/>
                <w:sz w:val="15"/>
                <w:szCs w:val="15"/>
              </w:rPr>
            </w:pPr>
            <w:r w:rsidRPr="00BC0D1F">
              <w:rPr>
                <w:b/>
                <w:sz w:val="15"/>
                <w:szCs w:val="15"/>
              </w:rPr>
              <w:t>0.17%</w:t>
            </w:r>
          </w:p>
        </w:tc>
        <w:tc>
          <w:tcPr>
            <w:tcW w:w="1276" w:type="dxa"/>
            <w:tcBorders>
              <w:top w:val="nil"/>
              <w:left w:val="nil"/>
              <w:bottom w:val="single" w:sz="4" w:space="0" w:color="A6A6A6"/>
              <w:right w:val="nil"/>
            </w:tcBorders>
            <w:shd w:val="clear" w:color="auto" w:fill="auto"/>
          </w:tcPr>
          <w:p w14:paraId="24AA52F3" w14:textId="77777777" w:rsidR="00D60822" w:rsidRPr="00BC0D1F" w:rsidRDefault="00D60822" w:rsidP="00F06348">
            <w:pPr>
              <w:pStyle w:val="TableText"/>
              <w:spacing w:before="40" w:after="40"/>
              <w:ind w:left="85"/>
              <w:rPr>
                <w:b/>
                <w:sz w:val="15"/>
                <w:szCs w:val="15"/>
              </w:rPr>
            </w:pPr>
          </w:p>
        </w:tc>
      </w:tr>
      <w:tr w:rsidR="00810942" w:rsidRPr="00BC0D1F" w14:paraId="529F5EDC" w14:textId="77777777" w:rsidTr="00F06348">
        <w:trPr>
          <w:cantSplit/>
        </w:trPr>
        <w:tc>
          <w:tcPr>
            <w:tcW w:w="993" w:type="dxa"/>
            <w:tcBorders>
              <w:top w:val="single" w:sz="4" w:space="0" w:color="A6A6A6"/>
              <w:left w:val="nil"/>
              <w:bottom w:val="nil"/>
              <w:right w:val="nil"/>
            </w:tcBorders>
            <w:shd w:val="clear" w:color="auto" w:fill="D9D9D9"/>
          </w:tcPr>
          <w:p w14:paraId="0105F594" w14:textId="77777777" w:rsidR="00D60822" w:rsidRPr="00BC0D1F" w:rsidRDefault="00D60822" w:rsidP="00F06348">
            <w:pPr>
              <w:pStyle w:val="TableText"/>
              <w:keepNext/>
              <w:spacing w:before="40" w:after="40"/>
              <w:ind w:right="85"/>
              <w:jc w:val="right"/>
              <w:rPr>
                <w:b/>
                <w:sz w:val="15"/>
                <w:szCs w:val="15"/>
              </w:rPr>
            </w:pPr>
          </w:p>
        </w:tc>
        <w:tc>
          <w:tcPr>
            <w:tcW w:w="2551" w:type="dxa"/>
            <w:tcBorders>
              <w:top w:val="single" w:sz="4" w:space="0" w:color="A6A6A6"/>
              <w:left w:val="nil"/>
              <w:bottom w:val="nil"/>
              <w:right w:val="nil"/>
            </w:tcBorders>
            <w:shd w:val="clear" w:color="auto" w:fill="D9D9D9"/>
          </w:tcPr>
          <w:p w14:paraId="5CAACD1C" w14:textId="77777777" w:rsidR="00D60822" w:rsidRPr="00BC0D1F" w:rsidRDefault="00D60822" w:rsidP="00F06348">
            <w:pPr>
              <w:pStyle w:val="TableText"/>
              <w:keepNext/>
              <w:spacing w:before="40" w:after="40"/>
              <w:rPr>
                <w:b/>
                <w:sz w:val="15"/>
                <w:szCs w:val="15"/>
              </w:rPr>
            </w:pPr>
            <w:r w:rsidRPr="00BC0D1F">
              <w:rPr>
                <w:b/>
                <w:sz w:val="15"/>
                <w:szCs w:val="15"/>
              </w:rPr>
              <w:t>Non</w:t>
            </w:r>
            <w:r w:rsidR="00D31199" w:rsidRPr="00BC0D1F">
              <w:rPr>
                <w:b/>
                <w:sz w:val="15"/>
                <w:szCs w:val="15"/>
              </w:rPr>
              <w:t>-</w:t>
            </w:r>
            <w:r w:rsidRPr="00BC0D1F">
              <w:rPr>
                <w:b/>
                <w:sz w:val="15"/>
                <w:szCs w:val="15"/>
              </w:rPr>
              <w:t>departmental capital expenditure</w:t>
            </w:r>
          </w:p>
        </w:tc>
        <w:tc>
          <w:tcPr>
            <w:tcW w:w="425" w:type="dxa"/>
            <w:tcBorders>
              <w:top w:val="single" w:sz="4" w:space="0" w:color="A6A6A6"/>
              <w:left w:val="nil"/>
              <w:bottom w:val="nil"/>
              <w:right w:val="nil"/>
            </w:tcBorders>
            <w:shd w:val="clear" w:color="auto" w:fill="D9D9D9"/>
          </w:tcPr>
          <w:p w14:paraId="1F8B9AAB" w14:textId="77777777" w:rsidR="00D60822" w:rsidRPr="00BC0D1F" w:rsidRDefault="00D60822" w:rsidP="00F06348">
            <w:pPr>
              <w:pStyle w:val="TableText"/>
              <w:keepNext/>
              <w:spacing w:before="40" w:after="40"/>
              <w:jc w:val="center"/>
              <w:rPr>
                <w:b/>
                <w:sz w:val="15"/>
                <w:szCs w:val="15"/>
              </w:rPr>
            </w:pPr>
          </w:p>
        </w:tc>
        <w:tc>
          <w:tcPr>
            <w:tcW w:w="993" w:type="dxa"/>
            <w:tcBorders>
              <w:top w:val="single" w:sz="4" w:space="0" w:color="A6A6A6"/>
              <w:left w:val="nil"/>
              <w:bottom w:val="nil"/>
              <w:right w:val="nil"/>
            </w:tcBorders>
            <w:shd w:val="clear" w:color="auto" w:fill="D9D9D9"/>
          </w:tcPr>
          <w:p w14:paraId="49B95BDA" w14:textId="77777777" w:rsidR="00D60822" w:rsidRPr="00BC0D1F" w:rsidRDefault="00D60822" w:rsidP="00F06348">
            <w:pPr>
              <w:pStyle w:val="TableText"/>
              <w:keepNext/>
              <w:spacing w:before="40" w:after="40"/>
              <w:ind w:right="85"/>
              <w:jc w:val="right"/>
              <w:rPr>
                <w:b/>
                <w:sz w:val="15"/>
                <w:szCs w:val="15"/>
              </w:rPr>
            </w:pPr>
          </w:p>
        </w:tc>
        <w:tc>
          <w:tcPr>
            <w:tcW w:w="850" w:type="dxa"/>
            <w:tcBorders>
              <w:top w:val="single" w:sz="4" w:space="0" w:color="A6A6A6"/>
              <w:left w:val="nil"/>
              <w:bottom w:val="nil"/>
              <w:right w:val="nil"/>
            </w:tcBorders>
            <w:shd w:val="clear" w:color="auto" w:fill="D9D9D9"/>
          </w:tcPr>
          <w:p w14:paraId="670589D8" w14:textId="77777777" w:rsidR="00D60822" w:rsidRPr="00BC0D1F" w:rsidRDefault="00D60822" w:rsidP="00F06348">
            <w:pPr>
              <w:pStyle w:val="TableText"/>
              <w:keepNext/>
              <w:spacing w:before="40" w:after="40"/>
              <w:jc w:val="right"/>
              <w:rPr>
                <w:b/>
                <w:sz w:val="15"/>
                <w:szCs w:val="15"/>
              </w:rPr>
            </w:pPr>
          </w:p>
        </w:tc>
        <w:tc>
          <w:tcPr>
            <w:tcW w:w="992" w:type="dxa"/>
            <w:tcBorders>
              <w:top w:val="single" w:sz="4" w:space="0" w:color="A6A6A6"/>
              <w:left w:val="nil"/>
              <w:bottom w:val="nil"/>
              <w:right w:val="nil"/>
            </w:tcBorders>
            <w:shd w:val="clear" w:color="auto" w:fill="D9D9D9"/>
          </w:tcPr>
          <w:p w14:paraId="5A860087" w14:textId="77777777" w:rsidR="00D60822" w:rsidRPr="00BC0D1F" w:rsidRDefault="00D60822" w:rsidP="00F06348">
            <w:pPr>
              <w:pStyle w:val="TableText"/>
              <w:keepN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61CF2BCF" w14:textId="77777777" w:rsidR="00D60822" w:rsidRPr="00BC0D1F" w:rsidRDefault="00D60822" w:rsidP="00F06348">
            <w:pPr>
              <w:pStyle w:val="TableText"/>
              <w:keepNext/>
              <w:spacing w:before="40" w:after="40"/>
              <w:jc w:val="right"/>
              <w:rPr>
                <w:b/>
                <w:sz w:val="15"/>
                <w:szCs w:val="15"/>
              </w:rPr>
            </w:pPr>
          </w:p>
        </w:tc>
        <w:tc>
          <w:tcPr>
            <w:tcW w:w="1276" w:type="dxa"/>
            <w:tcBorders>
              <w:top w:val="single" w:sz="4" w:space="0" w:color="A6A6A6"/>
              <w:left w:val="nil"/>
              <w:bottom w:val="nil"/>
              <w:right w:val="nil"/>
            </w:tcBorders>
            <w:shd w:val="clear" w:color="auto" w:fill="D9D9D9"/>
          </w:tcPr>
          <w:p w14:paraId="63D08C33" w14:textId="77777777" w:rsidR="00D60822" w:rsidRPr="00BC0D1F" w:rsidRDefault="00D60822" w:rsidP="00F06348">
            <w:pPr>
              <w:pStyle w:val="TableText"/>
              <w:keepNext/>
              <w:spacing w:before="40" w:after="40"/>
              <w:ind w:left="85"/>
              <w:rPr>
                <w:b/>
                <w:sz w:val="15"/>
                <w:szCs w:val="15"/>
              </w:rPr>
            </w:pPr>
          </w:p>
        </w:tc>
      </w:tr>
      <w:tr w:rsidR="00810942" w:rsidRPr="00BC0D1F" w14:paraId="21A3311A" w14:textId="77777777" w:rsidTr="00F06348">
        <w:trPr>
          <w:cantSplit/>
        </w:trPr>
        <w:tc>
          <w:tcPr>
            <w:tcW w:w="993" w:type="dxa"/>
            <w:tcBorders>
              <w:top w:val="nil"/>
              <w:left w:val="nil"/>
              <w:bottom w:val="nil"/>
              <w:right w:val="nil"/>
            </w:tcBorders>
            <w:shd w:val="clear" w:color="auto" w:fill="auto"/>
          </w:tcPr>
          <w:p w14:paraId="47071210" w14:textId="77777777" w:rsidR="00D60822" w:rsidRPr="00BC0D1F" w:rsidRDefault="00D60822" w:rsidP="00F06348">
            <w:pPr>
              <w:pStyle w:val="TableText"/>
              <w:keepNext/>
              <w:spacing w:before="40" w:after="40"/>
              <w:ind w:right="85"/>
              <w:jc w:val="right"/>
              <w:rPr>
                <w:sz w:val="15"/>
                <w:szCs w:val="15"/>
              </w:rPr>
            </w:pPr>
            <w:r w:rsidRPr="00BC0D1F">
              <w:rPr>
                <w:sz w:val="15"/>
                <w:szCs w:val="15"/>
              </w:rPr>
              <w:t>13,500</w:t>
            </w:r>
          </w:p>
        </w:tc>
        <w:tc>
          <w:tcPr>
            <w:tcW w:w="2551" w:type="dxa"/>
            <w:tcBorders>
              <w:top w:val="nil"/>
              <w:left w:val="nil"/>
              <w:bottom w:val="nil"/>
              <w:right w:val="nil"/>
            </w:tcBorders>
            <w:shd w:val="clear" w:color="auto" w:fill="auto"/>
          </w:tcPr>
          <w:p w14:paraId="754CB81E" w14:textId="77777777" w:rsidR="00D60822" w:rsidRPr="00BC0D1F" w:rsidRDefault="00D31199" w:rsidP="00F06348">
            <w:pPr>
              <w:pStyle w:val="TableText"/>
              <w:keepNext/>
              <w:spacing w:before="40" w:after="40"/>
              <w:rPr>
                <w:sz w:val="15"/>
                <w:szCs w:val="15"/>
              </w:rPr>
            </w:pPr>
            <w:r w:rsidRPr="00BC0D1F">
              <w:rPr>
                <w:sz w:val="15"/>
                <w:szCs w:val="15"/>
              </w:rPr>
              <w:t>Deficit support for DHBs</w:t>
            </w:r>
          </w:p>
        </w:tc>
        <w:tc>
          <w:tcPr>
            <w:tcW w:w="425" w:type="dxa"/>
            <w:tcBorders>
              <w:top w:val="nil"/>
              <w:left w:val="nil"/>
              <w:bottom w:val="nil"/>
              <w:right w:val="nil"/>
            </w:tcBorders>
            <w:shd w:val="clear" w:color="auto" w:fill="auto"/>
          </w:tcPr>
          <w:p w14:paraId="1B403B9B" w14:textId="77777777" w:rsidR="00D60822" w:rsidRPr="00BC0D1F" w:rsidRDefault="00D60822" w:rsidP="00F06348">
            <w:pPr>
              <w:pStyle w:val="TableText"/>
              <w:keepNext/>
              <w:spacing w:before="40" w:after="40"/>
              <w:jc w:val="center"/>
              <w:rPr>
                <w:sz w:val="15"/>
                <w:szCs w:val="15"/>
              </w:rPr>
            </w:pPr>
            <w:r w:rsidRPr="00BC0D1F">
              <w:rPr>
                <w:sz w:val="15"/>
                <w:szCs w:val="15"/>
              </w:rPr>
              <w:t>2.7</w:t>
            </w:r>
          </w:p>
        </w:tc>
        <w:tc>
          <w:tcPr>
            <w:tcW w:w="993" w:type="dxa"/>
            <w:tcBorders>
              <w:top w:val="nil"/>
              <w:left w:val="nil"/>
              <w:bottom w:val="nil"/>
              <w:right w:val="nil"/>
            </w:tcBorders>
            <w:shd w:val="clear" w:color="auto" w:fill="D9D9D9"/>
          </w:tcPr>
          <w:p w14:paraId="0A3B6195" w14:textId="77777777" w:rsidR="00D60822" w:rsidRPr="00BC0D1F" w:rsidRDefault="00D60822" w:rsidP="00F06348">
            <w:pPr>
              <w:pStyle w:val="TableText"/>
              <w:keepNext/>
              <w:spacing w:before="40" w:after="40"/>
              <w:ind w:right="85"/>
              <w:jc w:val="right"/>
              <w:rPr>
                <w:sz w:val="15"/>
                <w:szCs w:val="15"/>
              </w:rPr>
            </w:pPr>
            <w:r w:rsidRPr="00BC0D1F">
              <w:rPr>
                <w:sz w:val="15"/>
                <w:szCs w:val="15"/>
              </w:rPr>
              <w:t>14,000</w:t>
            </w:r>
          </w:p>
        </w:tc>
        <w:tc>
          <w:tcPr>
            <w:tcW w:w="850" w:type="dxa"/>
            <w:tcBorders>
              <w:top w:val="nil"/>
              <w:left w:val="nil"/>
              <w:bottom w:val="nil"/>
              <w:right w:val="nil"/>
            </w:tcBorders>
            <w:shd w:val="clear" w:color="auto" w:fill="auto"/>
          </w:tcPr>
          <w:p w14:paraId="231B546B" w14:textId="77777777" w:rsidR="00D60822" w:rsidRPr="00BC0D1F" w:rsidRDefault="00D60822" w:rsidP="00F06348">
            <w:pPr>
              <w:pStyle w:val="TableText"/>
              <w:keepNext/>
              <w:spacing w:before="40" w:after="40"/>
              <w:jc w:val="right"/>
              <w:rPr>
                <w:sz w:val="15"/>
                <w:szCs w:val="15"/>
              </w:rPr>
            </w:pPr>
            <w:r w:rsidRPr="00BC0D1F">
              <w:rPr>
                <w:sz w:val="15"/>
                <w:szCs w:val="15"/>
              </w:rPr>
              <w:t>55,000</w:t>
            </w:r>
          </w:p>
        </w:tc>
        <w:tc>
          <w:tcPr>
            <w:tcW w:w="992" w:type="dxa"/>
            <w:tcBorders>
              <w:top w:val="nil"/>
              <w:left w:val="nil"/>
              <w:bottom w:val="nil"/>
              <w:right w:val="nil"/>
            </w:tcBorders>
            <w:shd w:val="clear" w:color="auto" w:fill="auto"/>
          </w:tcPr>
          <w:p w14:paraId="6A8244B1" w14:textId="77777777" w:rsidR="00D60822" w:rsidRPr="00BC0D1F" w:rsidRDefault="00D60822" w:rsidP="00F06348">
            <w:pPr>
              <w:pStyle w:val="TableText"/>
              <w:keepNext/>
              <w:spacing w:before="40" w:after="40"/>
              <w:jc w:val="right"/>
              <w:rPr>
                <w:sz w:val="15"/>
                <w:szCs w:val="15"/>
              </w:rPr>
            </w:pPr>
            <w:r w:rsidRPr="00BC0D1F">
              <w:rPr>
                <w:sz w:val="15"/>
                <w:szCs w:val="15"/>
              </w:rPr>
              <w:t>38,624</w:t>
            </w:r>
          </w:p>
        </w:tc>
        <w:tc>
          <w:tcPr>
            <w:tcW w:w="1276" w:type="dxa"/>
            <w:tcBorders>
              <w:top w:val="nil"/>
              <w:left w:val="nil"/>
              <w:bottom w:val="nil"/>
              <w:right w:val="nil"/>
            </w:tcBorders>
            <w:shd w:val="clear" w:color="auto" w:fill="auto"/>
          </w:tcPr>
          <w:p w14:paraId="22922081" w14:textId="77777777" w:rsidR="00D60822" w:rsidRPr="00BC0D1F" w:rsidRDefault="00D60822" w:rsidP="00F06348">
            <w:pPr>
              <w:pStyle w:val="TableText"/>
              <w:keepNext/>
              <w:spacing w:before="40" w:after="40"/>
              <w:jc w:val="right"/>
              <w:rPr>
                <w:sz w:val="15"/>
                <w:szCs w:val="15"/>
              </w:rPr>
            </w:pPr>
            <w:r w:rsidRPr="00BC0D1F">
              <w:rPr>
                <w:sz w:val="15"/>
                <w:szCs w:val="15"/>
              </w:rPr>
              <w:t>0.09%</w:t>
            </w:r>
          </w:p>
        </w:tc>
        <w:tc>
          <w:tcPr>
            <w:tcW w:w="1276" w:type="dxa"/>
            <w:tcBorders>
              <w:top w:val="nil"/>
              <w:left w:val="nil"/>
              <w:bottom w:val="nil"/>
              <w:right w:val="nil"/>
            </w:tcBorders>
            <w:shd w:val="clear" w:color="auto" w:fill="auto"/>
          </w:tcPr>
          <w:p w14:paraId="5AF5C569" w14:textId="77777777" w:rsidR="00D60822" w:rsidRPr="00BC0D1F" w:rsidRDefault="00D60822" w:rsidP="00F06348">
            <w:pPr>
              <w:pStyle w:val="TableText"/>
              <w:keepNext/>
              <w:spacing w:before="40" w:after="40"/>
              <w:ind w:left="85"/>
              <w:rPr>
                <w:sz w:val="15"/>
                <w:szCs w:val="15"/>
              </w:rPr>
            </w:pPr>
            <w:r w:rsidRPr="00BC0D1F">
              <w:rPr>
                <w:sz w:val="15"/>
                <w:szCs w:val="15"/>
              </w:rPr>
              <w:t>DHB Annual Reports</w:t>
            </w:r>
          </w:p>
        </w:tc>
      </w:tr>
      <w:tr w:rsidR="00810942" w:rsidRPr="00BC0D1F" w14:paraId="68ADB1C6" w14:textId="77777777" w:rsidTr="00F06348">
        <w:trPr>
          <w:cantSplit/>
        </w:trPr>
        <w:tc>
          <w:tcPr>
            <w:tcW w:w="993" w:type="dxa"/>
            <w:tcBorders>
              <w:top w:val="nil"/>
              <w:left w:val="nil"/>
              <w:bottom w:val="nil"/>
              <w:right w:val="nil"/>
            </w:tcBorders>
            <w:shd w:val="clear" w:color="auto" w:fill="auto"/>
          </w:tcPr>
          <w:p w14:paraId="0C9F71C3" w14:textId="77777777" w:rsidR="00D60822" w:rsidRPr="00BC0D1F" w:rsidRDefault="00D60822" w:rsidP="00F06348">
            <w:pPr>
              <w:pStyle w:val="TableText"/>
              <w:keepNext/>
              <w:spacing w:before="40" w:after="40"/>
              <w:ind w:right="85"/>
              <w:jc w:val="right"/>
              <w:rPr>
                <w:sz w:val="15"/>
                <w:szCs w:val="15"/>
              </w:rPr>
            </w:pPr>
            <w:r w:rsidRPr="00BC0D1F">
              <w:rPr>
                <w:sz w:val="15"/>
                <w:szCs w:val="15"/>
              </w:rPr>
              <w:t>15,880</w:t>
            </w:r>
          </w:p>
        </w:tc>
        <w:tc>
          <w:tcPr>
            <w:tcW w:w="2551" w:type="dxa"/>
            <w:tcBorders>
              <w:top w:val="nil"/>
              <w:left w:val="nil"/>
              <w:bottom w:val="nil"/>
              <w:right w:val="nil"/>
            </w:tcBorders>
            <w:shd w:val="clear" w:color="auto" w:fill="auto"/>
          </w:tcPr>
          <w:p w14:paraId="5BDC0BF9" w14:textId="77777777" w:rsidR="00D60822" w:rsidRPr="00BC0D1F" w:rsidRDefault="00D60822" w:rsidP="00F06348">
            <w:pPr>
              <w:pStyle w:val="TableText"/>
              <w:keepNext/>
              <w:spacing w:before="40" w:after="40"/>
              <w:rPr>
                <w:sz w:val="15"/>
                <w:szCs w:val="15"/>
              </w:rPr>
            </w:pPr>
            <w:r w:rsidRPr="00BC0D1F">
              <w:rPr>
                <w:sz w:val="15"/>
                <w:szCs w:val="15"/>
              </w:rPr>
              <w:t>Equity for capital projects for DHBs and the NZ Blood Service</w:t>
            </w:r>
          </w:p>
        </w:tc>
        <w:tc>
          <w:tcPr>
            <w:tcW w:w="425" w:type="dxa"/>
            <w:tcBorders>
              <w:top w:val="nil"/>
              <w:left w:val="nil"/>
              <w:bottom w:val="nil"/>
              <w:right w:val="nil"/>
            </w:tcBorders>
            <w:shd w:val="clear" w:color="auto" w:fill="auto"/>
          </w:tcPr>
          <w:p w14:paraId="23C429E6" w14:textId="77777777" w:rsidR="00D60822" w:rsidRPr="00BC0D1F" w:rsidRDefault="00D60822" w:rsidP="00F06348">
            <w:pPr>
              <w:pStyle w:val="TableText"/>
              <w:keepNext/>
              <w:spacing w:before="40" w:after="40"/>
              <w:jc w:val="center"/>
              <w:rPr>
                <w:sz w:val="15"/>
                <w:szCs w:val="15"/>
              </w:rPr>
            </w:pPr>
            <w:r w:rsidRPr="00BC0D1F">
              <w:rPr>
                <w:sz w:val="15"/>
                <w:szCs w:val="15"/>
              </w:rPr>
              <w:t>2.8</w:t>
            </w:r>
          </w:p>
        </w:tc>
        <w:tc>
          <w:tcPr>
            <w:tcW w:w="993" w:type="dxa"/>
            <w:tcBorders>
              <w:top w:val="nil"/>
              <w:left w:val="nil"/>
              <w:bottom w:val="nil"/>
              <w:right w:val="nil"/>
            </w:tcBorders>
            <w:shd w:val="clear" w:color="auto" w:fill="D9D9D9"/>
          </w:tcPr>
          <w:p w14:paraId="3788193F" w14:textId="77777777" w:rsidR="00D60822" w:rsidRPr="00BC0D1F" w:rsidRDefault="00D60822" w:rsidP="00F06348">
            <w:pPr>
              <w:pStyle w:val="TableText"/>
              <w:keepNext/>
              <w:spacing w:before="40" w:after="40"/>
              <w:ind w:right="85"/>
              <w:jc w:val="right"/>
              <w:rPr>
                <w:sz w:val="15"/>
                <w:szCs w:val="15"/>
              </w:rPr>
            </w:pPr>
            <w:r w:rsidRPr="00BC0D1F">
              <w:rPr>
                <w:sz w:val="15"/>
                <w:szCs w:val="15"/>
              </w:rPr>
              <w:t>41,030</w:t>
            </w:r>
          </w:p>
        </w:tc>
        <w:tc>
          <w:tcPr>
            <w:tcW w:w="850" w:type="dxa"/>
            <w:tcBorders>
              <w:top w:val="nil"/>
              <w:left w:val="nil"/>
              <w:bottom w:val="nil"/>
              <w:right w:val="nil"/>
            </w:tcBorders>
            <w:shd w:val="clear" w:color="auto" w:fill="auto"/>
          </w:tcPr>
          <w:p w14:paraId="7B3D64AB" w14:textId="77777777" w:rsidR="00D60822" w:rsidRPr="00BC0D1F" w:rsidRDefault="00D60822" w:rsidP="00F06348">
            <w:pPr>
              <w:pStyle w:val="TableText"/>
              <w:keepNext/>
              <w:spacing w:before="40" w:after="40"/>
              <w:jc w:val="right"/>
              <w:rPr>
                <w:sz w:val="15"/>
                <w:szCs w:val="15"/>
              </w:rPr>
            </w:pPr>
            <w:r w:rsidRPr="00BC0D1F">
              <w:rPr>
                <w:sz w:val="15"/>
                <w:szCs w:val="15"/>
              </w:rPr>
              <w:t>304,000</w:t>
            </w:r>
          </w:p>
        </w:tc>
        <w:tc>
          <w:tcPr>
            <w:tcW w:w="992" w:type="dxa"/>
            <w:tcBorders>
              <w:top w:val="nil"/>
              <w:left w:val="nil"/>
              <w:bottom w:val="nil"/>
              <w:right w:val="nil"/>
            </w:tcBorders>
            <w:shd w:val="clear" w:color="auto" w:fill="auto"/>
          </w:tcPr>
          <w:p w14:paraId="7D4BEBB4" w14:textId="77777777" w:rsidR="00D60822" w:rsidRPr="00BC0D1F" w:rsidRDefault="00D60822" w:rsidP="00F06348">
            <w:pPr>
              <w:pStyle w:val="TableText"/>
              <w:keepNext/>
              <w:spacing w:before="40" w:after="40"/>
              <w:jc w:val="right"/>
              <w:rPr>
                <w:sz w:val="15"/>
                <w:szCs w:val="15"/>
              </w:rPr>
            </w:pPr>
            <w:r w:rsidRPr="00BC0D1F">
              <w:rPr>
                <w:sz w:val="15"/>
                <w:szCs w:val="15"/>
              </w:rPr>
              <w:t>71,949</w:t>
            </w:r>
          </w:p>
        </w:tc>
        <w:tc>
          <w:tcPr>
            <w:tcW w:w="1276" w:type="dxa"/>
            <w:tcBorders>
              <w:top w:val="nil"/>
              <w:left w:val="nil"/>
              <w:bottom w:val="nil"/>
              <w:right w:val="nil"/>
            </w:tcBorders>
            <w:shd w:val="clear" w:color="auto" w:fill="auto"/>
          </w:tcPr>
          <w:p w14:paraId="649E54B2" w14:textId="77777777" w:rsidR="00D60822" w:rsidRPr="00BC0D1F" w:rsidRDefault="00D60822" w:rsidP="00F06348">
            <w:pPr>
              <w:pStyle w:val="TableText"/>
              <w:keepNext/>
              <w:spacing w:before="40" w:after="40"/>
              <w:jc w:val="right"/>
              <w:rPr>
                <w:sz w:val="15"/>
                <w:szCs w:val="15"/>
              </w:rPr>
            </w:pPr>
            <w:r w:rsidRPr="00BC0D1F">
              <w:rPr>
                <w:sz w:val="15"/>
                <w:szCs w:val="15"/>
              </w:rPr>
              <w:t>0.27%</w:t>
            </w:r>
          </w:p>
        </w:tc>
        <w:tc>
          <w:tcPr>
            <w:tcW w:w="1276" w:type="dxa"/>
            <w:tcBorders>
              <w:top w:val="nil"/>
              <w:left w:val="nil"/>
              <w:bottom w:val="nil"/>
              <w:right w:val="nil"/>
            </w:tcBorders>
            <w:shd w:val="clear" w:color="auto" w:fill="auto"/>
          </w:tcPr>
          <w:p w14:paraId="292417B1" w14:textId="268F8F73" w:rsidR="00D60822" w:rsidRPr="00BC0D1F" w:rsidRDefault="00D60822" w:rsidP="00F06348">
            <w:pPr>
              <w:pStyle w:val="TableText"/>
              <w:keepNext/>
              <w:spacing w:before="40" w:after="40"/>
              <w:ind w:left="85"/>
              <w:rPr>
                <w:sz w:val="15"/>
                <w:szCs w:val="15"/>
              </w:rPr>
            </w:pPr>
          </w:p>
        </w:tc>
      </w:tr>
      <w:tr w:rsidR="00810942" w:rsidRPr="00BC0D1F" w14:paraId="668AEC90" w14:textId="77777777" w:rsidTr="00F06348">
        <w:trPr>
          <w:cantSplit/>
        </w:trPr>
        <w:tc>
          <w:tcPr>
            <w:tcW w:w="993" w:type="dxa"/>
            <w:tcBorders>
              <w:top w:val="nil"/>
              <w:left w:val="nil"/>
              <w:bottom w:val="nil"/>
              <w:right w:val="nil"/>
            </w:tcBorders>
            <w:shd w:val="clear" w:color="auto" w:fill="auto"/>
          </w:tcPr>
          <w:p w14:paraId="6A89D5EA" w14:textId="77777777" w:rsidR="00D60822" w:rsidRPr="00BC0D1F" w:rsidRDefault="00D60822" w:rsidP="00F06348">
            <w:pPr>
              <w:pStyle w:val="TableText"/>
              <w:keepNext/>
              <w:spacing w:before="40" w:after="40"/>
              <w:ind w:right="85"/>
              <w:jc w:val="right"/>
              <w:rPr>
                <w:sz w:val="15"/>
                <w:szCs w:val="15"/>
              </w:rPr>
            </w:pPr>
            <w:r w:rsidRPr="00BC0D1F">
              <w:rPr>
                <w:sz w:val="15"/>
                <w:szCs w:val="15"/>
              </w:rPr>
              <w:t>109,750</w:t>
            </w:r>
          </w:p>
        </w:tc>
        <w:tc>
          <w:tcPr>
            <w:tcW w:w="2551" w:type="dxa"/>
            <w:tcBorders>
              <w:top w:val="nil"/>
              <w:left w:val="nil"/>
              <w:bottom w:val="nil"/>
              <w:right w:val="nil"/>
            </w:tcBorders>
            <w:shd w:val="clear" w:color="auto" w:fill="auto"/>
          </w:tcPr>
          <w:p w14:paraId="44E05BCE" w14:textId="77777777" w:rsidR="00D60822" w:rsidRPr="00BC0D1F" w:rsidRDefault="00D60822" w:rsidP="00F06348">
            <w:pPr>
              <w:pStyle w:val="TableText"/>
              <w:keepNext/>
              <w:spacing w:before="40" w:after="40"/>
              <w:rPr>
                <w:sz w:val="15"/>
                <w:szCs w:val="15"/>
              </w:rPr>
            </w:pPr>
            <w:r w:rsidRPr="00BC0D1F">
              <w:rPr>
                <w:sz w:val="15"/>
                <w:szCs w:val="15"/>
              </w:rPr>
              <w:t>Health sector projects</w:t>
            </w:r>
          </w:p>
        </w:tc>
        <w:tc>
          <w:tcPr>
            <w:tcW w:w="425" w:type="dxa"/>
            <w:tcBorders>
              <w:top w:val="nil"/>
              <w:left w:val="nil"/>
              <w:bottom w:val="nil"/>
              <w:right w:val="nil"/>
            </w:tcBorders>
            <w:shd w:val="clear" w:color="auto" w:fill="auto"/>
          </w:tcPr>
          <w:p w14:paraId="6E2ED9F4" w14:textId="77777777" w:rsidR="00D60822" w:rsidRPr="00BC0D1F" w:rsidRDefault="00D60822" w:rsidP="00F06348">
            <w:pPr>
              <w:pStyle w:val="TableText"/>
              <w:keepNext/>
              <w:spacing w:before="40" w:after="40"/>
              <w:jc w:val="center"/>
              <w:rPr>
                <w:sz w:val="15"/>
                <w:szCs w:val="15"/>
              </w:rPr>
            </w:pPr>
            <w:r w:rsidRPr="00BC0D1F">
              <w:rPr>
                <w:sz w:val="15"/>
                <w:szCs w:val="15"/>
              </w:rPr>
              <w:t>2.9</w:t>
            </w:r>
          </w:p>
        </w:tc>
        <w:tc>
          <w:tcPr>
            <w:tcW w:w="993" w:type="dxa"/>
            <w:tcBorders>
              <w:top w:val="nil"/>
              <w:left w:val="nil"/>
              <w:bottom w:val="nil"/>
              <w:right w:val="nil"/>
            </w:tcBorders>
            <w:shd w:val="clear" w:color="auto" w:fill="D9D9D9"/>
          </w:tcPr>
          <w:p w14:paraId="166C69F8" w14:textId="125C58BA" w:rsidR="00D60822" w:rsidRPr="00BC0D1F" w:rsidRDefault="00C13BF2" w:rsidP="00F06348">
            <w:pPr>
              <w:pStyle w:val="TableText"/>
              <w:keepNext/>
              <w:spacing w:before="40" w:after="40"/>
              <w:ind w:right="85"/>
              <w:jc w:val="right"/>
              <w:rPr>
                <w:sz w:val="15"/>
                <w:szCs w:val="15"/>
              </w:rPr>
            </w:pPr>
            <w:r>
              <w:rPr>
                <w:sz w:val="15"/>
                <w:szCs w:val="15"/>
              </w:rPr>
              <w:t>162,418</w:t>
            </w:r>
          </w:p>
        </w:tc>
        <w:tc>
          <w:tcPr>
            <w:tcW w:w="850" w:type="dxa"/>
            <w:tcBorders>
              <w:top w:val="nil"/>
              <w:left w:val="nil"/>
              <w:bottom w:val="nil"/>
              <w:right w:val="nil"/>
            </w:tcBorders>
            <w:shd w:val="clear" w:color="auto" w:fill="auto"/>
          </w:tcPr>
          <w:p w14:paraId="5829FA2D" w14:textId="77777777" w:rsidR="00D60822" w:rsidRPr="00BC0D1F" w:rsidRDefault="00D60822" w:rsidP="00F06348">
            <w:pPr>
              <w:pStyle w:val="TableText"/>
              <w:keepNext/>
              <w:spacing w:before="40" w:after="40"/>
              <w:jc w:val="right"/>
              <w:rPr>
                <w:sz w:val="15"/>
                <w:szCs w:val="15"/>
              </w:rPr>
            </w:pPr>
            <w:r w:rsidRPr="00BC0D1F">
              <w:rPr>
                <w:sz w:val="15"/>
                <w:szCs w:val="15"/>
              </w:rPr>
              <w:t>390,000</w:t>
            </w:r>
          </w:p>
        </w:tc>
        <w:tc>
          <w:tcPr>
            <w:tcW w:w="992" w:type="dxa"/>
            <w:tcBorders>
              <w:top w:val="nil"/>
              <w:left w:val="nil"/>
              <w:bottom w:val="nil"/>
              <w:right w:val="nil"/>
            </w:tcBorders>
            <w:shd w:val="clear" w:color="auto" w:fill="auto"/>
          </w:tcPr>
          <w:p w14:paraId="5D6F7B32" w14:textId="77777777" w:rsidR="00D60822" w:rsidRPr="00BC0D1F" w:rsidRDefault="00D60822" w:rsidP="00F06348">
            <w:pPr>
              <w:pStyle w:val="TableText"/>
              <w:keepNext/>
              <w:spacing w:before="40" w:after="40"/>
              <w:jc w:val="right"/>
              <w:rPr>
                <w:sz w:val="15"/>
                <w:szCs w:val="15"/>
              </w:rPr>
            </w:pPr>
            <w:r w:rsidRPr="00BC0D1F">
              <w:rPr>
                <w:sz w:val="15"/>
                <w:szCs w:val="15"/>
              </w:rPr>
              <w:t>240,716</w:t>
            </w:r>
          </w:p>
        </w:tc>
        <w:tc>
          <w:tcPr>
            <w:tcW w:w="1276" w:type="dxa"/>
            <w:tcBorders>
              <w:top w:val="nil"/>
              <w:left w:val="nil"/>
              <w:bottom w:val="nil"/>
              <w:right w:val="nil"/>
            </w:tcBorders>
            <w:shd w:val="clear" w:color="auto" w:fill="auto"/>
          </w:tcPr>
          <w:p w14:paraId="18D607C1" w14:textId="6B12058E" w:rsidR="00D60822" w:rsidRPr="00BC0D1F" w:rsidRDefault="00D60822" w:rsidP="00C13BF2">
            <w:pPr>
              <w:pStyle w:val="TableText"/>
              <w:keepNext/>
              <w:spacing w:before="40" w:after="40"/>
              <w:jc w:val="right"/>
              <w:rPr>
                <w:sz w:val="15"/>
                <w:szCs w:val="15"/>
              </w:rPr>
            </w:pPr>
            <w:r w:rsidRPr="00BC0D1F">
              <w:rPr>
                <w:sz w:val="15"/>
                <w:szCs w:val="15"/>
              </w:rPr>
              <w:t>1.0</w:t>
            </w:r>
            <w:r w:rsidR="00C13BF2">
              <w:rPr>
                <w:sz w:val="15"/>
                <w:szCs w:val="15"/>
              </w:rPr>
              <w:t>6</w:t>
            </w:r>
            <w:r w:rsidRPr="00BC0D1F">
              <w:rPr>
                <w:sz w:val="15"/>
                <w:szCs w:val="15"/>
              </w:rPr>
              <w:t>%</w:t>
            </w:r>
          </w:p>
        </w:tc>
        <w:tc>
          <w:tcPr>
            <w:tcW w:w="1276" w:type="dxa"/>
            <w:tcBorders>
              <w:top w:val="nil"/>
              <w:left w:val="nil"/>
              <w:bottom w:val="nil"/>
              <w:right w:val="nil"/>
            </w:tcBorders>
            <w:shd w:val="clear" w:color="auto" w:fill="auto"/>
          </w:tcPr>
          <w:p w14:paraId="65F441BD" w14:textId="77777777" w:rsidR="00D60822" w:rsidRPr="00BC0D1F" w:rsidRDefault="00D60822" w:rsidP="00F06348">
            <w:pPr>
              <w:pStyle w:val="TableText"/>
              <w:keepNext/>
              <w:spacing w:before="40" w:after="40"/>
              <w:ind w:left="85"/>
              <w:rPr>
                <w:sz w:val="15"/>
                <w:szCs w:val="15"/>
              </w:rPr>
            </w:pPr>
          </w:p>
        </w:tc>
      </w:tr>
      <w:tr w:rsidR="00810942" w:rsidRPr="00BC0D1F" w14:paraId="557A1A9A" w14:textId="77777777" w:rsidTr="00F06348">
        <w:trPr>
          <w:cantSplit/>
        </w:trPr>
        <w:tc>
          <w:tcPr>
            <w:tcW w:w="993" w:type="dxa"/>
            <w:tcBorders>
              <w:top w:val="nil"/>
              <w:left w:val="nil"/>
              <w:bottom w:val="nil"/>
              <w:right w:val="nil"/>
            </w:tcBorders>
            <w:shd w:val="clear" w:color="auto" w:fill="auto"/>
          </w:tcPr>
          <w:p w14:paraId="7AA248A5" w14:textId="77777777" w:rsidR="00D60822" w:rsidRPr="00BC0D1F" w:rsidRDefault="00D60822" w:rsidP="00F06348">
            <w:pPr>
              <w:pStyle w:val="TableText"/>
              <w:keepNext/>
              <w:spacing w:before="40" w:after="40"/>
              <w:ind w:right="85"/>
              <w:jc w:val="right"/>
              <w:rPr>
                <w:sz w:val="15"/>
                <w:szCs w:val="15"/>
              </w:rPr>
            </w:pPr>
            <w:r w:rsidRPr="00BC0D1F">
              <w:rPr>
                <w:sz w:val="15"/>
                <w:szCs w:val="15"/>
              </w:rPr>
              <w:t>50,700</w:t>
            </w:r>
          </w:p>
        </w:tc>
        <w:tc>
          <w:tcPr>
            <w:tcW w:w="2551" w:type="dxa"/>
            <w:tcBorders>
              <w:top w:val="nil"/>
              <w:left w:val="nil"/>
              <w:bottom w:val="nil"/>
              <w:right w:val="nil"/>
            </w:tcBorders>
            <w:shd w:val="clear" w:color="auto" w:fill="auto"/>
          </w:tcPr>
          <w:p w14:paraId="3EC9D734" w14:textId="77777777" w:rsidR="00D60822" w:rsidRPr="00BC0D1F" w:rsidRDefault="00D60822" w:rsidP="00F06348">
            <w:pPr>
              <w:pStyle w:val="TableText"/>
              <w:keepNext/>
              <w:spacing w:before="40" w:after="40"/>
              <w:rPr>
                <w:sz w:val="15"/>
                <w:szCs w:val="15"/>
              </w:rPr>
            </w:pPr>
            <w:r w:rsidRPr="00BC0D1F">
              <w:rPr>
                <w:sz w:val="15"/>
                <w:szCs w:val="15"/>
              </w:rPr>
              <w:t>Loans for capital projects</w:t>
            </w:r>
          </w:p>
        </w:tc>
        <w:tc>
          <w:tcPr>
            <w:tcW w:w="425" w:type="dxa"/>
            <w:tcBorders>
              <w:top w:val="nil"/>
              <w:left w:val="nil"/>
              <w:bottom w:val="nil"/>
              <w:right w:val="nil"/>
            </w:tcBorders>
            <w:shd w:val="clear" w:color="auto" w:fill="auto"/>
          </w:tcPr>
          <w:p w14:paraId="6051CA11" w14:textId="77777777" w:rsidR="00D60822" w:rsidRPr="00BC0D1F" w:rsidRDefault="00D60822" w:rsidP="00F06348">
            <w:pPr>
              <w:pStyle w:val="TableText"/>
              <w:keepNext/>
              <w:spacing w:before="40" w:after="40"/>
              <w:jc w:val="center"/>
              <w:rPr>
                <w:sz w:val="15"/>
                <w:szCs w:val="15"/>
              </w:rPr>
            </w:pPr>
            <w:r w:rsidRPr="00BC0D1F">
              <w:rPr>
                <w:sz w:val="15"/>
                <w:szCs w:val="15"/>
              </w:rPr>
              <w:t>2.10</w:t>
            </w:r>
          </w:p>
        </w:tc>
        <w:tc>
          <w:tcPr>
            <w:tcW w:w="993" w:type="dxa"/>
            <w:tcBorders>
              <w:top w:val="nil"/>
              <w:left w:val="nil"/>
              <w:bottom w:val="nil"/>
              <w:right w:val="nil"/>
            </w:tcBorders>
            <w:shd w:val="clear" w:color="auto" w:fill="D9D9D9"/>
          </w:tcPr>
          <w:p w14:paraId="3CC1E8C2" w14:textId="77777777" w:rsidR="00D60822" w:rsidRPr="00BC0D1F" w:rsidRDefault="003D580B" w:rsidP="00F06348">
            <w:pPr>
              <w:pStyle w:val="TableText"/>
              <w:keepNext/>
              <w:spacing w:before="40" w:after="40"/>
              <w:ind w:right="85"/>
              <w:jc w:val="right"/>
              <w:rPr>
                <w:sz w:val="15"/>
                <w:szCs w:val="15"/>
              </w:rPr>
            </w:pPr>
            <w:r w:rsidRPr="00BC0D1F">
              <w:rPr>
                <w:sz w:val="15"/>
                <w:szCs w:val="15"/>
              </w:rPr>
              <w:t>–</w:t>
            </w:r>
          </w:p>
        </w:tc>
        <w:tc>
          <w:tcPr>
            <w:tcW w:w="850" w:type="dxa"/>
            <w:tcBorders>
              <w:top w:val="nil"/>
              <w:left w:val="nil"/>
              <w:bottom w:val="nil"/>
              <w:right w:val="nil"/>
            </w:tcBorders>
            <w:shd w:val="clear" w:color="auto" w:fill="auto"/>
          </w:tcPr>
          <w:p w14:paraId="760B3A9B" w14:textId="77777777" w:rsidR="00D60822" w:rsidRPr="00BC0D1F" w:rsidRDefault="00D60822" w:rsidP="00F06348">
            <w:pPr>
              <w:pStyle w:val="TableText"/>
              <w:keepNext/>
              <w:spacing w:before="40" w:after="40"/>
              <w:jc w:val="right"/>
              <w:rPr>
                <w:sz w:val="15"/>
                <w:szCs w:val="15"/>
              </w:rPr>
            </w:pPr>
            <w:r w:rsidRPr="00BC0D1F">
              <w:rPr>
                <w:sz w:val="15"/>
                <w:szCs w:val="15"/>
              </w:rPr>
              <w:t>74,000</w:t>
            </w:r>
          </w:p>
        </w:tc>
        <w:tc>
          <w:tcPr>
            <w:tcW w:w="992" w:type="dxa"/>
            <w:tcBorders>
              <w:top w:val="nil"/>
              <w:left w:val="nil"/>
              <w:bottom w:val="nil"/>
              <w:right w:val="nil"/>
            </w:tcBorders>
            <w:shd w:val="clear" w:color="auto" w:fill="auto"/>
          </w:tcPr>
          <w:p w14:paraId="27D44E3C" w14:textId="77777777" w:rsidR="00D60822" w:rsidRPr="00BC0D1F" w:rsidRDefault="00D60822" w:rsidP="00F06348">
            <w:pPr>
              <w:pStyle w:val="TableText"/>
              <w:keepNext/>
              <w:spacing w:before="40" w:after="40"/>
              <w:jc w:val="right"/>
              <w:rPr>
                <w:sz w:val="15"/>
                <w:szCs w:val="15"/>
              </w:rPr>
            </w:pPr>
            <w:r w:rsidRPr="00BC0D1F">
              <w:rPr>
                <w:sz w:val="15"/>
                <w:szCs w:val="15"/>
              </w:rPr>
              <w:t>23,345</w:t>
            </w:r>
          </w:p>
        </w:tc>
        <w:tc>
          <w:tcPr>
            <w:tcW w:w="1276" w:type="dxa"/>
            <w:tcBorders>
              <w:top w:val="nil"/>
              <w:left w:val="nil"/>
              <w:bottom w:val="nil"/>
              <w:right w:val="nil"/>
            </w:tcBorders>
            <w:shd w:val="clear" w:color="auto" w:fill="auto"/>
          </w:tcPr>
          <w:p w14:paraId="16CA2C71" w14:textId="77777777" w:rsidR="00D60822" w:rsidRPr="00BC0D1F" w:rsidRDefault="00D60822" w:rsidP="00F06348">
            <w:pPr>
              <w:pStyle w:val="TableText"/>
              <w:keepNext/>
              <w:spacing w:before="40" w:after="40"/>
              <w:jc w:val="right"/>
              <w:rPr>
                <w:sz w:val="15"/>
                <w:szCs w:val="15"/>
              </w:rPr>
            </w:pPr>
            <w:r w:rsidRPr="00BC0D1F">
              <w:rPr>
                <w:sz w:val="15"/>
                <w:szCs w:val="15"/>
              </w:rPr>
              <w:t>0.00%</w:t>
            </w:r>
          </w:p>
        </w:tc>
        <w:tc>
          <w:tcPr>
            <w:tcW w:w="1276" w:type="dxa"/>
            <w:tcBorders>
              <w:top w:val="nil"/>
              <w:left w:val="nil"/>
              <w:bottom w:val="nil"/>
              <w:right w:val="nil"/>
            </w:tcBorders>
            <w:shd w:val="clear" w:color="auto" w:fill="auto"/>
          </w:tcPr>
          <w:p w14:paraId="651799F4" w14:textId="6420AAD9" w:rsidR="00D60822" w:rsidRPr="00BC0D1F" w:rsidRDefault="00BF547F" w:rsidP="00BF547F">
            <w:pPr>
              <w:pStyle w:val="TableText"/>
              <w:keepNext/>
              <w:spacing w:before="40" w:after="40"/>
              <w:ind w:left="85"/>
              <w:rPr>
                <w:sz w:val="15"/>
                <w:szCs w:val="15"/>
              </w:rPr>
            </w:pPr>
            <w:r w:rsidRPr="00BC0D1F">
              <w:rPr>
                <w:sz w:val="15"/>
                <w:szCs w:val="15"/>
              </w:rPr>
              <w:t xml:space="preserve">Vote Health </w:t>
            </w:r>
          </w:p>
        </w:tc>
      </w:tr>
      <w:tr w:rsidR="00810942" w:rsidRPr="00BC0D1F" w14:paraId="1985C5A6" w14:textId="77777777" w:rsidTr="00F06348">
        <w:trPr>
          <w:cantSplit/>
        </w:trPr>
        <w:tc>
          <w:tcPr>
            <w:tcW w:w="993" w:type="dxa"/>
            <w:tcBorders>
              <w:top w:val="nil"/>
              <w:left w:val="nil"/>
              <w:bottom w:val="nil"/>
              <w:right w:val="nil"/>
            </w:tcBorders>
            <w:shd w:val="clear" w:color="auto" w:fill="auto"/>
          </w:tcPr>
          <w:p w14:paraId="485B748A" w14:textId="77777777" w:rsidR="00D60822" w:rsidRPr="00BC0D1F" w:rsidRDefault="003D580B" w:rsidP="00F06348">
            <w:pPr>
              <w:pStyle w:val="TableText"/>
              <w:spacing w:before="40" w:after="40"/>
              <w:ind w:right="85"/>
              <w:jc w:val="right"/>
              <w:rPr>
                <w:sz w:val="15"/>
                <w:szCs w:val="15"/>
              </w:rPr>
            </w:pPr>
            <w:r w:rsidRPr="00BC0D1F">
              <w:rPr>
                <w:sz w:val="15"/>
                <w:szCs w:val="15"/>
              </w:rPr>
              <w:t>–</w:t>
            </w:r>
          </w:p>
        </w:tc>
        <w:tc>
          <w:tcPr>
            <w:tcW w:w="2551" w:type="dxa"/>
            <w:tcBorders>
              <w:top w:val="nil"/>
              <w:left w:val="nil"/>
              <w:bottom w:val="nil"/>
              <w:right w:val="nil"/>
            </w:tcBorders>
            <w:shd w:val="clear" w:color="auto" w:fill="auto"/>
          </w:tcPr>
          <w:p w14:paraId="7792AFDD" w14:textId="77777777" w:rsidR="00D60822" w:rsidRPr="00BC0D1F" w:rsidRDefault="00D60822" w:rsidP="00F06348">
            <w:pPr>
              <w:pStyle w:val="TableText"/>
              <w:spacing w:before="40" w:after="40"/>
              <w:rPr>
                <w:sz w:val="15"/>
                <w:szCs w:val="15"/>
              </w:rPr>
            </w:pPr>
            <w:r w:rsidRPr="00BC0D1F">
              <w:rPr>
                <w:sz w:val="15"/>
                <w:szCs w:val="15"/>
              </w:rPr>
              <w:t>Refinance of DHB private debt</w:t>
            </w:r>
          </w:p>
        </w:tc>
        <w:tc>
          <w:tcPr>
            <w:tcW w:w="425" w:type="dxa"/>
            <w:tcBorders>
              <w:top w:val="nil"/>
              <w:left w:val="nil"/>
              <w:bottom w:val="nil"/>
              <w:right w:val="nil"/>
            </w:tcBorders>
            <w:shd w:val="clear" w:color="auto" w:fill="auto"/>
          </w:tcPr>
          <w:p w14:paraId="5171BA67"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1308EAD8" w14:textId="77777777" w:rsidR="00D60822" w:rsidRPr="00BC0D1F" w:rsidRDefault="00D60822" w:rsidP="00F06348">
            <w:pPr>
              <w:pStyle w:val="TableText"/>
              <w:spacing w:before="40" w:after="40"/>
              <w:ind w:right="85"/>
              <w:jc w:val="right"/>
              <w:rPr>
                <w:sz w:val="15"/>
                <w:szCs w:val="15"/>
              </w:rPr>
            </w:pPr>
            <w:r w:rsidRPr="00BC0D1F">
              <w:rPr>
                <w:sz w:val="15"/>
                <w:szCs w:val="15"/>
              </w:rPr>
              <w:t>50,000</w:t>
            </w:r>
          </w:p>
        </w:tc>
        <w:tc>
          <w:tcPr>
            <w:tcW w:w="850" w:type="dxa"/>
            <w:tcBorders>
              <w:top w:val="nil"/>
              <w:left w:val="nil"/>
              <w:bottom w:val="nil"/>
              <w:right w:val="nil"/>
            </w:tcBorders>
            <w:shd w:val="clear" w:color="auto" w:fill="auto"/>
          </w:tcPr>
          <w:p w14:paraId="582629BF" w14:textId="77777777" w:rsidR="00D60822" w:rsidRPr="00BC0D1F" w:rsidRDefault="00D60822" w:rsidP="00F06348">
            <w:pPr>
              <w:pStyle w:val="TableText"/>
              <w:spacing w:before="40" w:after="40"/>
              <w:jc w:val="right"/>
              <w:rPr>
                <w:sz w:val="15"/>
                <w:szCs w:val="15"/>
              </w:rPr>
            </w:pPr>
            <w:r w:rsidRPr="00BC0D1F">
              <w:rPr>
                <w:sz w:val="15"/>
                <w:szCs w:val="15"/>
              </w:rPr>
              <w:t>50,000</w:t>
            </w:r>
          </w:p>
        </w:tc>
        <w:tc>
          <w:tcPr>
            <w:tcW w:w="992" w:type="dxa"/>
            <w:tcBorders>
              <w:top w:val="nil"/>
              <w:left w:val="nil"/>
              <w:bottom w:val="nil"/>
              <w:right w:val="nil"/>
            </w:tcBorders>
            <w:shd w:val="clear" w:color="auto" w:fill="auto"/>
          </w:tcPr>
          <w:p w14:paraId="4B1C76F4" w14:textId="77777777" w:rsidR="00D60822" w:rsidRPr="00BC0D1F" w:rsidRDefault="00D60822" w:rsidP="00F06348">
            <w:pPr>
              <w:pStyle w:val="TableText"/>
              <w:spacing w:before="40" w:after="40"/>
              <w:jc w:val="right"/>
              <w:rPr>
                <w:sz w:val="15"/>
                <w:szCs w:val="15"/>
              </w:rPr>
            </w:pPr>
            <w:r w:rsidRPr="00BC0D1F">
              <w:rPr>
                <w:sz w:val="15"/>
                <w:szCs w:val="15"/>
              </w:rPr>
              <w:t>50,000</w:t>
            </w:r>
          </w:p>
        </w:tc>
        <w:tc>
          <w:tcPr>
            <w:tcW w:w="1276" w:type="dxa"/>
            <w:tcBorders>
              <w:top w:val="nil"/>
              <w:left w:val="nil"/>
              <w:bottom w:val="nil"/>
              <w:right w:val="nil"/>
            </w:tcBorders>
            <w:shd w:val="clear" w:color="auto" w:fill="auto"/>
          </w:tcPr>
          <w:p w14:paraId="1E0C3E11" w14:textId="77777777" w:rsidR="00D60822" w:rsidRPr="00BC0D1F" w:rsidRDefault="00D60822" w:rsidP="00F06348">
            <w:pPr>
              <w:pStyle w:val="TableText"/>
              <w:spacing w:before="40" w:after="40"/>
              <w:jc w:val="right"/>
              <w:rPr>
                <w:sz w:val="15"/>
                <w:szCs w:val="15"/>
              </w:rPr>
            </w:pPr>
            <w:r w:rsidRPr="00BC0D1F">
              <w:rPr>
                <w:sz w:val="15"/>
                <w:szCs w:val="15"/>
              </w:rPr>
              <w:t>0.33%</w:t>
            </w:r>
          </w:p>
        </w:tc>
        <w:tc>
          <w:tcPr>
            <w:tcW w:w="1276" w:type="dxa"/>
            <w:tcBorders>
              <w:top w:val="nil"/>
              <w:left w:val="nil"/>
              <w:bottom w:val="nil"/>
              <w:right w:val="nil"/>
            </w:tcBorders>
            <w:shd w:val="clear" w:color="auto" w:fill="auto"/>
          </w:tcPr>
          <w:p w14:paraId="56B5DA55" w14:textId="544745AF" w:rsidR="00D60822" w:rsidRPr="00BC0D1F" w:rsidRDefault="00BF547F" w:rsidP="00F06348">
            <w:pPr>
              <w:pStyle w:val="TableText"/>
              <w:spacing w:before="40" w:after="40"/>
              <w:ind w:left="85"/>
              <w:rPr>
                <w:sz w:val="15"/>
                <w:szCs w:val="15"/>
              </w:rPr>
            </w:pPr>
            <w:r w:rsidRPr="00BC0D1F">
              <w:rPr>
                <w:sz w:val="15"/>
                <w:szCs w:val="15"/>
              </w:rPr>
              <w:t>Annual Report</w:t>
            </w:r>
          </w:p>
        </w:tc>
      </w:tr>
      <w:tr w:rsidR="00810942" w:rsidRPr="00BC0D1F" w14:paraId="7A9F273A" w14:textId="77777777" w:rsidTr="00F06348">
        <w:trPr>
          <w:cantSplit/>
        </w:trPr>
        <w:tc>
          <w:tcPr>
            <w:tcW w:w="993" w:type="dxa"/>
            <w:tcBorders>
              <w:top w:val="nil"/>
              <w:left w:val="nil"/>
              <w:bottom w:val="nil"/>
              <w:right w:val="nil"/>
            </w:tcBorders>
            <w:shd w:val="clear" w:color="auto" w:fill="auto"/>
          </w:tcPr>
          <w:p w14:paraId="3BFC31D2" w14:textId="77777777" w:rsidR="00D60822" w:rsidRPr="00BC0D1F" w:rsidRDefault="00D60822" w:rsidP="00F06348">
            <w:pPr>
              <w:pStyle w:val="TableText"/>
              <w:spacing w:before="40" w:after="40"/>
              <w:ind w:right="85"/>
              <w:jc w:val="right"/>
              <w:rPr>
                <w:sz w:val="15"/>
                <w:szCs w:val="15"/>
              </w:rPr>
            </w:pPr>
            <w:r w:rsidRPr="00BC0D1F">
              <w:rPr>
                <w:sz w:val="15"/>
                <w:szCs w:val="15"/>
              </w:rPr>
              <w:t>476,036</w:t>
            </w:r>
          </w:p>
        </w:tc>
        <w:tc>
          <w:tcPr>
            <w:tcW w:w="2551" w:type="dxa"/>
            <w:tcBorders>
              <w:top w:val="nil"/>
              <w:left w:val="nil"/>
              <w:bottom w:val="nil"/>
              <w:right w:val="nil"/>
            </w:tcBorders>
            <w:shd w:val="clear" w:color="auto" w:fill="auto"/>
          </w:tcPr>
          <w:p w14:paraId="551007D3" w14:textId="77777777" w:rsidR="00D60822" w:rsidRPr="00BC0D1F" w:rsidRDefault="00D60822" w:rsidP="00F06348">
            <w:pPr>
              <w:pStyle w:val="TableText"/>
              <w:spacing w:before="40" w:after="40"/>
              <w:rPr>
                <w:sz w:val="15"/>
                <w:szCs w:val="15"/>
              </w:rPr>
            </w:pPr>
            <w:r w:rsidRPr="00BC0D1F">
              <w:rPr>
                <w:sz w:val="15"/>
                <w:szCs w:val="15"/>
              </w:rPr>
              <w:t>Refinance of Crown Loans</w:t>
            </w:r>
          </w:p>
        </w:tc>
        <w:tc>
          <w:tcPr>
            <w:tcW w:w="425" w:type="dxa"/>
            <w:tcBorders>
              <w:top w:val="nil"/>
              <w:left w:val="nil"/>
              <w:bottom w:val="nil"/>
              <w:right w:val="nil"/>
            </w:tcBorders>
            <w:shd w:val="clear" w:color="auto" w:fill="auto"/>
          </w:tcPr>
          <w:p w14:paraId="63090EE1" w14:textId="77777777" w:rsidR="00D60822" w:rsidRPr="00BC0D1F" w:rsidRDefault="00D60822" w:rsidP="00F06348">
            <w:pPr>
              <w:pStyle w:val="TableText"/>
              <w:spacing w:before="40" w:after="40"/>
              <w:jc w:val="center"/>
              <w:rPr>
                <w:sz w:val="15"/>
                <w:szCs w:val="15"/>
              </w:rPr>
            </w:pPr>
            <w:r w:rsidRPr="00BC0D1F">
              <w:rPr>
                <w:sz w:val="15"/>
                <w:szCs w:val="15"/>
              </w:rPr>
              <w:t>2.11</w:t>
            </w:r>
          </w:p>
        </w:tc>
        <w:tc>
          <w:tcPr>
            <w:tcW w:w="993" w:type="dxa"/>
            <w:tcBorders>
              <w:top w:val="nil"/>
              <w:left w:val="nil"/>
              <w:bottom w:val="nil"/>
              <w:right w:val="nil"/>
            </w:tcBorders>
            <w:shd w:val="clear" w:color="auto" w:fill="D9D9D9"/>
          </w:tcPr>
          <w:p w14:paraId="6D8CB6C9" w14:textId="77777777" w:rsidR="00D60822" w:rsidRPr="00BC0D1F" w:rsidRDefault="00D60822" w:rsidP="00F06348">
            <w:pPr>
              <w:pStyle w:val="TableText"/>
              <w:spacing w:before="40" w:after="40"/>
              <w:ind w:right="85"/>
              <w:jc w:val="right"/>
              <w:rPr>
                <w:sz w:val="15"/>
                <w:szCs w:val="15"/>
              </w:rPr>
            </w:pPr>
            <w:r w:rsidRPr="00BC0D1F">
              <w:rPr>
                <w:sz w:val="15"/>
                <w:szCs w:val="15"/>
              </w:rPr>
              <w:t>207,520</w:t>
            </w:r>
          </w:p>
        </w:tc>
        <w:tc>
          <w:tcPr>
            <w:tcW w:w="850" w:type="dxa"/>
            <w:tcBorders>
              <w:top w:val="nil"/>
              <w:left w:val="nil"/>
              <w:bottom w:val="nil"/>
              <w:right w:val="nil"/>
            </w:tcBorders>
            <w:shd w:val="clear" w:color="auto" w:fill="auto"/>
          </w:tcPr>
          <w:p w14:paraId="4A4D302F" w14:textId="77777777" w:rsidR="00D60822" w:rsidRPr="00BC0D1F" w:rsidRDefault="00D60822" w:rsidP="00F06348">
            <w:pPr>
              <w:pStyle w:val="TableText"/>
              <w:spacing w:before="40" w:after="40"/>
              <w:jc w:val="right"/>
              <w:rPr>
                <w:sz w:val="15"/>
                <w:szCs w:val="15"/>
              </w:rPr>
            </w:pPr>
            <w:r w:rsidRPr="00BC0D1F">
              <w:rPr>
                <w:sz w:val="15"/>
                <w:szCs w:val="15"/>
              </w:rPr>
              <w:t>200,100</w:t>
            </w:r>
          </w:p>
        </w:tc>
        <w:tc>
          <w:tcPr>
            <w:tcW w:w="992" w:type="dxa"/>
            <w:tcBorders>
              <w:top w:val="nil"/>
              <w:left w:val="nil"/>
              <w:bottom w:val="nil"/>
              <w:right w:val="nil"/>
            </w:tcBorders>
            <w:shd w:val="clear" w:color="auto" w:fill="auto"/>
          </w:tcPr>
          <w:p w14:paraId="0E3E5BF6" w14:textId="77777777" w:rsidR="00D60822" w:rsidRPr="00BC0D1F" w:rsidRDefault="00D60822" w:rsidP="00F06348">
            <w:pPr>
              <w:pStyle w:val="TableText"/>
              <w:spacing w:before="40" w:after="40"/>
              <w:jc w:val="right"/>
              <w:rPr>
                <w:sz w:val="15"/>
                <w:szCs w:val="15"/>
              </w:rPr>
            </w:pPr>
            <w:r w:rsidRPr="00BC0D1F">
              <w:rPr>
                <w:sz w:val="15"/>
                <w:szCs w:val="15"/>
              </w:rPr>
              <w:t>210,824</w:t>
            </w:r>
          </w:p>
        </w:tc>
        <w:tc>
          <w:tcPr>
            <w:tcW w:w="1276" w:type="dxa"/>
            <w:tcBorders>
              <w:top w:val="nil"/>
              <w:left w:val="nil"/>
              <w:bottom w:val="nil"/>
              <w:right w:val="nil"/>
            </w:tcBorders>
            <w:shd w:val="clear" w:color="auto" w:fill="auto"/>
          </w:tcPr>
          <w:p w14:paraId="095A9A87" w14:textId="77777777" w:rsidR="00D60822" w:rsidRPr="00BC0D1F" w:rsidRDefault="00D60822" w:rsidP="00F06348">
            <w:pPr>
              <w:pStyle w:val="TableText"/>
              <w:spacing w:before="40" w:after="40"/>
              <w:jc w:val="right"/>
              <w:rPr>
                <w:sz w:val="15"/>
                <w:szCs w:val="15"/>
              </w:rPr>
            </w:pPr>
            <w:r w:rsidRPr="00BC0D1F">
              <w:rPr>
                <w:sz w:val="15"/>
                <w:szCs w:val="15"/>
              </w:rPr>
              <w:t>1.36%</w:t>
            </w:r>
          </w:p>
        </w:tc>
        <w:tc>
          <w:tcPr>
            <w:tcW w:w="1276" w:type="dxa"/>
            <w:tcBorders>
              <w:top w:val="nil"/>
              <w:left w:val="nil"/>
              <w:bottom w:val="nil"/>
              <w:right w:val="nil"/>
            </w:tcBorders>
            <w:shd w:val="clear" w:color="auto" w:fill="auto"/>
          </w:tcPr>
          <w:p w14:paraId="73E6DC52" w14:textId="77777777" w:rsidR="00D60822" w:rsidRPr="00BC0D1F" w:rsidRDefault="00D60822" w:rsidP="00F06348">
            <w:pPr>
              <w:pStyle w:val="TableText"/>
              <w:spacing w:before="40" w:after="40"/>
              <w:ind w:left="85"/>
              <w:rPr>
                <w:sz w:val="15"/>
                <w:szCs w:val="15"/>
              </w:rPr>
            </w:pPr>
          </w:p>
        </w:tc>
      </w:tr>
      <w:tr w:rsidR="00810942" w:rsidRPr="00BC0D1F" w14:paraId="57F9A090" w14:textId="77777777" w:rsidTr="00F06348">
        <w:trPr>
          <w:cantSplit/>
        </w:trPr>
        <w:tc>
          <w:tcPr>
            <w:tcW w:w="993" w:type="dxa"/>
            <w:tcBorders>
              <w:top w:val="nil"/>
              <w:left w:val="nil"/>
              <w:bottom w:val="nil"/>
              <w:right w:val="nil"/>
            </w:tcBorders>
            <w:shd w:val="clear" w:color="auto" w:fill="auto"/>
          </w:tcPr>
          <w:p w14:paraId="46B0DC92" w14:textId="77777777" w:rsidR="00D60822" w:rsidRPr="00BC0D1F" w:rsidRDefault="00D60822" w:rsidP="00F06348">
            <w:pPr>
              <w:pStyle w:val="TableText"/>
              <w:spacing w:before="40" w:after="40"/>
              <w:ind w:right="85"/>
              <w:jc w:val="right"/>
              <w:rPr>
                <w:sz w:val="15"/>
                <w:szCs w:val="15"/>
              </w:rPr>
            </w:pPr>
            <w:r w:rsidRPr="00BC0D1F">
              <w:rPr>
                <w:sz w:val="15"/>
                <w:szCs w:val="15"/>
              </w:rPr>
              <w:t>10,518</w:t>
            </w:r>
          </w:p>
        </w:tc>
        <w:tc>
          <w:tcPr>
            <w:tcW w:w="2551" w:type="dxa"/>
            <w:tcBorders>
              <w:top w:val="nil"/>
              <w:left w:val="nil"/>
              <w:bottom w:val="nil"/>
              <w:right w:val="nil"/>
            </w:tcBorders>
            <w:shd w:val="clear" w:color="auto" w:fill="auto"/>
          </w:tcPr>
          <w:p w14:paraId="0A0ABAAA" w14:textId="77777777" w:rsidR="00D60822" w:rsidRPr="00BC0D1F" w:rsidRDefault="00D60822" w:rsidP="00F06348">
            <w:pPr>
              <w:pStyle w:val="TableText"/>
              <w:spacing w:before="40" w:after="40"/>
              <w:rPr>
                <w:sz w:val="15"/>
                <w:szCs w:val="15"/>
              </w:rPr>
            </w:pPr>
            <w:r w:rsidRPr="00BC0D1F">
              <w:rPr>
                <w:sz w:val="15"/>
                <w:szCs w:val="15"/>
              </w:rPr>
              <w:t>Residential care loans</w:t>
            </w:r>
          </w:p>
        </w:tc>
        <w:tc>
          <w:tcPr>
            <w:tcW w:w="425" w:type="dxa"/>
            <w:tcBorders>
              <w:top w:val="nil"/>
              <w:left w:val="nil"/>
              <w:bottom w:val="nil"/>
              <w:right w:val="nil"/>
            </w:tcBorders>
            <w:shd w:val="clear" w:color="auto" w:fill="auto"/>
          </w:tcPr>
          <w:p w14:paraId="58A7B544" w14:textId="77777777" w:rsidR="00D60822" w:rsidRPr="00BC0D1F" w:rsidRDefault="00D60822" w:rsidP="00F06348">
            <w:pPr>
              <w:pStyle w:val="TableText"/>
              <w:spacing w:before="40" w:after="40"/>
              <w:jc w:val="center"/>
              <w:rPr>
                <w:sz w:val="15"/>
                <w:szCs w:val="15"/>
              </w:rPr>
            </w:pPr>
          </w:p>
        </w:tc>
        <w:tc>
          <w:tcPr>
            <w:tcW w:w="993" w:type="dxa"/>
            <w:tcBorders>
              <w:top w:val="nil"/>
              <w:left w:val="nil"/>
              <w:bottom w:val="nil"/>
              <w:right w:val="nil"/>
            </w:tcBorders>
            <w:shd w:val="clear" w:color="auto" w:fill="D9D9D9"/>
          </w:tcPr>
          <w:p w14:paraId="34E1E3AC" w14:textId="77777777" w:rsidR="00D60822" w:rsidRPr="00BC0D1F" w:rsidRDefault="00D60822" w:rsidP="00F06348">
            <w:pPr>
              <w:pStyle w:val="TableText"/>
              <w:spacing w:before="40" w:after="40"/>
              <w:ind w:right="85"/>
              <w:jc w:val="right"/>
              <w:rPr>
                <w:sz w:val="15"/>
                <w:szCs w:val="15"/>
              </w:rPr>
            </w:pPr>
            <w:r w:rsidRPr="00BC0D1F">
              <w:rPr>
                <w:sz w:val="15"/>
                <w:szCs w:val="15"/>
              </w:rPr>
              <w:t>10,653</w:t>
            </w:r>
          </w:p>
        </w:tc>
        <w:tc>
          <w:tcPr>
            <w:tcW w:w="850" w:type="dxa"/>
            <w:tcBorders>
              <w:top w:val="nil"/>
              <w:left w:val="nil"/>
              <w:bottom w:val="nil"/>
              <w:right w:val="nil"/>
            </w:tcBorders>
            <w:shd w:val="clear" w:color="auto" w:fill="auto"/>
          </w:tcPr>
          <w:p w14:paraId="58E7FB86" w14:textId="77777777" w:rsidR="00D60822" w:rsidRPr="00BC0D1F" w:rsidRDefault="00D60822" w:rsidP="00F06348">
            <w:pPr>
              <w:pStyle w:val="TableText"/>
              <w:spacing w:before="40" w:after="40"/>
              <w:jc w:val="right"/>
              <w:rPr>
                <w:sz w:val="15"/>
                <w:szCs w:val="15"/>
              </w:rPr>
            </w:pPr>
            <w:r w:rsidRPr="00BC0D1F">
              <w:rPr>
                <w:sz w:val="15"/>
                <w:szCs w:val="15"/>
              </w:rPr>
              <w:t>15,000</w:t>
            </w:r>
          </w:p>
        </w:tc>
        <w:tc>
          <w:tcPr>
            <w:tcW w:w="992" w:type="dxa"/>
            <w:tcBorders>
              <w:top w:val="nil"/>
              <w:left w:val="nil"/>
              <w:bottom w:val="nil"/>
              <w:right w:val="nil"/>
            </w:tcBorders>
            <w:shd w:val="clear" w:color="auto" w:fill="auto"/>
          </w:tcPr>
          <w:p w14:paraId="56A92CCE" w14:textId="77777777" w:rsidR="00D60822" w:rsidRPr="00BC0D1F" w:rsidRDefault="00D60822" w:rsidP="00F06348">
            <w:pPr>
              <w:pStyle w:val="TableText"/>
              <w:spacing w:before="40" w:after="40"/>
              <w:jc w:val="right"/>
              <w:rPr>
                <w:sz w:val="15"/>
                <w:szCs w:val="15"/>
              </w:rPr>
            </w:pPr>
            <w:r w:rsidRPr="00BC0D1F">
              <w:rPr>
                <w:sz w:val="15"/>
                <w:szCs w:val="15"/>
              </w:rPr>
              <w:t>15,000</w:t>
            </w:r>
          </w:p>
        </w:tc>
        <w:tc>
          <w:tcPr>
            <w:tcW w:w="1276" w:type="dxa"/>
            <w:tcBorders>
              <w:top w:val="nil"/>
              <w:left w:val="nil"/>
              <w:bottom w:val="nil"/>
              <w:right w:val="nil"/>
            </w:tcBorders>
            <w:shd w:val="clear" w:color="auto" w:fill="auto"/>
          </w:tcPr>
          <w:p w14:paraId="3328AE9B" w14:textId="77777777" w:rsidR="00D60822" w:rsidRPr="00BC0D1F" w:rsidRDefault="00D60822" w:rsidP="00F06348">
            <w:pPr>
              <w:pStyle w:val="TableText"/>
              <w:spacing w:before="40" w:after="40"/>
              <w:jc w:val="right"/>
              <w:rPr>
                <w:sz w:val="15"/>
                <w:szCs w:val="15"/>
              </w:rPr>
            </w:pPr>
            <w:r w:rsidRPr="00BC0D1F">
              <w:rPr>
                <w:sz w:val="15"/>
                <w:szCs w:val="15"/>
              </w:rPr>
              <w:t>0.07%</w:t>
            </w:r>
          </w:p>
        </w:tc>
        <w:tc>
          <w:tcPr>
            <w:tcW w:w="1276" w:type="dxa"/>
            <w:tcBorders>
              <w:top w:val="nil"/>
              <w:left w:val="nil"/>
              <w:bottom w:val="nil"/>
              <w:right w:val="nil"/>
            </w:tcBorders>
            <w:shd w:val="clear" w:color="auto" w:fill="auto"/>
          </w:tcPr>
          <w:p w14:paraId="3ABF4CFF" w14:textId="77777777" w:rsidR="00D60822" w:rsidRPr="00BC0D1F" w:rsidRDefault="00D60822" w:rsidP="00F06348">
            <w:pPr>
              <w:pStyle w:val="TableText"/>
              <w:spacing w:before="40" w:after="40"/>
              <w:ind w:left="85"/>
              <w:rPr>
                <w:sz w:val="15"/>
                <w:szCs w:val="15"/>
              </w:rPr>
            </w:pPr>
          </w:p>
        </w:tc>
      </w:tr>
      <w:tr w:rsidR="00810942" w:rsidRPr="00BC0D1F" w14:paraId="0AAA0820" w14:textId="77777777" w:rsidTr="00F06348">
        <w:trPr>
          <w:cantSplit/>
        </w:trPr>
        <w:tc>
          <w:tcPr>
            <w:tcW w:w="993" w:type="dxa"/>
            <w:tcBorders>
              <w:top w:val="nil"/>
              <w:left w:val="nil"/>
              <w:bottom w:val="single" w:sz="4" w:space="0" w:color="A6A6A6"/>
              <w:right w:val="nil"/>
            </w:tcBorders>
            <w:shd w:val="clear" w:color="auto" w:fill="auto"/>
          </w:tcPr>
          <w:p w14:paraId="1E918A8F" w14:textId="77777777" w:rsidR="00D31199" w:rsidRPr="00BC0D1F" w:rsidRDefault="00D31199" w:rsidP="00F06348">
            <w:pPr>
              <w:pStyle w:val="TableText"/>
              <w:spacing w:before="40" w:after="40"/>
              <w:ind w:right="85"/>
              <w:jc w:val="right"/>
              <w:rPr>
                <w:b/>
                <w:sz w:val="15"/>
                <w:szCs w:val="15"/>
              </w:rPr>
            </w:pPr>
            <w:r w:rsidRPr="00BC0D1F">
              <w:rPr>
                <w:b/>
                <w:sz w:val="15"/>
                <w:szCs w:val="15"/>
              </w:rPr>
              <w:t>676,384</w:t>
            </w:r>
          </w:p>
        </w:tc>
        <w:tc>
          <w:tcPr>
            <w:tcW w:w="2551" w:type="dxa"/>
            <w:tcBorders>
              <w:top w:val="nil"/>
              <w:left w:val="nil"/>
              <w:bottom w:val="single" w:sz="4" w:space="0" w:color="A6A6A6"/>
              <w:right w:val="nil"/>
            </w:tcBorders>
            <w:shd w:val="clear" w:color="auto" w:fill="auto"/>
          </w:tcPr>
          <w:p w14:paraId="507D460C" w14:textId="77777777" w:rsidR="00D31199" w:rsidRPr="00BC0D1F" w:rsidRDefault="00D31199" w:rsidP="00F06348">
            <w:pPr>
              <w:pStyle w:val="TableText"/>
              <w:spacing w:before="40" w:after="40"/>
              <w:rPr>
                <w:b/>
                <w:sz w:val="15"/>
                <w:szCs w:val="15"/>
              </w:rPr>
            </w:pPr>
            <w:r w:rsidRPr="00BC0D1F">
              <w:rPr>
                <w:b/>
                <w:sz w:val="15"/>
                <w:szCs w:val="15"/>
              </w:rPr>
              <w:t>Total non-departmental capital contributions to other persons or organisations</w:t>
            </w:r>
          </w:p>
        </w:tc>
        <w:tc>
          <w:tcPr>
            <w:tcW w:w="425" w:type="dxa"/>
            <w:tcBorders>
              <w:top w:val="nil"/>
              <w:left w:val="nil"/>
              <w:bottom w:val="single" w:sz="4" w:space="0" w:color="A6A6A6"/>
              <w:right w:val="nil"/>
            </w:tcBorders>
            <w:shd w:val="clear" w:color="auto" w:fill="auto"/>
          </w:tcPr>
          <w:p w14:paraId="70F519BE" w14:textId="77777777" w:rsidR="00D31199" w:rsidRPr="00BC0D1F" w:rsidRDefault="00D31199" w:rsidP="00F06348">
            <w:pPr>
              <w:pStyle w:val="TableText"/>
              <w:spacing w:before="40" w:after="40"/>
              <w:jc w:val="center"/>
              <w:rPr>
                <w:b/>
                <w:sz w:val="15"/>
                <w:szCs w:val="15"/>
              </w:rPr>
            </w:pPr>
          </w:p>
        </w:tc>
        <w:tc>
          <w:tcPr>
            <w:tcW w:w="993" w:type="dxa"/>
            <w:tcBorders>
              <w:top w:val="nil"/>
              <w:left w:val="nil"/>
              <w:bottom w:val="single" w:sz="4" w:space="0" w:color="A6A6A6"/>
              <w:right w:val="nil"/>
            </w:tcBorders>
            <w:shd w:val="clear" w:color="auto" w:fill="D9D9D9"/>
          </w:tcPr>
          <w:p w14:paraId="05E970A2" w14:textId="3FE8C815" w:rsidR="00D31199" w:rsidRPr="00BC0D1F" w:rsidRDefault="00C13BF2" w:rsidP="00F06348">
            <w:pPr>
              <w:pStyle w:val="TableText"/>
              <w:spacing w:before="40" w:after="40"/>
              <w:ind w:right="85"/>
              <w:jc w:val="right"/>
              <w:rPr>
                <w:b/>
                <w:sz w:val="15"/>
                <w:szCs w:val="15"/>
              </w:rPr>
            </w:pPr>
            <w:r>
              <w:rPr>
                <w:b/>
                <w:sz w:val="15"/>
                <w:szCs w:val="15"/>
              </w:rPr>
              <w:t>485,621</w:t>
            </w:r>
          </w:p>
        </w:tc>
        <w:tc>
          <w:tcPr>
            <w:tcW w:w="850" w:type="dxa"/>
            <w:tcBorders>
              <w:top w:val="nil"/>
              <w:left w:val="nil"/>
              <w:bottom w:val="single" w:sz="4" w:space="0" w:color="A6A6A6"/>
              <w:right w:val="nil"/>
            </w:tcBorders>
            <w:shd w:val="clear" w:color="auto" w:fill="auto"/>
          </w:tcPr>
          <w:p w14:paraId="6792ABD3" w14:textId="77777777" w:rsidR="00D31199" w:rsidRPr="00BC0D1F" w:rsidRDefault="00D31199" w:rsidP="00F06348">
            <w:pPr>
              <w:pStyle w:val="TableText"/>
              <w:spacing w:before="40" w:after="40"/>
              <w:jc w:val="right"/>
              <w:rPr>
                <w:b/>
                <w:sz w:val="15"/>
                <w:szCs w:val="15"/>
              </w:rPr>
            </w:pPr>
            <w:r w:rsidRPr="00BC0D1F">
              <w:rPr>
                <w:b/>
                <w:sz w:val="15"/>
                <w:szCs w:val="15"/>
              </w:rPr>
              <w:t>1,088,100</w:t>
            </w:r>
          </w:p>
        </w:tc>
        <w:tc>
          <w:tcPr>
            <w:tcW w:w="992" w:type="dxa"/>
            <w:tcBorders>
              <w:top w:val="nil"/>
              <w:left w:val="nil"/>
              <w:bottom w:val="single" w:sz="4" w:space="0" w:color="A6A6A6"/>
              <w:right w:val="nil"/>
            </w:tcBorders>
            <w:shd w:val="clear" w:color="auto" w:fill="auto"/>
          </w:tcPr>
          <w:p w14:paraId="00D6A79B" w14:textId="77777777" w:rsidR="00D31199" w:rsidRPr="00BC0D1F" w:rsidRDefault="00D31199" w:rsidP="00F06348">
            <w:pPr>
              <w:pStyle w:val="TableText"/>
              <w:spacing w:before="40" w:after="40"/>
              <w:jc w:val="right"/>
              <w:rPr>
                <w:b/>
                <w:sz w:val="15"/>
                <w:szCs w:val="15"/>
              </w:rPr>
            </w:pPr>
            <w:r w:rsidRPr="00BC0D1F">
              <w:rPr>
                <w:b/>
                <w:sz w:val="15"/>
                <w:szCs w:val="15"/>
              </w:rPr>
              <w:t>650,458</w:t>
            </w:r>
          </w:p>
        </w:tc>
        <w:tc>
          <w:tcPr>
            <w:tcW w:w="1276" w:type="dxa"/>
            <w:tcBorders>
              <w:top w:val="nil"/>
              <w:left w:val="nil"/>
              <w:bottom w:val="single" w:sz="4" w:space="0" w:color="A6A6A6"/>
              <w:right w:val="nil"/>
            </w:tcBorders>
            <w:shd w:val="clear" w:color="auto" w:fill="auto"/>
          </w:tcPr>
          <w:p w14:paraId="45E892A4" w14:textId="38281157" w:rsidR="00D31199" w:rsidRPr="00BC0D1F" w:rsidRDefault="00D31199" w:rsidP="005D78F1">
            <w:pPr>
              <w:pStyle w:val="TableText"/>
              <w:spacing w:before="40" w:after="40"/>
              <w:jc w:val="right"/>
              <w:rPr>
                <w:b/>
                <w:sz w:val="15"/>
                <w:szCs w:val="15"/>
              </w:rPr>
            </w:pPr>
            <w:r w:rsidRPr="00BC0D1F">
              <w:rPr>
                <w:b/>
                <w:sz w:val="15"/>
                <w:szCs w:val="15"/>
              </w:rPr>
              <w:t>3.1</w:t>
            </w:r>
            <w:r w:rsidR="005D78F1">
              <w:rPr>
                <w:b/>
                <w:sz w:val="15"/>
                <w:szCs w:val="15"/>
              </w:rPr>
              <w:t>8</w:t>
            </w:r>
            <w:r w:rsidRPr="00BC0D1F">
              <w:rPr>
                <w:b/>
                <w:sz w:val="15"/>
                <w:szCs w:val="15"/>
              </w:rPr>
              <w:t>%</w:t>
            </w:r>
          </w:p>
        </w:tc>
        <w:tc>
          <w:tcPr>
            <w:tcW w:w="1276" w:type="dxa"/>
            <w:tcBorders>
              <w:top w:val="nil"/>
              <w:left w:val="nil"/>
              <w:bottom w:val="single" w:sz="4" w:space="0" w:color="A6A6A6"/>
              <w:right w:val="nil"/>
            </w:tcBorders>
            <w:shd w:val="clear" w:color="auto" w:fill="auto"/>
          </w:tcPr>
          <w:p w14:paraId="064E734D" w14:textId="77777777" w:rsidR="00D31199" w:rsidRPr="00BC0D1F" w:rsidRDefault="00D31199" w:rsidP="00F06348">
            <w:pPr>
              <w:pStyle w:val="TableText"/>
              <w:spacing w:before="40" w:after="40"/>
              <w:ind w:left="85"/>
              <w:rPr>
                <w:b/>
                <w:sz w:val="15"/>
                <w:szCs w:val="15"/>
              </w:rPr>
            </w:pPr>
          </w:p>
        </w:tc>
      </w:tr>
      <w:tr w:rsidR="00810942" w:rsidRPr="00BC0D1F" w14:paraId="5509EC1F" w14:textId="77777777" w:rsidTr="00F06348">
        <w:trPr>
          <w:cantSplit/>
        </w:trPr>
        <w:tc>
          <w:tcPr>
            <w:tcW w:w="993" w:type="dxa"/>
            <w:tcBorders>
              <w:top w:val="single" w:sz="4" w:space="0" w:color="A6A6A6"/>
              <w:left w:val="nil"/>
              <w:bottom w:val="single" w:sz="4" w:space="0" w:color="auto"/>
              <w:right w:val="nil"/>
            </w:tcBorders>
            <w:shd w:val="clear" w:color="auto" w:fill="auto"/>
          </w:tcPr>
          <w:p w14:paraId="38065B1D" w14:textId="77777777" w:rsidR="00D31199" w:rsidRPr="00BC0D1F" w:rsidRDefault="00D31199" w:rsidP="00F06348">
            <w:pPr>
              <w:pStyle w:val="TableText"/>
              <w:spacing w:before="40" w:after="40"/>
              <w:ind w:right="85"/>
              <w:jc w:val="right"/>
              <w:rPr>
                <w:b/>
                <w:sz w:val="15"/>
                <w:szCs w:val="15"/>
              </w:rPr>
            </w:pPr>
            <w:r w:rsidRPr="00BC0D1F">
              <w:rPr>
                <w:b/>
                <w:sz w:val="15"/>
                <w:szCs w:val="15"/>
              </w:rPr>
              <w:t>14,827,790</w:t>
            </w:r>
          </w:p>
        </w:tc>
        <w:tc>
          <w:tcPr>
            <w:tcW w:w="2551" w:type="dxa"/>
            <w:tcBorders>
              <w:top w:val="single" w:sz="4" w:space="0" w:color="A6A6A6"/>
              <w:left w:val="nil"/>
              <w:bottom w:val="single" w:sz="4" w:space="0" w:color="auto"/>
              <w:right w:val="nil"/>
            </w:tcBorders>
            <w:shd w:val="clear" w:color="auto" w:fill="auto"/>
          </w:tcPr>
          <w:p w14:paraId="66E236CF" w14:textId="77777777" w:rsidR="00D31199" w:rsidRPr="00BC0D1F" w:rsidRDefault="00D31199" w:rsidP="00F06348">
            <w:pPr>
              <w:pStyle w:val="TableText"/>
              <w:spacing w:before="40" w:after="40"/>
              <w:rPr>
                <w:b/>
                <w:sz w:val="15"/>
                <w:szCs w:val="15"/>
              </w:rPr>
            </w:pPr>
            <w:r w:rsidRPr="00BC0D1F">
              <w:rPr>
                <w:b/>
                <w:sz w:val="15"/>
                <w:szCs w:val="15"/>
              </w:rPr>
              <w:t>Total non-departmental appropriations</w:t>
            </w:r>
          </w:p>
        </w:tc>
        <w:tc>
          <w:tcPr>
            <w:tcW w:w="425" w:type="dxa"/>
            <w:tcBorders>
              <w:top w:val="single" w:sz="4" w:space="0" w:color="A6A6A6"/>
              <w:left w:val="nil"/>
              <w:bottom w:val="single" w:sz="4" w:space="0" w:color="auto"/>
              <w:right w:val="nil"/>
            </w:tcBorders>
            <w:shd w:val="clear" w:color="auto" w:fill="auto"/>
          </w:tcPr>
          <w:p w14:paraId="0F5D83C9" w14:textId="77777777" w:rsidR="00D31199" w:rsidRPr="00BC0D1F" w:rsidRDefault="00D31199" w:rsidP="00F06348">
            <w:pPr>
              <w:pStyle w:val="TableText"/>
              <w:spacing w:before="40" w:after="40"/>
              <w:jc w:val="center"/>
              <w:rPr>
                <w:b/>
                <w:sz w:val="15"/>
                <w:szCs w:val="15"/>
              </w:rPr>
            </w:pPr>
          </w:p>
        </w:tc>
        <w:tc>
          <w:tcPr>
            <w:tcW w:w="993" w:type="dxa"/>
            <w:tcBorders>
              <w:top w:val="single" w:sz="4" w:space="0" w:color="A6A6A6"/>
              <w:left w:val="nil"/>
              <w:bottom w:val="single" w:sz="4" w:space="0" w:color="auto"/>
              <w:right w:val="nil"/>
            </w:tcBorders>
            <w:shd w:val="clear" w:color="auto" w:fill="D9D9D9"/>
          </w:tcPr>
          <w:p w14:paraId="11956EAB" w14:textId="49D75464" w:rsidR="00D31199" w:rsidRPr="00BC0D1F" w:rsidRDefault="00D31199" w:rsidP="00C13BF2">
            <w:pPr>
              <w:pStyle w:val="TableText"/>
              <w:spacing w:before="40" w:after="40"/>
              <w:ind w:right="85"/>
              <w:jc w:val="right"/>
              <w:rPr>
                <w:b/>
                <w:sz w:val="15"/>
                <w:szCs w:val="15"/>
              </w:rPr>
            </w:pPr>
            <w:r w:rsidRPr="00BC0D1F">
              <w:rPr>
                <w:b/>
                <w:sz w:val="15"/>
                <w:szCs w:val="15"/>
              </w:rPr>
              <w:t>15,</w:t>
            </w:r>
            <w:r w:rsidR="005D78F1">
              <w:rPr>
                <w:b/>
                <w:sz w:val="15"/>
                <w:szCs w:val="15"/>
              </w:rPr>
              <w:t>0</w:t>
            </w:r>
            <w:r w:rsidR="00C13BF2">
              <w:rPr>
                <w:b/>
                <w:sz w:val="15"/>
                <w:szCs w:val="15"/>
              </w:rPr>
              <w:t>87,889</w:t>
            </w:r>
          </w:p>
        </w:tc>
        <w:tc>
          <w:tcPr>
            <w:tcW w:w="850" w:type="dxa"/>
            <w:tcBorders>
              <w:top w:val="single" w:sz="4" w:space="0" w:color="A6A6A6"/>
              <w:left w:val="nil"/>
              <w:bottom w:val="single" w:sz="4" w:space="0" w:color="auto"/>
              <w:right w:val="nil"/>
            </w:tcBorders>
            <w:shd w:val="clear" w:color="auto" w:fill="auto"/>
          </w:tcPr>
          <w:p w14:paraId="2CC355E3" w14:textId="77777777" w:rsidR="00D31199" w:rsidRPr="00BC0D1F" w:rsidRDefault="00D31199" w:rsidP="00F06348">
            <w:pPr>
              <w:pStyle w:val="TableText"/>
              <w:spacing w:before="40" w:after="40"/>
              <w:jc w:val="right"/>
              <w:rPr>
                <w:b/>
                <w:sz w:val="15"/>
                <w:szCs w:val="15"/>
              </w:rPr>
            </w:pPr>
            <w:r w:rsidRPr="00BC0D1F">
              <w:rPr>
                <w:b/>
                <w:sz w:val="15"/>
                <w:szCs w:val="15"/>
              </w:rPr>
              <w:t>15,660,939</w:t>
            </w:r>
          </w:p>
        </w:tc>
        <w:tc>
          <w:tcPr>
            <w:tcW w:w="992" w:type="dxa"/>
            <w:tcBorders>
              <w:top w:val="single" w:sz="4" w:space="0" w:color="A6A6A6"/>
              <w:left w:val="nil"/>
              <w:bottom w:val="single" w:sz="4" w:space="0" w:color="auto"/>
              <w:right w:val="nil"/>
            </w:tcBorders>
            <w:shd w:val="clear" w:color="auto" w:fill="auto"/>
          </w:tcPr>
          <w:p w14:paraId="5CC2AF0B" w14:textId="77777777" w:rsidR="00D31199" w:rsidRPr="00BC0D1F" w:rsidRDefault="00D31199" w:rsidP="00F06348">
            <w:pPr>
              <w:pStyle w:val="TableText"/>
              <w:spacing w:before="40" w:after="40"/>
              <w:jc w:val="right"/>
              <w:rPr>
                <w:b/>
                <w:sz w:val="15"/>
                <w:szCs w:val="15"/>
              </w:rPr>
            </w:pPr>
            <w:r w:rsidRPr="00BC0D1F">
              <w:rPr>
                <w:b/>
                <w:sz w:val="15"/>
                <w:szCs w:val="15"/>
              </w:rPr>
              <w:t>15,276,155</w:t>
            </w:r>
          </w:p>
        </w:tc>
        <w:tc>
          <w:tcPr>
            <w:tcW w:w="1276" w:type="dxa"/>
            <w:tcBorders>
              <w:top w:val="single" w:sz="4" w:space="0" w:color="A6A6A6"/>
              <w:left w:val="nil"/>
              <w:bottom w:val="single" w:sz="4" w:space="0" w:color="auto"/>
              <w:right w:val="nil"/>
            </w:tcBorders>
            <w:shd w:val="clear" w:color="auto" w:fill="auto"/>
          </w:tcPr>
          <w:p w14:paraId="33C22113" w14:textId="77777777" w:rsidR="00D31199" w:rsidRPr="00BC0D1F" w:rsidRDefault="00D31199" w:rsidP="00F06348">
            <w:pPr>
              <w:pStyle w:val="TableText"/>
              <w:spacing w:before="40" w:after="40"/>
              <w:jc w:val="right"/>
              <w:rPr>
                <w:b/>
                <w:sz w:val="15"/>
                <w:szCs w:val="15"/>
              </w:rPr>
            </w:pPr>
            <w:r w:rsidRPr="00BC0D1F">
              <w:rPr>
                <w:b/>
                <w:sz w:val="15"/>
                <w:szCs w:val="15"/>
              </w:rPr>
              <w:t>98.68%</w:t>
            </w:r>
          </w:p>
        </w:tc>
        <w:tc>
          <w:tcPr>
            <w:tcW w:w="1276" w:type="dxa"/>
            <w:tcBorders>
              <w:top w:val="single" w:sz="4" w:space="0" w:color="A6A6A6"/>
              <w:left w:val="nil"/>
              <w:bottom w:val="single" w:sz="4" w:space="0" w:color="auto"/>
              <w:right w:val="nil"/>
            </w:tcBorders>
            <w:shd w:val="clear" w:color="auto" w:fill="auto"/>
          </w:tcPr>
          <w:p w14:paraId="397B94D8" w14:textId="77777777" w:rsidR="00D31199" w:rsidRPr="00BC0D1F" w:rsidRDefault="00D31199" w:rsidP="00F06348">
            <w:pPr>
              <w:pStyle w:val="TableText"/>
              <w:spacing w:before="40" w:after="40"/>
              <w:ind w:left="85"/>
              <w:rPr>
                <w:b/>
                <w:sz w:val="15"/>
                <w:szCs w:val="15"/>
              </w:rPr>
            </w:pPr>
          </w:p>
        </w:tc>
      </w:tr>
      <w:tr w:rsidR="00810942" w:rsidRPr="00BC0D1F" w14:paraId="0512A8B8" w14:textId="77777777" w:rsidTr="00F06348">
        <w:trPr>
          <w:cantSplit/>
        </w:trPr>
        <w:tc>
          <w:tcPr>
            <w:tcW w:w="993" w:type="dxa"/>
            <w:tcBorders>
              <w:top w:val="single" w:sz="4" w:space="0" w:color="auto"/>
              <w:left w:val="nil"/>
              <w:right w:val="nil"/>
            </w:tcBorders>
            <w:shd w:val="clear" w:color="auto" w:fill="auto"/>
          </w:tcPr>
          <w:p w14:paraId="78B4504D" w14:textId="626B90F9" w:rsidR="00D60822" w:rsidRPr="00BC0D1F" w:rsidRDefault="00D60822" w:rsidP="00C13BF2">
            <w:pPr>
              <w:pStyle w:val="TableText"/>
              <w:spacing w:before="40" w:after="40"/>
              <w:ind w:right="85"/>
              <w:jc w:val="right"/>
              <w:rPr>
                <w:b/>
                <w:sz w:val="15"/>
                <w:szCs w:val="15"/>
              </w:rPr>
            </w:pPr>
            <w:r w:rsidRPr="00BC0D1F">
              <w:rPr>
                <w:b/>
                <w:sz w:val="15"/>
                <w:szCs w:val="15"/>
              </w:rPr>
              <w:t>15,</w:t>
            </w:r>
            <w:r w:rsidR="00C13BF2">
              <w:rPr>
                <w:b/>
                <w:sz w:val="15"/>
                <w:szCs w:val="15"/>
              </w:rPr>
              <w:t>035,246</w:t>
            </w:r>
          </w:p>
        </w:tc>
        <w:tc>
          <w:tcPr>
            <w:tcW w:w="2551" w:type="dxa"/>
            <w:tcBorders>
              <w:top w:val="single" w:sz="4" w:space="0" w:color="auto"/>
              <w:left w:val="nil"/>
              <w:right w:val="nil"/>
            </w:tcBorders>
            <w:shd w:val="clear" w:color="auto" w:fill="auto"/>
          </w:tcPr>
          <w:p w14:paraId="3879A185" w14:textId="77777777" w:rsidR="00D60822" w:rsidRPr="00BC0D1F" w:rsidRDefault="00D60822" w:rsidP="00F06348">
            <w:pPr>
              <w:pStyle w:val="TableText"/>
              <w:spacing w:before="40" w:after="40"/>
              <w:rPr>
                <w:b/>
                <w:sz w:val="15"/>
                <w:szCs w:val="15"/>
              </w:rPr>
            </w:pPr>
            <w:r w:rsidRPr="00BC0D1F">
              <w:rPr>
                <w:b/>
                <w:sz w:val="15"/>
                <w:szCs w:val="15"/>
              </w:rPr>
              <w:t>TOTAL VOTE HEALTH</w:t>
            </w:r>
          </w:p>
        </w:tc>
        <w:tc>
          <w:tcPr>
            <w:tcW w:w="425" w:type="dxa"/>
            <w:tcBorders>
              <w:top w:val="single" w:sz="4" w:space="0" w:color="auto"/>
              <w:left w:val="nil"/>
              <w:right w:val="nil"/>
            </w:tcBorders>
            <w:shd w:val="clear" w:color="auto" w:fill="auto"/>
          </w:tcPr>
          <w:p w14:paraId="2D36356C" w14:textId="77777777" w:rsidR="00D60822" w:rsidRPr="00BC0D1F" w:rsidRDefault="00D60822" w:rsidP="00F06348">
            <w:pPr>
              <w:pStyle w:val="TableText"/>
              <w:spacing w:before="40" w:after="40"/>
              <w:jc w:val="center"/>
              <w:rPr>
                <w:b/>
                <w:sz w:val="15"/>
                <w:szCs w:val="15"/>
              </w:rPr>
            </w:pPr>
          </w:p>
        </w:tc>
        <w:tc>
          <w:tcPr>
            <w:tcW w:w="993" w:type="dxa"/>
            <w:tcBorders>
              <w:top w:val="single" w:sz="4" w:space="0" w:color="auto"/>
              <w:left w:val="nil"/>
              <w:right w:val="nil"/>
            </w:tcBorders>
            <w:shd w:val="clear" w:color="auto" w:fill="D9D9D9"/>
          </w:tcPr>
          <w:p w14:paraId="13AC3C5D" w14:textId="0E41A8FF" w:rsidR="00D60822" w:rsidRPr="00BC0D1F" w:rsidRDefault="00D60822" w:rsidP="008D3000">
            <w:pPr>
              <w:pStyle w:val="TableText"/>
              <w:spacing w:before="40" w:after="40"/>
              <w:ind w:right="85"/>
              <w:jc w:val="right"/>
              <w:rPr>
                <w:b/>
                <w:sz w:val="15"/>
                <w:szCs w:val="15"/>
              </w:rPr>
            </w:pPr>
            <w:r w:rsidRPr="00BC0D1F">
              <w:rPr>
                <w:b/>
                <w:sz w:val="15"/>
                <w:szCs w:val="15"/>
              </w:rPr>
              <w:t>15,</w:t>
            </w:r>
            <w:r w:rsidR="00C13BF2">
              <w:rPr>
                <w:b/>
                <w:sz w:val="15"/>
                <w:szCs w:val="15"/>
              </w:rPr>
              <w:t>289,72</w:t>
            </w:r>
            <w:r w:rsidR="008D3000">
              <w:rPr>
                <w:b/>
                <w:sz w:val="15"/>
                <w:szCs w:val="15"/>
              </w:rPr>
              <w:t>5</w:t>
            </w:r>
          </w:p>
        </w:tc>
        <w:tc>
          <w:tcPr>
            <w:tcW w:w="850" w:type="dxa"/>
            <w:tcBorders>
              <w:top w:val="single" w:sz="4" w:space="0" w:color="auto"/>
              <w:left w:val="nil"/>
              <w:right w:val="nil"/>
            </w:tcBorders>
            <w:shd w:val="clear" w:color="auto" w:fill="D9D9D9"/>
          </w:tcPr>
          <w:p w14:paraId="5194843D" w14:textId="19E3B6F0" w:rsidR="00D60822" w:rsidRPr="00BC0D1F" w:rsidRDefault="00D60822" w:rsidP="00C13BF2">
            <w:pPr>
              <w:pStyle w:val="TableText"/>
              <w:spacing w:before="40" w:after="40"/>
              <w:jc w:val="right"/>
              <w:rPr>
                <w:b/>
                <w:sz w:val="15"/>
                <w:szCs w:val="15"/>
              </w:rPr>
            </w:pPr>
            <w:r w:rsidRPr="00BC0D1F">
              <w:rPr>
                <w:b/>
                <w:sz w:val="15"/>
                <w:szCs w:val="15"/>
              </w:rPr>
              <w:t>15,853,</w:t>
            </w:r>
            <w:r w:rsidR="00C13BF2">
              <w:rPr>
                <w:b/>
                <w:sz w:val="15"/>
                <w:szCs w:val="15"/>
              </w:rPr>
              <w:t>686</w:t>
            </w:r>
          </w:p>
        </w:tc>
        <w:tc>
          <w:tcPr>
            <w:tcW w:w="992" w:type="dxa"/>
            <w:tcBorders>
              <w:top w:val="single" w:sz="4" w:space="0" w:color="auto"/>
              <w:left w:val="nil"/>
              <w:right w:val="nil"/>
            </w:tcBorders>
            <w:shd w:val="clear" w:color="auto" w:fill="D9D9D9"/>
          </w:tcPr>
          <w:p w14:paraId="49A20ACD" w14:textId="6F40BE8D" w:rsidR="00D60822" w:rsidRPr="00BC0D1F" w:rsidRDefault="00D60822" w:rsidP="00C13BF2">
            <w:pPr>
              <w:pStyle w:val="TableText"/>
              <w:spacing w:before="40" w:after="40"/>
              <w:jc w:val="right"/>
              <w:rPr>
                <w:b/>
                <w:sz w:val="15"/>
                <w:szCs w:val="15"/>
              </w:rPr>
            </w:pPr>
            <w:r w:rsidRPr="00BC0D1F">
              <w:rPr>
                <w:b/>
                <w:sz w:val="15"/>
                <w:szCs w:val="15"/>
              </w:rPr>
              <w:t>15,</w:t>
            </w:r>
            <w:r w:rsidR="00C13BF2">
              <w:rPr>
                <w:b/>
                <w:sz w:val="15"/>
                <w:szCs w:val="15"/>
              </w:rPr>
              <w:t>483,132</w:t>
            </w:r>
          </w:p>
        </w:tc>
        <w:tc>
          <w:tcPr>
            <w:tcW w:w="1276" w:type="dxa"/>
            <w:tcBorders>
              <w:top w:val="single" w:sz="4" w:space="0" w:color="auto"/>
              <w:left w:val="nil"/>
              <w:right w:val="nil"/>
            </w:tcBorders>
            <w:shd w:val="clear" w:color="auto" w:fill="D9D9D9"/>
          </w:tcPr>
          <w:p w14:paraId="688530DD" w14:textId="77777777" w:rsidR="00D60822" w:rsidRPr="00BC0D1F" w:rsidRDefault="00D60822" w:rsidP="00F06348">
            <w:pPr>
              <w:pStyle w:val="TableText"/>
              <w:spacing w:before="40" w:after="40"/>
              <w:jc w:val="right"/>
              <w:rPr>
                <w:b/>
                <w:sz w:val="15"/>
                <w:szCs w:val="15"/>
              </w:rPr>
            </w:pPr>
            <w:r w:rsidRPr="00BC0D1F">
              <w:rPr>
                <w:b/>
                <w:sz w:val="15"/>
                <w:szCs w:val="15"/>
              </w:rPr>
              <w:t>100.00%</w:t>
            </w:r>
          </w:p>
        </w:tc>
        <w:tc>
          <w:tcPr>
            <w:tcW w:w="1276" w:type="dxa"/>
            <w:tcBorders>
              <w:top w:val="single" w:sz="4" w:space="0" w:color="auto"/>
              <w:left w:val="nil"/>
              <w:right w:val="nil"/>
            </w:tcBorders>
            <w:shd w:val="clear" w:color="auto" w:fill="auto"/>
          </w:tcPr>
          <w:p w14:paraId="58B078AF" w14:textId="77777777" w:rsidR="00D60822" w:rsidRPr="00BC0D1F" w:rsidRDefault="00D60822" w:rsidP="00F06348">
            <w:pPr>
              <w:pStyle w:val="TableText"/>
              <w:spacing w:before="40" w:after="40"/>
              <w:ind w:left="85"/>
              <w:rPr>
                <w:b/>
                <w:sz w:val="15"/>
                <w:szCs w:val="15"/>
              </w:rPr>
            </w:pPr>
          </w:p>
        </w:tc>
      </w:tr>
    </w:tbl>
    <w:p w14:paraId="37DF57D6" w14:textId="77777777" w:rsidR="00D60822" w:rsidRPr="00BC0D1F" w:rsidRDefault="00D60822" w:rsidP="00D60822">
      <w:pPr>
        <w:pStyle w:val="Note"/>
        <w:rPr>
          <w:sz w:val="15"/>
          <w:szCs w:val="15"/>
        </w:rPr>
      </w:pPr>
      <w:r w:rsidRPr="00BC0D1F">
        <w:rPr>
          <w:sz w:val="15"/>
          <w:szCs w:val="15"/>
        </w:rPr>
        <w:t>^</w:t>
      </w:r>
      <w:r w:rsidRPr="00BC0D1F">
        <w:rPr>
          <w:sz w:val="15"/>
          <w:szCs w:val="15"/>
        </w:rPr>
        <w:tab/>
        <w:t>These amounts include adjustments made in the Supplementary Estimates and under Section 26A of the Public Finance Act 1989.</w:t>
      </w:r>
    </w:p>
    <w:p w14:paraId="0E39810A" w14:textId="77777777" w:rsidR="00D60822" w:rsidRPr="00BC0D1F" w:rsidRDefault="00D60822" w:rsidP="00CF4DCF"/>
    <w:p w14:paraId="4F181D5F" w14:textId="77777777" w:rsidR="008D2A3A" w:rsidRPr="00BC0D1F" w:rsidRDefault="008D2A3A">
      <w:pPr>
        <w:spacing w:line="240" w:lineRule="auto"/>
        <w:rPr>
          <w:b/>
          <w:sz w:val="28"/>
        </w:rPr>
      </w:pPr>
    </w:p>
    <w:p w14:paraId="6B2B9CF3" w14:textId="77777777" w:rsidR="008D2A3A" w:rsidRPr="00BC0D1F" w:rsidRDefault="008D2A3A" w:rsidP="008D2A3A">
      <w:pPr>
        <w:pStyle w:val="Heading3"/>
        <w:spacing w:before="0"/>
        <w:sectPr w:rsidR="008D2A3A" w:rsidRPr="00BC0D1F" w:rsidSect="00887E78">
          <w:footerReference w:type="even" r:id="rId37"/>
          <w:footerReference w:type="default" r:id="rId38"/>
          <w:pgSz w:w="11907" w:h="16834" w:code="9"/>
          <w:pgMar w:top="851" w:right="1134" w:bottom="2835" w:left="1134" w:header="284" w:footer="567" w:gutter="284"/>
          <w:cols w:space="720"/>
        </w:sectPr>
      </w:pPr>
    </w:p>
    <w:p w14:paraId="03311582" w14:textId="77777777" w:rsidR="00AD72CC" w:rsidRPr="00BC0D1F" w:rsidRDefault="00AD72CC" w:rsidP="006A557B">
      <w:pPr>
        <w:pStyle w:val="Heading2"/>
        <w:spacing w:before="0"/>
      </w:pPr>
      <w:bookmarkStart w:id="164" w:name="_Toc463507931"/>
      <w:r w:rsidRPr="00BC0D1F">
        <w:lastRenderedPageBreak/>
        <w:t xml:space="preserve">Statement of comprehensive revenue and expense for the year ended 30 June </w:t>
      </w:r>
      <w:bookmarkEnd w:id="160"/>
      <w:bookmarkEnd w:id="161"/>
      <w:r w:rsidRPr="00BC0D1F">
        <w:t>201</w:t>
      </w:r>
      <w:bookmarkEnd w:id="162"/>
      <w:r w:rsidR="00D60822" w:rsidRPr="00BC0D1F">
        <w:t>6</w:t>
      </w:r>
      <w:bookmarkEnd w:id="164"/>
    </w:p>
    <w:p w14:paraId="0D12E031" w14:textId="1AA4C7B9" w:rsidR="00DD0FC4" w:rsidRPr="00BC0D1F" w:rsidRDefault="00DD0FC4" w:rsidP="00DD0FC4">
      <w:r w:rsidRPr="00BC0D1F">
        <w:t>The Statement of Comprehensive Revenue and Expenses details the revenue and expenses relating to all outputs (goods and services) produced by the Ministry during the financial year ended 30 June 2016. Total expenses equals total departmental output expenditure, Multi</w:t>
      </w:r>
      <w:r w:rsidR="008D2A3A" w:rsidRPr="00BC0D1F">
        <w:noBreakHyphen/>
      </w:r>
      <w:r w:rsidRPr="00BC0D1F">
        <w:t xml:space="preserve">Category Expenses and appropriations in the Statement of Departmental Expenses and Capital Expenditure against Appropriations on page </w:t>
      </w:r>
      <w:r w:rsidR="00B75DE7">
        <w:t>79</w:t>
      </w:r>
      <w:r w:rsidRPr="00BC0D1F">
        <w:t>.</w:t>
      </w:r>
    </w:p>
    <w:p w14:paraId="282F619D" w14:textId="77777777" w:rsidR="00DD0FC4" w:rsidRPr="00BC0D1F" w:rsidRDefault="00DD0FC4" w:rsidP="00DD0FC4"/>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111"/>
        <w:gridCol w:w="709"/>
        <w:gridCol w:w="1134"/>
        <w:gridCol w:w="1134"/>
        <w:gridCol w:w="1134"/>
      </w:tblGrid>
      <w:tr w:rsidR="008D2A3A" w:rsidRPr="00BC0D1F" w14:paraId="560B5E1E" w14:textId="77777777" w:rsidTr="008D2A3A">
        <w:trPr>
          <w:cantSplit/>
        </w:trPr>
        <w:tc>
          <w:tcPr>
            <w:tcW w:w="1134" w:type="dxa"/>
            <w:tcBorders>
              <w:top w:val="single" w:sz="4" w:space="0" w:color="auto"/>
              <w:bottom w:val="single" w:sz="4" w:space="0" w:color="auto"/>
              <w:right w:val="nil"/>
            </w:tcBorders>
            <w:shd w:val="solid" w:color="FFFFFF" w:fill="auto"/>
          </w:tcPr>
          <w:p w14:paraId="3CC09C24" w14:textId="77777777" w:rsidR="008D2A3A" w:rsidRPr="00BC0D1F" w:rsidRDefault="008D2A3A" w:rsidP="008D2A3A">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111" w:type="dxa"/>
            <w:tcBorders>
              <w:top w:val="single" w:sz="4" w:space="0" w:color="auto"/>
              <w:left w:val="nil"/>
              <w:bottom w:val="single" w:sz="4" w:space="0" w:color="auto"/>
            </w:tcBorders>
            <w:shd w:val="solid" w:color="FFFFFF" w:fill="auto"/>
          </w:tcPr>
          <w:p w14:paraId="4432F30C" w14:textId="77777777" w:rsidR="008D2A3A" w:rsidRPr="00BC0D1F" w:rsidRDefault="008D2A3A" w:rsidP="0014210E">
            <w:pPr>
              <w:pStyle w:val="TableText"/>
              <w:rPr>
                <w:b/>
                <w:lang w:eastAsia="en-NZ"/>
              </w:rPr>
            </w:pPr>
          </w:p>
        </w:tc>
        <w:tc>
          <w:tcPr>
            <w:tcW w:w="709" w:type="dxa"/>
            <w:tcBorders>
              <w:top w:val="single" w:sz="4" w:space="0" w:color="auto"/>
              <w:left w:val="nil"/>
              <w:bottom w:val="single" w:sz="4" w:space="0" w:color="auto"/>
            </w:tcBorders>
            <w:shd w:val="solid" w:color="FFFFFF" w:fill="auto"/>
          </w:tcPr>
          <w:p w14:paraId="71A2ECF9" w14:textId="77777777" w:rsidR="008D2A3A" w:rsidRPr="00BC0D1F" w:rsidRDefault="008D2A3A" w:rsidP="008D2A3A">
            <w:pPr>
              <w:pStyle w:val="TableText"/>
              <w:jc w:val="center"/>
              <w:rPr>
                <w:b/>
                <w:lang w:eastAsia="en-NZ"/>
              </w:rPr>
            </w:pPr>
            <w:r w:rsidRPr="00BC0D1F">
              <w:rPr>
                <w:b/>
                <w:lang w:eastAsia="en-NZ"/>
              </w:rPr>
              <w:t>Note</w:t>
            </w:r>
          </w:p>
        </w:tc>
        <w:tc>
          <w:tcPr>
            <w:tcW w:w="1134" w:type="dxa"/>
            <w:tcBorders>
              <w:top w:val="single" w:sz="4" w:space="0" w:color="auto"/>
              <w:bottom w:val="single" w:sz="4" w:space="0" w:color="auto"/>
            </w:tcBorders>
            <w:shd w:val="clear" w:color="E3E3E3" w:fill="D9D9D9"/>
          </w:tcPr>
          <w:p w14:paraId="1269EF97" w14:textId="77777777" w:rsidR="008D2A3A" w:rsidRPr="00BC0D1F" w:rsidRDefault="008D2A3A" w:rsidP="008D2A3A">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05193353" w14:textId="77777777" w:rsidR="008D2A3A" w:rsidRPr="00BC0D1F" w:rsidRDefault="008D2A3A" w:rsidP="008D2A3A">
            <w:pPr>
              <w:pStyle w:val="TableText"/>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32D2A4DC" w14:textId="77777777" w:rsidR="008D2A3A" w:rsidRPr="00BC0D1F" w:rsidRDefault="008D2A3A" w:rsidP="008D2A3A">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8D2A3A" w:rsidRPr="00BC0D1F" w14:paraId="2187CD3F" w14:textId="77777777" w:rsidTr="008D2A3A">
        <w:trPr>
          <w:cantSplit/>
        </w:trPr>
        <w:tc>
          <w:tcPr>
            <w:tcW w:w="1134" w:type="dxa"/>
            <w:tcBorders>
              <w:top w:val="single" w:sz="4" w:space="0" w:color="auto"/>
              <w:right w:val="nil"/>
            </w:tcBorders>
            <w:shd w:val="solid" w:color="FFFFFF" w:fill="auto"/>
          </w:tcPr>
          <w:p w14:paraId="0D2688B5" w14:textId="77777777" w:rsidR="008D2A3A" w:rsidRPr="00BC0D1F" w:rsidRDefault="008D2A3A" w:rsidP="006B7687">
            <w:pPr>
              <w:pStyle w:val="TableText"/>
              <w:ind w:right="284"/>
              <w:jc w:val="right"/>
            </w:pPr>
          </w:p>
        </w:tc>
        <w:tc>
          <w:tcPr>
            <w:tcW w:w="4111" w:type="dxa"/>
            <w:tcBorders>
              <w:top w:val="single" w:sz="4" w:space="0" w:color="auto"/>
              <w:left w:val="nil"/>
            </w:tcBorders>
            <w:shd w:val="solid" w:color="FFFFFF" w:fill="auto"/>
          </w:tcPr>
          <w:p w14:paraId="1A573922" w14:textId="77777777" w:rsidR="008D2A3A" w:rsidRPr="00BC0D1F" w:rsidRDefault="008D2A3A" w:rsidP="008D2A3A">
            <w:pPr>
              <w:pStyle w:val="TableText"/>
              <w:rPr>
                <w:b/>
                <w:bCs/>
              </w:rPr>
            </w:pPr>
            <w:r w:rsidRPr="00BC0D1F">
              <w:rPr>
                <w:b/>
                <w:bCs/>
              </w:rPr>
              <w:t>Revenue</w:t>
            </w:r>
          </w:p>
        </w:tc>
        <w:tc>
          <w:tcPr>
            <w:tcW w:w="709" w:type="dxa"/>
            <w:tcBorders>
              <w:top w:val="single" w:sz="4" w:space="0" w:color="auto"/>
              <w:left w:val="nil"/>
            </w:tcBorders>
            <w:shd w:val="solid" w:color="FFFFFF" w:fill="auto"/>
          </w:tcPr>
          <w:p w14:paraId="1F379BBB" w14:textId="77777777" w:rsidR="008D2A3A" w:rsidRPr="00BC0D1F" w:rsidRDefault="008D2A3A" w:rsidP="006B7687">
            <w:pPr>
              <w:pStyle w:val="TableText"/>
              <w:jc w:val="center"/>
            </w:pPr>
          </w:p>
        </w:tc>
        <w:tc>
          <w:tcPr>
            <w:tcW w:w="1134" w:type="dxa"/>
            <w:tcBorders>
              <w:top w:val="single" w:sz="4" w:space="0" w:color="auto"/>
            </w:tcBorders>
            <w:shd w:val="clear" w:color="E3E3E3" w:fill="D9D9D9"/>
          </w:tcPr>
          <w:p w14:paraId="335E0843" w14:textId="77777777" w:rsidR="008D2A3A" w:rsidRPr="00BC0D1F" w:rsidRDefault="008D2A3A" w:rsidP="006B7687">
            <w:pPr>
              <w:pStyle w:val="TableText"/>
              <w:ind w:right="113"/>
              <w:jc w:val="right"/>
            </w:pPr>
          </w:p>
        </w:tc>
        <w:tc>
          <w:tcPr>
            <w:tcW w:w="1134" w:type="dxa"/>
            <w:tcBorders>
              <w:top w:val="single" w:sz="4" w:space="0" w:color="auto"/>
            </w:tcBorders>
          </w:tcPr>
          <w:p w14:paraId="396FB613" w14:textId="77777777" w:rsidR="008D2A3A" w:rsidRPr="00BC0D1F" w:rsidRDefault="008D2A3A" w:rsidP="006B7687">
            <w:pPr>
              <w:pStyle w:val="TableText"/>
              <w:jc w:val="right"/>
            </w:pPr>
          </w:p>
        </w:tc>
        <w:tc>
          <w:tcPr>
            <w:tcW w:w="1134" w:type="dxa"/>
            <w:tcBorders>
              <w:top w:val="single" w:sz="4" w:space="0" w:color="auto"/>
            </w:tcBorders>
          </w:tcPr>
          <w:p w14:paraId="0DA8D88A" w14:textId="77777777" w:rsidR="008D2A3A" w:rsidRPr="00BC0D1F" w:rsidRDefault="008D2A3A" w:rsidP="006B7687">
            <w:pPr>
              <w:pStyle w:val="TableText"/>
              <w:jc w:val="right"/>
            </w:pPr>
          </w:p>
        </w:tc>
      </w:tr>
      <w:tr w:rsidR="008D2A3A" w:rsidRPr="00BC0D1F" w14:paraId="6F21B6E3" w14:textId="77777777" w:rsidTr="008D2A3A">
        <w:trPr>
          <w:cantSplit/>
        </w:trPr>
        <w:tc>
          <w:tcPr>
            <w:tcW w:w="1134" w:type="dxa"/>
            <w:tcBorders>
              <w:right w:val="nil"/>
            </w:tcBorders>
            <w:shd w:val="solid" w:color="FFFFFF" w:fill="auto"/>
          </w:tcPr>
          <w:p w14:paraId="71D9BCAE" w14:textId="77777777" w:rsidR="008D2A3A" w:rsidRPr="00BC0D1F" w:rsidRDefault="008D2A3A" w:rsidP="006B7687">
            <w:pPr>
              <w:pStyle w:val="TableText"/>
              <w:ind w:right="284"/>
              <w:jc w:val="right"/>
            </w:pPr>
            <w:r w:rsidRPr="00BC0D1F">
              <w:t>180,598</w:t>
            </w:r>
          </w:p>
        </w:tc>
        <w:tc>
          <w:tcPr>
            <w:tcW w:w="4111" w:type="dxa"/>
            <w:tcBorders>
              <w:left w:val="nil"/>
            </w:tcBorders>
            <w:shd w:val="solid" w:color="FFFFFF" w:fill="auto"/>
          </w:tcPr>
          <w:p w14:paraId="49285466" w14:textId="77777777" w:rsidR="008D2A3A" w:rsidRPr="00BC0D1F" w:rsidRDefault="008D2A3A" w:rsidP="008D2A3A">
            <w:pPr>
              <w:pStyle w:val="TableText"/>
            </w:pPr>
            <w:r w:rsidRPr="00BC0D1F">
              <w:t>Revenue Crown</w:t>
            </w:r>
          </w:p>
        </w:tc>
        <w:tc>
          <w:tcPr>
            <w:tcW w:w="709" w:type="dxa"/>
            <w:tcBorders>
              <w:left w:val="nil"/>
            </w:tcBorders>
            <w:shd w:val="solid" w:color="FFFFFF" w:fill="auto"/>
          </w:tcPr>
          <w:p w14:paraId="2B3AAA31" w14:textId="77777777" w:rsidR="008D2A3A" w:rsidRPr="00BC0D1F" w:rsidRDefault="008D2A3A" w:rsidP="006B7687">
            <w:pPr>
              <w:pStyle w:val="TableText"/>
              <w:jc w:val="center"/>
              <w:rPr>
                <w:b/>
                <w:bCs/>
              </w:rPr>
            </w:pPr>
          </w:p>
        </w:tc>
        <w:tc>
          <w:tcPr>
            <w:tcW w:w="1134" w:type="dxa"/>
            <w:shd w:val="clear" w:color="E3E3E3" w:fill="D9D9D9"/>
          </w:tcPr>
          <w:p w14:paraId="049FEB2D" w14:textId="77777777" w:rsidR="008D2A3A" w:rsidRPr="00BC0D1F" w:rsidRDefault="008D2A3A" w:rsidP="006B7687">
            <w:pPr>
              <w:pStyle w:val="TableText"/>
              <w:ind w:right="113"/>
              <w:jc w:val="right"/>
            </w:pPr>
            <w:r w:rsidRPr="00BC0D1F">
              <w:t>178,920</w:t>
            </w:r>
          </w:p>
        </w:tc>
        <w:tc>
          <w:tcPr>
            <w:tcW w:w="1134" w:type="dxa"/>
          </w:tcPr>
          <w:p w14:paraId="060DDADE" w14:textId="77777777" w:rsidR="008D2A3A" w:rsidRPr="00BC0D1F" w:rsidRDefault="008D2A3A" w:rsidP="006B7687">
            <w:pPr>
              <w:pStyle w:val="TableText"/>
              <w:jc w:val="right"/>
            </w:pPr>
            <w:r w:rsidRPr="00BC0D1F">
              <w:t>178,275</w:t>
            </w:r>
          </w:p>
        </w:tc>
        <w:tc>
          <w:tcPr>
            <w:tcW w:w="1134" w:type="dxa"/>
          </w:tcPr>
          <w:p w14:paraId="5C922EFE" w14:textId="77777777" w:rsidR="008D2A3A" w:rsidRPr="00BC0D1F" w:rsidRDefault="008D2A3A" w:rsidP="006B7687">
            <w:pPr>
              <w:pStyle w:val="TableText"/>
              <w:jc w:val="right"/>
            </w:pPr>
            <w:r w:rsidRPr="00BC0D1F">
              <w:t>182,661</w:t>
            </w:r>
          </w:p>
        </w:tc>
      </w:tr>
      <w:tr w:rsidR="008D2A3A" w:rsidRPr="00BC0D1F" w14:paraId="45A5F897" w14:textId="77777777" w:rsidTr="008D2A3A">
        <w:trPr>
          <w:cantSplit/>
        </w:trPr>
        <w:tc>
          <w:tcPr>
            <w:tcW w:w="1134" w:type="dxa"/>
            <w:tcBorders>
              <w:right w:val="nil"/>
            </w:tcBorders>
            <w:shd w:val="solid" w:color="FFFFFF" w:fill="auto"/>
          </w:tcPr>
          <w:p w14:paraId="7B7222E3" w14:textId="77777777" w:rsidR="008D2A3A" w:rsidRPr="00BC0D1F" w:rsidRDefault="008D2A3A" w:rsidP="006B7687">
            <w:pPr>
              <w:pStyle w:val="TableText"/>
              <w:ind w:right="284"/>
              <w:jc w:val="right"/>
            </w:pPr>
            <w:r w:rsidRPr="00BC0D1F">
              <w:t>11,983</w:t>
            </w:r>
          </w:p>
        </w:tc>
        <w:tc>
          <w:tcPr>
            <w:tcW w:w="4111" w:type="dxa"/>
            <w:tcBorders>
              <w:left w:val="nil"/>
            </w:tcBorders>
            <w:shd w:val="solid" w:color="FFFFFF" w:fill="auto"/>
          </w:tcPr>
          <w:p w14:paraId="64B16B8E" w14:textId="77777777" w:rsidR="008D2A3A" w:rsidRPr="00BC0D1F" w:rsidRDefault="008D2A3A" w:rsidP="008D2A3A">
            <w:pPr>
              <w:pStyle w:val="TableText"/>
            </w:pPr>
            <w:r w:rsidRPr="00BC0D1F">
              <w:t>Revenue other</w:t>
            </w:r>
          </w:p>
        </w:tc>
        <w:tc>
          <w:tcPr>
            <w:tcW w:w="709" w:type="dxa"/>
            <w:tcBorders>
              <w:left w:val="nil"/>
            </w:tcBorders>
            <w:shd w:val="solid" w:color="FFFFFF" w:fill="auto"/>
          </w:tcPr>
          <w:p w14:paraId="057801A1" w14:textId="77777777" w:rsidR="008D2A3A" w:rsidRPr="00BC0D1F" w:rsidRDefault="008D2A3A" w:rsidP="006B7687">
            <w:pPr>
              <w:pStyle w:val="TableText"/>
              <w:jc w:val="center"/>
              <w:rPr>
                <w:b/>
                <w:bCs/>
              </w:rPr>
            </w:pPr>
            <w:r w:rsidRPr="00BC0D1F">
              <w:rPr>
                <w:b/>
                <w:bCs/>
              </w:rPr>
              <w:t>2</w:t>
            </w:r>
          </w:p>
        </w:tc>
        <w:tc>
          <w:tcPr>
            <w:tcW w:w="1134" w:type="dxa"/>
            <w:shd w:val="clear" w:color="E3E3E3" w:fill="D9D9D9"/>
          </w:tcPr>
          <w:p w14:paraId="67E32533" w14:textId="77777777" w:rsidR="008D2A3A" w:rsidRPr="00BC0D1F" w:rsidRDefault="008D2A3A" w:rsidP="006B7687">
            <w:pPr>
              <w:pStyle w:val="TableText"/>
              <w:ind w:right="113"/>
              <w:jc w:val="right"/>
            </w:pPr>
            <w:r w:rsidRPr="00BC0D1F">
              <w:t>10,688</w:t>
            </w:r>
          </w:p>
        </w:tc>
        <w:tc>
          <w:tcPr>
            <w:tcW w:w="1134" w:type="dxa"/>
          </w:tcPr>
          <w:p w14:paraId="1016F9B6" w14:textId="77777777" w:rsidR="008D2A3A" w:rsidRPr="00BC0D1F" w:rsidRDefault="008D2A3A" w:rsidP="006B7687">
            <w:pPr>
              <w:pStyle w:val="TableText"/>
              <w:jc w:val="right"/>
            </w:pPr>
            <w:r w:rsidRPr="00BC0D1F">
              <w:t>14,157</w:t>
            </w:r>
          </w:p>
        </w:tc>
        <w:tc>
          <w:tcPr>
            <w:tcW w:w="1134" w:type="dxa"/>
          </w:tcPr>
          <w:p w14:paraId="5C7668F9" w14:textId="77777777" w:rsidR="008D2A3A" w:rsidRPr="00BC0D1F" w:rsidRDefault="008D2A3A" w:rsidP="006B7687">
            <w:pPr>
              <w:pStyle w:val="TableText"/>
              <w:jc w:val="right"/>
            </w:pPr>
            <w:r w:rsidRPr="00BC0D1F">
              <w:t>13,016</w:t>
            </w:r>
          </w:p>
        </w:tc>
      </w:tr>
      <w:tr w:rsidR="008D2A3A" w:rsidRPr="00BC0D1F" w14:paraId="397CFEFF" w14:textId="77777777" w:rsidTr="008D2A3A">
        <w:trPr>
          <w:cantSplit/>
        </w:trPr>
        <w:tc>
          <w:tcPr>
            <w:tcW w:w="1134" w:type="dxa"/>
            <w:tcBorders>
              <w:right w:val="nil"/>
            </w:tcBorders>
          </w:tcPr>
          <w:p w14:paraId="0B3E946C" w14:textId="77777777" w:rsidR="008D2A3A" w:rsidRPr="00BC0D1F" w:rsidRDefault="008D2A3A" w:rsidP="006B7687">
            <w:pPr>
              <w:pStyle w:val="TableText"/>
              <w:ind w:right="284"/>
              <w:jc w:val="right"/>
            </w:pPr>
            <w:r w:rsidRPr="00BC0D1F">
              <w:rPr>
                <w:b/>
                <w:bCs/>
              </w:rPr>
              <w:t>192,581</w:t>
            </w:r>
          </w:p>
        </w:tc>
        <w:tc>
          <w:tcPr>
            <w:tcW w:w="4111" w:type="dxa"/>
            <w:tcBorders>
              <w:left w:val="nil"/>
            </w:tcBorders>
            <w:shd w:val="solid" w:color="FFFFFF" w:fill="auto"/>
          </w:tcPr>
          <w:p w14:paraId="7AD0A55C" w14:textId="77777777" w:rsidR="008D2A3A" w:rsidRPr="00BC0D1F" w:rsidRDefault="008D2A3A" w:rsidP="008D2A3A">
            <w:pPr>
              <w:pStyle w:val="TableText"/>
              <w:rPr>
                <w:b/>
                <w:bCs/>
              </w:rPr>
            </w:pPr>
            <w:r w:rsidRPr="00BC0D1F">
              <w:rPr>
                <w:b/>
                <w:bCs/>
              </w:rPr>
              <w:t>Total operating revenue</w:t>
            </w:r>
          </w:p>
        </w:tc>
        <w:tc>
          <w:tcPr>
            <w:tcW w:w="709" w:type="dxa"/>
            <w:tcBorders>
              <w:left w:val="nil"/>
            </w:tcBorders>
            <w:shd w:val="solid" w:color="FFFFFF" w:fill="auto"/>
          </w:tcPr>
          <w:p w14:paraId="3164A81E" w14:textId="77777777" w:rsidR="008D2A3A" w:rsidRPr="00BC0D1F" w:rsidRDefault="008D2A3A" w:rsidP="006B7687">
            <w:pPr>
              <w:pStyle w:val="TableText"/>
              <w:jc w:val="center"/>
            </w:pPr>
          </w:p>
        </w:tc>
        <w:tc>
          <w:tcPr>
            <w:tcW w:w="1134" w:type="dxa"/>
            <w:shd w:val="clear" w:color="E3E3E3" w:fill="D9D9D9"/>
          </w:tcPr>
          <w:p w14:paraId="7D925DBD" w14:textId="77777777" w:rsidR="008D2A3A" w:rsidRPr="00BC0D1F" w:rsidRDefault="008D2A3A" w:rsidP="006B7687">
            <w:pPr>
              <w:pStyle w:val="TableText"/>
              <w:ind w:right="113"/>
              <w:jc w:val="right"/>
              <w:rPr>
                <w:b/>
                <w:bCs/>
              </w:rPr>
            </w:pPr>
            <w:r w:rsidRPr="00BC0D1F">
              <w:rPr>
                <w:b/>
                <w:bCs/>
              </w:rPr>
              <w:t>189,608</w:t>
            </w:r>
          </w:p>
        </w:tc>
        <w:tc>
          <w:tcPr>
            <w:tcW w:w="1134" w:type="dxa"/>
          </w:tcPr>
          <w:p w14:paraId="73230981" w14:textId="77777777" w:rsidR="008D2A3A" w:rsidRPr="00BC0D1F" w:rsidRDefault="008D2A3A" w:rsidP="006B7687">
            <w:pPr>
              <w:pStyle w:val="TableText"/>
              <w:jc w:val="right"/>
              <w:rPr>
                <w:b/>
                <w:bCs/>
              </w:rPr>
            </w:pPr>
            <w:r w:rsidRPr="00BC0D1F">
              <w:rPr>
                <w:b/>
                <w:bCs/>
              </w:rPr>
              <w:t>192,432</w:t>
            </w:r>
          </w:p>
        </w:tc>
        <w:tc>
          <w:tcPr>
            <w:tcW w:w="1134" w:type="dxa"/>
          </w:tcPr>
          <w:p w14:paraId="22307ECB" w14:textId="77777777" w:rsidR="008D2A3A" w:rsidRPr="00BC0D1F" w:rsidRDefault="008D2A3A" w:rsidP="006B7687">
            <w:pPr>
              <w:pStyle w:val="TableText"/>
              <w:jc w:val="right"/>
              <w:rPr>
                <w:b/>
                <w:bCs/>
              </w:rPr>
            </w:pPr>
            <w:r w:rsidRPr="00BC0D1F">
              <w:rPr>
                <w:b/>
                <w:bCs/>
              </w:rPr>
              <w:t>195,677</w:t>
            </w:r>
          </w:p>
        </w:tc>
      </w:tr>
      <w:tr w:rsidR="008D2A3A" w:rsidRPr="00BC0D1F" w14:paraId="367BEFA1" w14:textId="77777777" w:rsidTr="008D2A3A">
        <w:trPr>
          <w:cantSplit/>
        </w:trPr>
        <w:tc>
          <w:tcPr>
            <w:tcW w:w="1134" w:type="dxa"/>
            <w:tcBorders>
              <w:bottom w:val="nil"/>
              <w:right w:val="nil"/>
            </w:tcBorders>
            <w:shd w:val="solid" w:color="FFFFFF" w:fill="auto"/>
          </w:tcPr>
          <w:p w14:paraId="0B4F60E5" w14:textId="77777777" w:rsidR="008D2A3A" w:rsidRPr="00BC0D1F" w:rsidRDefault="008D2A3A" w:rsidP="006B7687">
            <w:pPr>
              <w:pStyle w:val="TableText"/>
              <w:spacing w:before="240"/>
              <w:ind w:right="284"/>
              <w:jc w:val="right"/>
            </w:pPr>
          </w:p>
        </w:tc>
        <w:tc>
          <w:tcPr>
            <w:tcW w:w="4111" w:type="dxa"/>
            <w:tcBorders>
              <w:left w:val="nil"/>
              <w:bottom w:val="nil"/>
            </w:tcBorders>
            <w:shd w:val="solid" w:color="FFFFFF" w:fill="auto"/>
          </w:tcPr>
          <w:p w14:paraId="7F44E603" w14:textId="77777777" w:rsidR="008D2A3A" w:rsidRPr="00BC0D1F" w:rsidRDefault="008D2A3A" w:rsidP="006B7687">
            <w:pPr>
              <w:pStyle w:val="TableText"/>
              <w:spacing w:before="240"/>
              <w:rPr>
                <w:b/>
                <w:bCs/>
              </w:rPr>
            </w:pPr>
            <w:r w:rsidRPr="00BC0D1F">
              <w:rPr>
                <w:b/>
                <w:bCs/>
              </w:rPr>
              <w:t>Expenses</w:t>
            </w:r>
          </w:p>
        </w:tc>
        <w:tc>
          <w:tcPr>
            <w:tcW w:w="709" w:type="dxa"/>
            <w:tcBorders>
              <w:left w:val="nil"/>
              <w:bottom w:val="nil"/>
            </w:tcBorders>
            <w:shd w:val="solid" w:color="FFFFFF" w:fill="auto"/>
          </w:tcPr>
          <w:p w14:paraId="11390378" w14:textId="77777777" w:rsidR="008D2A3A" w:rsidRPr="00BC0D1F" w:rsidRDefault="008D2A3A" w:rsidP="006B7687">
            <w:pPr>
              <w:pStyle w:val="TableText"/>
              <w:spacing w:before="240"/>
              <w:jc w:val="center"/>
            </w:pPr>
          </w:p>
        </w:tc>
        <w:tc>
          <w:tcPr>
            <w:tcW w:w="1134" w:type="dxa"/>
            <w:tcBorders>
              <w:bottom w:val="nil"/>
            </w:tcBorders>
            <w:shd w:val="clear" w:color="E3E3E3" w:fill="D9D9D9"/>
          </w:tcPr>
          <w:p w14:paraId="5346C82B" w14:textId="77777777" w:rsidR="008D2A3A" w:rsidRPr="00BC0D1F" w:rsidRDefault="008D2A3A" w:rsidP="006B7687">
            <w:pPr>
              <w:pStyle w:val="TableText"/>
              <w:spacing w:before="240"/>
              <w:ind w:right="113"/>
              <w:jc w:val="right"/>
              <w:rPr>
                <w:b/>
                <w:bCs/>
              </w:rPr>
            </w:pPr>
          </w:p>
        </w:tc>
        <w:tc>
          <w:tcPr>
            <w:tcW w:w="1134" w:type="dxa"/>
            <w:tcBorders>
              <w:bottom w:val="nil"/>
            </w:tcBorders>
          </w:tcPr>
          <w:p w14:paraId="5D79EE97" w14:textId="77777777" w:rsidR="008D2A3A" w:rsidRPr="00BC0D1F" w:rsidRDefault="008D2A3A" w:rsidP="006B7687">
            <w:pPr>
              <w:pStyle w:val="TableText"/>
              <w:spacing w:before="240"/>
              <w:jc w:val="right"/>
              <w:rPr>
                <w:b/>
                <w:bCs/>
              </w:rPr>
            </w:pPr>
          </w:p>
        </w:tc>
        <w:tc>
          <w:tcPr>
            <w:tcW w:w="1134" w:type="dxa"/>
            <w:tcBorders>
              <w:bottom w:val="nil"/>
            </w:tcBorders>
          </w:tcPr>
          <w:p w14:paraId="29C2EFF2" w14:textId="77777777" w:rsidR="008D2A3A" w:rsidRPr="00BC0D1F" w:rsidRDefault="008D2A3A" w:rsidP="006B7687">
            <w:pPr>
              <w:pStyle w:val="TableText"/>
              <w:spacing w:before="240"/>
              <w:jc w:val="right"/>
            </w:pPr>
          </w:p>
        </w:tc>
      </w:tr>
      <w:tr w:rsidR="008D2A3A" w:rsidRPr="00BC0D1F" w14:paraId="74FB5A63" w14:textId="77777777" w:rsidTr="008D2A3A">
        <w:trPr>
          <w:cantSplit/>
        </w:trPr>
        <w:tc>
          <w:tcPr>
            <w:tcW w:w="1134" w:type="dxa"/>
            <w:tcBorders>
              <w:top w:val="nil"/>
              <w:bottom w:val="nil"/>
              <w:right w:val="nil"/>
            </w:tcBorders>
            <w:shd w:val="solid" w:color="FFFFFF" w:fill="auto"/>
          </w:tcPr>
          <w:p w14:paraId="4BA4CFBA" w14:textId="77777777" w:rsidR="008D2A3A" w:rsidRPr="00BC0D1F" w:rsidRDefault="008D2A3A" w:rsidP="006B7687">
            <w:pPr>
              <w:pStyle w:val="TableText"/>
              <w:ind w:right="284"/>
              <w:jc w:val="right"/>
            </w:pPr>
            <w:r w:rsidRPr="00BC0D1F">
              <w:t>113,049</w:t>
            </w:r>
          </w:p>
        </w:tc>
        <w:tc>
          <w:tcPr>
            <w:tcW w:w="4111" w:type="dxa"/>
            <w:tcBorders>
              <w:top w:val="nil"/>
              <w:left w:val="nil"/>
              <w:bottom w:val="nil"/>
            </w:tcBorders>
            <w:shd w:val="solid" w:color="FFFFFF" w:fill="auto"/>
          </w:tcPr>
          <w:p w14:paraId="0CC1DD0D" w14:textId="77777777" w:rsidR="008D2A3A" w:rsidRPr="00BC0D1F" w:rsidRDefault="008D2A3A" w:rsidP="008D2A3A">
            <w:pPr>
              <w:pStyle w:val="TableText"/>
            </w:pPr>
            <w:r w:rsidRPr="00BC0D1F">
              <w:t>Personnel costs</w:t>
            </w:r>
          </w:p>
        </w:tc>
        <w:tc>
          <w:tcPr>
            <w:tcW w:w="709" w:type="dxa"/>
            <w:tcBorders>
              <w:top w:val="nil"/>
              <w:left w:val="nil"/>
              <w:bottom w:val="nil"/>
            </w:tcBorders>
            <w:shd w:val="solid" w:color="FFFFFF" w:fill="auto"/>
          </w:tcPr>
          <w:p w14:paraId="044A0455" w14:textId="77777777" w:rsidR="008D2A3A" w:rsidRPr="00BC0D1F" w:rsidRDefault="008D2A3A" w:rsidP="006B7687">
            <w:pPr>
              <w:pStyle w:val="TableText"/>
              <w:jc w:val="center"/>
              <w:rPr>
                <w:b/>
                <w:bCs/>
              </w:rPr>
            </w:pPr>
            <w:r w:rsidRPr="00BC0D1F">
              <w:rPr>
                <w:b/>
                <w:bCs/>
              </w:rPr>
              <w:t>3</w:t>
            </w:r>
          </w:p>
        </w:tc>
        <w:tc>
          <w:tcPr>
            <w:tcW w:w="1134" w:type="dxa"/>
            <w:tcBorders>
              <w:top w:val="nil"/>
              <w:bottom w:val="nil"/>
            </w:tcBorders>
            <w:shd w:val="clear" w:color="E3E3E3" w:fill="D9D9D9"/>
          </w:tcPr>
          <w:p w14:paraId="2694E4BB" w14:textId="77777777" w:rsidR="008D2A3A" w:rsidRPr="00BC0D1F" w:rsidRDefault="008D2A3A" w:rsidP="006B7687">
            <w:pPr>
              <w:pStyle w:val="TableText"/>
              <w:ind w:right="113"/>
              <w:jc w:val="right"/>
            </w:pPr>
            <w:r w:rsidRPr="00BC0D1F">
              <w:t>113,654</w:t>
            </w:r>
          </w:p>
        </w:tc>
        <w:tc>
          <w:tcPr>
            <w:tcW w:w="1134" w:type="dxa"/>
            <w:tcBorders>
              <w:top w:val="nil"/>
              <w:bottom w:val="nil"/>
            </w:tcBorders>
          </w:tcPr>
          <w:p w14:paraId="3917A816" w14:textId="77777777" w:rsidR="008D2A3A" w:rsidRPr="00BC0D1F" w:rsidRDefault="008D2A3A" w:rsidP="006B7687">
            <w:pPr>
              <w:pStyle w:val="TableText"/>
              <w:jc w:val="right"/>
            </w:pPr>
            <w:r w:rsidRPr="00BC0D1F">
              <w:t>113,697</w:t>
            </w:r>
          </w:p>
        </w:tc>
        <w:tc>
          <w:tcPr>
            <w:tcW w:w="1134" w:type="dxa"/>
            <w:tcBorders>
              <w:top w:val="nil"/>
              <w:bottom w:val="nil"/>
            </w:tcBorders>
          </w:tcPr>
          <w:p w14:paraId="5B9818C6" w14:textId="77777777" w:rsidR="008D2A3A" w:rsidRPr="00BC0D1F" w:rsidRDefault="008D2A3A" w:rsidP="006B7687">
            <w:pPr>
              <w:pStyle w:val="TableText"/>
              <w:jc w:val="right"/>
            </w:pPr>
            <w:r w:rsidRPr="00BC0D1F">
              <w:t>114,015</w:t>
            </w:r>
          </w:p>
        </w:tc>
      </w:tr>
      <w:tr w:rsidR="008D2A3A" w:rsidRPr="00BC0D1F" w14:paraId="59C67C15" w14:textId="77777777" w:rsidTr="008D2A3A">
        <w:trPr>
          <w:cantSplit/>
        </w:trPr>
        <w:tc>
          <w:tcPr>
            <w:tcW w:w="1134" w:type="dxa"/>
            <w:tcBorders>
              <w:top w:val="nil"/>
              <w:bottom w:val="nil"/>
              <w:right w:val="nil"/>
            </w:tcBorders>
            <w:shd w:val="solid" w:color="FFFFFF" w:fill="auto"/>
          </w:tcPr>
          <w:p w14:paraId="69C78ED5" w14:textId="77777777" w:rsidR="008D2A3A" w:rsidRPr="00BC0D1F" w:rsidRDefault="006D4D06" w:rsidP="006B7687">
            <w:pPr>
              <w:pStyle w:val="TableText"/>
              <w:ind w:right="284"/>
              <w:jc w:val="right"/>
            </w:pPr>
            <w:r w:rsidRPr="00BC0D1F">
              <w:t>9</w:t>
            </w:r>
            <w:r w:rsidR="008234DC" w:rsidRPr="00BC0D1F">
              <w:t>,</w:t>
            </w:r>
            <w:r w:rsidR="008D2A3A" w:rsidRPr="00BC0D1F">
              <w:t>965</w:t>
            </w:r>
          </w:p>
        </w:tc>
        <w:tc>
          <w:tcPr>
            <w:tcW w:w="4111" w:type="dxa"/>
            <w:tcBorders>
              <w:top w:val="nil"/>
              <w:left w:val="nil"/>
              <w:bottom w:val="nil"/>
            </w:tcBorders>
            <w:shd w:val="solid" w:color="FFFFFF" w:fill="auto"/>
          </w:tcPr>
          <w:p w14:paraId="27BF7FC9" w14:textId="77777777" w:rsidR="008D2A3A" w:rsidRPr="00BC0D1F" w:rsidRDefault="008D2A3A" w:rsidP="008D2A3A">
            <w:pPr>
              <w:pStyle w:val="TableText"/>
            </w:pPr>
            <w:r w:rsidRPr="00BC0D1F">
              <w:t>Depreciation and amortisation expense</w:t>
            </w:r>
          </w:p>
        </w:tc>
        <w:tc>
          <w:tcPr>
            <w:tcW w:w="709" w:type="dxa"/>
            <w:tcBorders>
              <w:top w:val="nil"/>
              <w:left w:val="nil"/>
              <w:bottom w:val="nil"/>
            </w:tcBorders>
            <w:shd w:val="solid" w:color="FFFFFF" w:fill="auto"/>
          </w:tcPr>
          <w:p w14:paraId="789605E7" w14:textId="77777777" w:rsidR="008D2A3A" w:rsidRPr="00BC0D1F" w:rsidRDefault="008D2A3A" w:rsidP="006B7687">
            <w:pPr>
              <w:pStyle w:val="TableText"/>
              <w:jc w:val="center"/>
              <w:rPr>
                <w:b/>
                <w:bCs/>
              </w:rPr>
            </w:pPr>
            <w:r w:rsidRPr="00BC0D1F">
              <w:rPr>
                <w:b/>
                <w:bCs/>
              </w:rPr>
              <w:t>6,7</w:t>
            </w:r>
          </w:p>
        </w:tc>
        <w:tc>
          <w:tcPr>
            <w:tcW w:w="1134" w:type="dxa"/>
            <w:tcBorders>
              <w:top w:val="nil"/>
              <w:bottom w:val="nil"/>
            </w:tcBorders>
            <w:shd w:val="clear" w:color="E3E3E3" w:fill="D9D9D9"/>
          </w:tcPr>
          <w:p w14:paraId="2E6D5E7D" w14:textId="77777777" w:rsidR="008D2A3A" w:rsidRPr="00BC0D1F" w:rsidRDefault="008D2A3A" w:rsidP="006B7687">
            <w:pPr>
              <w:pStyle w:val="TableText"/>
              <w:ind w:right="113"/>
              <w:jc w:val="right"/>
            </w:pPr>
            <w:r w:rsidRPr="00BC0D1F">
              <w:t>11,190</w:t>
            </w:r>
          </w:p>
        </w:tc>
        <w:tc>
          <w:tcPr>
            <w:tcW w:w="1134" w:type="dxa"/>
            <w:tcBorders>
              <w:top w:val="nil"/>
              <w:bottom w:val="nil"/>
            </w:tcBorders>
          </w:tcPr>
          <w:p w14:paraId="34CEA6B8" w14:textId="77777777" w:rsidR="008D2A3A" w:rsidRPr="00BC0D1F" w:rsidRDefault="008D2A3A" w:rsidP="006B7687">
            <w:pPr>
              <w:pStyle w:val="TableText"/>
              <w:jc w:val="right"/>
            </w:pPr>
            <w:r w:rsidRPr="00BC0D1F">
              <w:t>10,397</w:t>
            </w:r>
          </w:p>
        </w:tc>
        <w:tc>
          <w:tcPr>
            <w:tcW w:w="1134" w:type="dxa"/>
            <w:tcBorders>
              <w:top w:val="nil"/>
              <w:bottom w:val="nil"/>
            </w:tcBorders>
          </w:tcPr>
          <w:p w14:paraId="76DEBB5B" w14:textId="77777777" w:rsidR="008D2A3A" w:rsidRPr="00BC0D1F" w:rsidRDefault="008D2A3A" w:rsidP="006B7687">
            <w:pPr>
              <w:pStyle w:val="TableText"/>
              <w:jc w:val="right"/>
            </w:pPr>
            <w:r w:rsidRPr="00BC0D1F">
              <w:t>10,000</w:t>
            </w:r>
          </w:p>
        </w:tc>
      </w:tr>
      <w:tr w:rsidR="008D2A3A" w:rsidRPr="00BC0D1F" w14:paraId="0BD1A8D2" w14:textId="77777777" w:rsidTr="008D2A3A">
        <w:trPr>
          <w:cantSplit/>
        </w:trPr>
        <w:tc>
          <w:tcPr>
            <w:tcW w:w="1134" w:type="dxa"/>
            <w:tcBorders>
              <w:top w:val="nil"/>
              <w:bottom w:val="nil"/>
              <w:right w:val="nil"/>
            </w:tcBorders>
            <w:shd w:val="solid" w:color="FFFFFF" w:fill="auto"/>
          </w:tcPr>
          <w:p w14:paraId="2E930C5E" w14:textId="77777777" w:rsidR="008D2A3A" w:rsidRPr="00BC0D1F" w:rsidRDefault="008D2A3A" w:rsidP="006D4D06">
            <w:pPr>
              <w:pStyle w:val="TableText"/>
              <w:ind w:right="284"/>
              <w:jc w:val="right"/>
            </w:pPr>
            <w:r w:rsidRPr="00BC0D1F">
              <w:t>2</w:t>
            </w:r>
            <w:r w:rsidR="008234DC" w:rsidRPr="00BC0D1F">
              <w:t>,</w:t>
            </w:r>
            <w:r w:rsidRPr="00BC0D1F">
              <w:t>579</w:t>
            </w:r>
          </w:p>
        </w:tc>
        <w:tc>
          <w:tcPr>
            <w:tcW w:w="4111" w:type="dxa"/>
            <w:tcBorders>
              <w:top w:val="nil"/>
              <w:left w:val="nil"/>
              <w:bottom w:val="nil"/>
            </w:tcBorders>
            <w:shd w:val="solid" w:color="FFFFFF" w:fill="auto"/>
          </w:tcPr>
          <w:p w14:paraId="5A4E4AB6" w14:textId="77777777" w:rsidR="008D2A3A" w:rsidRPr="00BC0D1F" w:rsidRDefault="008D2A3A" w:rsidP="008D2A3A">
            <w:pPr>
              <w:pStyle w:val="TableText"/>
            </w:pPr>
            <w:r w:rsidRPr="00BC0D1F">
              <w:t>Capital charge</w:t>
            </w:r>
          </w:p>
        </w:tc>
        <w:tc>
          <w:tcPr>
            <w:tcW w:w="709" w:type="dxa"/>
            <w:tcBorders>
              <w:top w:val="nil"/>
              <w:left w:val="nil"/>
              <w:bottom w:val="nil"/>
            </w:tcBorders>
            <w:shd w:val="solid" w:color="FFFFFF" w:fill="auto"/>
          </w:tcPr>
          <w:p w14:paraId="08951CC9" w14:textId="77777777" w:rsidR="008D2A3A" w:rsidRPr="00BC0D1F" w:rsidRDefault="008D2A3A" w:rsidP="006B7687">
            <w:pPr>
              <w:pStyle w:val="TableText"/>
              <w:jc w:val="center"/>
              <w:rPr>
                <w:b/>
                <w:bCs/>
              </w:rPr>
            </w:pPr>
            <w:r w:rsidRPr="00BC0D1F">
              <w:rPr>
                <w:b/>
                <w:bCs/>
              </w:rPr>
              <w:t>4</w:t>
            </w:r>
          </w:p>
        </w:tc>
        <w:tc>
          <w:tcPr>
            <w:tcW w:w="1134" w:type="dxa"/>
            <w:tcBorders>
              <w:top w:val="nil"/>
              <w:bottom w:val="nil"/>
            </w:tcBorders>
            <w:shd w:val="clear" w:color="E3E3E3" w:fill="D9D9D9"/>
          </w:tcPr>
          <w:p w14:paraId="5B7DF760" w14:textId="77777777" w:rsidR="008D2A3A" w:rsidRPr="00BC0D1F" w:rsidRDefault="008D2A3A" w:rsidP="006D4D06">
            <w:pPr>
              <w:pStyle w:val="TableText"/>
              <w:ind w:right="113"/>
              <w:jc w:val="right"/>
            </w:pPr>
            <w:r w:rsidRPr="00BC0D1F">
              <w:t>2</w:t>
            </w:r>
            <w:r w:rsidR="008234DC" w:rsidRPr="00BC0D1F">
              <w:t>,</w:t>
            </w:r>
            <w:r w:rsidRPr="00BC0D1F">
              <w:t>576</w:t>
            </w:r>
          </w:p>
        </w:tc>
        <w:tc>
          <w:tcPr>
            <w:tcW w:w="1134" w:type="dxa"/>
            <w:tcBorders>
              <w:top w:val="nil"/>
              <w:bottom w:val="nil"/>
            </w:tcBorders>
          </w:tcPr>
          <w:p w14:paraId="0A880C19" w14:textId="77777777" w:rsidR="008D2A3A" w:rsidRPr="00BC0D1F" w:rsidRDefault="008D2A3A" w:rsidP="006D4D06">
            <w:pPr>
              <w:pStyle w:val="TableText"/>
              <w:jc w:val="right"/>
            </w:pPr>
            <w:r w:rsidRPr="00BC0D1F">
              <w:t>2</w:t>
            </w:r>
            <w:r w:rsidR="008234DC" w:rsidRPr="00BC0D1F">
              <w:t>,</w:t>
            </w:r>
            <w:r w:rsidRPr="00BC0D1F">
              <w:t>524</w:t>
            </w:r>
          </w:p>
        </w:tc>
        <w:tc>
          <w:tcPr>
            <w:tcW w:w="1134" w:type="dxa"/>
            <w:tcBorders>
              <w:top w:val="nil"/>
              <w:bottom w:val="nil"/>
            </w:tcBorders>
          </w:tcPr>
          <w:p w14:paraId="2044D5FA" w14:textId="77777777" w:rsidR="008D2A3A" w:rsidRPr="00BC0D1F" w:rsidRDefault="008D2A3A" w:rsidP="006D4D06">
            <w:pPr>
              <w:pStyle w:val="TableText"/>
              <w:jc w:val="right"/>
            </w:pPr>
            <w:r w:rsidRPr="00BC0D1F">
              <w:t>2</w:t>
            </w:r>
            <w:r w:rsidR="008234DC" w:rsidRPr="00BC0D1F">
              <w:t>,</w:t>
            </w:r>
            <w:r w:rsidRPr="00BC0D1F">
              <w:t>587</w:t>
            </w:r>
          </w:p>
        </w:tc>
      </w:tr>
      <w:tr w:rsidR="008D2A3A" w:rsidRPr="00BC0D1F" w14:paraId="5ADB927D" w14:textId="77777777" w:rsidTr="008D2A3A">
        <w:trPr>
          <w:cantSplit/>
        </w:trPr>
        <w:tc>
          <w:tcPr>
            <w:tcW w:w="1134" w:type="dxa"/>
            <w:tcBorders>
              <w:top w:val="nil"/>
              <w:bottom w:val="nil"/>
              <w:right w:val="nil"/>
            </w:tcBorders>
            <w:shd w:val="solid" w:color="FFFFFF" w:fill="auto"/>
          </w:tcPr>
          <w:p w14:paraId="05464155" w14:textId="77777777" w:rsidR="008D2A3A" w:rsidRPr="00BC0D1F" w:rsidRDefault="008D2A3A" w:rsidP="006B7687">
            <w:pPr>
              <w:pStyle w:val="TableText"/>
              <w:ind w:right="284"/>
              <w:jc w:val="right"/>
            </w:pPr>
            <w:r w:rsidRPr="00BC0D1F">
              <w:t>67,541</w:t>
            </w:r>
          </w:p>
        </w:tc>
        <w:tc>
          <w:tcPr>
            <w:tcW w:w="4111" w:type="dxa"/>
            <w:tcBorders>
              <w:top w:val="nil"/>
              <w:left w:val="nil"/>
              <w:bottom w:val="nil"/>
            </w:tcBorders>
            <w:shd w:val="solid" w:color="FFFFFF" w:fill="auto"/>
          </w:tcPr>
          <w:p w14:paraId="73450077" w14:textId="77777777" w:rsidR="008D2A3A" w:rsidRPr="00BC0D1F" w:rsidRDefault="008D2A3A" w:rsidP="008D2A3A">
            <w:pPr>
              <w:pStyle w:val="TableText"/>
            </w:pPr>
            <w:r w:rsidRPr="00BC0D1F">
              <w:t>Other operating expenses</w:t>
            </w:r>
          </w:p>
        </w:tc>
        <w:tc>
          <w:tcPr>
            <w:tcW w:w="709" w:type="dxa"/>
            <w:tcBorders>
              <w:top w:val="nil"/>
              <w:left w:val="nil"/>
              <w:bottom w:val="nil"/>
            </w:tcBorders>
            <w:shd w:val="solid" w:color="FFFFFF" w:fill="auto"/>
          </w:tcPr>
          <w:p w14:paraId="392FC3FA" w14:textId="77777777" w:rsidR="008D2A3A" w:rsidRPr="00BC0D1F" w:rsidRDefault="008D2A3A" w:rsidP="006B7687">
            <w:pPr>
              <w:pStyle w:val="TableText"/>
              <w:jc w:val="center"/>
              <w:rPr>
                <w:b/>
                <w:bCs/>
              </w:rPr>
            </w:pPr>
            <w:r w:rsidRPr="00BC0D1F">
              <w:rPr>
                <w:b/>
                <w:bCs/>
              </w:rPr>
              <w:t>5</w:t>
            </w:r>
          </w:p>
        </w:tc>
        <w:tc>
          <w:tcPr>
            <w:tcW w:w="1134" w:type="dxa"/>
            <w:tcBorders>
              <w:top w:val="nil"/>
              <w:bottom w:val="nil"/>
            </w:tcBorders>
            <w:shd w:val="clear" w:color="E3E3E3" w:fill="D9D9D9"/>
          </w:tcPr>
          <w:p w14:paraId="787E1347" w14:textId="77777777" w:rsidR="008D2A3A" w:rsidRPr="00BC0D1F" w:rsidRDefault="008D2A3A" w:rsidP="006B7687">
            <w:pPr>
              <w:pStyle w:val="TableText"/>
              <w:ind w:right="113"/>
              <w:jc w:val="right"/>
            </w:pPr>
            <w:r w:rsidRPr="00BC0D1F">
              <w:t>62,883</w:t>
            </w:r>
          </w:p>
        </w:tc>
        <w:tc>
          <w:tcPr>
            <w:tcW w:w="1134" w:type="dxa"/>
            <w:tcBorders>
              <w:top w:val="nil"/>
              <w:bottom w:val="nil"/>
            </w:tcBorders>
          </w:tcPr>
          <w:p w14:paraId="17B6733F" w14:textId="77777777" w:rsidR="008D2A3A" w:rsidRPr="00BC0D1F" w:rsidRDefault="008D2A3A" w:rsidP="006B7687">
            <w:pPr>
              <w:pStyle w:val="TableText"/>
              <w:jc w:val="right"/>
            </w:pPr>
            <w:r w:rsidRPr="00BC0D1F">
              <w:t>65,814</w:t>
            </w:r>
          </w:p>
        </w:tc>
        <w:tc>
          <w:tcPr>
            <w:tcW w:w="1134" w:type="dxa"/>
            <w:tcBorders>
              <w:top w:val="nil"/>
              <w:bottom w:val="nil"/>
            </w:tcBorders>
          </w:tcPr>
          <w:p w14:paraId="4D6FF374" w14:textId="77777777" w:rsidR="008D2A3A" w:rsidRPr="00BC0D1F" w:rsidRDefault="008D2A3A" w:rsidP="006B7687">
            <w:pPr>
              <w:pStyle w:val="TableText"/>
              <w:jc w:val="right"/>
            </w:pPr>
            <w:r w:rsidRPr="00BC0D1F">
              <w:t>69,075</w:t>
            </w:r>
          </w:p>
        </w:tc>
      </w:tr>
      <w:tr w:rsidR="008D2A3A" w:rsidRPr="00BC0D1F" w14:paraId="4A170802" w14:textId="77777777" w:rsidTr="008D2A3A">
        <w:trPr>
          <w:cantSplit/>
        </w:trPr>
        <w:tc>
          <w:tcPr>
            <w:tcW w:w="1134" w:type="dxa"/>
            <w:tcBorders>
              <w:top w:val="nil"/>
              <w:bottom w:val="nil"/>
              <w:right w:val="nil"/>
            </w:tcBorders>
            <w:shd w:val="solid" w:color="FFFFFF" w:fill="auto"/>
          </w:tcPr>
          <w:p w14:paraId="348FAE16" w14:textId="77777777" w:rsidR="008D2A3A" w:rsidRPr="00BC0D1F" w:rsidRDefault="008D2A3A" w:rsidP="006B7687">
            <w:pPr>
              <w:pStyle w:val="TableText"/>
              <w:ind w:right="284"/>
              <w:jc w:val="right"/>
            </w:pPr>
            <w:r w:rsidRPr="00BC0D1F">
              <w:t>52</w:t>
            </w:r>
          </w:p>
        </w:tc>
        <w:tc>
          <w:tcPr>
            <w:tcW w:w="4111" w:type="dxa"/>
            <w:tcBorders>
              <w:top w:val="nil"/>
              <w:left w:val="nil"/>
              <w:bottom w:val="nil"/>
            </w:tcBorders>
            <w:shd w:val="solid" w:color="FFFFFF" w:fill="auto"/>
          </w:tcPr>
          <w:p w14:paraId="07165252" w14:textId="21B2D6D8" w:rsidR="008D2A3A" w:rsidRPr="00BC0D1F" w:rsidRDefault="00A202BF" w:rsidP="00A202BF">
            <w:pPr>
              <w:pStyle w:val="TableText"/>
            </w:pPr>
            <w:r>
              <w:t>Net (gains)/l</w:t>
            </w:r>
            <w:r w:rsidR="008D2A3A" w:rsidRPr="00BC0D1F">
              <w:t>osses on sale/disposal of property, plant and equipment</w:t>
            </w:r>
          </w:p>
        </w:tc>
        <w:tc>
          <w:tcPr>
            <w:tcW w:w="709" w:type="dxa"/>
            <w:tcBorders>
              <w:top w:val="nil"/>
              <w:left w:val="nil"/>
              <w:bottom w:val="nil"/>
            </w:tcBorders>
            <w:shd w:val="solid" w:color="FFFFFF" w:fill="auto"/>
          </w:tcPr>
          <w:p w14:paraId="7E60BC79" w14:textId="0FC14383" w:rsidR="008D2A3A" w:rsidRPr="00BC0D1F" w:rsidRDefault="008D2A3A" w:rsidP="006B7687">
            <w:pPr>
              <w:pStyle w:val="TableText"/>
              <w:jc w:val="center"/>
            </w:pPr>
          </w:p>
        </w:tc>
        <w:tc>
          <w:tcPr>
            <w:tcW w:w="1134" w:type="dxa"/>
            <w:tcBorders>
              <w:top w:val="nil"/>
              <w:bottom w:val="nil"/>
            </w:tcBorders>
            <w:shd w:val="clear" w:color="E3E3E3" w:fill="D9D9D9"/>
          </w:tcPr>
          <w:p w14:paraId="602B5FFF" w14:textId="10DDB1CF" w:rsidR="008D2A3A" w:rsidRPr="00BC0D1F" w:rsidRDefault="008D3000" w:rsidP="006B7687">
            <w:pPr>
              <w:pStyle w:val="TableText"/>
              <w:ind w:right="113"/>
              <w:jc w:val="right"/>
            </w:pPr>
            <w:r>
              <w:t>(</w:t>
            </w:r>
            <w:r w:rsidR="00C13BF2">
              <w:t>2</w:t>
            </w:r>
            <w:r>
              <w:t>)</w:t>
            </w:r>
          </w:p>
        </w:tc>
        <w:tc>
          <w:tcPr>
            <w:tcW w:w="1134" w:type="dxa"/>
            <w:tcBorders>
              <w:top w:val="nil"/>
              <w:bottom w:val="nil"/>
            </w:tcBorders>
          </w:tcPr>
          <w:p w14:paraId="7B0EA528" w14:textId="77777777" w:rsidR="008D2A3A" w:rsidRPr="00BC0D1F" w:rsidRDefault="008D2A3A" w:rsidP="006B7687">
            <w:pPr>
              <w:pStyle w:val="TableText"/>
              <w:jc w:val="right"/>
            </w:pPr>
          </w:p>
        </w:tc>
        <w:tc>
          <w:tcPr>
            <w:tcW w:w="1134" w:type="dxa"/>
            <w:tcBorders>
              <w:top w:val="nil"/>
              <w:bottom w:val="nil"/>
            </w:tcBorders>
          </w:tcPr>
          <w:p w14:paraId="7BE2E278" w14:textId="77777777" w:rsidR="008D2A3A" w:rsidRPr="00BC0D1F" w:rsidRDefault="006B7687" w:rsidP="006B7687">
            <w:pPr>
              <w:pStyle w:val="TableText"/>
              <w:jc w:val="right"/>
            </w:pPr>
            <w:r w:rsidRPr="00BC0D1F">
              <w:t>–</w:t>
            </w:r>
          </w:p>
        </w:tc>
      </w:tr>
      <w:tr w:rsidR="008D2A3A" w:rsidRPr="00BC0D1F" w14:paraId="34A1102F" w14:textId="77777777" w:rsidTr="008D2A3A">
        <w:trPr>
          <w:cantSplit/>
        </w:trPr>
        <w:tc>
          <w:tcPr>
            <w:tcW w:w="1134" w:type="dxa"/>
            <w:tcBorders>
              <w:top w:val="nil"/>
              <w:bottom w:val="nil"/>
              <w:right w:val="nil"/>
            </w:tcBorders>
            <w:shd w:val="solid" w:color="FFFFFF" w:fill="auto"/>
          </w:tcPr>
          <w:p w14:paraId="709B1CA6" w14:textId="77777777" w:rsidR="008D2A3A" w:rsidRPr="00BC0D1F" w:rsidRDefault="008D2A3A" w:rsidP="006B7687">
            <w:pPr>
              <w:pStyle w:val="TableText"/>
              <w:ind w:right="284"/>
              <w:jc w:val="right"/>
            </w:pPr>
            <w:r w:rsidRPr="00BC0D1F">
              <w:rPr>
                <w:b/>
                <w:bCs/>
              </w:rPr>
              <w:t>193,186</w:t>
            </w:r>
          </w:p>
        </w:tc>
        <w:tc>
          <w:tcPr>
            <w:tcW w:w="4111" w:type="dxa"/>
            <w:tcBorders>
              <w:top w:val="nil"/>
              <w:left w:val="nil"/>
              <w:bottom w:val="nil"/>
            </w:tcBorders>
            <w:shd w:val="solid" w:color="FFFFFF" w:fill="auto"/>
          </w:tcPr>
          <w:p w14:paraId="09A70A0A" w14:textId="77777777" w:rsidR="008D2A3A" w:rsidRPr="00BC0D1F" w:rsidRDefault="008D2A3A" w:rsidP="008D2A3A">
            <w:pPr>
              <w:pStyle w:val="TableText"/>
              <w:rPr>
                <w:b/>
                <w:bCs/>
              </w:rPr>
            </w:pPr>
            <w:r w:rsidRPr="00BC0D1F">
              <w:rPr>
                <w:b/>
                <w:bCs/>
              </w:rPr>
              <w:t>Total expenses</w:t>
            </w:r>
          </w:p>
        </w:tc>
        <w:tc>
          <w:tcPr>
            <w:tcW w:w="709" w:type="dxa"/>
            <w:tcBorders>
              <w:top w:val="nil"/>
              <w:left w:val="nil"/>
              <w:bottom w:val="nil"/>
            </w:tcBorders>
            <w:shd w:val="solid" w:color="FFFFFF" w:fill="auto"/>
          </w:tcPr>
          <w:p w14:paraId="6838CD50" w14:textId="77777777" w:rsidR="008D2A3A" w:rsidRPr="00BC0D1F" w:rsidRDefault="008D2A3A" w:rsidP="006B7687">
            <w:pPr>
              <w:pStyle w:val="TableText"/>
              <w:jc w:val="center"/>
            </w:pPr>
          </w:p>
        </w:tc>
        <w:tc>
          <w:tcPr>
            <w:tcW w:w="1134" w:type="dxa"/>
            <w:tcBorders>
              <w:top w:val="nil"/>
              <w:bottom w:val="nil"/>
            </w:tcBorders>
            <w:shd w:val="clear" w:color="E3E3E3" w:fill="D9D9D9"/>
          </w:tcPr>
          <w:p w14:paraId="6629724B" w14:textId="7276F41A" w:rsidR="008D2A3A" w:rsidRPr="00BC0D1F" w:rsidRDefault="008D2A3A" w:rsidP="008D3000">
            <w:pPr>
              <w:pStyle w:val="TableText"/>
              <w:ind w:right="113"/>
              <w:jc w:val="right"/>
              <w:rPr>
                <w:b/>
                <w:bCs/>
              </w:rPr>
            </w:pPr>
            <w:r w:rsidRPr="00BC0D1F">
              <w:rPr>
                <w:b/>
                <w:bCs/>
              </w:rPr>
              <w:t>190,30</w:t>
            </w:r>
            <w:r w:rsidR="008D3000">
              <w:rPr>
                <w:b/>
                <w:bCs/>
              </w:rPr>
              <w:t>1</w:t>
            </w:r>
          </w:p>
        </w:tc>
        <w:tc>
          <w:tcPr>
            <w:tcW w:w="1134" w:type="dxa"/>
            <w:tcBorders>
              <w:top w:val="nil"/>
              <w:bottom w:val="nil"/>
            </w:tcBorders>
          </w:tcPr>
          <w:p w14:paraId="5F12873A" w14:textId="77777777" w:rsidR="008D2A3A" w:rsidRPr="00BC0D1F" w:rsidRDefault="008D2A3A" w:rsidP="006B7687">
            <w:pPr>
              <w:pStyle w:val="TableText"/>
              <w:jc w:val="right"/>
              <w:rPr>
                <w:b/>
                <w:bCs/>
              </w:rPr>
            </w:pPr>
            <w:r w:rsidRPr="00BC0D1F">
              <w:rPr>
                <w:b/>
                <w:bCs/>
              </w:rPr>
              <w:t>192,432</w:t>
            </w:r>
          </w:p>
        </w:tc>
        <w:tc>
          <w:tcPr>
            <w:tcW w:w="1134" w:type="dxa"/>
            <w:tcBorders>
              <w:top w:val="nil"/>
              <w:bottom w:val="nil"/>
            </w:tcBorders>
          </w:tcPr>
          <w:p w14:paraId="64DAB00F" w14:textId="77777777" w:rsidR="008D2A3A" w:rsidRPr="00BC0D1F" w:rsidRDefault="008D2A3A" w:rsidP="006B7687">
            <w:pPr>
              <w:pStyle w:val="TableText"/>
              <w:jc w:val="right"/>
              <w:rPr>
                <w:b/>
                <w:bCs/>
              </w:rPr>
            </w:pPr>
            <w:r w:rsidRPr="00BC0D1F">
              <w:rPr>
                <w:b/>
                <w:bCs/>
              </w:rPr>
              <w:t>195,677</w:t>
            </w:r>
          </w:p>
        </w:tc>
      </w:tr>
      <w:tr w:rsidR="008D2A3A" w:rsidRPr="00BC0D1F" w14:paraId="43EC6C5F" w14:textId="77777777" w:rsidTr="008D2A3A">
        <w:trPr>
          <w:cantSplit/>
        </w:trPr>
        <w:tc>
          <w:tcPr>
            <w:tcW w:w="1134" w:type="dxa"/>
            <w:tcBorders>
              <w:top w:val="nil"/>
              <w:bottom w:val="nil"/>
              <w:right w:val="nil"/>
            </w:tcBorders>
            <w:shd w:val="solid" w:color="FFFFFF" w:fill="auto"/>
          </w:tcPr>
          <w:p w14:paraId="21F6A1A9" w14:textId="77777777" w:rsidR="008D2A3A" w:rsidRPr="00BC0D1F" w:rsidRDefault="008D2A3A" w:rsidP="006B7687">
            <w:pPr>
              <w:pStyle w:val="TableText"/>
              <w:spacing w:before="240"/>
              <w:ind w:right="284"/>
              <w:jc w:val="right"/>
              <w:rPr>
                <w:b/>
                <w:bCs/>
              </w:rPr>
            </w:pPr>
            <w:r w:rsidRPr="00BC0D1F">
              <w:rPr>
                <w:b/>
                <w:bCs/>
              </w:rPr>
              <w:t>(605)</w:t>
            </w:r>
          </w:p>
        </w:tc>
        <w:tc>
          <w:tcPr>
            <w:tcW w:w="4111" w:type="dxa"/>
            <w:tcBorders>
              <w:top w:val="nil"/>
              <w:left w:val="nil"/>
              <w:bottom w:val="nil"/>
            </w:tcBorders>
            <w:shd w:val="solid" w:color="FFFFFF" w:fill="auto"/>
          </w:tcPr>
          <w:p w14:paraId="0DA487EB" w14:textId="77777777" w:rsidR="008D2A3A" w:rsidRPr="00BC0D1F" w:rsidRDefault="008D2A3A" w:rsidP="006B7687">
            <w:pPr>
              <w:pStyle w:val="TableText"/>
              <w:spacing w:before="240"/>
              <w:rPr>
                <w:b/>
                <w:bCs/>
              </w:rPr>
            </w:pPr>
            <w:r w:rsidRPr="00BC0D1F">
              <w:rPr>
                <w:b/>
                <w:bCs/>
              </w:rPr>
              <w:t>Net surplus/(deficit)</w:t>
            </w:r>
          </w:p>
        </w:tc>
        <w:tc>
          <w:tcPr>
            <w:tcW w:w="709" w:type="dxa"/>
            <w:tcBorders>
              <w:top w:val="nil"/>
              <w:left w:val="nil"/>
              <w:bottom w:val="nil"/>
            </w:tcBorders>
            <w:shd w:val="solid" w:color="FFFFFF" w:fill="auto"/>
          </w:tcPr>
          <w:p w14:paraId="7BFF0CB2" w14:textId="77777777" w:rsidR="008D2A3A" w:rsidRPr="00BC0D1F" w:rsidRDefault="008D2A3A" w:rsidP="006B7687">
            <w:pPr>
              <w:pStyle w:val="TableText"/>
              <w:spacing w:before="240"/>
              <w:jc w:val="center"/>
              <w:rPr>
                <w:b/>
                <w:bCs/>
              </w:rPr>
            </w:pPr>
          </w:p>
        </w:tc>
        <w:tc>
          <w:tcPr>
            <w:tcW w:w="1134" w:type="dxa"/>
            <w:tcBorders>
              <w:top w:val="nil"/>
              <w:bottom w:val="nil"/>
            </w:tcBorders>
            <w:shd w:val="clear" w:color="E3E3E3" w:fill="D9D9D9"/>
          </w:tcPr>
          <w:p w14:paraId="02971010" w14:textId="2B4CEB0B" w:rsidR="008D2A3A" w:rsidRPr="00BC0D1F" w:rsidRDefault="008D2A3A" w:rsidP="008D3000">
            <w:pPr>
              <w:pStyle w:val="TableText"/>
              <w:spacing w:before="240"/>
              <w:ind w:right="113"/>
              <w:jc w:val="right"/>
              <w:rPr>
                <w:b/>
                <w:bCs/>
              </w:rPr>
            </w:pPr>
            <w:r w:rsidRPr="00BC0D1F">
              <w:rPr>
                <w:b/>
                <w:bCs/>
              </w:rPr>
              <w:t>(69</w:t>
            </w:r>
            <w:r w:rsidR="008D3000">
              <w:rPr>
                <w:b/>
                <w:bCs/>
              </w:rPr>
              <w:t>3</w:t>
            </w:r>
            <w:r w:rsidRPr="00BC0D1F">
              <w:rPr>
                <w:b/>
                <w:bCs/>
              </w:rPr>
              <w:t>)</w:t>
            </w:r>
          </w:p>
        </w:tc>
        <w:tc>
          <w:tcPr>
            <w:tcW w:w="1134" w:type="dxa"/>
            <w:tcBorders>
              <w:top w:val="nil"/>
              <w:bottom w:val="nil"/>
            </w:tcBorders>
          </w:tcPr>
          <w:p w14:paraId="784FF1FA" w14:textId="77777777" w:rsidR="008D2A3A" w:rsidRPr="00BC0D1F" w:rsidRDefault="006B7687" w:rsidP="006B7687">
            <w:pPr>
              <w:pStyle w:val="TableText"/>
              <w:spacing w:before="240"/>
              <w:jc w:val="right"/>
              <w:rPr>
                <w:b/>
                <w:bCs/>
              </w:rPr>
            </w:pPr>
            <w:r w:rsidRPr="00BC0D1F">
              <w:rPr>
                <w:b/>
                <w:bCs/>
              </w:rPr>
              <w:t>–</w:t>
            </w:r>
          </w:p>
        </w:tc>
        <w:tc>
          <w:tcPr>
            <w:tcW w:w="1134" w:type="dxa"/>
            <w:tcBorders>
              <w:top w:val="nil"/>
              <w:bottom w:val="nil"/>
            </w:tcBorders>
          </w:tcPr>
          <w:p w14:paraId="2E02FE8E" w14:textId="77777777" w:rsidR="008D2A3A" w:rsidRPr="00BC0D1F" w:rsidRDefault="006B7687" w:rsidP="006B7687">
            <w:pPr>
              <w:pStyle w:val="TableText"/>
              <w:spacing w:before="240"/>
              <w:jc w:val="right"/>
              <w:rPr>
                <w:b/>
                <w:bCs/>
              </w:rPr>
            </w:pPr>
            <w:r w:rsidRPr="00BC0D1F">
              <w:rPr>
                <w:b/>
                <w:bCs/>
              </w:rPr>
              <w:t>–</w:t>
            </w:r>
          </w:p>
        </w:tc>
      </w:tr>
      <w:tr w:rsidR="008D2A3A" w:rsidRPr="00BC0D1F" w14:paraId="6C6281C0" w14:textId="77777777" w:rsidTr="008D2A3A">
        <w:trPr>
          <w:cantSplit/>
        </w:trPr>
        <w:tc>
          <w:tcPr>
            <w:tcW w:w="1134" w:type="dxa"/>
            <w:tcBorders>
              <w:top w:val="nil"/>
              <w:bottom w:val="nil"/>
              <w:right w:val="nil"/>
            </w:tcBorders>
            <w:shd w:val="solid" w:color="FFFFFF" w:fill="auto"/>
          </w:tcPr>
          <w:p w14:paraId="600649BB" w14:textId="77777777" w:rsidR="008D2A3A" w:rsidRPr="00BC0D1F" w:rsidRDefault="008D2A3A" w:rsidP="006B7687">
            <w:pPr>
              <w:pStyle w:val="TableText"/>
              <w:spacing w:before="240"/>
              <w:ind w:right="284"/>
              <w:jc w:val="right"/>
              <w:rPr>
                <w:b/>
                <w:bCs/>
              </w:rPr>
            </w:pPr>
          </w:p>
        </w:tc>
        <w:tc>
          <w:tcPr>
            <w:tcW w:w="4111" w:type="dxa"/>
            <w:tcBorders>
              <w:top w:val="nil"/>
              <w:left w:val="nil"/>
              <w:bottom w:val="nil"/>
            </w:tcBorders>
            <w:shd w:val="solid" w:color="FFFFFF" w:fill="auto"/>
          </w:tcPr>
          <w:p w14:paraId="6C47873D" w14:textId="77777777" w:rsidR="008D2A3A" w:rsidRPr="00BC0D1F" w:rsidRDefault="008D2A3A" w:rsidP="006B7687">
            <w:pPr>
              <w:pStyle w:val="TableText"/>
              <w:spacing w:before="240"/>
              <w:rPr>
                <w:b/>
                <w:bCs/>
              </w:rPr>
            </w:pPr>
            <w:r w:rsidRPr="00BC0D1F">
              <w:rPr>
                <w:b/>
                <w:bCs/>
              </w:rPr>
              <w:t>Other comprehensive revenue and expense</w:t>
            </w:r>
          </w:p>
        </w:tc>
        <w:tc>
          <w:tcPr>
            <w:tcW w:w="709" w:type="dxa"/>
            <w:tcBorders>
              <w:top w:val="nil"/>
              <w:left w:val="nil"/>
              <w:bottom w:val="nil"/>
            </w:tcBorders>
            <w:shd w:val="solid" w:color="FFFFFF" w:fill="auto"/>
          </w:tcPr>
          <w:p w14:paraId="0F1C161D" w14:textId="77777777" w:rsidR="008D2A3A" w:rsidRPr="00BC0D1F" w:rsidRDefault="008D2A3A" w:rsidP="006B7687">
            <w:pPr>
              <w:pStyle w:val="TableText"/>
              <w:spacing w:before="240"/>
              <w:jc w:val="center"/>
              <w:rPr>
                <w:b/>
                <w:bCs/>
              </w:rPr>
            </w:pPr>
          </w:p>
        </w:tc>
        <w:tc>
          <w:tcPr>
            <w:tcW w:w="1134" w:type="dxa"/>
            <w:tcBorders>
              <w:top w:val="nil"/>
              <w:bottom w:val="nil"/>
            </w:tcBorders>
            <w:shd w:val="clear" w:color="E3E3E3" w:fill="D9D9D9"/>
          </w:tcPr>
          <w:p w14:paraId="43892031" w14:textId="77777777" w:rsidR="008D2A3A" w:rsidRPr="00BC0D1F" w:rsidRDefault="008D2A3A" w:rsidP="006B7687">
            <w:pPr>
              <w:pStyle w:val="TableText"/>
              <w:spacing w:before="240"/>
              <w:ind w:right="113"/>
              <w:jc w:val="right"/>
              <w:rPr>
                <w:b/>
                <w:bCs/>
              </w:rPr>
            </w:pPr>
          </w:p>
        </w:tc>
        <w:tc>
          <w:tcPr>
            <w:tcW w:w="1134" w:type="dxa"/>
            <w:tcBorders>
              <w:top w:val="nil"/>
              <w:bottom w:val="nil"/>
            </w:tcBorders>
          </w:tcPr>
          <w:p w14:paraId="7EA4C07A" w14:textId="77777777" w:rsidR="008D2A3A" w:rsidRPr="00BC0D1F" w:rsidRDefault="008D2A3A" w:rsidP="006B7687">
            <w:pPr>
              <w:pStyle w:val="TableText"/>
              <w:spacing w:before="240"/>
              <w:jc w:val="right"/>
              <w:rPr>
                <w:b/>
                <w:bCs/>
              </w:rPr>
            </w:pPr>
          </w:p>
        </w:tc>
        <w:tc>
          <w:tcPr>
            <w:tcW w:w="1134" w:type="dxa"/>
            <w:tcBorders>
              <w:top w:val="nil"/>
              <w:bottom w:val="nil"/>
            </w:tcBorders>
          </w:tcPr>
          <w:p w14:paraId="11790FDE" w14:textId="77777777" w:rsidR="008D2A3A" w:rsidRPr="00BC0D1F" w:rsidRDefault="008D2A3A" w:rsidP="006B7687">
            <w:pPr>
              <w:pStyle w:val="TableText"/>
              <w:spacing w:before="240"/>
              <w:jc w:val="right"/>
              <w:rPr>
                <w:b/>
                <w:bCs/>
              </w:rPr>
            </w:pPr>
          </w:p>
        </w:tc>
      </w:tr>
      <w:tr w:rsidR="008D2A3A" w:rsidRPr="00BC0D1F" w14:paraId="598FD5CF" w14:textId="77777777" w:rsidTr="008D2A3A">
        <w:trPr>
          <w:cantSplit/>
        </w:trPr>
        <w:tc>
          <w:tcPr>
            <w:tcW w:w="1134" w:type="dxa"/>
            <w:tcBorders>
              <w:top w:val="nil"/>
              <w:bottom w:val="nil"/>
              <w:right w:val="nil"/>
            </w:tcBorders>
            <w:shd w:val="solid" w:color="FFFFFF" w:fill="auto"/>
          </w:tcPr>
          <w:p w14:paraId="1A18953E" w14:textId="77777777" w:rsidR="008D2A3A" w:rsidRPr="00BC0D1F" w:rsidRDefault="008D2A3A" w:rsidP="006B7687">
            <w:pPr>
              <w:pStyle w:val="TableText"/>
              <w:ind w:right="284"/>
              <w:jc w:val="right"/>
              <w:rPr>
                <w:b/>
                <w:bCs/>
              </w:rPr>
            </w:pPr>
            <w:r w:rsidRPr="00BC0D1F">
              <w:t>(500)</w:t>
            </w:r>
          </w:p>
        </w:tc>
        <w:tc>
          <w:tcPr>
            <w:tcW w:w="4111" w:type="dxa"/>
            <w:tcBorders>
              <w:top w:val="nil"/>
              <w:left w:val="nil"/>
              <w:bottom w:val="nil"/>
            </w:tcBorders>
            <w:shd w:val="solid" w:color="FFFFFF" w:fill="auto"/>
          </w:tcPr>
          <w:p w14:paraId="3C2233FB" w14:textId="77777777" w:rsidR="008D2A3A" w:rsidRPr="00BC0D1F" w:rsidRDefault="008D2A3A" w:rsidP="008D2A3A">
            <w:pPr>
              <w:pStyle w:val="TableText"/>
            </w:pPr>
            <w:r w:rsidRPr="00BC0D1F">
              <w:t>Gain/(Loss) on property revaluations</w:t>
            </w:r>
          </w:p>
        </w:tc>
        <w:tc>
          <w:tcPr>
            <w:tcW w:w="709" w:type="dxa"/>
            <w:tcBorders>
              <w:top w:val="nil"/>
              <w:left w:val="nil"/>
              <w:bottom w:val="nil"/>
            </w:tcBorders>
            <w:shd w:val="solid" w:color="FFFFFF" w:fill="auto"/>
          </w:tcPr>
          <w:p w14:paraId="0730F077" w14:textId="77777777" w:rsidR="008D2A3A" w:rsidRPr="00BC0D1F" w:rsidRDefault="008D2A3A" w:rsidP="006B7687">
            <w:pPr>
              <w:pStyle w:val="TableText"/>
              <w:jc w:val="center"/>
              <w:rPr>
                <w:b/>
                <w:bCs/>
              </w:rPr>
            </w:pPr>
          </w:p>
        </w:tc>
        <w:tc>
          <w:tcPr>
            <w:tcW w:w="1134" w:type="dxa"/>
            <w:tcBorders>
              <w:top w:val="nil"/>
              <w:bottom w:val="nil"/>
            </w:tcBorders>
            <w:shd w:val="clear" w:color="E3E3E3" w:fill="D9D9D9"/>
          </w:tcPr>
          <w:p w14:paraId="7B85B542" w14:textId="77777777" w:rsidR="008D2A3A" w:rsidRPr="00BC0D1F" w:rsidRDefault="008D2A3A" w:rsidP="006B7687">
            <w:pPr>
              <w:pStyle w:val="TableText"/>
              <w:ind w:right="113"/>
              <w:jc w:val="right"/>
            </w:pPr>
            <w:r w:rsidRPr="00BC0D1F">
              <w:t>550</w:t>
            </w:r>
          </w:p>
        </w:tc>
        <w:tc>
          <w:tcPr>
            <w:tcW w:w="1134" w:type="dxa"/>
            <w:tcBorders>
              <w:top w:val="nil"/>
              <w:bottom w:val="nil"/>
            </w:tcBorders>
          </w:tcPr>
          <w:p w14:paraId="53878F60" w14:textId="77777777" w:rsidR="008D2A3A" w:rsidRPr="00BC0D1F" w:rsidRDefault="006B7687" w:rsidP="006B7687">
            <w:pPr>
              <w:pStyle w:val="TableText"/>
              <w:jc w:val="right"/>
            </w:pPr>
            <w:r w:rsidRPr="00BC0D1F">
              <w:t>–</w:t>
            </w:r>
          </w:p>
        </w:tc>
        <w:tc>
          <w:tcPr>
            <w:tcW w:w="1134" w:type="dxa"/>
            <w:tcBorders>
              <w:top w:val="nil"/>
              <w:bottom w:val="nil"/>
            </w:tcBorders>
          </w:tcPr>
          <w:p w14:paraId="12942D05" w14:textId="77777777" w:rsidR="008D2A3A" w:rsidRPr="00BC0D1F" w:rsidRDefault="006B7687" w:rsidP="006B7687">
            <w:pPr>
              <w:pStyle w:val="TableText"/>
              <w:jc w:val="right"/>
            </w:pPr>
            <w:r w:rsidRPr="00BC0D1F">
              <w:t>–</w:t>
            </w:r>
          </w:p>
        </w:tc>
      </w:tr>
      <w:tr w:rsidR="008D2A3A" w:rsidRPr="00BC0D1F" w14:paraId="549AB193" w14:textId="77777777" w:rsidTr="008D2A3A">
        <w:trPr>
          <w:cantSplit/>
        </w:trPr>
        <w:tc>
          <w:tcPr>
            <w:tcW w:w="1134" w:type="dxa"/>
            <w:tcBorders>
              <w:top w:val="nil"/>
              <w:right w:val="nil"/>
            </w:tcBorders>
            <w:shd w:val="solid" w:color="FFFFFF" w:fill="auto"/>
          </w:tcPr>
          <w:p w14:paraId="7E0A3A7D" w14:textId="77777777" w:rsidR="008D2A3A" w:rsidRPr="00BC0D1F" w:rsidRDefault="008D2A3A" w:rsidP="006D4D06">
            <w:pPr>
              <w:pStyle w:val="TableText"/>
              <w:ind w:right="284"/>
              <w:jc w:val="right"/>
              <w:rPr>
                <w:b/>
              </w:rPr>
            </w:pPr>
            <w:r w:rsidRPr="00BC0D1F">
              <w:rPr>
                <w:b/>
              </w:rPr>
              <w:t>(1105)</w:t>
            </w:r>
          </w:p>
        </w:tc>
        <w:tc>
          <w:tcPr>
            <w:tcW w:w="4111" w:type="dxa"/>
            <w:tcBorders>
              <w:top w:val="nil"/>
              <w:left w:val="nil"/>
            </w:tcBorders>
            <w:shd w:val="solid" w:color="FFFFFF" w:fill="auto"/>
          </w:tcPr>
          <w:p w14:paraId="6972DADF" w14:textId="77777777" w:rsidR="008D2A3A" w:rsidRPr="00BC0D1F" w:rsidRDefault="008D2A3A" w:rsidP="008D2A3A">
            <w:pPr>
              <w:pStyle w:val="TableText"/>
              <w:rPr>
                <w:b/>
              </w:rPr>
            </w:pPr>
            <w:r w:rsidRPr="00BC0D1F">
              <w:rPr>
                <w:b/>
              </w:rPr>
              <w:t>Total comprehensive revenue and expense</w:t>
            </w:r>
          </w:p>
        </w:tc>
        <w:tc>
          <w:tcPr>
            <w:tcW w:w="709" w:type="dxa"/>
            <w:tcBorders>
              <w:top w:val="nil"/>
              <w:left w:val="nil"/>
            </w:tcBorders>
            <w:shd w:val="solid" w:color="FFFFFF" w:fill="auto"/>
          </w:tcPr>
          <w:p w14:paraId="76439AD0" w14:textId="77777777" w:rsidR="008D2A3A" w:rsidRPr="00BC0D1F" w:rsidRDefault="008D2A3A" w:rsidP="006B7687">
            <w:pPr>
              <w:pStyle w:val="TableText"/>
              <w:jc w:val="center"/>
              <w:rPr>
                <w:b/>
              </w:rPr>
            </w:pPr>
          </w:p>
        </w:tc>
        <w:tc>
          <w:tcPr>
            <w:tcW w:w="1134" w:type="dxa"/>
            <w:tcBorders>
              <w:top w:val="nil"/>
            </w:tcBorders>
            <w:shd w:val="clear" w:color="E3E3E3" w:fill="D9D9D9"/>
          </w:tcPr>
          <w:p w14:paraId="1A971CCB" w14:textId="30771439" w:rsidR="008D2A3A" w:rsidRPr="00BC0D1F" w:rsidRDefault="008D2A3A" w:rsidP="008D3000">
            <w:pPr>
              <w:pStyle w:val="TableText"/>
              <w:ind w:right="113"/>
              <w:jc w:val="right"/>
              <w:rPr>
                <w:b/>
              </w:rPr>
            </w:pPr>
            <w:r w:rsidRPr="00BC0D1F">
              <w:rPr>
                <w:b/>
              </w:rPr>
              <w:t>(14</w:t>
            </w:r>
            <w:r w:rsidR="008D3000">
              <w:rPr>
                <w:b/>
              </w:rPr>
              <w:t>3</w:t>
            </w:r>
            <w:r w:rsidRPr="00BC0D1F">
              <w:rPr>
                <w:b/>
              </w:rPr>
              <w:t>)</w:t>
            </w:r>
          </w:p>
        </w:tc>
        <w:tc>
          <w:tcPr>
            <w:tcW w:w="1134" w:type="dxa"/>
            <w:tcBorders>
              <w:top w:val="nil"/>
            </w:tcBorders>
          </w:tcPr>
          <w:p w14:paraId="32385BB5" w14:textId="77777777" w:rsidR="008D2A3A" w:rsidRPr="00BC0D1F" w:rsidRDefault="006B7687" w:rsidP="006B7687">
            <w:pPr>
              <w:pStyle w:val="TableText"/>
              <w:jc w:val="right"/>
              <w:rPr>
                <w:b/>
              </w:rPr>
            </w:pPr>
            <w:r w:rsidRPr="00BC0D1F">
              <w:rPr>
                <w:b/>
              </w:rPr>
              <w:t>–</w:t>
            </w:r>
          </w:p>
        </w:tc>
        <w:tc>
          <w:tcPr>
            <w:tcW w:w="1134" w:type="dxa"/>
            <w:tcBorders>
              <w:top w:val="nil"/>
            </w:tcBorders>
          </w:tcPr>
          <w:p w14:paraId="3722FEEE" w14:textId="77777777" w:rsidR="008D2A3A" w:rsidRPr="00BC0D1F" w:rsidRDefault="006B7687" w:rsidP="006B7687">
            <w:pPr>
              <w:pStyle w:val="TableText"/>
              <w:jc w:val="right"/>
              <w:rPr>
                <w:b/>
                <w:bCs/>
              </w:rPr>
            </w:pPr>
            <w:r w:rsidRPr="00BC0D1F">
              <w:rPr>
                <w:b/>
                <w:bCs/>
              </w:rPr>
              <w:t>–</w:t>
            </w:r>
          </w:p>
        </w:tc>
      </w:tr>
    </w:tbl>
    <w:p w14:paraId="4D9B2852" w14:textId="4CC91809" w:rsidR="00DD0FC4" w:rsidRPr="00BC0D1F" w:rsidRDefault="00DD0FC4" w:rsidP="006B7687">
      <w:pPr>
        <w:pStyle w:val="Note"/>
      </w:pPr>
      <w:r w:rsidRPr="00BC0D1F">
        <w:t>Explanations of significant variances against budget are detailed in note 1</w:t>
      </w:r>
      <w:r w:rsidR="00C13BF2">
        <w:t>8</w:t>
      </w:r>
      <w:r w:rsidR="006B7687" w:rsidRPr="00BC0D1F">
        <w:t>.</w:t>
      </w:r>
    </w:p>
    <w:p w14:paraId="5466BC69" w14:textId="77777777" w:rsidR="00DD0FC4" w:rsidRPr="00BC0D1F" w:rsidRDefault="00DD0FC4" w:rsidP="006B7687"/>
    <w:p w14:paraId="0456F432" w14:textId="77777777" w:rsidR="006B7687" w:rsidRPr="00BC0D1F" w:rsidRDefault="006B7687">
      <w:pPr>
        <w:spacing w:line="240" w:lineRule="auto"/>
        <w:rPr>
          <w:b/>
          <w:sz w:val="28"/>
        </w:rPr>
      </w:pPr>
      <w:r w:rsidRPr="00BC0D1F">
        <w:br w:type="page"/>
      </w:r>
    </w:p>
    <w:p w14:paraId="16E2D2CC" w14:textId="77777777" w:rsidR="00DD0FC4" w:rsidRPr="00BC0D1F" w:rsidRDefault="00DD0FC4" w:rsidP="006A557B">
      <w:pPr>
        <w:pStyle w:val="Heading2"/>
        <w:spacing w:before="0"/>
      </w:pPr>
      <w:bookmarkStart w:id="165" w:name="_Toc463507932"/>
      <w:r w:rsidRPr="00BC0D1F">
        <w:lastRenderedPageBreak/>
        <w:t>Statement of movements in equity for the year ended 30 June 2016</w:t>
      </w:r>
      <w:bookmarkEnd w:id="165"/>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111"/>
        <w:gridCol w:w="709"/>
        <w:gridCol w:w="1134"/>
        <w:gridCol w:w="1134"/>
        <w:gridCol w:w="1134"/>
      </w:tblGrid>
      <w:tr w:rsidR="006B7687" w:rsidRPr="00BC0D1F" w14:paraId="143DCDED" w14:textId="77777777" w:rsidTr="0014210E">
        <w:trPr>
          <w:cantSplit/>
        </w:trPr>
        <w:tc>
          <w:tcPr>
            <w:tcW w:w="1134" w:type="dxa"/>
            <w:tcBorders>
              <w:top w:val="single" w:sz="4" w:space="0" w:color="auto"/>
              <w:bottom w:val="single" w:sz="4" w:space="0" w:color="auto"/>
              <w:right w:val="nil"/>
            </w:tcBorders>
            <w:shd w:val="solid" w:color="FFFFFF" w:fill="auto"/>
          </w:tcPr>
          <w:p w14:paraId="16BD8B2B" w14:textId="77777777" w:rsidR="006B7687" w:rsidRPr="00BC0D1F" w:rsidRDefault="006B7687" w:rsidP="0014210E">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111" w:type="dxa"/>
            <w:tcBorders>
              <w:top w:val="single" w:sz="4" w:space="0" w:color="auto"/>
              <w:left w:val="nil"/>
              <w:bottom w:val="single" w:sz="4" w:space="0" w:color="auto"/>
            </w:tcBorders>
            <w:shd w:val="solid" w:color="FFFFFF" w:fill="auto"/>
          </w:tcPr>
          <w:p w14:paraId="0090A6CC" w14:textId="77777777" w:rsidR="006B7687" w:rsidRPr="00BC0D1F" w:rsidRDefault="006B7687" w:rsidP="0014210E">
            <w:pPr>
              <w:pStyle w:val="TableText"/>
              <w:rPr>
                <w:b/>
                <w:lang w:eastAsia="en-NZ"/>
              </w:rPr>
            </w:pPr>
          </w:p>
        </w:tc>
        <w:tc>
          <w:tcPr>
            <w:tcW w:w="709" w:type="dxa"/>
            <w:tcBorders>
              <w:top w:val="single" w:sz="4" w:space="0" w:color="auto"/>
              <w:left w:val="nil"/>
              <w:bottom w:val="single" w:sz="4" w:space="0" w:color="auto"/>
            </w:tcBorders>
            <w:shd w:val="solid" w:color="FFFFFF" w:fill="auto"/>
          </w:tcPr>
          <w:p w14:paraId="485BA019" w14:textId="77777777" w:rsidR="006B7687" w:rsidRPr="00BC0D1F" w:rsidRDefault="006B7687" w:rsidP="0014210E">
            <w:pPr>
              <w:pStyle w:val="TableText"/>
              <w:jc w:val="center"/>
              <w:rPr>
                <w:b/>
                <w:lang w:eastAsia="en-NZ"/>
              </w:rPr>
            </w:pPr>
            <w:r w:rsidRPr="00BC0D1F">
              <w:rPr>
                <w:b/>
                <w:lang w:eastAsia="en-NZ"/>
              </w:rPr>
              <w:t>Note</w:t>
            </w:r>
          </w:p>
        </w:tc>
        <w:tc>
          <w:tcPr>
            <w:tcW w:w="1134" w:type="dxa"/>
            <w:tcBorders>
              <w:top w:val="single" w:sz="4" w:space="0" w:color="auto"/>
              <w:bottom w:val="single" w:sz="4" w:space="0" w:color="auto"/>
            </w:tcBorders>
            <w:shd w:val="clear" w:color="E3E3E3" w:fill="D9D9D9"/>
          </w:tcPr>
          <w:p w14:paraId="7E19BD90" w14:textId="77777777" w:rsidR="006B7687" w:rsidRPr="00BC0D1F" w:rsidRDefault="006B7687" w:rsidP="0014210E">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3C8A4ADA" w14:textId="77777777" w:rsidR="006B7687" w:rsidRPr="00BC0D1F" w:rsidRDefault="006B7687" w:rsidP="0014210E">
            <w:pPr>
              <w:pStyle w:val="TableText"/>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20666BAF" w14:textId="77777777" w:rsidR="006B7687" w:rsidRPr="00BC0D1F" w:rsidRDefault="006B7687" w:rsidP="0014210E">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DB771A" w:rsidRPr="00BC0D1F" w14:paraId="0501D08E" w14:textId="77777777" w:rsidTr="00DB771A">
        <w:trPr>
          <w:cantSplit/>
        </w:trPr>
        <w:tc>
          <w:tcPr>
            <w:tcW w:w="1134" w:type="dxa"/>
            <w:tcBorders>
              <w:top w:val="single" w:sz="4" w:space="0" w:color="auto"/>
              <w:right w:val="nil"/>
            </w:tcBorders>
            <w:shd w:val="solid" w:color="FFFFFF" w:fill="auto"/>
          </w:tcPr>
          <w:p w14:paraId="2211BD2A" w14:textId="77777777" w:rsidR="00DB771A" w:rsidRPr="00BC0D1F" w:rsidRDefault="00DB771A" w:rsidP="00DB771A">
            <w:pPr>
              <w:pStyle w:val="TableText"/>
              <w:ind w:right="284"/>
              <w:jc w:val="right"/>
            </w:pPr>
            <w:r w:rsidRPr="00BC0D1F">
              <w:t>34,647</w:t>
            </w:r>
          </w:p>
        </w:tc>
        <w:tc>
          <w:tcPr>
            <w:tcW w:w="4111" w:type="dxa"/>
            <w:tcBorders>
              <w:top w:val="single" w:sz="4" w:space="0" w:color="auto"/>
              <w:left w:val="nil"/>
            </w:tcBorders>
            <w:shd w:val="solid" w:color="FFFFFF" w:fill="auto"/>
          </w:tcPr>
          <w:p w14:paraId="1D92B35A" w14:textId="77777777" w:rsidR="00DB771A" w:rsidRPr="00BC0D1F" w:rsidRDefault="00DB771A" w:rsidP="0014210E">
            <w:pPr>
              <w:pStyle w:val="TableText"/>
              <w:rPr>
                <w:b/>
                <w:bCs/>
              </w:rPr>
            </w:pPr>
            <w:r w:rsidRPr="00BC0D1F">
              <w:rPr>
                <w:b/>
                <w:bCs/>
              </w:rPr>
              <w:t>Balance at 1 July</w:t>
            </w:r>
          </w:p>
        </w:tc>
        <w:tc>
          <w:tcPr>
            <w:tcW w:w="709" w:type="dxa"/>
            <w:tcBorders>
              <w:top w:val="single" w:sz="4" w:space="0" w:color="auto"/>
              <w:left w:val="nil"/>
            </w:tcBorders>
            <w:shd w:val="solid" w:color="FFFFFF" w:fill="auto"/>
          </w:tcPr>
          <w:p w14:paraId="1FF734ED" w14:textId="77777777" w:rsidR="00DB771A" w:rsidRPr="00BC0D1F" w:rsidRDefault="00DB771A" w:rsidP="00DB771A">
            <w:pPr>
              <w:pStyle w:val="TableText"/>
              <w:jc w:val="center"/>
              <w:rPr>
                <w:b/>
                <w:bCs/>
              </w:rPr>
            </w:pPr>
          </w:p>
        </w:tc>
        <w:tc>
          <w:tcPr>
            <w:tcW w:w="1134" w:type="dxa"/>
            <w:tcBorders>
              <w:top w:val="single" w:sz="4" w:space="0" w:color="auto"/>
            </w:tcBorders>
            <w:shd w:val="clear" w:color="E3E3E3" w:fill="D9D9D9"/>
          </w:tcPr>
          <w:p w14:paraId="69B62889" w14:textId="77777777" w:rsidR="00DB771A" w:rsidRPr="00BC0D1F" w:rsidRDefault="00DB771A" w:rsidP="00DB771A">
            <w:pPr>
              <w:pStyle w:val="TableText"/>
              <w:ind w:right="113"/>
              <w:jc w:val="right"/>
            </w:pPr>
            <w:r w:rsidRPr="00BC0D1F">
              <w:t>35,292</w:t>
            </w:r>
          </w:p>
        </w:tc>
        <w:tc>
          <w:tcPr>
            <w:tcW w:w="1134" w:type="dxa"/>
            <w:tcBorders>
              <w:top w:val="single" w:sz="4" w:space="0" w:color="auto"/>
            </w:tcBorders>
          </w:tcPr>
          <w:p w14:paraId="0C3DF1B4" w14:textId="77777777" w:rsidR="00DB771A" w:rsidRPr="00BC0D1F" w:rsidRDefault="00DB771A" w:rsidP="00DB771A">
            <w:pPr>
              <w:pStyle w:val="TableText"/>
              <w:jc w:val="right"/>
            </w:pPr>
            <w:r w:rsidRPr="00BC0D1F">
              <w:t>35,292</w:t>
            </w:r>
          </w:p>
        </w:tc>
        <w:tc>
          <w:tcPr>
            <w:tcW w:w="1134" w:type="dxa"/>
            <w:tcBorders>
              <w:top w:val="single" w:sz="4" w:space="0" w:color="auto"/>
            </w:tcBorders>
          </w:tcPr>
          <w:p w14:paraId="3F6E4960" w14:textId="03F6E991" w:rsidR="00DB771A" w:rsidRPr="00BC0D1F" w:rsidRDefault="00DB771A" w:rsidP="008D3000">
            <w:pPr>
              <w:pStyle w:val="TableText"/>
              <w:jc w:val="right"/>
            </w:pPr>
            <w:r w:rsidRPr="00BC0D1F">
              <w:t>35,14</w:t>
            </w:r>
            <w:r w:rsidR="008D3000">
              <w:t>9</w:t>
            </w:r>
          </w:p>
        </w:tc>
      </w:tr>
      <w:tr w:rsidR="00DB771A" w:rsidRPr="00BC0D1F" w14:paraId="0D14E99A" w14:textId="77777777" w:rsidTr="00DB771A">
        <w:trPr>
          <w:cantSplit/>
        </w:trPr>
        <w:tc>
          <w:tcPr>
            <w:tcW w:w="1134" w:type="dxa"/>
            <w:tcBorders>
              <w:right w:val="nil"/>
            </w:tcBorders>
            <w:shd w:val="solid" w:color="FFFFFF" w:fill="auto"/>
          </w:tcPr>
          <w:p w14:paraId="31AA818C" w14:textId="77777777" w:rsidR="00DB771A" w:rsidRPr="00BC0D1F" w:rsidRDefault="00DB771A" w:rsidP="006D4D06">
            <w:pPr>
              <w:pStyle w:val="TableText"/>
              <w:ind w:right="284"/>
              <w:jc w:val="right"/>
            </w:pPr>
            <w:r w:rsidRPr="00BC0D1F">
              <w:t>(1</w:t>
            </w:r>
            <w:r w:rsidR="008234DC" w:rsidRPr="00BC0D1F">
              <w:t>,</w:t>
            </w:r>
            <w:r w:rsidRPr="00BC0D1F">
              <w:t>105)</w:t>
            </w:r>
          </w:p>
        </w:tc>
        <w:tc>
          <w:tcPr>
            <w:tcW w:w="4111" w:type="dxa"/>
            <w:tcBorders>
              <w:left w:val="nil"/>
            </w:tcBorders>
            <w:shd w:val="solid" w:color="FFFFFF" w:fill="auto"/>
          </w:tcPr>
          <w:p w14:paraId="7538A6E8" w14:textId="77777777" w:rsidR="00DB771A" w:rsidRPr="00BC0D1F" w:rsidRDefault="00DB771A" w:rsidP="0014210E">
            <w:pPr>
              <w:pStyle w:val="TableText"/>
            </w:pPr>
            <w:r w:rsidRPr="00BC0D1F">
              <w:t>Total comprehensive revenue and expense</w:t>
            </w:r>
          </w:p>
        </w:tc>
        <w:tc>
          <w:tcPr>
            <w:tcW w:w="709" w:type="dxa"/>
            <w:tcBorders>
              <w:left w:val="nil"/>
            </w:tcBorders>
            <w:shd w:val="solid" w:color="FFFFFF" w:fill="auto"/>
          </w:tcPr>
          <w:p w14:paraId="19680453" w14:textId="77777777" w:rsidR="00DB771A" w:rsidRPr="00BC0D1F" w:rsidRDefault="00DB771A" w:rsidP="00DB771A">
            <w:pPr>
              <w:pStyle w:val="TableText"/>
              <w:jc w:val="center"/>
            </w:pPr>
          </w:p>
        </w:tc>
        <w:tc>
          <w:tcPr>
            <w:tcW w:w="1134" w:type="dxa"/>
            <w:shd w:val="clear" w:color="E3E3E3" w:fill="D9D9D9"/>
          </w:tcPr>
          <w:p w14:paraId="467AA950" w14:textId="7F6412A9" w:rsidR="00DB771A" w:rsidRPr="00BC0D1F" w:rsidRDefault="00DB771A" w:rsidP="008D3000">
            <w:pPr>
              <w:pStyle w:val="TableText"/>
              <w:ind w:right="113"/>
              <w:jc w:val="right"/>
            </w:pPr>
            <w:r w:rsidRPr="00BC0D1F">
              <w:t>(14</w:t>
            </w:r>
            <w:r w:rsidR="008D3000">
              <w:t>3</w:t>
            </w:r>
            <w:r w:rsidRPr="00BC0D1F">
              <w:t>)</w:t>
            </w:r>
          </w:p>
        </w:tc>
        <w:tc>
          <w:tcPr>
            <w:tcW w:w="1134" w:type="dxa"/>
          </w:tcPr>
          <w:p w14:paraId="6ABE2EA3" w14:textId="77777777" w:rsidR="00DB771A" w:rsidRPr="00BC0D1F" w:rsidRDefault="00DB771A" w:rsidP="00DB771A">
            <w:pPr>
              <w:pStyle w:val="TableText"/>
              <w:jc w:val="right"/>
            </w:pPr>
            <w:r w:rsidRPr="00BC0D1F">
              <w:t>–</w:t>
            </w:r>
          </w:p>
        </w:tc>
        <w:tc>
          <w:tcPr>
            <w:tcW w:w="1134" w:type="dxa"/>
          </w:tcPr>
          <w:p w14:paraId="1D10157C" w14:textId="77777777" w:rsidR="00DB771A" w:rsidRPr="00BC0D1F" w:rsidRDefault="00DB771A" w:rsidP="00DB771A">
            <w:pPr>
              <w:pStyle w:val="TableText"/>
              <w:jc w:val="right"/>
            </w:pPr>
            <w:r w:rsidRPr="00BC0D1F">
              <w:t>–</w:t>
            </w:r>
          </w:p>
        </w:tc>
      </w:tr>
      <w:tr w:rsidR="00DB771A" w:rsidRPr="00BC0D1F" w14:paraId="72090B0E" w14:textId="77777777" w:rsidTr="00DB771A">
        <w:trPr>
          <w:cantSplit/>
        </w:trPr>
        <w:tc>
          <w:tcPr>
            <w:tcW w:w="1134" w:type="dxa"/>
            <w:tcBorders>
              <w:right w:val="nil"/>
            </w:tcBorders>
            <w:shd w:val="solid" w:color="FFFFFF" w:fill="auto"/>
          </w:tcPr>
          <w:p w14:paraId="76526B38" w14:textId="77777777" w:rsidR="00DB771A" w:rsidRPr="00BC0D1F" w:rsidRDefault="00DB771A" w:rsidP="00DB771A">
            <w:pPr>
              <w:pStyle w:val="TableText"/>
              <w:ind w:right="284"/>
              <w:jc w:val="right"/>
            </w:pPr>
            <w:r w:rsidRPr="00BC0D1F">
              <w:t>233</w:t>
            </w:r>
          </w:p>
        </w:tc>
        <w:tc>
          <w:tcPr>
            <w:tcW w:w="4111" w:type="dxa"/>
            <w:tcBorders>
              <w:left w:val="nil"/>
            </w:tcBorders>
            <w:shd w:val="solid" w:color="FFFFFF" w:fill="auto"/>
          </w:tcPr>
          <w:p w14:paraId="52E83EFA" w14:textId="77777777" w:rsidR="00DB771A" w:rsidRPr="00BC0D1F" w:rsidRDefault="00DB771A" w:rsidP="0014210E">
            <w:pPr>
              <w:pStyle w:val="TableText"/>
            </w:pPr>
            <w:r w:rsidRPr="00BC0D1F">
              <w:t>Memorandum account write off</w:t>
            </w:r>
          </w:p>
        </w:tc>
        <w:tc>
          <w:tcPr>
            <w:tcW w:w="709" w:type="dxa"/>
            <w:tcBorders>
              <w:left w:val="nil"/>
            </w:tcBorders>
            <w:shd w:val="solid" w:color="FFFFFF" w:fill="auto"/>
          </w:tcPr>
          <w:p w14:paraId="32C4CB92" w14:textId="77777777" w:rsidR="00DB771A" w:rsidRPr="00BC0D1F" w:rsidRDefault="00DB771A" w:rsidP="00DB771A">
            <w:pPr>
              <w:pStyle w:val="TableText"/>
              <w:jc w:val="center"/>
            </w:pPr>
          </w:p>
        </w:tc>
        <w:tc>
          <w:tcPr>
            <w:tcW w:w="1134" w:type="dxa"/>
            <w:shd w:val="clear" w:color="E3E3E3" w:fill="D9D9D9"/>
          </w:tcPr>
          <w:p w14:paraId="42C27635" w14:textId="77777777" w:rsidR="00DB771A" w:rsidRPr="00BC0D1F" w:rsidRDefault="00DB771A" w:rsidP="00DB771A">
            <w:pPr>
              <w:pStyle w:val="TableText"/>
              <w:ind w:right="113"/>
              <w:jc w:val="right"/>
            </w:pPr>
            <w:r w:rsidRPr="00BC0D1F">
              <w:t>–</w:t>
            </w:r>
          </w:p>
        </w:tc>
        <w:tc>
          <w:tcPr>
            <w:tcW w:w="1134" w:type="dxa"/>
          </w:tcPr>
          <w:p w14:paraId="393DA4BF" w14:textId="77777777" w:rsidR="00DB771A" w:rsidRPr="00BC0D1F" w:rsidRDefault="00DB771A" w:rsidP="00DB771A">
            <w:pPr>
              <w:pStyle w:val="TableText"/>
              <w:jc w:val="right"/>
            </w:pPr>
            <w:r w:rsidRPr="00BC0D1F">
              <w:t>–</w:t>
            </w:r>
          </w:p>
        </w:tc>
        <w:tc>
          <w:tcPr>
            <w:tcW w:w="1134" w:type="dxa"/>
          </w:tcPr>
          <w:p w14:paraId="0CE616E5" w14:textId="77777777" w:rsidR="00DB771A" w:rsidRPr="00BC0D1F" w:rsidRDefault="00DB771A" w:rsidP="00DB771A">
            <w:pPr>
              <w:pStyle w:val="TableText"/>
              <w:jc w:val="right"/>
            </w:pPr>
          </w:p>
        </w:tc>
      </w:tr>
      <w:tr w:rsidR="00DB771A" w:rsidRPr="00BC0D1F" w14:paraId="1CA857B6" w14:textId="77777777" w:rsidTr="00DB771A">
        <w:trPr>
          <w:cantSplit/>
        </w:trPr>
        <w:tc>
          <w:tcPr>
            <w:tcW w:w="1134" w:type="dxa"/>
            <w:tcBorders>
              <w:right w:val="nil"/>
            </w:tcBorders>
          </w:tcPr>
          <w:p w14:paraId="5FFA1D4F" w14:textId="77777777" w:rsidR="00DB771A" w:rsidRPr="00BC0D1F" w:rsidRDefault="00DB771A" w:rsidP="00DB771A">
            <w:pPr>
              <w:pStyle w:val="TableText"/>
              <w:spacing w:before="240"/>
              <w:ind w:right="284"/>
              <w:jc w:val="right"/>
            </w:pPr>
          </w:p>
        </w:tc>
        <w:tc>
          <w:tcPr>
            <w:tcW w:w="4111" w:type="dxa"/>
            <w:tcBorders>
              <w:left w:val="nil"/>
            </w:tcBorders>
            <w:shd w:val="solid" w:color="FFFFFF" w:fill="auto"/>
          </w:tcPr>
          <w:p w14:paraId="1943380B" w14:textId="77777777" w:rsidR="00DB771A" w:rsidRPr="00BC0D1F" w:rsidRDefault="00DB771A" w:rsidP="00DB771A">
            <w:pPr>
              <w:pStyle w:val="TableText"/>
              <w:spacing w:before="240"/>
              <w:rPr>
                <w:b/>
                <w:bCs/>
              </w:rPr>
            </w:pPr>
            <w:r w:rsidRPr="00BC0D1F">
              <w:rPr>
                <w:b/>
                <w:bCs/>
              </w:rPr>
              <w:t>Owner transactions</w:t>
            </w:r>
          </w:p>
        </w:tc>
        <w:tc>
          <w:tcPr>
            <w:tcW w:w="709" w:type="dxa"/>
            <w:tcBorders>
              <w:left w:val="nil"/>
            </w:tcBorders>
            <w:shd w:val="solid" w:color="FFFFFF" w:fill="auto"/>
          </w:tcPr>
          <w:p w14:paraId="42C9B764" w14:textId="77777777" w:rsidR="00DB771A" w:rsidRPr="00BC0D1F" w:rsidRDefault="00DB771A" w:rsidP="00DB771A">
            <w:pPr>
              <w:pStyle w:val="TableText"/>
              <w:spacing w:before="240"/>
              <w:jc w:val="center"/>
            </w:pPr>
          </w:p>
        </w:tc>
        <w:tc>
          <w:tcPr>
            <w:tcW w:w="1134" w:type="dxa"/>
            <w:shd w:val="clear" w:color="E3E3E3" w:fill="D9D9D9"/>
          </w:tcPr>
          <w:p w14:paraId="4F8D5669" w14:textId="77777777" w:rsidR="00DB771A" w:rsidRPr="00BC0D1F" w:rsidRDefault="00DB771A" w:rsidP="00DB771A">
            <w:pPr>
              <w:pStyle w:val="TableText"/>
              <w:spacing w:before="240"/>
              <w:ind w:right="113"/>
              <w:jc w:val="right"/>
            </w:pPr>
          </w:p>
        </w:tc>
        <w:tc>
          <w:tcPr>
            <w:tcW w:w="1134" w:type="dxa"/>
          </w:tcPr>
          <w:p w14:paraId="7C38E73D" w14:textId="7E982811" w:rsidR="00DB771A" w:rsidRPr="00BC0D1F" w:rsidRDefault="00DB771A" w:rsidP="00DB771A">
            <w:pPr>
              <w:pStyle w:val="TableText"/>
              <w:spacing w:before="240"/>
              <w:jc w:val="right"/>
            </w:pPr>
          </w:p>
        </w:tc>
        <w:tc>
          <w:tcPr>
            <w:tcW w:w="1134" w:type="dxa"/>
          </w:tcPr>
          <w:p w14:paraId="2E0BFAFC" w14:textId="77777777" w:rsidR="00DB771A" w:rsidRPr="00BC0D1F" w:rsidRDefault="00DB771A" w:rsidP="00DB771A">
            <w:pPr>
              <w:pStyle w:val="TableText"/>
              <w:spacing w:before="240"/>
              <w:jc w:val="right"/>
              <w:rPr>
                <w:b/>
                <w:bCs/>
              </w:rPr>
            </w:pPr>
          </w:p>
        </w:tc>
      </w:tr>
      <w:tr w:rsidR="00DB771A" w:rsidRPr="00BC0D1F" w14:paraId="04ACCCE7" w14:textId="77777777" w:rsidTr="00DB771A">
        <w:trPr>
          <w:cantSplit/>
        </w:trPr>
        <w:tc>
          <w:tcPr>
            <w:tcW w:w="1134" w:type="dxa"/>
            <w:tcBorders>
              <w:bottom w:val="nil"/>
              <w:right w:val="nil"/>
            </w:tcBorders>
            <w:shd w:val="solid" w:color="FFFFFF" w:fill="auto"/>
          </w:tcPr>
          <w:p w14:paraId="0139A382" w14:textId="77777777" w:rsidR="00DB771A" w:rsidRPr="00BC0D1F" w:rsidRDefault="00DB771A" w:rsidP="006D4D06">
            <w:pPr>
              <w:pStyle w:val="TableText"/>
              <w:ind w:right="284"/>
              <w:jc w:val="right"/>
            </w:pPr>
            <w:r w:rsidRPr="00BC0D1F">
              <w:t>1</w:t>
            </w:r>
            <w:r w:rsidR="008234DC" w:rsidRPr="00BC0D1F">
              <w:t>,</w:t>
            </w:r>
            <w:r w:rsidRPr="00BC0D1F">
              <w:t>517</w:t>
            </w:r>
          </w:p>
        </w:tc>
        <w:tc>
          <w:tcPr>
            <w:tcW w:w="4111" w:type="dxa"/>
            <w:tcBorders>
              <w:left w:val="nil"/>
              <w:bottom w:val="nil"/>
            </w:tcBorders>
            <w:shd w:val="solid" w:color="FFFFFF" w:fill="auto"/>
          </w:tcPr>
          <w:p w14:paraId="1B426328" w14:textId="77777777" w:rsidR="00DB771A" w:rsidRPr="00BC0D1F" w:rsidRDefault="00DB771A" w:rsidP="0014210E">
            <w:pPr>
              <w:pStyle w:val="TableText"/>
            </w:pPr>
            <w:r w:rsidRPr="00BC0D1F">
              <w:t>Capital injection</w:t>
            </w:r>
          </w:p>
        </w:tc>
        <w:tc>
          <w:tcPr>
            <w:tcW w:w="709" w:type="dxa"/>
            <w:tcBorders>
              <w:left w:val="nil"/>
              <w:bottom w:val="nil"/>
            </w:tcBorders>
            <w:shd w:val="solid" w:color="FFFFFF" w:fill="auto"/>
          </w:tcPr>
          <w:p w14:paraId="5CE2C076" w14:textId="77777777" w:rsidR="00DB771A" w:rsidRPr="00BC0D1F" w:rsidRDefault="00DB771A" w:rsidP="00DB771A">
            <w:pPr>
              <w:pStyle w:val="TableText"/>
              <w:jc w:val="center"/>
              <w:rPr>
                <w:b/>
                <w:bCs/>
              </w:rPr>
            </w:pPr>
          </w:p>
        </w:tc>
        <w:tc>
          <w:tcPr>
            <w:tcW w:w="1134" w:type="dxa"/>
            <w:tcBorders>
              <w:bottom w:val="nil"/>
            </w:tcBorders>
            <w:shd w:val="clear" w:color="E3E3E3" w:fill="D9D9D9"/>
          </w:tcPr>
          <w:p w14:paraId="01FE466D" w14:textId="3038656F" w:rsidR="00DB771A" w:rsidRPr="00BC0D1F" w:rsidRDefault="00C13BF2" w:rsidP="00DB771A">
            <w:pPr>
              <w:pStyle w:val="TableText"/>
              <w:ind w:right="113"/>
              <w:jc w:val="right"/>
            </w:pPr>
            <w:r w:rsidRPr="00BC0D1F">
              <w:t>–</w:t>
            </w:r>
          </w:p>
        </w:tc>
        <w:tc>
          <w:tcPr>
            <w:tcW w:w="1134" w:type="dxa"/>
            <w:tcBorders>
              <w:bottom w:val="nil"/>
            </w:tcBorders>
          </w:tcPr>
          <w:p w14:paraId="12E06D69" w14:textId="77777777" w:rsidR="00DB771A" w:rsidRPr="00BC0D1F" w:rsidRDefault="00DB771A" w:rsidP="00DB771A">
            <w:pPr>
              <w:pStyle w:val="TableText"/>
              <w:jc w:val="right"/>
            </w:pPr>
            <w:r w:rsidRPr="00BC0D1F">
              <w:t>315</w:t>
            </w:r>
          </w:p>
        </w:tc>
        <w:tc>
          <w:tcPr>
            <w:tcW w:w="1134" w:type="dxa"/>
            <w:tcBorders>
              <w:bottom w:val="nil"/>
            </w:tcBorders>
          </w:tcPr>
          <w:p w14:paraId="46D21642" w14:textId="77777777" w:rsidR="00DB771A" w:rsidRPr="00BC0D1F" w:rsidRDefault="00DB771A" w:rsidP="00DB771A">
            <w:pPr>
              <w:pStyle w:val="TableText"/>
              <w:jc w:val="right"/>
            </w:pPr>
            <w:r w:rsidRPr="00BC0D1F">
              <w:t>–</w:t>
            </w:r>
          </w:p>
        </w:tc>
      </w:tr>
      <w:tr w:rsidR="00DB771A" w:rsidRPr="00BC0D1F" w14:paraId="4F743E97" w14:textId="77777777" w:rsidTr="00DB771A">
        <w:trPr>
          <w:cantSplit/>
        </w:trPr>
        <w:tc>
          <w:tcPr>
            <w:tcW w:w="1134" w:type="dxa"/>
            <w:tcBorders>
              <w:top w:val="nil"/>
              <w:bottom w:val="nil"/>
              <w:right w:val="nil"/>
            </w:tcBorders>
            <w:shd w:val="solid" w:color="FFFFFF" w:fill="auto"/>
          </w:tcPr>
          <w:p w14:paraId="743D751C" w14:textId="77777777" w:rsidR="00DB771A" w:rsidRPr="00BC0D1F" w:rsidRDefault="00DB771A" w:rsidP="00DB771A">
            <w:pPr>
              <w:pStyle w:val="TableText"/>
              <w:ind w:right="284"/>
              <w:jc w:val="right"/>
            </w:pPr>
            <w:r w:rsidRPr="00BC0D1F">
              <w:t>–</w:t>
            </w:r>
          </w:p>
        </w:tc>
        <w:tc>
          <w:tcPr>
            <w:tcW w:w="4111" w:type="dxa"/>
            <w:tcBorders>
              <w:top w:val="nil"/>
              <w:left w:val="nil"/>
              <w:bottom w:val="nil"/>
            </w:tcBorders>
            <w:shd w:val="solid" w:color="FFFFFF" w:fill="auto"/>
          </w:tcPr>
          <w:p w14:paraId="74C2A00A" w14:textId="77777777" w:rsidR="00DB771A" w:rsidRPr="00BC0D1F" w:rsidRDefault="00DB771A" w:rsidP="0014210E">
            <w:pPr>
              <w:pStyle w:val="TableText"/>
            </w:pPr>
            <w:r w:rsidRPr="00BC0D1F">
              <w:t>Return of operating surplus to the Crown</w:t>
            </w:r>
          </w:p>
        </w:tc>
        <w:tc>
          <w:tcPr>
            <w:tcW w:w="709" w:type="dxa"/>
            <w:tcBorders>
              <w:top w:val="nil"/>
              <w:left w:val="nil"/>
              <w:bottom w:val="nil"/>
            </w:tcBorders>
            <w:shd w:val="solid" w:color="FFFFFF" w:fill="auto"/>
          </w:tcPr>
          <w:p w14:paraId="69829CFC" w14:textId="77777777" w:rsidR="00DB771A" w:rsidRPr="00BC0D1F" w:rsidRDefault="00DB771A" w:rsidP="00DB771A">
            <w:pPr>
              <w:pStyle w:val="TableText"/>
              <w:jc w:val="center"/>
              <w:rPr>
                <w:b/>
                <w:bCs/>
              </w:rPr>
            </w:pPr>
            <w:r w:rsidRPr="00BC0D1F">
              <w:rPr>
                <w:b/>
                <w:bCs/>
              </w:rPr>
              <w:t>9</w:t>
            </w:r>
          </w:p>
        </w:tc>
        <w:tc>
          <w:tcPr>
            <w:tcW w:w="1134" w:type="dxa"/>
            <w:tcBorders>
              <w:top w:val="nil"/>
              <w:bottom w:val="nil"/>
            </w:tcBorders>
            <w:shd w:val="clear" w:color="E3E3E3" w:fill="D9D9D9"/>
          </w:tcPr>
          <w:p w14:paraId="52CD6B67" w14:textId="22BD97E4" w:rsidR="00DB771A" w:rsidRPr="00BC0D1F" w:rsidRDefault="00202C6B" w:rsidP="00DB771A">
            <w:pPr>
              <w:pStyle w:val="TableText"/>
              <w:ind w:right="113"/>
              <w:jc w:val="right"/>
            </w:pPr>
            <w:r>
              <w:t>(608)</w:t>
            </w:r>
          </w:p>
        </w:tc>
        <w:tc>
          <w:tcPr>
            <w:tcW w:w="1134" w:type="dxa"/>
            <w:tcBorders>
              <w:top w:val="nil"/>
              <w:bottom w:val="nil"/>
            </w:tcBorders>
          </w:tcPr>
          <w:p w14:paraId="2D9E31ED" w14:textId="77777777" w:rsidR="00DB771A" w:rsidRPr="00BC0D1F" w:rsidRDefault="00DB771A" w:rsidP="00DB771A">
            <w:pPr>
              <w:pStyle w:val="TableText"/>
              <w:jc w:val="right"/>
            </w:pPr>
            <w:r w:rsidRPr="00BC0D1F">
              <w:t>–</w:t>
            </w:r>
          </w:p>
        </w:tc>
        <w:tc>
          <w:tcPr>
            <w:tcW w:w="1134" w:type="dxa"/>
            <w:tcBorders>
              <w:top w:val="nil"/>
              <w:bottom w:val="nil"/>
            </w:tcBorders>
          </w:tcPr>
          <w:p w14:paraId="28EE0CF8" w14:textId="77777777" w:rsidR="00DB771A" w:rsidRPr="00BC0D1F" w:rsidRDefault="00DB771A" w:rsidP="00DB771A">
            <w:pPr>
              <w:pStyle w:val="TableText"/>
              <w:jc w:val="right"/>
            </w:pPr>
            <w:r w:rsidRPr="00BC0D1F">
              <w:t>–</w:t>
            </w:r>
          </w:p>
        </w:tc>
      </w:tr>
      <w:tr w:rsidR="00DB771A" w:rsidRPr="00BC0D1F" w14:paraId="0C57363C" w14:textId="77777777" w:rsidTr="00DB771A">
        <w:trPr>
          <w:cantSplit/>
        </w:trPr>
        <w:tc>
          <w:tcPr>
            <w:tcW w:w="1134" w:type="dxa"/>
            <w:tcBorders>
              <w:top w:val="nil"/>
              <w:right w:val="nil"/>
            </w:tcBorders>
            <w:shd w:val="solid" w:color="FFFFFF" w:fill="auto"/>
          </w:tcPr>
          <w:p w14:paraId="3991FF0C" w14:textId="77777777" w:rsidR="00DB771A" w:rsidRPr="00BC0D1F" w:rsidRDefault="00DB771A" w:rsidP="00DB771A">
            <w:pPr>
              <w:pStyle w:val="TableText"/>
              <w:spacing w:before="240"/>
              <w:ind w:right="284"/>
              <w:jc w:val="right"/>
              <w:rPr>
                <w:b/>
                <w:bCs/>
              </w:rPr>
            </w:pPr>
            <w:r w:rsidRPr="00BC0D1F">
              <w:rPr>
                <w:b/>
                <w:bCs/>
              </w:rPr>
              <w:t>35,292</w:t>
            </w:r>
          </w:p>
        </w:tc>
        <w:tc>
          <w:tcPr>
            <w:tcW w:w="4111" w:type="dxa"/>
            <w:tcBorders>
              <w:top w:val="nil"/>
              <w:left w:val="nil"/>
            </w:tcBorders>
            <w:shd w:val="solid" w:color="FFFFFF" w:fill="auto"/>
          </w:tcPr>
          <w:p w14:paraId="30F2412F" w14:textId="77777777" w:rsidR="00DB771A" w:rsidRPr="00BC0D1F" w:rsidRDefault="00DB771A" w:rsidP="00DB771A">
            <w:pPr>
              <w:pStyle w:val="TableText"/>
              <w:spacing w:before="240"/>
              <w:rPr>
                <w:b/>
                <w:bCs/>
              </w:rPr>
            </w:pPr>
            <w:r w:rsidRPr="00BC0D1F">
              <w:rPr>
                <w:b/>
                <w:bCs/>
              </w:rPr>
              <w:t>Balance at 30 June</w:t>
            </w:r>
          </w:p>
        </w:tc>
        <w:tc>
          <w:tcPr>
            <w:tcW w:w="709" w:type="dxa"/>
            <w:tcBorders>
              <w:top w:val="nil"/>
              <w:left w:val="nil"/>
            </w:tcBorders>
            <w:shd w:val="solid" w:color="FFFFFF" w:fill="auto"/>
          </w:tcPr>
          <w:p w14:paraId="58BB6909" w14:textId="77777777" w:rsidR="00DB771A" w:rsidRPr="00BC0D1F" w:rsidRDefault="00DB771A" w:rsidP="00DB771A">
            <w:pPr>
              <w:pStyle w:val="TableText"/>
              <w:spacing w:before="240"/>
              <w:jc w:val="center"/>
              <w:rPr>
                <w:b/>
                <w:bCs/>
              </w:rPr>
            </w:pPr>
          </w:p>
        </w:tc>
        <w:tc>
          <w:tcPr>
            <w:tcW w:w="1134" w:type="dxa"/>
            <w:tcBorders>
              <w:top w:val="nil"/>
            </w:tcBorders>
            <w:shd w:val="clear" w:color="E3E3E3" w:fill="D9D9D9"/>
          </w:tcPr>
          <w:p w14:paraId="28B96A9E" w14:textId="5D96DB63" w:rsidR="00DB771A" w:rsidRPr="00BC0D1F" w:rsidRDefault="00202C6B" w:rsidP="008D3000">
            <w:pPr>
              <w:pStyle w:val="TableText"/>
              <w:spacing w:before="240"/>
              <w:ind w:right="113"/>
              <w:jc w:val="right"/>
              <w:rPr>
                <w:b/>
                <w:bCs/>
              </w:rPr>
            </w:pPr>
            <w:r>
              <w:rPr>
                <w:b/>
                <w:bCs/>
              </w:rPr>
              <w:t>34,541</w:t>
            </w:r>
          </w:p>
        </w:tc>
        <w:tc>
          <w:tcPr>
            <w:tcW w:w="1134" w:type="dxa"/>
            <w:tcBorders>
              <w:top w:val="nil"/>
            </w:tcBorders>
          </w:tcPr>
          <w:p w14:paraId="6C3BFBE6" w14:textId="77777777" w:rsidR="00DB771A" w:rsidRPr="00BC0D1F" w:rsidRDefault="00DB771A" w:rsidP="00DB771A">
            <w:pPr>
              <w:pStyle w:val="TableText"/>
              <w:spacing w:before="240"/>
              <w:jc w:val="right"/>
              <w:rPr>
                <w:b/>
                <w:bCs/>
              </w:rPr>
            </w:pPr>
            <w:r w:rsidRPr="00BC0D1F">
              <w:rPr>
                <w:b/>
                <w:bCs/>
              </w:rPr>
              <w:t>35,607</w:t>
            </w:r>
          </w:p>
        </w:tc>
        <w:tc>
          <w:tcPr>
            <w:tcW w:w="1134" w:type="dxa"/>
            <w:tcBorders>
              <w:top w:val="nil"/>
            </w:tcBorders>
          </w:tcPr>
          <w:p w14:paraId="543B91DA" w14:textId="51C4A596" w:rsidR="00DB771A" w:rsidRPr="00BC0D1F" w:rsidRDefault="00DB771A" w:rsidP="008D3000">
            <w:pPr>
              <w:pStyle w:val="TableText"/>
              <w:spacing w:before="240"/>
              <w:jc w:val="right"/>
              <w:rPr>
                <w:b/>
                <w:bCs/>
              </w:rPr>
            </w:pPr>
            <w:r w:rsidRPr="00BC0D1F">
              <w:rPr>
                <w:b/>
                <w:bCs/>
              </w:rPr>
              <w:t>35,14</w:t>
            </w:r>
            <w:r w:rsidR="008D3000">
              <w:rPr>
                <w:b/>
                <w:bCs/>
              </w:rPr>
              <w:t>9</w:t>
            </w:r>
          </w:p>
        </w:tc>
      </w:tr>
    </w:tbl>
    <w:p w14:paraId="08C84DB4" w14:textId="77777777" w:rsidR="00DD0FC4" w:rsidRPr="00BC0D1F" w:rsidRDefault="00DD0FC4" w:rsidP="00DB771A"/>
    <w:p w14:paraId="0759A4D2" w14:textId="77777777" w:rsidR="00DB771A" w:rsidRPr="00BC0D1F" w:rsidRDefault="00DB771A">
      <w:pPr>
        <w:spacing w:line="240" w:lineRule="auto"/>
        <w:rPr>
          <w:b/>
          <w:sz w:val="28"/>
        </w:rPr>
      </w:pPr>
      <w:r w:rsidRPr="00BC0D1F">
        <w:br w:type="page"/>
      </w:r>
    </w:p>
    <w:p w14:paraId="1514C922" w14:textId="77777777" w:rsidR="00DD0FC4" w:rsidRPr="00BC0D1F" w:rsidRDefault="00DD0FC4" w:rsidP="006A557B">
      <w:pPr>
        <w:pStyle w:val="Heading2"/>
        <w:spacing w:before="0"/>
      </w:pPr>
      <w:bookmarkStart w:id="166" w:name="_Toc463507933"/>
      <w:r w:rsidRPr="00BC0D1F">
        <w:lastRenderedPageBreak/>
        <w:t>Statement of financial position as at 30 June 2016</w:t>
      </w:r>
      <w:bookmarkEnd w:id="166"/>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111"/>
        <w:gridCol w:w="709"/>
        <w:gridCol w:w="1134"/>
        <w:gridCol w:w="1134"/>
        <w:gridCol w:w="1134"/>
      </w:tblGrid>
      <w:tr w:rsidR="00DB771A" w:rsidRPr="00BC0D1F" w14:paraId="6BC52413" w14:textId="77777777" w:rsidTr="0014210E">
        <w:trPr>
          <w:cantSplit/>
        </w:trPr>
        <w:tc>
          <w:tcPr>
            <w:tcW w:w="1134" w:type="dxa"/>
            <w:tcBorders>
              <w:top w:val="single" w:sz="4" w:space="0" w:color="auto"/>
              <w:bottom w:val="single" w:sz="4" w:space="0" w:color="auto"/>
              <w:right w:val="nil"/>
            </w:tcBorders>
            <w:shd w:val="solid" w:color="FFFFFF" w:fill="auto"/>
          </w:tcPr>
          <w:p w14:paraId="5974E3B5" w14:textId="77777777" w:rsidR="00DB771A" w:rsidRPr="00BC0D1F" w:rsidRDefault="00DB771A" w:rsidP="006A557B">
            <w:pPr>
              <w:pStyle w:val="TableText"/>
              <w:spacing w:before="50" w:after="50"/>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111" w:type="dxa"/>
            <w:tcBorders>
              <w:top w:val="single" w:sz="4" w:space="0" w:color="auto"/>
              <w:left w:val="nil"/>
              <w:bottom w:val="single" w:sz="4" w:space="0" w:color="auto"/>
            </w:tcBorders>
            <w:shd w:val="solid" w:color="FFFFFF" w:fill="auto"/>
          </w:tcPr>
          <w:p w14:paraId="74508618" w14:textId="77777777" w:rsidR="00DB771A" w:rsidRPr="00BC0D1F" w:rsidRDefault="00DB771A" w:rsidP="006A557B">
            <w:pPr>
              <w:pStyle w:val="TableText"/>
              <w:spacing w:before="50" w:after="50"/>
              <w:rPr>
                <w:b/>
                <w:lang w:eastAsia="en-NZ"/>
              </w:rPr>
            </w:pPr>
          </w:p>
        </w:tc>
        <w:tc>
          <w:tcPr>
            <w:tcW w:w="709" w:type="dxa"/>
            <w:tcBorders>
              <w:top w:val="single" w:sz="4" w:space="0" w:color="auto"/>
              <w:left w:val="nil"/>
              <w:bottom w:val="single" w:sz="4" w:space="0" w:color="auto"/>
            </w:tcBorders>
            <w:shd w:val="solid" w:color="FFFFFF" w:fill="auto"/>
          </w:tcPr>
          <w:p w14:paraId="503543C6" w14:textId="77777777" w:rsidR="00DB771A" w:rsidRPr="00BC0D1F" w:rsidRDefault="00DB771A" w:rsidP="006A557B">
            <w:pPr>
              <w:pStyle w:val="TableText"/>
              <w:spacing w:before="50" w:after="50"/>
              <w:jc w:val="center"/>
              <w:rPr>
                <w:b/>
                <w:lang w:eastAsia="en-NZ"/>
              </w:rPr>
            </w:pPr>
            <w:r w:rsidRPr="00BC0D1F">
              <w:rPr>
                <w:b/>
                <w:lang w:eastAsia="en-NZ"/>
              </w:rPr>
              <w:t>Note</w:t>
            </w:r>
          </w:p>
        </w:tc>
        <w:tc>
          <w:tcPr>
            <w:tcW w:w="1134" w:type="dxa"/>
            <w:tcBorders>
              <w:top w:val="single" w:sz="4" w:space="0" w:color="auto"/>
              <w:bottom w:val="single" w:sz="4" w:space="0" w:color="auto"/>
            </w:tcBorders>
            <w:shd w:val="clear" w:color="E3E3E3" w:fill="D9D9D9"/>
          </w:tcPr>
          <w:p w14:paraId="2675E2EA" w14:textId="77777777" w:rsidR="00DB771A" w:rsidRPr="00BC0D1F" w:rsidRDefault="00DB771A" w:rsidP="006A557B">
            <w:pPr>
              <w:pStyle w:val="TableText"/>
              <w:spacing w:before="50" w:after="50"/>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138EF8A3" w14:textId="77777777" w:rsidR="00DB771A" w:rsidRPr="00BC0D1F" w:rsidRDefault="00DB771A" w:rsidP="006A557B">
            <w:pPr>
              <w:pStyle w:val="TableText"/>
              <w:spacing w:before="50" w:after="50"/>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6EE53F95" w14:textId="77777777" w:rsidR="00DB771A" w:rsidRPr="00BC0D1F" w:rsidRDefault="00DB771A" w:rsidP="006A557B">
            <w:pPr>
              <w:pStyle w:val="TableText"/>
              <w:spacing w:before="50" w:after="50"/>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DB771A" w:rsidRPr="00BC0D1F" w14:paraId="38841C5B" w14:textId="77777777" w:rsidTr="0014210E">
        <w:trPr>
          <w:cantSplit/>
        </w:trPr>
        <w:tc>
          <w:tcPr>
            <w:tcW w:w="1134" w:type="dxa"/>
            <w:tcBorders>
              <w:top w:val="single" w:sz="4" w:space="0" w:color="auto"/>
              <w:right w:val="nil"/>
            </w:tcBorders>
            <w:shd w:val="solid" w:color="FFFFFF" w:fill="auto"/>
          </w:tcPr>
          <w:p w14:paraId="0505CAF1" w14:textId="77777777" w:rsidR="00DB771A" w:rsidRPr="00BC0D1F" w:rsidRDefault="00DB771A" w:rsidP="006A557B">
            <w:pPr>
              <w:pStyle w:val="TableText"/>
              <w:spacing w:before="50" w:after="50"/>
              <w:ind w:right="284"/>
              <w:jc w:val="right"/>
            </w:pPr>
          </w:p>
        </w:tc>
        <w:tc>
          <w:tcPr>
            <w:tcW w:w="4111" w:type="dxa"/>
            <w:tcBorders>
              <w:top w:val="single" w:sz="4" w:space="0" w:color="auto"/>
              <w:left w:val="nil"/>
            </w:tcBorders>
            <w:shd w:val="solid" w:color="FFFFFF" w:fill="auto"/>
          </w:tcPr>
          <w:p w14:paraId="4A473187" w14:textId="77777777" w:rsidR="00DB771A" w:rsidRPr="00BC0D1F" w:rsidRDefault="00DB771A" w:rsidP="006A557B">
            <w:pPr>
              <w:pStyle w:val="TableText"/>
              <w:spacing w:before="50" w:after="50"/>
              <w:rPr>
                <w:b/>
                <w:bCs/>
              </w:rPr>
            </w:pPr>
            <w:r w:rsidRPr="00BC0D1F">
              <w:rPr>
                <w:b/>
                <w:bCs/>
              </w:rPr>
              <w:t>Equity</w:t>
            </w:r>
          </w:p>
        </w:tc>
        <w:tc>
          <w:tcPr>
            <w:tcW w:w="709" w:type="dxa"/>
            <w:tcBorders>
              <w:top w:val="single" w:sz="4" w:space="0" w:color="auto"/>
              <w:left w:val="nil"/>
            </w:tcBorders>
            <w:shd w:val="solid" w:color="FFFFFF" w:fill="auto"/>
          </w:tcPr>
          <w:p w14:paraId="2843E7CE" w14:textId="77777777" w:rsidR="00DB771A" w:rsidRPr="00BC0D1F" w:rsidRDefault="00DB771A" w:rsidP="006A557B">
            <w:pPr>
              <w:pStyle w:val="TableText"/>
              <w:spacing w:before="50" w:after="50"/>
            </w:pPr>
          </w:p>
        </w:tc>
        <w:tc>
          <w:tcPr>
            <w:tcW w:w="1134" w:type="dxa"/>
            <w:tcBorders>
              <w:top w:val="single" w:sz="4" w:space="0" w:color="auto"/>
            </w:tcBorders>
            <w:shd w:val="clear" w:color="E3E3E3" w:fill="D9D9D9"/>
          </w:tcPr>
          <w:p w14:paraId="5020828E" w14:textId="77777777" w:rsidR="00DB771A" w:rsidRPr="00BC0D1F" w:rsidRDefault="00DB771A" w:rsidP="006A557B">
            <w:pPr>
              <w:pStyle w:val="TableText"/>
              <w:spacing w:before="50" w:after="50"/>
              <w:ind w:right="113"/>
              <w:jc w:val="right"/>
              <w:rPr>
                <w:b/>
                <w:bCs/>
              </w:rPr>
            </w:pPr>
          </w:p>
        </w:tc>
        <w:tc>
          <w:tcPr>
            <w:tcW w:w="1134" w:type="dxa"/>
            <w:tcBorders>
              <w:top w:val="single" w:sz="4" w:space="0" w:color="auto"/>
            </w:tcBorders>
          </w:tcPr>
          <w:p w14:paraId="0A3D6EAF" w14:textId="77777777" w:rsidR="00DB771A" w:rsidRPr="00BC0D1F" w:rsidRDefault="00DB771A" w:rsidP="006A557B">
            <w:pPr>
              <w:pStyle w:val="TableText"/>
              <w:spacing w:before="50" w:after="50"/>
              <w:jc w:val="right"/>
              <w:rPr>
                <w:b/>
                <w:bCs/>
              </w:rPr>
            </w:pPr>
          </w:p>
        </w:tc>
        <w:tc>
          <w:tcPr>
            <w:tcW w:w="1134" w:type="dxa"/>
            <w:tcBorders>
              <w:top w:val="single" w:sz="4" w:space="0" w:color="auto"/>
            </w:tcBorders>
          </w:tcPr>
          <w:p w14:paraId="71CBF508" w14:textId="77777777" w:rsidR="00DB771A" w:rsidRPr="00BC0D1F" w:rsidRDefault="00DB771A" w:rsidP="006A557B">
            <w:pPr>
              <w:pStyle w:val="TableText"/>
              <w:spacing w:before="50" w:after="50"/>
              <w:jc w:val="right"/>
            </w:pPr>
          </w:p>
        </w:tc>
      </w:tr>
      <w:tr w:rsidR="00DB771A" w:rsidRPr="00BC0D1F" w14:paraId="56A05742" w14:textId="77777777" w:rsidTr="0014210E">
        <w:trPr>
          <w:cantSplit/>
        </w:trPr>
        <w:tc>
          <w:tcPr>
            <w:tcW w:w="1134" w:type="dxa"/>
            <w:tcBorders>
              <w:right w:val="nil"/>
            </w:tcBorders>
            <w:shd w:val="solid" w:color="FFFFFF" w:fill="auto"/>
          </w:tcPr>
          <w:p w14:paraId="3F40B0FE" w14:textId="77777777" w:rsidR="00DB771A" w:rsidRPr="00BC0D1F" w:rsidRDefault="00DB771A" w:rsidP="006A557B">
            <w:pPr>
              <w:pStyle w:val="TableText"/>
              <w:spacing w:before="50" w:after="50"/>
              <w:ind w:right="284"/>
              <w:jc w:val="right"/>
            </w:pPr>
            <w:r w:rsidRPr="00BC0D1F">
              <w:t>30,159</w:t>
            </w:r>
          </w:p>
        </w:tc>
        <w:tc>
          <w:tcPr>
            <w:tcW w:w="4111" w:type="dxa"/>
            <w:tcBorders>
              <w:left w:val="nil"/>
            </w:tcBorders>
            <w:shd w:val="solid" w:color="FFFFFF" w:fill="auto"/>
          </w:tcPr>
          <w:p w14:paraId="2FD2C343" w14:textId="77777777" w:rsidR="00DB771A" w:rsidRPr="00BC0D1F" w:rsidRDefault="00DB771A" w:rsidP="006A557B">
            <w:pPr>
              <w:pStyle w:val="TableText"/>
              <w:spacing w:before="50" w:after="50"/>
            </w:pPr>
            <w:r w:rsidRPr="00BC0D1F">
              <w:t>Taxpayer</w:t>
            </w:r>
            <w:r w:rsidR="0093551C" w:rsidRPr="00BC0D1F">
              <w:t>’</w:t>
            </w:r>
            <w:r w:rsidRPr="00BC0D1F">
              <w:t>s funds</w:t>
            </w:r>
          </w:p>
        </w:tc>
        <w:tc>
          <w:tcPr>
            <w:tcW w:w="709" w:type="dxa"/>
            <w:tcBorders>
              <w:left w:val="nil"/>
            </w:tcBorders>
            <w:shd w:val="solid" w:color="FFFFFF" w:fill="auto"/>
          </w:tcPr>
          <w:p w14:paraId="4399A3A7" w14:textId="77777777" w:rsidR="00DB771A" w:rsidRPr="00BC0D1F" w:rsidRDefault="00DB771A" w:rsidP="006A557B">
            <w:pPr>
              <w:pStyle w:val="TableText"/>
              <w:spacing w:before="50" w:after="50"/>
              <w:rPr>
                <w:b/>
                <w:bCs/>
              </w:rPr>
            </w:pPr>
            <w:r w:rsidRPr="00BC0D1F">
              <w:rPr>
                <w:b/>
                <w:bCs/>
              </w:rPr>
              <w:t>12</w:t>
            </w:r>
          </w:p>
        </w:tc>
        <w:tc>
          <w:tcPr>
            <w:tcW w:w="1134" w:type="dxa"/>
            <w:shd w:val="clear" w:color="E3E3E3" w:fill="D9D9D9"/>
          </w:tcPr>
          <w:p w14:paraId="78280DFD" w14:textId="53043799" w:rsidR="00DB771A" w:rsidRPr="00BC0D1F" w:rsidRDefault="00202C6B" w:rsidP="008D3000">
            <w:pPr>
              <w:pStyle w:val="TableText"/>
              <w:spacing w:before="50" w:after="50"/>
              <w:ind w:right="113"/>
              <w:jc w:val="right"/>
            </w:pPr>
            <w:r>
              <w:t>30,159</w:t>
            </w:r>
          </w:p>
        </w:tc>
        <w:tc>
          <w:tcPr>
            <w:tcW w:w="1134" w:type="dxa"/>
          </w:tcPr>
          <w:p w14:paraId="33AD9853" w14:textId="77777777" w:rsidR="00DB771A" w:rsidRPr="00BC0D1F" w:rsidRDefault="00DB771A" w:rsidP="006A557B">
            <w:pPr>
              <w:pStyle w:val="TableText"/>
              <w:spacing w:before="50" w:after="50"/>
              <w:jc w:val="right"/>
            </w:pPr>
            <w:r w:rsidRPr="00BC0D1F">
              <w:t>30,474</w:t>
            </w:r>
          </w:p>
        </w:tc>
        <w:tc>
          <w:tcPr>
            <w:tcW w:w="1134" w:type="dxa"/>
          </w:tcPr>
          <w:p w14:paraId="25B973E8" w14:textId="4284D504" w:rsidR="00DB771A" w:rsidRPr="00BC0D1F" w:rsidRDefault="00DB771A" w:rsidP="008D3000">
            <w:pPr>
              <w:pStyle w:val="TableText"/>
              <w:spacing w:before="50" w:after="50"/>
              <w:jc w:val="right"/>
            </w:pPr>
            <w:r w:rsidRPr="00BC0D1F">
              <w:t>30,76</w:t>
            </w:r>
            <w:r w:rsidR="008D3000">
              <w:t>7</w:t>
            </w:r>
          </w:p>
        </w:tc>
      </w:tr>
      <w:tr w:rsidR="00DB771A" w:rsidRPr="00BC0D1F" w14:paraId="3C79132D" w14:textId="77777777" w:rsidTr="0014210E">
        <w:trPr>
          <w:cantSplit/>
        </w:trPr>
        <w:tc>
          <w:tcPr>
            <w:tcW w:w="1134" w:type="dxa"/>
            <w:tcBorders>
              <w:right w:val="nil"/>
            </w:tcBorders>
            <w:shd w:val="solid" w:color="FFFFFF" w:fill="auto"/>
          </w:tcPr>
          <w:p w14:paraId="60405FDB" w14:textId="77777777" w:rsidR="00DB771A" w:rsidRPr="00BC0D1F" w:rsidRDefault="00DB771A" w:rsidP="006A557B">
            <w:pPr>
              <w:pStyle w:val="TableText"/>
              <w:spacing w:before="50" w:after="50"/>
              <w:ind w:right="284"/>
              <w:jc w:val="right"/>
            </w:pPr>
            <w:r w:rsidRPr="00BC0D1F">
              <w:t>2</w:t>
            </w:r>
            <w:r w:rsidR="008234DC" w:rsidRPr="00BC0D1F">
              <w:t>,</w:t>
            </w:r>
            <w:r w:rsidRPr="00BC0D1F">
              <w:t>040</w:t>
            </w:r>
          </w:p>
        </w:tc>
        <w:tc>
          <w:tcPr>
            <w:tcW w:w="4111" w:type="dxa"/>
            <w:tcBorders>
              <w:left w:val="nil"/>
            </w:tcBorders>
            <w:shd w:val="solid" w:color="FFFFFF" w:fill="auto"/>
          </w:tcPr>
          <w:p w14:paraId="20AA4F71" w14:textId="77777777" w:rsidR="00DB771A" w:rsidRPr="00BC0D1F" w:rsidRDefault="00DB771A" w:rsidP="006A557B">
            <w:pPr>
              <w:pStyle w:val="TableText"/>
              <w:spacing w:before="50" w:after="50"/>
            </w:pPr>
            <w:r w:rsidRPr="00BC0D1F">
              <w:t>Land and building revaluation reserve</w:t>
            </w:r>
          </w:p>
        </w:tc>
        <w:tc>
          <w:tcPr>
            <w:tcW w:w="709" w:type="dxa"/>
            <w:tcBorders>
              <w:left w:val="nil"/>
            </w:tcBorders>
            <w:shd w:val="solid" w:color="FFFFFF" w:fill="auto"/>
          </w:tcPr>
          <w:p w14:paraId="40B677B2" w14:textId="77777777" w:rsidR="00DB771A" w:rsidRPr="00BC0D1F" w:rsidRDefault="00DB771A" w:rsidP="006A557B">
            <w:pPr>
              <w:pStyle w:val="TableText"/>
              <w:spacing w:before="50" w:after="50"/>
              <w:rPr>
                <w:b/>
                <w:bCs/>
              </w:rPr>
            </w:pPr>
            <w:r w:rsidRPr="00BC0D1F">
              <w:rPr>
                <w:b/>
                <w:bCs/>
              </w:rPr>
              <w:t>12</w:t>
            </w:r>
          </w:p>
        </w:tc>
        <w:tc>
          <w:tcPr>
            <w:tcW w:w="1134" w:type="dxa"/>
            <w:shd w:val="clear" w:color="E3E3E3" w:fill="D9D9D9"/>
          </w:tcPr>
          <w:p w14:paraId="331AB2BE" w14:textId="77777777" w:rsidR="00DB771A" w:rsidRPr="00BC0D1F" w:rsidRDefault="00DB771A" w:rsidP="006A557B">
            <w:pPr>
              <w:pStyle w:val="TableText"/>
              <w:spacing w:before="50" w:after="50"/>
              <w:ind w:right="113"/>
              <w:jc w:val="right"/>
            </w:pPr>
            <w:r w:rsidRPr="00BC0D1F">
              <w:t>2</w:t>
            </w:r>
            <w:r w:rsidR="008234DC" w:rsidRPr="00BC0D1F">
              <w:t>,</w:t>
            </w:r>
            <w:r w:rsidRPr="00BC0D1F">
              <w:t>590</w:t>
            </w:r>
          </w:p>
        </w:tc>
        <w:tc>
          <w:tcPr>
            <w:tcW w:w="1134" w:type="dxa"/>
          </w:tcPr>
          <w:p w14:paraId="2247FD04" w14:textId="77777777" w:rsidR="00DB771A" w:rsidRPr="00BC0D1F" w:rsidRDefault="00DB771A" w:rsidP="006A557B">
            <w:pPr>
              <w:pStyle w:val="TableText"/>
              <w:spacing w:before="50" w:after="50"/>
              <w:jc w:val="right"/>
            </w:pPr>
            <w:r w:rsidRPr="00BC0D1F">
              <w:t>2</w:t>
            </w:r>
            <w:r w:rsidR="008234DC" w:rsidRPr="00BC0D1F">
              <w:t>,</w:t>
            </w:r>
            <w:r w:rsidRPr="00BC0D1F">
              <w:t>040</w:t>
            </w:r>
          </w:p>
        </w:tc>
        <w:tc>
          <w:tcPr>
            <w:tcW w:w="1134" w:type="dxa"/>
          </w:tcPr>
          <w:p w14:paraId="3EC23BB3" w14:textId="77777777" w:rsidR="00DB771A" w:rsidRPr="00BC0D1F" w:rsidRDefault="00DB771A" w:rsidP="006A557B">
            <w:pPr>
              <w:pStyle w:val="TableText"/>
              <w:spacing w:before="50" w:after="50"/>
              <w:jc w:val="right"/>
            </w:pPr>
            <w:r w:rsidRPr="00BC0D1F">
              <w:t>2</w:t>
            </w:r>
            <w:r w:rsidR="008234DC" w:rsidRPr="00BC0D1F">
              <w:t>,</w:t>
            </w:r>
            <w:r w:rsidRPr="00BC0D1F">
              <w:t>590</w:t>
            </w:r>
          </w:p>
        </w:tc>
      </w:tr>
      <w:tr w:rsidR="00DB771A" w:rsidRPr="00BC0D1F" w14:paraId="29645D48" w14:textId="77777777" w:rsidTr="0014210E">
        <w:trPr>
          <w:cantSplit/>
        </w:trPr>
        <w:tc>
          <w:tcPr>
            <w:tcW w:w="1134" w:type="dxa"/>
            <w:tcBorders>
              <w:right w:val="nil"/>
            </w:tcBorders>
          </w:tcPr>
          <w:p w14:paraId="0BE17453" w14:textId="77777777" w:rsidR="00DB771A" w:rsidRPr="00BC0D1F" w:rsidRDefault="00DB771A" w:rsidP="006A557B">
            <w:pPr>
              <w:pStyle w:val="TableText"/>
              <w:spacing w:before="50" w:after="50"/>
              <w:ind w:right="284"/>
              <w:jc w:val="right"/>
            </w:pPr>
            <w:r w:rsidRPr="00BC0D1F">
              <w:t>3</w:t>
            </w:r>
            <w:r w:rsidR="008234DC" w:rsidRPr="00BC0D1F">
              <w:t>,</w:t>
            </w:r>
            <w:r w:rsidRPr="00BC0D1F">
              <w:t>093</w:t>
            </w:r>
          </w:p>
        </w:tc>
        <w:tc>
          <w:tcPr>
            <w:tcW w:w="4111" w:type="dxa"/>
            <w:tcBorders>
              <w:left w:val="nil"/>
            </w:tcBorders>
            <w:shd w:val="solid" w:color="FFFFFF" w:fill="auto"/>
          </w:tcPr>
          <w:p w14:paraId="633858DC" w14:textId="77777777" w:rsidR="00DB771A" w:rsidRPr="00BC0D1F" w:rsidRDefault="00DB771A" w:rsidP="006A557B">
            <w:pPr>
              <w:pStyle w:val="TableText"/>
              <w:spacing w:before="50" w:after="50"/>
            </w:pPr>
            <w:r w:rsidRPr="00BC0D1F">
              <w:t>Memorandum accounts</w:t>
            </w:r>
          </w:p>
        </w:tc>
        <w:tc>
          <w:tcPr>
            <w:tcW w:w="709" w:type="dxa"/>
            <w:tcBorders>
              <w:left w:val="nil"/>
            </w:tcBorders>
            <w:shd w:val="solid" w:color="FFFFFF" w:fill="auto"/>
          </w:tcPr>
          <w:p w14:paraId="03B5DF6B" w14:textId="77777777" w:rsidR="00DB771A" w:rsidRPr="00BC0D1F" w:rsidRDefault="00DB771A" w:rsidP="006A557B">
            <w:pPr>
              <w:pStyle w:val="TableText"/>
              <w:spacing w:before="50" w:after="50"/>
              <w:rPr>
                <w:b/>
                <w:bCs/>
              </w:rPr>
            </w:pPr>
            <w:r w:rsidRPr="00BC0D1F">
              <w:rPr>
                <w:b/>
                <w:bCs/>
              </w:rPr>
              <w:t>12</w:t>
            </w:r>
          </w:p>
        </w:tc>
        <w:tc>
          <w:tcPr>
            <w:tcW w:w="1134" w:type="dxa"/>
            <w:shd w:val="clear" w:color="E3E3E3" w:fill="D9D9D9"/>
          </w:tcPr>
          <w:p w14:paraId="7348CA22" w14:textId="77777777" w:rsidR="00DB771A" w:rsidRPr="00BC0D1F" w:rsidRDefault="00DB771A" w:rsidP="006A557B">
            <w:pPr>
              <w:pStyle w:val="TableText"/>
              <w:spacing w:before="50" w:after="50"/>
              <w:ind w:right="113"/>
              <w:jc w:val="right"/>
            </w:pPr>
            <w:r w:rsidRPr="00BC0D1F">
              <w:t>1</w:t>
            </w:r>
            <w:r w:rsidR="008234DC" w:rsidRPr="00BC0D1F">
              <w:t>,</w:t>
            </w:r>
            <w:r w:rsidRPr="00BC0D1F">
              <w:t>792</w:t>
            </w:r>
          </w:p>
        </w:tc>
        <w:tc>
          <w:tcPr>
            <w:tcW w:w="1134" w:type="dxa"/>
          </w:tcPr>
          <w:p w14:paraId="4A7F7861" w14:textId="77777777" w:rsidR="00DB771A" w:rsidRPr="00BC0D1F" w:rsidRDefault="00DB771A" w:rsidP="006A557B">
            <w:pPr>
              <w:pStyle w:val="TableText"/>
              <w:spacing w:before="50" w:after="50"/>
              <w:jc w:val="right"/>
            </w:pPr>
            <w:r w:rsidRPr="00BC0D1F">
              <w:t>3</w:t>
            </w:r>
            <w:r w:rsidR="008234DC" w:rsidRPr="00BC0D1F">
              <w:t>,</w:t>
            </w:r>
            <w:r w:rsidRPr="00BC0D1F">
              <w:t>093</w:t>
            </w:r>
          </w:p>
        </w:tc>
        <w:tc>
          <w:tcPr>
            <w:tcW w:w="1134" w:type="dxa"/>
          </w:tcPr>
          <w:p w14:paraId="173A0F29" w14:textId="77777777" w:rsidR="00DB771A" w:rsidRPr="00BC0D1F" w:rsidRDefault="00DB771A" w:rsidP="006A557B">
            <w:pPr>
              <w:pStyle w:val="TableText"/>
              <w:spacing w:before="50" w:after="50"/>
              <w:jc w:val="right"/>
            </w:pPr>
            <w:r w:rsidRPr="00BC0D1F">
              <w:t>1</w:t>
            </w:r>
            <w:r w:rsidR="008234DC" w:rsidRPr="00BC0D1F">
              <w:t>,</w:t>
            </w:r>
            <w:r w:rsidRPr="00BC0D1F">
              <w:t>792</w:t>
            </w:r>
          </w:p>
        </w:tc>
      </w:tr>
      <w:tr w:rsidR="00DB771A" w:rsidRPr="00BC0D1F" w14:paraId="2FE12DC4" w14:textId="77777777" w:rsidTr="0014210E">
        <w:trPr>
          <w:cantSplit/>
        </w:trPr>
        <w:tc>
          <w:tcPr>
            <w:tcW w:w="1134" w:type="dxa"/>
            <w:tcBorders>
              <w:bottom w:val="nil"/>
              <w:right w:val="nil"/>
            </w:tcBorders>
            <w:shd w:val="solid" w:color="FFFFFF" w:fill="auto"/>
          </w:tcPr>
          <w:p w14:paraId="0A5B4E47" w14:textId="77777777" w:rsidR="00DB771A" w:rsidRPr="00BC0D1F" w:rsidRDefault="00DB771A" w:rsidP="006A557B">
            <w:pPr>
              <w:pStyle w:val="TableText"/>
              <w:spacing w:before="50" w:after="50"/>
              <w:ind w:right="284"/>
              <w:jc w:val="right"/>
              <w:rPr>
                <w:b/>
                <w:bCs/>
              </w:rPr>
            </w:pPr>
            <w:r w:rsidRPr="00BC0D1F">
              <w:rPr>
                <w:b/>
                <w:bCs/>
              </w:rPr>
              <w:t>35,292</w:t>
            </w:r>
          </w:p>
        </w:tc>
        <w:tc>
          <w:tcPr>
            <w:tcW w:w="4111" w:type="dxa"/>
            <w:tcBorders>
              <w:left w:val="nil"/>
              <w:bottom w:val="nil"/>
            </w:tcBorders>
            <w:shd w:val="solid" w:color="FFFFFF" w:fill="auto"/>
          </w:tcPr>
          <w:p w14:paraId="6BD6B954" w14:textId="77777777" w:rsidR="00DB771A" w:rsidRPr="00BC0D1F" w:rsidRDefault="00DB771A" w:rsidP="006A557B">
            <w:pPr>
              <w:pStyle w:val="TableText"/>
              <w:spacing w:before="50" w:after="50"/>
              <w:rPr>
                <w:b/>
                <w:bCs/>
              </w:rPr>
            </w:pPr>
            <w:r w:rsidRPr="00BC0D1F">
              <w:rPr>
                <w:b/>
                <w:bCs/>
              </w:rPr>
              <w:t>Total equity</w:t>
            </w:r>
          </w:p>
        </w:tc>
        <w:tc>
          <w:tcPr>
            <w:tcW w:w="709" w:type="dxa"/>
            <w:tcBorders>
              <w:left w:val="nil"/>
              <w:bottom w:val="nil"/>
            </w:tcBorders>
            <w:shd w:val="solid" w:color="FFFFFF" w:fill="auto"/>
          </w:tcPr>
          <w:p w14:paraId="2790CCEB" w14:textId="77777777" w:rsidR="00DB771A" w:rsidRPr="00BC0D1F" w:rsidRDefault="00DB771A" w:rsidP="006A557B">
            <w:pPr>
              <w:pStyle w:val="TableText"/>
              <w:spacing w:before="50" w:after="50"/>
              <w:rPr>
                <w:b/>
                <w:bCs/>
              </w:rPr>
            </w:pPr>
          </w:p>
        </w:tc>
        <w:tc>
          <w:tcPr>
            <w:tcW w:w="1134" w:type="dxa"/>
            <w:tcBorders>
              <w:bottom w:val="nil"/>
            </w:tcBorders>
            <w:shd w:val="clear" w:color="E3E3E3" w:fill="D9D9D9"/>
          </w:tcPr>
          <w:p w14:paraId="79122185" w14:textId="1C6225F5" w:rsidR="00DB771A" w:rsidRPr="00BC0D1F" w:rsidRDefault="00202C6B" w:rsidP="008D3000">
            <w:pPr>
              <w:pStyle w:val="TableText"/>
              <w:spacing w:before="50" w:after="50"/>
              <w:ind w:right="113"/>
              <w:jc w:val="right"/>
              <w:rPr>
                <w:b/>
                <w:bCs/>
              </w:rPr>
            </w:pPr>
            <w:r>
              <w:rPr>
                <w:b/>
                <w:bCs/>
              </w:rPr>
              <w:t>34,541</w:t>
            </w:r>
          </w:p>
        </w:tc>
        <w:tc>
          <w:tcPr>
            <w:tcW w:w="1134" w:type="dxa"/>
            <w:tcBorders>
              <w:bottom w:val="nil"/>
            </w:tcBorders>
          </w:tcPr>
          <w:p w14:paraId="479CD677" w14:textId="77777777" w:rsidR="00DB771A" w:rsidRPr="00BC0D1F" w:rsidRDefault="00DB771A" w:rsidP="006A557B">
            <w:pPr>
              <w:pStyle w:val="TableText"/>
              <w:spacing w:before="50" w:after="50"/>
              <w:jc w:val="right"/>
              <w:rPr>
                <w:b/>
                <w:bCs/>
              </w:rPr>
            </w:pPr>
            <w:r w:rsidRPr="00BC0D1F">
              <w:rPr>
                <w:b/>
                <w:bCs/>
              </w:rPr>
              <w:t>35,607</w:t>
            </w:r>
          </w:p>
        </w:tc>
        <w:tc>
          <w:tcPr>
            <w:tcW w:w="1134" w:type="dxa"/>
            <w:tcBorders>
              <w:bottom w:val="nil"/>
            </w:tcBorders>
          </w:tcPr>
          <w:p w14:paraId="66DC637A" w14:textId="24C1511C" w:rsidR="00DB771A" w:rsidRPr="00BC0D1F" w:rsidRDefault="00DB771A" w:rsidP="008D3000">
            <w:pPr>
              <w:pStyle w:val="TableText"/>
              <w:spacing w:before="50" w:after="50"/>
              <w:jc w:val="right"/>
              <w:rPr>
                <w:b/>
                <w:bCs/>
              </w:rPr>
            </w:pPr>
            <w:r w:rsidRPr="00BC0D1F">
              <w:rPr>
                <w:b/>
                <w:bCs/>
              </w:rPr>
              <w:t>35,14</w:t>
            </w:r>
            <w:r w:rsidR="008D3000">
              <w:rPr>
                <w:b/>
                <w:bCs/>
              </w:rPr>
              <w:t>9</w:t>
            </w:r>
          </w:p>
        </w:tc>
      </w:tr>
      <w:tr w:rsidR="00DB771A" w:rsidRPr="00BC0D1F" w14:paraId="0584867F" w14:textId="77777777" w:rsidTr="0014210E">
        <w:trPr>
          <w:cantSplit/>
        </w:trPr>
        <w:tc>
          <w:tcPr>
            <w:tcW w:w="1134" w:type="dxa"/>
            <w:tcBorders>
              <w:top w:val="nil"/>
              <w:bottom w:val="nil"/>
              <w:right w:val="nil"/>
            </w:tcBorders>
            <w:shd w:val="solid" w:color="FFFFFF" w:fill="auto"/>
          </w:tcPr>
          <w:p w14:paraId="6CA58800" w14:textId="77777777" w:rsidR="00DB771A" w:rsidRPr="00BC0D1F" w:rsidRDefault="00DB771A" w:rsidP="006A557B">
            <w:pPr>
              <w:pStyle w:val="TableText"/>
              <w:spacing w:before="180" w:after="50"/>
              <w:ind w:right="284"/>
              <w:jc w:val="right"/>
            </w:pPr>
          </w:p>
        </w:tc>
        <w:tc>
          <w:tcPr>
            <w:tcW w:w="4111" w:type="dxa"/>
            <w:tcBorders>
              <w:top w:val="nil"/>
              <w:left w:val="nil"/>
              <w:bottom w:val="nil"/>
            </w:tcBorders>
            <w:shd w:val="solid" w:color="FFFFFF" w:fill="auto"/>
          </w:tcPr>
          <w:p w14:paraId="255F5300" w14:textId="77777777" w:rsidR="00DB771A" w:rsidRPr="00BC0D1F" w:rsidRDefault="00DB771A" w:rsidP="006A557B">
            <w:pPr>
              <w:pStyle w:val="TableText"/>
              <w:spacing w:before="180" w:after="50"/>
            </w:pPr>
            <w:r w:rsidRPr="00BC0D1F">
              <w:t>Represented by:</w:t>
            </w:r>
          </w:p>
        </w:tc>
        <w:tc>
          <w:tcPr>
            <w:tcW w:w="709" w:type="dxa"/>
            <w:tcBorders>
              <w:top w:val="nil"/>
              <w:left w:val="nil"/>
              <w:bottom w:val="nil"/>
            </w:tcBorders>
            <w:shd w:val="solid" w:color="FFFFFF" w:fill="auto"/>
          </w:tcPr>
          <w:p w14:paraId="54FFE929" w14:textId="77777777" w:rsidR="00DB771A" w:rsidRPr="00BC0D1F" w:rsidRDefault="00DB771A" w:rsidP="006A557B">
            <w:pPr>
              <w:pStyle w:val="TableText"/>
              <w:spacing w:before="180" w:after="50"/>
            </w:pPr>
          </w:p>
        </w:tc>
        <w:tc>
          <w:tcPr>
            <w:tcW w:w="1134" w:type="dxa"/>
            <w:tcBorders>
              <w:top w:val="nil"/>
              <w:bottom w:val="nil"/>
            </w:tcBorders>
            <w:shd w:val="clear" w:color="E3E3E3" w:fill="D9D9D9"/>
          </w:tcPr>
          <w:p w14:paraId="78A0B2A4" w14:textId="77777777" w:rsidR="00DB771A" w:rsidRPr="00BC0D1F" w:rsidRDefault="00DB771A" w:rsidP="006A557B">
            <w:pPr>
              <w:pStyle w:val="TableText"/>
              <w:spacing w:before="180" w:after="50"/>
              <w:ind w:right="113"/>
              <w:jc w:val="right"/>
              <w:rPr>
                <w:b/>
                <w:bCs/>
              </w:rPr>
            </w:pPr>
          </w:p>
        </w:tc>
        <w:tc>
          <w:tcPr>
            <w:tcW w:w="1134" w:type="dxa"/>
            <w:tcBorders>
              <w:top w:val="nil"/>
              <w:bottom w:val="nil"/>
            </w:tcBorders>
          </w:tcPr>
          <w:p w14:paraId="47F23B3C" w14:textId="77777777" w:rsidR="00DB771A" w:rsidRPr="00BC0D1F" w:rsidRDefault="00DB771A" w:rsidP="006A557B">
            <w:pPr>
              <w:pStyle w:val="TableText"/>
              <w:spacing w:before="180" w:after="50"/>
              <w:jc w:val="right"/>
              <w:rPr>
                <w:b/>
                <w:bCs/>
              </w:rPr>
            </w:pPr>
          </w:p>
        </w:tc>
        <w:tc>
          <w:tcPr>
            <w:tcW w:w="1134" w:type="dxa"/>
            <w:tcBorders>
              <w:top w:val="nil"/>
              <w:bottom w:val="nil"/>
            </w:tcBorders>
          </w:tcPr>
          <w:p w14:paraId="32D737CD" w14:textId="77777777" w:rsidR="00DB771A" w:rsidRPr="00BC0D1F" w:rsidRDefault="00DB771A" w:rsidP="006A557B">
            <w:pPr>
              <w:pStyle w:val="TableText"/>
              <w:spacing w:before="180" w:after="50"/>
              <w:jc w:val="right"/>
            </w:pPr>
          </w:p>
        </w:tc>
      </w:tr>
      <w:tr w:rsidR="00DB771A" w:rsidRPr="00BC0D1F" w14:paraId="7EDBDCE8" w14:textId="77777777" w:rsidTr="0014210E">
        <w:trPr>
          <w:cantSplit/>
        </w:trPr>
        <w:tc>
          <w:tcPr>
            <w:tcW w:w="1134" w:type="dxa"/>
            <w:tcBorders>
              <w:top w:val="nil"/>
              <w:right w:val="nil"/>
            </w:tcBorders>
            <w:shd w:val="solid" w:color="FFFFFF" w:fill="auto"/>
          </w:tcPr>
          <w:p w14:paraId="48287381" w14:textId="77777777" w:rsidR="00DB771A" w:rsidRPr="00BC0D1F" w:rsidRDefault="00DB771A" w:rsidP="006A557B">
            <w:pPr>
              <w:pStyle w:val="TableText"/>
              <w:spacing w:before="180" w:after="50"/>
              <w:ind w:right="284"/>
              <w:jc w:val="right"/>
            </w:pPr>
          </w:p>
        </w:tc>
        <w:tc>
          <w:tcPr>
            <w:tcW w:w="4111" w:type="dxa"/>
            <w:tcBorders>
              <w:top w:val="nil"/>
              <w:left w:val="nil"/>
            </w:tcBorders>
            <w:shd w:val="solid" w:color="FFFFFF" w:fill="auto"/>
          </w:tcPr>
          <w:p w14:paraId="52E3ECA3" w14:textId="77777777" w:rsidR="00DB771A" w:rsidRPr="00BC0D1F" w:rsidRDefault="00DB771A" w:rsidP="006A557B">
            <w:pPr>
              <w:pStyle w:val="TableText"/>
              <w:spacing w:before="180" w:after="50"/>
              <w:rPr>
                <w:b/>
                <w:bCs/>
              </w:rPr>
            </w:pPr>
            <w:r w:rsidRPr="00BC0D1F">
              <w:rPr>
                <w:b/>
                <w:bCs/>
              </w:rPr>
              <w:t>Assets</w:t>
            </w:r>
          </w:p>
        </w:tc>
        <w:tc>
          <w:tcPr>
            <w:tcW w:w="709" w:type="dxa"/>
            <w:tcBorders>
              <w:top w:val="nil"/>
              <w:left w:val="nil"/>
            </w:tcBorders>
            <w:shd w:val="solid" w:color="FFFFFF" w:fill="auto"/>
          </w:tcPr>
          <w:p w14:paraId="0CF9FBB7" w14:textId="77777777" w:rsidR="00DB771A" w:rsidRPr="00BC0D1F" w:rsidRDefault="00DB771A" w:rsidP="006A557B">
            <w:pPr>
              <w:pStyle w:val="TableText"/>
              <w:spacing w:before="180" w:after="50"/>
            </w:pPr>
          </w:p>
        </w:tc>
        <w:tc>
          <w:tcPr>
            <w:tcW w:w="1134" w:type="dxa"/>
            <w:tcBorders>
              <w:top w:val="nil"/>
            </w:tcBorders>
            <w:shd w:val="clear" w:color="E3E3E3" w:fill="D9D9D9"/>
          </w:tcPr>
          <w:p w14:paraId="6D3A4E6E" w14:textId="77777777" w:rsidR="00DB771A" w:rsidRPr="00BC0D1F" w:rsidRDefault="00DB771A" w:rsidP="006A557B">
            <w:pPr>
              <w:pStyle w:val="TableText"/>
              <w:spacing w:before="180" w:after="50"/>
              <w:ind w:right="113"/>
              <w:jc w:val="right"/>
              <w:rPr>
                <w:b/>
                <w:bCs/>
              </w:rPr>
            </w:pPr>
          </w:p>
        </w:tc>
        <w:tc>
          <w:tcPr>
            <w:tcW w:w="1134" w:type="dxa"/>
            <w:tcBorders>
              <w:top w:val="nil"/>
            </w:tcBorders>
          </w:tcPr>
          <w:p w14:paraId="70DFBF94" w14:textId="77777777" w:rsidR="00DB771A" w:rsidRPr="00BC0D1F" w:rsidRDefault="00DB771A" w:rsidP="006A557B">
            <w:pPr>
              <w:pStyle w:val="TableText"/>
              <w:spacing w:before="180" w:after="50"/>
              <w:jc w:val="right"/>
              <w:rPr>
                <w:b/>
                <w:bCs/>
              </w:rPr>
            </w:pPr>
          </w:p>
        </w:tc>
        <w:tc>
          <w:tcPr>
            <w:tcW w:w="1134" w:type="dxa"/>
            <w:tcBorders>
              <w:top w:val="nil"/>
            </w:tcBorders>
          </w:tcPr>
          <w:p w14:paraId="52C58714" w14:textId="77777777" w:rsidR="00DB771A" w:rsidRPr="00BC0D1F" w:rsidRDefault="00DB771A" w:rsidP="006A557B">
            <w:pPr>
              <w:pStyle w:val="TableText"/>
              <w:spacing w:before="180" w:after="50"/>
              <w:jc w:val="right"/>
            </w:pPr>
          </w:p>
        </w:tc>
      </w:tr>
      <w:tr w:rsidR="00DB771A" w:rsidRPr="00BC0D1F" w14:paraId="68C9E5D0" w14:textId="77777777" w:rsidTr="0014210E">
        <w:trPr>
          <w:cantSplit/>
        </w:trPr>
        <w:tc>
          <w:tcPr>
            <w:tcW w:w="1134" w:type="dxa"/>
            <w:tcBorders>
              <w:top w:val="nil"/>
              <w:right w:val="nil"/>
            </w:tcBorders>
            <w:shd w:val="solid" w:color="FFFFFF" w:fill="auto"/>
          </w:tcPr>
          <w:p w14:paraId="53B6BDE5" w14:textId="77777777" w:rsidR="00DB771A" w:rsidRPr="00BC0D1F" w:rsidRDefault="00DB771A" w:rsidP="006A557B">
            <w:pPr>
              <w:pStyle w:val="TableText"/>
              <w:spacing w:before="120" w:after="50"/>
              <w:ind w:right="284"/>
              <w:jc w:val="right"/>
            </w:pPr>
          </w:p>
        </w:tc>
        <w:tc>
          <w:tcPr>
            <w:tcW w:w="4111" w:type="dxa"/>
            <w:tcBorders>
              <w:top w:val="nil"/>
              <w:left w:val="nil"/>
            </w:tcBorders>
            <w:shd w:val="solid" w:color="FFFFFF" w:fill="auto"/>
          </w:tcPr>
          <w:p w14:paraId="249FDFB9" w14:textId="77777777" w:rsidR="00DB771A" w:rsidRPr="00BC0D1F" w:rsidRDefault="00DB771A" w:rsidP="006A557B">
            <w:pPr>
              <w:pStyle w:val="TableText"/>
              <w:spacing w:before="120" w:after="50"/>
              <w:rPr>
                <w:b/>
                <w:bCs/>
              </w:rPr>
            </w:pPr>
            <w:r w:rsidRPr="00BC0D1F">
              <w:rPr>
                <w:b/>
                <w:bCs/>
              </w:rPr>
              <w:t>Current assets</w:t>
            </w:r>
          </w:p>
        </w:tc>
        <w:tc>
          <w:tcPr>
            <w:tcW w:w="709" w:type="dxa"/>
            <w:tcBorders>
              <w:top w:val="nil"/>
              <w:left w:val="nil"/>
            </w:tcBorders>
            <w:shd w:val="solid" w:color="FFFFFF" w:fill="auto"/>
          </w:tcPr>
          <w:p w14:paraId="24567468" w14:textId="77777777" w:rsidR="00DB771A" w:rsidRPr="00BC0D1F" w:rsidRDefault="00DB771A" w:rsidP="006A557B">
            <w:pPr>
              <w:pStyle w:val="TableText"/>
              <w:spacing w:before="120" w:after="50"/>
            </w:pPr>
          </w:p>
        </w:tc>
        <w:tc>
          <w:tcPr>
            <w:tcW w:w="1134" w:type="dxa"/>
            <w:tcBorders>
              <w:top w:val="nil"/>
            </w:tcBorders>
            <w:shd w:val="clear" w:color="E3E3E3" w:fill="D9D9D9"/>
          </w:tcPr>
          <w:p w14:paraId="23BC761A" w14:textId="77777777" w:rsidR="00DB771A" w:rsidRPr="00BC0D1F" w:rsidRDefault="00DB771A" w:rsidP="006A557B">
            <w:pPr>
              <w:pStyle w:val="TableText"/>
              <w:spacing w:before="120" w:after="50"/>
              <w:ind w:right="113"/>
              <w:jc w:val="right"/>
              <w:rPr>
                <w:b/>
                <w:bCs/>
              </w:rPr>
            </w:pPr>
          </w:p>
        </w:tc>
        <w:tc>
          <w:tcPr>
            <w:tcW w:w="1134" w:type="dxa"/>
            <w:tcBorders>
              <w:top w:val="nil"/>
            </w:tcBorders>
          </w:tcPr>
          <w:p w14:paraId="100B7F64" w14:textId="77777777" w:rsidR="00DB771A" w:rsidRPr="00BC0D1F" w:rsidRDefault="00DB771A" w:rsidP="006A557B">
            <w:pPr>
              <w:pStyle w:val="TableText"/>
              <w:spacing w:before="120" w:after="50"/>
              <w:jc w:val="right"/>
              <w:rPr>
                <w:b/>
                <w:bCs/>
              </w:rPr>
            </w:pPr>
          </w:p>
        </w:tc>
        <w:tc>
          <w:tcPr>
            <w:tcW w:w="1134" w:type="dxa"/>
            <w:tcBorders>
              <w:top w:val="nil"/>
            </w:tcBorders>
          </w:tcPr>
          <w:p w14:paraId="2422DECB" w14:textId="77777777" w:rsidR="00DB771A" w:rsidRPr="00BC0D1F" w:rsidRDefault="00DB771A" w:rsidP="006A557B">
            <w:pPr>
              <w:pStyle w:val="TableText"/>
              <w:spacing w:before="120" w:after="50"/>
              <w:jc w:val="right"/>
            </w:pPr>
          </w:p>
        </w:tc>
      </w:tr>
      <w:tr w:rsidR="00DB771A" w:rsidRPr="00BC0D1F" w14:paraId="7F7CC7A1" w14:textId="77777777" w:rsidTr="0014210E">
        <w:trPr>
          <w:cantSplit/>
        </w:trPr>
        <w:tc>
          <w:tcPr>
            <w:tcW w:w="1134" w:type="dxa"/>
            <w:tcBorders>
              <w:top w:val="nil"/>
              <w:right w:val="nil"/>
            </w:tcBorders>
            <w:shd w:val="solid" w:color="FFFFFF" w:fill="auto"/>
          </w:tcPr>
          <w:p w14:paraId="24825520" w14:textId="77777777" w:rsidR="00DB771A" w:rsidRPr="00BC0D1F" w:rsidRDefault="00DB771A" w:rsidP="006A557B">
            <w:pPr>
              <w:pStyle w:val="TableText"/>
              <w:spacing w:before="50" w:after="50"/>
              <w:ind w:right="284"/>
              <w:jc w:val="right"/>
            </w:pPr>
            <w:r w:rsidRPr="00BC0D1F">
              <w:t>207</w:t>
            </w:r>
          </w:p>
        </w:tc>
        <w:tc>
          <w:tcPr>
            <w:tcW w:w="4111" w:type="dxa"/>
            <w:tcBorders>
              <w:top w:val="nil"/>
              <w:left w:val="nil"/>
            </w:tcBorders>
            <w:shd w:val="solid" w:color="FFFFFF" w:fill="auto"/>
          </w:tcPr>
          <w:p w14:paraId="37086A11" w14:textId="77777777" w:rsidR="00DB771A" w:rsidRPr="00BC0D1F" w:rsidRDefault="00DB771A" w:rsidP="006A557B">
            <w:pPr>
              <w:pStyle w:val="TableText"/>
              <w:spacing w:before="50" w:after="50"/>
            </w:pPr>
            <w:r w:rsidRPr="00BC0D1F">
              <w:t>Cash and cash equivalents</w:t>
            </w:r>
          </w:p>
        </w:tc>
        <w:tc>
          <w:tcPr>
            <w:tcW w:w="709" w:type="dxa"/>
            <w:tcBorders>
              <w:top w:val="nil"/>
              <w:left w:val="nil"/>
            </w:tcBorders>
            <w:shd w:val="solid" w:color="FFFFFF" w:fill="auto"/>
          </w:tcPr>
          <w:p w14:paraId="58D9E5EA" w14:textId="77777777" w:rsidR="00DB771A" w:rsidRPr="00BC0D1F" w:rsidRDefault="00DB771A" w:rsidP="006A557B">
            <w:pPr>
              <w:pStyle w:val="TableText"/>
              <w:spacing w:before="50" w:after="50"/>
            </w:pPr>
          </w:p>
        </w:tc>
        <w:tc>
          <w:tcPr>
            <w:tcW w:w="1134" w:type="dxa"/>
            <w:tcBorders>
              <w:top w:val="nil"/>
            </w:tcBorders>
            <w:shd w:val="clear" w:color="E3E3E3" w:fill="D9D9D9"/>
          </w:tcPr>
          <w:p w14:paraId="3A5636BF" w14:textId="77777777" w:rsidR="00DB771A" w:rsidRPr="00BC0D1F" w:rsidRDefault="00DB771A" w:rsidP="006A557B">
            <w:pPr>
              <w:pStyle w:val="TableText"/>
              <w:spacing w:before="50" w:after="50"/>
              <w:ind w:right="113"/>
              <w:jc w:val="right"/>
            </w:pPr>
            <w:r w:rsidRPr="00BC0D1F">
              <w:t>6</w:t>
            </w:r>
            <w:r w:rsidR="008234DC" w:rsidRPr="00BC0D1F">
              <w:t>,</w:t>
            </w:r>
            <w:r w:rsidRPr="00BC0D1F">
              <w:t>423</w:t>
            </w:r>
          </w:p>
        </w:tc>
        <w:tc>
          <w:tcPr>
            <w:tcW w:w="1134" w:type="dxa"/>
            <w:tcBorders>
              <w:top w:val="nil"/>
            </w:tcBorders>
          </w:tcPr>
          <w:p w14:paraId="187F1714" w14:textId="77777777" w:rsidR="00DB771A" w:rsidRPr="00BC0D1F" w:rsidRDefault="00DB771A" w:rsidP="006A557B">
            <w:pPr>
              <w:pStyle w:val="TableText"/>
              <w:spacing w:before="50" w:after="50"/>
              <w:jc w:val="right"/>
            </w:pPr>
            <w:r w:rsidRPr="00BC0D1F">
              <w:t>2</w:t>
            </w:r>
            <w:r w:rsidR="008234DC" w:rsidRPr="00BC0D1F">
              <w:t>,</w:t>
            </w:r>
            <w:r w:rsidRPr="00BC0D1F">
              <w:t>000</w:t>
            </w:r>
          </w:p>
        </w:tc>
        <w:tc>
          <w:tcPr>
            <w:tcW w:w="1134" w:type="dxa"/>
            <w:tcBorders>
              <w:top w:val="nil"/>
            </w:tcBorders>
          </w:tcPr>
          <w:p w14:paraId="5EA51E00" w14:textId="77777777" w:rsidR="00DB771A" w:rsidRPr="00BC0D1F" w:rsidRDefault="00DB771A" w:rsidP="006A557B">
            <w:pPr>
              <w:pStyle w:val="TableText"/>
              <w:spacing w:before="50" w:after="50"/>
              <w:jc w:val="right"/>
            </w:pPr>
            <w:r w:rsidRPr="00BC0D1F">
              <w:t>9</w:t>
            </w:r>
            <w:r w:rsidR="008234DC" w:rsidRPr="00BC0D1F">
              <w:t>,</w:t>
            </w:r>
            <w:r w:rsidRPr="00BC0D1F">
              <w:t>000</w:t>
            </w:r>
          </w:p>
        </w:tc>
      </w:tr>
      <w:tr w:rsidR="00DB771A" w:rsidRPr="00BC0D1F" w14:paraId="3EAAF73B" w14:textId="77777777" w:rsidTr="0014210E">
        <w:trPr>
          <w:cantSplit/>
        </w:trPr>
        <w:tc>
          <w:tcPr>
            <w:tcW w:w="1134" w:type="dxa"/>
            <w:tcBorders>
              <w:top w:val="nil"/>
              <w:right w:val="nil"/>
            </w:tcBorders>
            <w:shd w:val="solid" w:color="FFFFFF" w:fill="auto"/>
          </w:tcPr>
          <w:p w14:paraId="71035F53" w14:textId="77777777" w:rsidR="00DB771A" w:rsidRPr="00BC0D1F" w:rsidRDefault="00DB771A" w:rsidP="006A557B">
            <w:pPr>
              <w:pStyle w:val="TableText"/>
              <w:spacing w:before="50" w:after="50"/>
              <w:ind w:right="284"/>
              <w:jc w:val="right"/>
            </w:pPr>
            <w:r w:rsidRPr="00BC0D1F">
              <w:t>1</w:t>
            </w:r>
            <w:r w:rsidR="008234DC" w:rsidRPr="00BC0D1F">
              <w:t>,</w:t>
            </w:r>
            <w:r w:rsidRPr="00BC0D1F">
              <w:t>433</w:t>
            </w:r>
          </w:p>
        </w:tc>
        <w:tc>
          <w:tcPr>
            <w:tcW w:w="4111" w:type="dxa"/>
            <w:tcBorders>
              <w:top w:val="nil"/>
              <w:left w:val="nil"/>
            </w:tcBorders>
            <w:shd w:val="solid" w:color="FFFFFF" w:fill="auto"/>
          </w:tcPr>
          <w:p w14:paraId="296CEC77" w14:textId="77777777" w:rsidR="00DB771A" w:rsidRPr="00BC0D1F" w:rsidRDefault="00DB771A" w:rsidP="006A557B">
            <w:pPr>
              <w:pStyle w:val="TableText"/>
              <w:spacing w:before="50" w:after="50"/>
            </w:pPr>
            <w:r w:rsidRPr="00BC0D1F">
              <w:t>Debtors and other receivables</w:t>
            </w:r>
          </w:p>
        </w:tc>
        <w:tc>
          <w:tcPr>
            <w:tcW w:w="709" w:type="dxa"/>
            <w:tcBorders>
              <w:top w:val="nil"/>
              <w:left w:val="nil"/>
            </w:tcBorders>
            <w:shd w:val="solid" w:color="FFFFFF" w:fill="auto"/>
          </w:tcPr>
          <w:p w14:paraId="52B847B4"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02A3A042" w14:textId="77777777" w:rsidR="00DB771A" w:rsidRPr="00BC0D1F" w:rsidRDefault="00DB771A" w:rsidP="006A557B">
            <w:pPr>
              <w:pStyle w:val="TableText"/>
              <w:spacing w:before="50" w:after="50"/>
              <w:ind w:right="113"/>
              <w:jc w:val="right"/>
            </w:pPr>
            <w:r w:rsidRPr="00BC0D1F">
              <w:t>947</w:t>
            </w:r>
          </w:p>
        </w:tc>
        <w:tc>
          <w:tcPr>
            <w:tcW w:w="1134" w:type="dxa"/>
            <w:tcBorders>
              <w:top w:val="nil"/>
            </w:tcBorders>
          </w:tcPr>
          <w:p w14:paraId="5A47AB9D" w14:textId="77777777" w:rsidR="00DB771A" w:rsidRPr="00BC0D1F" w:rsidRDefault="00DB771A" w:rsidP="006A557B">
            <w:pPr>
              <w:pStyle w:val="TableText"/>
              <w:spacing w:before="50" w:after="50"/>
              <w:jc w:val="right"/>
            </w:pPr>
            <w:r w:rsidRPr="00BC0D1F">
              <w:t>9</w:t>
            </w:r>
            <w:r w:rsidR="008234DC" w:rsidRPr="00BC0D1F">
              <w:t>,</w:t>
            </w:r>
            <w:r w:rsidRPr="00BC0D1F">
              <w:t>835</w:t>
            </w:r>
          </w:p>
        </w:tc>
        <w:tc>
          <w:tcPr>
            <w:tcW w:w="1134" w:type="dxa"/>
            <w:tcBorders>
              <w:top w:val="nil"/>
            </w:tcBorders>
          </w:tcPr>
          <w:p w14:paraId="0A8F8340" w14:textId="77777777" w:rsidR="00DB771A" w:rsidRPr="00BC0D1F" w:rsidRDefault="00DB771A" w:rsidP="006A557B">
            <w:pPr>
              <w:pStyle w:val="TableText"/>
              <w:spacing w:before="50" w:after="50"/>
              <w:jc w:val="right"/>
            </w:pPr>
            <w:r w:rsidRPr="00BC0D1F">
              <w:t>1</w:t>
            </w:r>
            <w:r w:rsidR="008234DC" w:rsidRPr="00BC0D1F">
              <w:t>,</w:t>
            </w:r>
            <w:r w:rsidRPr="00BC0D1F">
              <w:t>000</w:t>
            </w:r>
          </w:p>
        </w:tc>
      </w:tr>
      <w:tr w:rsidR="00DB771A" w:rsidRPr="00BC0D1F" w14:paraId="0732D478" w14:textId="77777777" w:rsidTr="0014210E">
        <w:trPr>
          <w:cantSplit/>
        </w:trPr>
        <w:tc>
          <w:tcPr>
            <w:tcW w:w="1134" w:type="dxa"/>
            <w:tcBorders>
              <w:top w:val="nil"/>
              <w:right w:val="nil"/>
            </w:tcBorders>
            <w:shd w:val="solid" w:color="FFFFFF" w:fill="auto"/>
          </w:tcPr>
          <w:p w14:paraId="3FDB6920" w14:textId="77777777" w:rsidR="00DB771A" w:rsidRPr="00BC0D1F" w:rsidRDefault="00DB771A" w:rsidP="006A557B">
            <w:pPr>
              <w:pStyle w:val="TableText"/>
              <w:spacing w:before="50" w:after="50"/>
              <w:ind w:right="284"/>
              <w:jc w:val="right"/>
            </w:pPr>
            <w:r w:rsidRPr="00BC0D1F">
              <w:t>10,700</w:t>
            </w:r>
          </w:p>
        </w:tc>
        <w:tc>
          <w:tcPr>
            <w:tcW w:w="4111" w:type="dxa"/>
            <w:tcBorders>
              <w:top w:val="nil"/>
              <w:left w:val="nil"/>
            </w:tcBorders>
            <w:shd w:val="solid" w:color="FFFFFF" w:fill="auto"/>
          </w:tcPr>
          <w:p w14:paraId="5F5CD088" w14:textId="77777777" w:rsidR="00DB771A" w:rsidRPr="00BC0D1F" w:rsidRDefault="00DB771A" w:rsidP="006A557B">
            <w:pPr>
              <w:pStyle w:val="TableText"/>
              <w:spacing w:before="50" w:after="50"/>
            </w:pPr>
            <w:r w:rsidRPr="00BC0D1F">
              <w:t>Crown Debtors</w:t>
            </w:r>
          </w:p>
        </w:tc>
        <w:tc>
          <w:tcPr>
            <w:tcW w:w="709" w:type="dxa"/>
            <w:tcBorders>
              <w:top w:val="nil"/>
              <w:left w:val="nil"/>
            </w:tcBorders>
            <w:shd w:val="solid" w:color="FFFFFF" w:fill="auto"/>
          </w:tcPr>
          <w:p w14:paraId="06B8DE6E"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7D39E073" w14:textId="77777777" w:rsidR="00DB771A" w:rsidRPr="00BC0D1F" w:rsidRDefault="00DB771A" w:rsidP="006A557B">
            <w:pPr>
              <w:pStyle w:val="TableText"/>
              <w:spacing w:before="50" w:after="50"/>
              <w:ind w:right="113"/>
              <w:jc w:val="right"/>
            </w:pPr>
            <w:r w:rsidRPr="00BC0D1F">
              <w:t>1</w:t>
            </w:r>
            <w:r w:rsidR="008234DC" w:rsidRPr="00BC0D1F">
              <w:t>,</w:t>
            </w:r>
            <w:r w:rsidRPr="00BC0D1F">
              <w:t>458</w:t>
            </w:r>
          </w:p>
        </w:tc>
        <w:tc>
          <w:tcPr>
            <w:tcW w:w="1134" w:type="dxa"/>
            <w:tcBorders>
              <w:top w:val="nil"/>
            </w:tcBorders>
          </w:tcPr>
          <w:p w14:paraId="3064885A" w14:textId="03CD5F61" w:rsidR="00DB771A" w:rsidRPr="00BC0D1F" w:rsidRDefault="00C13BF2" w:rsidP="006A557B">
            <w:pPr>
              <w:pStyle w:val="TableText"/>
              <w:spacing w:before="50" w:after="50"/>
              <w:jc w:val="right"/>
            </w:pPr>
            <w:r w:rsidRPr="00BC0D1F">
              <w:t>–</w:t>
            </w:r>
          </w:p>
        </w:tc>
        <w:tc>
          <w:tcPr>
            <w:tcW w:w="1134" w:type="dxa"/>
            <w:tcBorders>
              <w:top w:val="nil"/>
            </w:tcBorders>
          </w:tcPr>
          <w:p w14:paraId="1BCF9FD1" w14:textId="77777777" w:rsidR="00DB771A" w:rsidRPr="00BC0D1F" w:rsidRDefault="00DB771A" w:rsidP="006A557B">
            <w:pPr>
              <w:pStyle w:val="TableText"/>
              <w:spacing w:before="50" w:after="50"/>
              <w:jc w:val="right"/>
            </w:pPr>
            <w:r w:rsidRPr="00BC0D1F">
              <w:t>3</w:t>
            </w:r>
            <w:r w:rsidR="008234DC" w:rsidRPr="00BC0D1F">
              <w:t>,</w:t>
            </w:r>
            <w:r w:rsidRPr="00BC0D1F">
              <w:t>007</w:t>
            </w:r>
          </w:p>
        </w:tc>
      </w:tr>
      <w:tr w:rsidR="00DB771A" w:rsidRPr="00BC0D1F" w14:paraId="044E3E7B" w14:textId="77777777" w:rsidTr="0014210E">
        <w:trPr>
          <w:cantSplit/>
        </w:trPr>
        <w:tc>
          <w:tcPr>
            <w:tcW w:w="1134" w:type="dxa"/>
            <w:tcBorders>
              <w:top w:val="nil"/>
              <w:right w:val="nil"/>
            </w:tcBorders>
            <w:shd w:val="solid" w:color="FFFFFF" w:fill="auto"/>
          </w:tcPr>
          <w:p w14:paraId="440DB445" w14:textId="77777777" w:rsidR="00DB771A" w:rsidRPr="00BC0D1F" w:rsidRDefault="00DB771A" w:rsidP="006A557B">
            <w:pPr>
              <w:pStyle w:val="TableText"/>
              <w:spacing w:before="50" w:after="50"/>
              <w:ind w:right="284"/>
              <w:jc w:val="right"/>
            </w:pPr>
            <w:r w:rsidRPr="00BC0D1F">
              <w:t>2</w:t>
            </w:r>
            <w:r w:rsidR="008234DC" w:rsidRPr="00BC0D1F">
              <w:t>,</w:t>
            </w:r>
            <w:r w:rsidRPr="00BC0D1F">
              <w:t>617</w:t>
            </w:r>
          </w:p>
        </w:tc>
        <w:tc>
          <w:tcPr>
            <w:tcW w:w="4111" w:type="dxa"/>
            <w:tcBorders>
              <w:top w:val="nil"/>
              <w:left w:val="nil"/>
            </w:tcBorders>
            <w:shd w:val="solid" w:color="FFFFFF" w:fill="auto"/>
          </w:tcPr>
          <w:p w14:paraId="5CC98924" w14:textId="77777777" w:rsidR="00DB771A" w:rsidRPr="00BC0D1F" w:rsidRDefault="00DB771A" w:rsidP="006A557B">
            <w:pPr>
              <w:pStyle w:val="TableText"/>
              <w:spacing w:before="50" w:after="50"/>
            </w:pPr>
            <w:r w:rsidRPr="00BC0D1F">
              <w:t>Prepayments</w:t>
            </w:r>
          </w:p>
        </w:tc>
        <w:tc>
          <w:tcPr>
            <w:tcW w:w="709" w:type="dxa"/>
            <w:tcBorders>
              <w:top w:val="nil"/>
              <w:left w:val="nil"/>
            </w:tcBorders>
            <w:shd w:val="solid" w:color="FFFFFF" w:fill="auto"/>
          </w:tcPr>
          <w:p w14:paraId="3A9F0E42" w14:textId="77777777" w:rsidR="00DB771A" w:rsidRPr="00BC0D1F" w:rsidRDefault="00DB771A" w:rsidP="006A557B">
            <w:pPr>
              <w:pStyle w:val="TableText"/>
              <w:spacing w:before="50" w:after="50"/>
            </w:pPr>
          </w:p>
        </w:tc>
        <w:tc>
          <w:tcPr>
            <w:tcW w:w="1134" w:type="dxa"/>
            <w:tcBorders>
              <w:top w:val="nil"/>
            </w:tcBorders>
            <w:shd w:val="clear" w:color="E3E3E3" w:fill="D9D9D9"/>
          </w:tcPr>
          <w:p w14:paraId="02F2CE33" w14:textId="78A55BE7" w:rsidR="00DB771A" w:rsidRPr="00BC0D1F" w:rsidRDefault="00DB771A" w:rsidP="008D3000">
            <w:pPr>
              <w:pStyle w:val="TableText"/>
              <w:spacing w:before="50" w:after="50"/>
              <w:ind w:right="113"/>
              <w:jc w:val="right"/>
            </w:pPr>
            <w:r w:rsidRPr="00BC0D1F">
              <w:t>2</w:t>
            </w:r>
            <w:r w:rsidR="008234DC" w:rsidRPr="00BC0D1F">
              <w:t>,</w:t>
            </w:r>
            <w:r w:rsidRPr="00BC0D1F">
              <w:t>1</w:t>
            </w:r>
            <w:r w:rsidR="008D3000">
              <w:t>53</w:t>
            </w:r>
          </w:p>
        </w:tc>
        <w:tc>
          <w:tcPr>
            <w:tcW w:w="1134" w:type="dxa"/>
            <w:tcBorders>
              <w:top w:val="nil"/>
            </w:tcBorders>
          </w:tcPr>
          <w:p w14:paraId="37DD344C" w14:textId="77777777" w:rsidR="00DB771A" w:rsidRPr="00BC0D1F" w:rsidRDefault="00DB771A" w:rsidP="006A557B">
            <w:pPr>
              <w:pStyle w:val="TableText"/>
              <w:spacing w:before="50" w:after="50"/>
              <w:jc w:val="right"/>
            </w:pPr>
            <w:r w:rsidRPr="00BC0D1F">
              <w:t>2</w:t>
            </w:r>
            <w:r w:rsidR="008234DC" w:rsidRPr="00BC0D1F">
              <w:t>,</w:t>
            </w:r>
            <w:r w:rsidRPr="00BC0D1F">
              <w:t>601</w:t>
            </w:r>
          </w:p>
        </w:tc>
        <w:tc>
          <w:tcPr>
            <w:tcW w:w="1134" w:type="dxa"/>
            <w:tcBorders>
              <w:top w:val="nil"/>
            </w:tcBorders>
          </w:tcPr>
          <w:p w14:paraId="3C2C232D" w14:textId="77777777" w:rsidR="00DB771A" w:rsidRPr="00BC0D1F" w:rsidRDefault="00DB771A" w:rsidP="006A557B">
            <w:pPr>
              <w:pStyle w:val="TableText"/>
              <w:spacing w:before="50" w:after="50"/>
              <w:jc w:val="right"/>
            </w:pPr>
            <w:r w:rsidRPr="00BC0D1F">
              <w:t>2</w:t>
            </w:r>
            <w:r w:rsidR="008234DC" w:rsidRPr="00BC0D1F">
              <w:t>,</w:t>
            </w:r>
            <w:r w:rsidRPr="00BC0D1F">
              <w:t>894</w:t>
            </w:r>
          </w:p>
        </w:tc>
      </w:tr>
      <w:tr w:rsidR="00DB771A" w:rsidRPr="00BC0D1F" w14:paraId="47712AB2" w14:textId="77777777" w:rsidTr="0014210E">
        <w:trPr>
          <w:cantSplit/>
        </w:trPr>
        <w:tc>
          <w:tcPr>
            <w:tcW w:w="1134" w:type="dxa"/>
            <w:tcBorders>
              <w:top w:val="nil"/>
              <w:right w:val="nil"/>
            </w:tcBorders>
            <w:shd w:val="solid" w:color="FFFFFF" w:fill="auto"/>
          </w:tcPr>
          <w:p w14:paraId="48BFB2F3" w14:textId="77777777" w:rsidR="00DB771A" w:rsidRPr="00BC0D1F" w:rsidRDefault="00DB771A" w:rsidP="006A557B">
            <w:pPr>
              <w:pStyle w:val="TableText"/>
              <w:spacing w:before="50" w:after="50"/>
              <w:ind w:right="284"/>
              <w:jc w:val="right"/>
              <w:rPr>
                <w:b/>
                <w:bCs/>
              </w:rPr>
            </w:pPr>
            <w:r w:rsidRPr="00BC0D1F">
              <w:rPr>
                <w:b/>
                <w:bCs/>
              </w:rPr>
              <w:t>14,957</w:t>
            </w:r>
          </w:p>
        </w:tc>
        <w:tc>
          <w:tcPr>
            <w:tcW w:w="4111" w:type="dxa"/>
            <w:tcBorders>
              <w:top w:val="nil"/>
              <w:left w:val="nil"/>
            </w:tcBorders>
            <w:shd w:val="solid" w:color="FFFFFF" w:fill="auto"/>
          </w:tcPr>
          <w:p w14:paraId="7D40EBF1" w14:textId="77777777" w:rsidR="00DB771A" w:rsidRPr="00BC0D1F" w:rsidRDefault="00DB771A" w:rsidP="006A557B">
            <w:pPr>
              <w:pStyle w:val="TableText"/>
              <w:spacing w:before="50" w:after="50"/>
              <w:rPr>
                <w:b/>
                <w:bCs/>
              </w:rPr>
            </w:pPr>
            <w:r w:rsidRPr="00BC0D1F">
              <w:rPr>
                <w:b/>
                <w:bCs/>
              </w:rPr>
              <w:t>Total current assets</w:t>
            </w:r>
          </w:p>
        </w:tc>
        <w:tc>
          <w:tcPr>
            <w:tcW w:w="709" w:type="dxa"/>
            <w:tcBorders>
              <w:top w:val="nil"/>
              <w:left w:val="nil"/>
            </w:tcBorders>
            <w:shd w:val="solid" w:color="FFFFFF" w:fill="auto"/>
          </w:tcPr>
          <w:p w14:paraId="3EA86A52"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5E03A9AC" w14:textId="3C153B34" w:rsidR="00DB771A" w:rsidRPr="00BC0D1F" w:rsidRDefault="00DB771A" w:rsidP="008D3000">
            <w:pPr>
              <w:pStyle w:val="TableText"/>
              <w:spacing w:before="50" w:after="50"/>
              <w:ind w:right="113"/>
              <w:jc w:val="right"/>
              <w:rPr>
                <w:b/>
                <w:bCs/>
              </w:rPr>
            </w:pPr>
            <w:r w:rsidRPr="00BC0D1F">
              <w:rPr>
                <w:b/>
                <w:bCs/>
              </w:rPr>
              <w:t>10,9</w:t>
            </w:r>
            <w:r w:rsidR="008D3000">
              <w:rPr>
                <w:b/>
                <w:bCs/>
              </w:rPr>
              <w:t>81</w:t>
            </w:r>
          </w:p>
        </w:tc>
        <w:tc>
          <w:tcPr>
            <w:tcW w:w="1134" w:type="dxa"/>
            <w:tcBorders>
              <w:top w:val="nil"/>
            </w:tcBorders>
          </w:tcPr>
          <w:p w14:paraId="4D911C2D" w14:textId="77777777" w:rsidR="00DB771A" w:rsidRPr="00BC0D1F" w:rsidRDefault="00DB771A" w:rsidP="006A557B">
            <w:pPr>
              <w:pStyle w:val="TableText"/>
              <w:spacing w:before="50" w:after="50"/>
              <w:jc w:val="right"/>
              <w:rPr>
                <w:b/>
                <w:bCs/>
              </w:rPr>
            </w:pPr>
            <w:r w:rsidRPr="00BC0D1F">
              <w:rPr>
                <w:b/>
                <w:bCs/>
              </w:rPr>
              <w:t>14,436</w:t>
            </w:r>
          </w:p>
        </w:tc>
        <w:tc>
          <w:tcPr>
            <w:tcW w:w="1134" w:type="dxa"/>
            <w:tcBorders>
              <w:top w:val="nil"/>
            </w:tcBorders>
          </w:tcPr>
          <w:p w14:paraId="52F2CB61" w14:textId="77777777" w:rsidR="00DB771A" w:rsidRPr="00BC0D1F" w:rsidRDefault="00DB771A" w:rsidP="006A557B">
            <w:pPr>
              <w:pStyle w:val="TableText"/>
              <w:spacing w:before="50" w:after="50"/>
              <w:jc w:val="right"/>
              <w:rPr>
                <w:b/>
                <w:bCs/>
              </w:rPr>
            </w:pPr>
            <w:r w:rsidRPr="00BC0D1F">
              <w:rPr>
                <w:b/>
                <w:bCs/>
              </w:rPr>
              <w:t>15,901</w:t>
            </w:r>
          </w:p>
        </w:tc>
      </w:tr>
      <w:tr w:rsidR="00DB771A" w:rsidRPr="00BC0D1F" w14:paraId="15C6D335" w14:textId="77777777" w:rsidTr="0014210E">
        <w:trPr>
          <w:cantSplit/>
        </w:trPr>
        <w:tc>
          <w:tcPr>
            <w:tcW w:w="1134" w:type="dxa"/>
            <w:tcBorders>
              <w:top w:val="nil"/>
              <w:right w:val="nil"/>
            </w:tcBorders>
            <w:shd w:val="solid" w:color="FFFFFF" w:fill="auto"/>
          </w:tcPr>
          <w:p w14:paraId="5B7FBC10" w14:textId="77777777" w:rsidR="00DB771A" w:rsidRPr="00BC0D1F" w:rsidRDefault="00DB771A" w:rsidP="006A557B">
            <w:pPr>
              <w:pStyle w:val="TableText"/>
              <w:spacing w:before="120" w:after="50"/>
              <w:ind w:right="284"/>
              <w:jc w:val="right"/>
            </w:pPr>
          </w:p>
        </w:tc>
        <w:tc>
          <w:tcPr>
            <w:tcW w:w="4111" w:type="dxa"/>
            <w:tcBorders>
              <w:top w:val="nil"/>
              <w:left w:val="nil"/>
            </w:tcBorders>
            <w:shd w:val="solid" w:color="FFFFFF" w:fill="auto"/>
          </w:tcPr>
          <w:p w14:paraId="4E5EA401" w14:textId="77777777" w:rsidR="00DB771A" w:rsidRPr="00BC0D1F" w:rsidRDefault="00DB771A" w:rsidP="006A557B">
            <w:pPr>
              <w:pStyle w:val="TableText"/>
              <w:spacing w:before="120" w:after="50"/>
              <w:rPr>
                <w:b/>
                <w:bCs/>
              </w:rPr>
            </w:pPr>
            <w:r w:rsidRPr="00BC0D1F">
              <w:rPr>
                <w:b/>
                <w:bCs/>
              </w:rPr>
              <w:t>Non-current assets</w:t>
            </w:r>
          </w:p>
        </w:tc>
        <w:tc>
          <w:tcPr>
            <w:tcW w:w="709" w:type="dxa"/>
            <w:tcBorders>
              <w:top w:val="nil"/>
              <w:left w:val="nil"/>
            </w:tcBorders>
            <w:shd w:val="solid" w:color="FFFFFF" w:fill="auto"/>
          </w:tcPr>
          <w:p w14:paraId="1FC68D50" w14:textId="77777777" w:rsidR="00DB771A" w:rsidRPr="00BC0D1F" w:rsidRDefault="00DB771A" w:rsidP="006A557B">
            <w:pPr>
              <w:pStyle w:val="TableText"/>
              <w:spacing w:before="120" w:after="50"/>
            </w:pPr>
          </w:p>
        </w:tc>
        <w:tc>
          <w:tcPr>
            <w:tcW w:w="1134" w:type="dxa"/>
            <w:tcBorders>
              <w:top w:val="nil"/>
            </w:tcBorders>
            <w:shd w:val="clear" w:color="E3E3E3" w:fill="D9D9D9"/>
          </w:tcPr>
          <w:p w14:paraId="1F27EC76" w14:textId="77777777" w:rsidR="00DB771A" w:rsidRPr="00BC0D1F" w:rsidRDefault="00DB771A" w:rsidP="006A557B">
            <w:pPr>
              <w:pStyle w:val="TableText"/>
              <w:spacing w:before="120" w:after="50"/>
              <w:ind w:right="113"/>
              <w:jc w:val="right"/>
              <w:rPr>
                <w:b/>
                <w:bCs/>
              </w:rPr>
            </w:pPr>
          </w:p>
        </w:tc>
        <w:tc>
          <w:tcPr>
            <w:tcW w:w="1134" w:type="dxa"/>
            <w:tcBorders>
              <w:top w:val="nil"/>
            </w:tcBorders>
          </w:tcPr>
          <w:p w14:paraId="59A73FC2" w14:textId="77777777" w:rsidR="00DB771A" w:rsidRPr="00BC0D1F" w:rsidRDefault="00DB771A" w:rsidP="006A557B">
            <w:pPr>
              <w:pStyle w:val="TableText"/>
              <w:spacing w:before="120" w:after="50"/>
              <w:jc w:val="right"/>
              <w:rPr>
                <w:b/>
                <w:bCs/>
              </w:rPr>
            </w:pPr>
          </w:p>
        </w:tc>
        <w:tc>
          <w:tcPr>
            <w:tcW w:w="1134" w:type="dxa"/>
            <w:tcBorders>
              <w:top w:val="nil"/>
            </w:tcBorders>
          </w:tcPr>
          <w:p w14:paraId="0045EDF7" w14:textId="77777777" w:rsidR="00DB771A" w:rsidRPr="00BC0D1F" w:rsidRDefault="00DB771A" w:rsidP="006A557B">
            <w:pPr>
              <w:pStyle w:val="TableText"/>
              <w:spacing w:before="120" w:after="50"/>
              <w:jc w:val="right"/>
            </w:pPr>
          </w:p>
        </w:tc>
      </w:tr>
      <w:tr w:rsidR="00DB771A" w:rsidRPr="00BC0D1F" w14:paraId="6ADE5309" w14:textId="77777777" w:rsidTr="0014210E">
        <w:trPr>
          <w:cantSplit/>
        </w:trPr>
        <w:tc>
          <w:tcPr>
            <w:tcW w:w="1134" w:type="dxa"/>
            <w:tcBorders>
              <w:top w:val="nil"/>
              <w:right w:val="nil"/>
            </w:tcBorders>
            <w:shd w:val="solid" w:color="FFFFFF" w:fill="auto"/>
          </w:tcPr>
          <w:p w14:paraId="07A14DC2" w14:textId="77777777" w:rsidR="00DB771A" w:rsidRPr="00BC0D1F" w:rsidRDefault="00DB771A" w:rsidP="006A557B">
            <w:pPr>
              <w:pStyle w:val="TableText"/>
              <w:spacing w:before="50" w:after="50"/>
              <w:ind w:right="284"/>
              <w:jc w:val="right"/>
            </w:pPr>
            <w:r w:rsidRPr="00BC0D1F">
              <w:t>14,508</w:t>
            </w:r>
          </w:p>
        </w:tc>
        <w:tc>
          <w:tcPr>
            <w:tcW w:w="4111" w:type="dxa"/>
            <w:tcBorders>
              <w:top w:val="nil"/>
              <w:left w:val="nil"/>
            </w:tcBorders>
            <w:shd w:val="solid" w:color="FFFFFF" w:fill="auto"/>
          </w:tcPr>
          <w:p w14:paraId="5230C17B" w14:textId="77777777" w:rsidR="00DB771A" w:rsidRPr="00BC0D1F" w:rsidRDefault="00DB771A" w:rsidP="006A557B">
            <w:pPr>
              <w:pStyle w:val="TableText"/>
              <w:spacing w:before="50" w:after="50"/>
            </w:pPr>
            <w:r w:rsidRPr="00BC0D1F">
              <w:t>Property, plant and equipment</w:t>
            </w:r>
          </w:p>
        </w:tc>
        <w:tc>
          <w:tcPr>
            <w:tcW w:w="709" w:type="dxa"/>
            <w:tcBorders>
              <w:top w:val="nil"/>
              <w:left w:val="nil"/>
            </w:tcBorders>
            <w:shd w:val="solid" w:color="FFFFFF" w:fill="auto"/>
          </w:tcPr>
          <w:p w14:paraId="337B6BF3" w14:textId="77777777" w:rsidR="00DB771A" w:rsidRPr="00BC0D1F" w:rsidRDefault="00DB771A" w:rsidP="006A557B">
            <w:pPr>
              <w:pStyle w:val="TableText"/>
              <w:spacing w:before="50" w:after="50"/>
              <w:rPr>
                <w:b/>
                <w:bCs/>
              </w:rPr>
            </w:pPr>
            <w:r w:rsidRPr="00BC0D1F">
              <w:rPr>
                <w:b/>
                <w:bCs/>
              </w:rPr>
              <w:t>6</w:t>
            </w:r>
          </w:p>
        </w:tc>
        <w:tc>
          <w:tcPr>
            <w:tcW w:w="1134" w:type="dxa"/>
            <w:tcBorders>
              <w:top w:val="nil"/>
            </w:tcBorders>
            <w:shd w:val="clear" w:color="E3E3E3" w:fill="D9D9D9"/>
          </w:tcPr>
          <w:p w14:paraId="20E91448" w14:textId="77777777" w:rsidR="00DB771A" w:rsidRPr="00BC0D1F" w:rsidRDefault="00DB771A" w:rsidP="006A557B">
            <w:pPr>
              <w:pStyle w:val="TableText"/>
              <w:spacing w:before="50" w:after="50"/>
              <w:ind w:right="113"/>
              <w:jc w:val="right"/>
            </w:pPr>
            <w:r w:rsidRPr="00BC0D1F">
              <w:t>14,886</w:t>
            </w:r>
          </w:p>
        </w:tc>
        <w:tc>
          <w:tcPr>
            <w:tcW w:w="1134" w:type="dxa"/>
            <w:tcBorders>
              <w:top w:val="nil"/>
            </w:tcBorders>
          </w:tcPr>
          <w:p w14:paraId="28BBE12E" w14:textId="77777777" w:rsidR="00DB771A" w:rsidRPr="00BC0D1F" w:rsidRDefault="00DB771A" w:rsidP="006A557B">
            <w:pPr>
              <w:pStyle w:val="TableText"/>
              <w:spacing w:before="50" w:after="50"/>
              <w:jc w:val="right"/>
            </w:pPr>
            <w:r w:rsidRPr="00BC0D1F">
              <w:t>14,076</w:t>
            </w:r>
          </w:p>
        </w:tc>
        <w:tc>
          <w:tcPr>
            <w:tcW w:w="1134" w:type="dxa"/>
            <w:tcBorders>
              <w:top w:val="nil"/>
            </w:tcBorders>
          </w:tcPr>
          <w:p w14:paraId="4ABA5F14" w14:textId="77777777" w:rsidR="00DB771A" w:rsidRPr="00BC0D1F" w:rsidRDefault="00DB771A" w:rsidP="006A557B">
            <w:pPr>
              <w:pStyle w:val="TableText"/>
              <w:spacing w:before="50" w:after="50"/>
              <w:jc w:val="right"/>
            </w:pPr>
            <w:r w:rsidRPr="00BC0D1F">
              <w:t>6</w:t>
            </w:r>
            <w:r w:rsidR="008234DC" w:rsidRPr="00BC0D1F">
              <w:t>,</w:t>
            </w:r>
            <w:r w:rsidRPr="00BC0D1F">
              <w:t>018</w:t>
            </w:r>
          </w:p>
        </w:tc>
      </w:tr>
      <w:tr w:rsidR="00DB771A" w:rsidRPr="00BC0D1F" w14:paraId="71B86F33" w14:textId="77777777" w:rsidTr="0014210E">
        <w:trPr>
          <w:cantSplit/>
        </w:trPr>
        <w:tc>
          <w:tcPr>
            <w:tcW w:w="1134" w:type="dxa"/>
            <w:tcBorders>
              <w:top w:val="nil"/>
              <w:right w:val="nil"/>
            </w:tcBorders>
            <w:shd w:val="solid" w:color="FFFFFF" w:fill="auto"/>
          </w:tcPr>
          <w:p w14:paraId="6E247920" w14:textId="77777777" w:rsidR="00DB771A" w:rsidRPr="00BC0D1F" w:rsidRDefault="00DB771A" w:rsidP="006A557B">
            <w:pPr>
              <w:pStyle w:val="TableText"/>
              <w:spacing w:before="50" w:after="50"/>
              <w:ind w:right="284"/>
              <w:jc w:val="right"/>
            </w:pPr>
            <w:r w:rsidRPr="00BC0D1F">
              <w:t>35,325</w:t>
            </w:r>
          </w:p>
        </w:tc>
        <w:tc>
          <w:tcPr>
            <w:tcW w:w="4111" w:type="dxa"/>
            <w:tcBorders>
              <w:top w:val="nil"/>
              <w:left w:val="nil"/>
            </w:tcBorders>
            <w:shd w:val="solid" w:color="FFFFFF" w:fill="auto"/>
          </w:tcPr>
          <w:p w14:paraId="0847C062" w14:textId="77777777" w:rsidR="00DB771A" w:rsidRPr="00BC0D1F" w:rsidRDefault="00DB771A" w:rsidP="006A557B">
            <w:pPr>
              <w:pStyle w:val="TableText"/>
              <w:spacing w:before="50" w:after="50"/>
            </w:pPr>
            <w:r w:rsidRPr="00BC0D1F">
              <w:t>Intangible assets</w:t>
            </w:r>
          </w:p>
        </w:tc>
        <w:tc>
          <w:tcPr>
            <w:tcW w:w="709" w:type="dxa"/>
            <w:tcBorders>
              <w:top w:val="nil"/>
              <w:left w:val="nil"/>
            </w:tcBorders>
            <w:shd w:val="solid" w:color="FFFFFF" w:fill="auto"/>
          </w:tcPr>
          <w:p w14:paraId="43AC178A" w14:textId="77777777" w:rsidR="00DB771A" w:rsidRPr="00BC0D1F" w:rsidRDefault="00DB771A" w:rsidP="006A557B">
            <w:pPr>
              <w:pStyle w:val="TableText"/>
              <w:spacing w:before="50" w:after="50"/>
              <w:rPr>
                <w:b/>
                <w:bCs/>
              </w:rPr>
            </w:pPr>
            <w:r w:rsidRPr="00BC0D1F">
              <w:rPr>
                <w:b/>
                <w:bCs/>
              </w:rPr>
              <w:t>7</w:t>
            </w:r>
          </w:p>
        </w:tc>
        <w:tc>
          <w:tcPr>
            <w:tcW w:w="1134" w:type="dxa"/>
            <w:tcBorders>
              <w:top w:val="nil"/>
            </w:tcBorders>
            <w:shd w:val="clear" w:color="E3E3E3" w:fill="D9D9D9"/>
          </w:tcPr>
          <w:p w14:paraId="3C0FDBDB" w14:textId="77777777" w:rsidR="00DB771A" w:rsidRPr="00BC0D1F" w:rsidRDefault="00DB771A" w:rsidP="006A557B">
            <w:pPr>
              <w:pStyle w:val="TableText"/>
              <w:spacing w:before="50" w:after="50"/>
              <w:ind w:right="113"/>
              <w:jc w:val="right"/>
            </w:pPr>
            <w:r w:rsidRPr="00BC0D1F">
              <w:t>34,239</w:t>
            </w:r>
          </w:p>
        </w:tc>
        <w:tc>
          <w:tcPr>
            <w:tcW w:w="1134" w:type="dxa"/>
            <w:tcBorders>
              <w:top w:val="nil"/>
            </w:tcBorders>
          </w:tcPr>
          <w:p w14:paraId="4772286A" w14:textId="77777777" w:rsidR="00DB771A" w:rsidRPr="00BC0D1F" w:rsidRDefault="00DB771A" w:rsidP="006A557B">
            <w:pPr>
              <w:pStyle w:val="TableText"/>
              <w:spacing w:before="50" w:after="50"/>
              <w:jc w:val="right"/>
            </w:pPr>
            <w:r w:rsidRPr="00BC0D1F">
              <w:t>36,860</w:t>
            </w:r>
          </w:p>
        </w:tc>
        <w:tc>
          <w:tcPr>
            <w:tcW w:w="1134" w:type="dxa"/>
            <w:tcBorders>
              <w:top w:val="nil"/>
            </w:tcBorders>
          </w:tcPr>
          <w:p w14:paraId="01854BC5" w14:textId="77777777" w:rsidR="00DB771A" w:rsidRPr="00BC0D1F" w:rsidRDefault="00DB771A" w:rsidP="006A557B">
            <w:pPr>
              <w:pStyle w:val="TableText"/>
              <w:spacing w:before="50" w:after="50"/>
              <w:jc w:val="right"/>
            </w:pPr>
            <w:r w:rsidRPr="00BC0D1F">
              <w:t>37,239</w:t>
            </w:r>
          </w:p>
        </w:tc>
      </w:tr>
      <w:tr w:rsidR="00DB771A" w:rsidRPr="00BC0D1F" w14:paraId="57E7F5F9" w14:textId="77777777" w:rsidTr="0014210E">
        <w:trPr>
          <w:cantSplit/>
        </w:trPr>
        <w:tc>
          <w:tcPr>
            <w:tcW w:w="1134" w:type="dxa"/>
            <w:tcBorders>
              <w:top w:val="nil"/>
              <w:right w:val="nil"/>
            </w:tcBorders>
            <w:shd w:val="solid" w:color="FFFFFF" w:fill="auto"/>
          </w:tcPr>
          <w:p w14:paraId="4B8EDEEE" w14:textId="77777777" w:rsidR="00DB771A" w:rsidRPr="00BC0D1F" w:rsidRDefault="00DB771A" w:rsidP="006A557B">
            <w:pPr>
              <w:pStyle w:val="TableText"/>
              <w:spacing w:before="50" w:after="50"/>
              <w:ind w:right="284"/>
              <w:jc w:val="right"/>
              <w:rPr>
                <w:b/>
                <w:bCs/>
              </w:rPr>
            </w:pPr>
            <w:r w:rsidRPr="00BC0D1F">
              <w:rPr>
                <w:b/>
                <w:bCs/>
              </w:rPr>
              <w:t>49,833</w:t>
            </w:r>
          </w:p>
        </w:tc>
        <w:tc>
          <w:tcPr>
            <w:tcW w:w="4111" w:type="dxa"/>
            <w:tcBorders>
              <w:top w:val="nil"/>
              <w:left w:val="nil"/>
            </w:tcBorders>
            <w:shd w:val="solid" w:color="FFFFFF" w:fill="auto"/>
          </w:tcPr>
          <w:p w14:paraId="430B28F4" w14:textId="77777777" w:rsidR="00DB771A" w:rsidRPr="00BC0D1F" w:rsidRDefault="00DB771A" w:rsidP="006A557B">
            <w:pPr>
              <w:pStyle w:val="TableText"/>
              <w:spacing w:before="50" w:after="50"/>
              <w:rPr>
                <w:b/>
                <w:bCs/>
              </w:rPr>
            </w:pPr>
            <w:r w:rsidRPr="00BC0D1F">
              <w:rPr>
                <w:b/>
                <w:bCs/>
              </w:rPr>
              <w:t>Total non-current assets</w:t>
            </w:r>
          </w:p>
        </w:tc>
        <w:tc>
          <w:tcPr>
            <w:tcW w:w="709" w:type="dxa"/>
            <w:tcBorders>
              <w:top w:val="nil"/>
              <w:left w:val="nil"/>
            </w:tcBorders>
            <w:shd w:val="solid" w:color="FFFFFF" w:fill="auto"/>
          </w:tcPr>
          <w:p w14:paraId="1E2EDFFA"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07532A4D" w14:textId="77777777" w:rsidR="00DB771A" w:rsidRPr="00BC0D1F" w:rsidRDefault="00DB771A" w:rsidP="006A557B">
            <w:pPr>
              <w:pStyle w:val="TableText"/>
              <w:spacing w:before="50" w:after="50"/>
              <w:ind w:right="113"/>
              <w:jc w:val="right"/>
              <w:rPr>
                <w:b/>
                <w:bCs/>
              </w:rPr>
            </w:pPr>
            <w:r w:rsidRPr="00BC0D1F">
              <w:rPr>
                <w:b/>
                <w:bCs/>
              </w:rPr>
              <w:t>49,125</w:t>
            </w:r>
          </w:p>
        </w:tc>
        <w:tc>
          <w:tcPr>
            <w:tcW w:w="1134" w:type="dxa"/>
            <w:tcBorders>
              <w:top w:val="nil"/>
            </w:tcBorders>
          </w:tcPr>
          <w:p w14:paraId="1C8A9375" w14:textId="77777777" w:rsidR="00DB771A" w:rsidRPr="00BC0D1F" w:rsidRDefault="00DB771A" w:rsidP="006A557B">
            <w:pPr>
              <w:pStyle w:val="TableText"/>
              <w:spacing w:before="50" w:after="50"/>
              <w:jc w:val="right"/>
              <w:rPr>
                <w:b/>
                <w:bCs/>
              </w:rPr>
            </w:pPr>
            <w:r w:rsidRPr="00BC0D1F">
              <w:rPr>
                <w:b/>
                <w:bCs/>
              </w:rPr>
              <w:t>50,936</w:t>
            </w:r>
          </w:p>
        </w:tc>
        <w:tc>
          <w:tcPr>
            <w:tcW w:w="1134" w:type="dxa"/>
            <w:tcBorders>
              <w:top w:val="nil"/>
            </w:tcBorders>
          </w:tcPr>
          <w:p w14:paraId="0B47ADEC" w14:textId="77777777" w:rsidR="00DB771A" w:rsidRPr="00BC0D1F" w:rsidRDefault="00DB771A" w:rsidP="006A557B">
            <w:pPr>
              <w:pStyle w:val="TableText"/>
              <w:spacing w:before="50" w:after="50"/>
              <w:jc w:val="right"/>
              <w:rPr>
                <w:b/>
                <w:bCs/>
              </w:rPr>
            </w:pPr>
            <w:r w:rsidRPr="00BC0D1F">
              <w:rPr>
                <w:b/>
                <w:bCs/>
              </w:rPr>
              <w:t>43,257</w:t>
            </w:r>
          </w:p>
        </w:tc>
      </w:tr>
      <w:tr w:rsidR="00DB771A" w:rsidRPr="00BC0D1F" w14:paraId="2CEB3482" w14:textId="77777777" w:rsidTr="0014210E">
        <w:trPr>
          <w:cantSplit/>
        </w:trPr>
        <w:tc>
          <w:tcPr>
            <w:tcW w:w="1134" w:type="dxa"/>
            <w:tcBorders>
              <w:top w:val="nil"/>
              <w:right w:val="nil"/>
            </w:tcBorders>
            <w:shd w:val="solid" w:color="FFFFFF" w:fill="auto"/>
          </w:tcPr>
          <w:p w14:paraId="78D436FB" w14:textId="77777777" w:rsidR="00DB771A" w:rsidRPr="00BC0D1F" w:rsidRDefault="00DB771A" w:rsidP="006A557B">
            <w:pPr>
              <w:pStyle w:val="TableText"/>
              <w:spacing w:before="50" w:after="50"/>
              <w:ind w:right="284"/>
              <w:jc w:val="right"/>
              <w:rPr>
                <w:b/>
                <w:bCs/>
              </w:rPr>
            </w:pPr>
            <w:r w:rsidRPr="00BC0D1F">
              <w:rPr>
                <w:b/>
                <w:bCs/>
              </w:rPr>
              <w:t>64,790</w:t>
            </w:r>
          </w:p>
        </w:tc>
        <w:tc>
          <w:tcPr>
            <w:tcW w:w="4111" w:type="dxa"/>
            <w:tcBorders>
              <w:top w:val="nil"/>
              <w:left w:val="nil"/>
            </w:tcBorders>
            <w:shd w:val="solid" w:color="FFFFFF" w:fill="auto"/>
          </w:tcPr>
          <w:p w14:paraId="004E401C" w14:textId="77777777" w:rsidR="00DB771A" w:rsidRPr="00BC0D1F" w:rsidRDefault="00DB771A" w:rsidP="006A557B">
            <w:pPr>
              <w:pStyle w:val="TableText"/>
              <w:spacing w:before="50" w:after="50"/>
              <w:rPr>
                <w:b/>
                <w:bCs/>
              </w:rPr>
            </w:pPr>
            <w:r w:rsidRPr="00BC0D1F">
              <w:rPr>
                <w:b/>
                <w:bCs/>
              </w:rPr>
              <w:t>Total assets</w:t>
            </w:r>
          </w:p>
        </w:tc>
        <w:tc>
          <w:tcPr>
            <w:tcW w:w="709" w:type="dxa"/>
            <w:tcBorders>
              <w:top w:val="nil"/>
              <w:left w:val="nil"/>
            </w:tcBorders>
            <w:shd w:val="solid" w:color="FFFFFF" w:fill="auto"/>
          </w:tcPr>
          <w:p w14:paraId="54FE2EA3"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36501376" w14:textId="60857B3E" w:rsidR="00DB771A" w:rsidRPr="00BC0D1F" w:rsidRDefault="00DB771A" w:rsidP="008D3000">
            <w:pPr>
              <w:pStyle w:val="TableText"/>
              <w:spacing w:before="50" w:after="50"/>
              <w:ind w:right="113"/>
              <w:jc w:val="right"/>
              <w:rPr>
                <w:b/>
                <w:bCs/>
              </w:rPr>
            </w:pPr>
            <w:r w:rsidRPr="00BC0D1F">
              <w:rPr>
                <w:b/>
                <w:bCs/>
              </w:rPr>
              <w:t>60,10</w:t>
            </w:r>
            <w:r w:rsidR="008D3000">
              <w:rPr>
                <w:b/>
                <w:bCs/>
              </w:rPr>
              <w:t>6</w:t>
            </w:r>
          </w:p>
        </w:tc>
        <w:tc>
          <w:tcPr>
            <w:tcW w:w="1134" w:type="dxa"/>
            <w:tcBorders>
              <w:top w:val="nil"/>
            </w:tcBorders>
          </w:tcPr>
          <w:p w14:paraId="39075B7A" w14:textId="77777777" w:rsidR="00DB771A" w:rsidRPr="00BC0D1F" w:rsidRDefault="00DB771A" w:rsidP="006A557B">
            <w:pPr>
              <w:pStyle w:val="TableText"/>
              <w:spacing w:before="50" w:after="50"/>
              <w:jc w:val="right"/>
              <w:rPr>
                <w:b/>
                <w:bCs/>
              </w:rPr>
            </w:pPr>
            <w:r w:rsidRPr="00BC0D1F">
              <w:rPr>
                <w:b/>
                <w:bCs/>
              </w:rPr>
              <w:t>65,372</w:t>
            </w:r>
          </w:p>
        </w:tc>
        <w:tc>
          <w:tcPr>
            <w:tcW w:w="1134" w:type="dxa"/>
            <w:tcBorders>
              <w:top w:val="nil"/>
            </w:tcBorders>
          </w:tcPr>
          <w:p w14:paraId="6A4D2757" w14:textId="77777777" w:rsidR="00DB771A" w:rsidRPr="00BC0D1F" w:rsidRDefault="00DB771A" w:rsidP="006A557B">
            <w:pPr>
              <w:pStyle w:val="TableText"/>
              <w:spacing w:before="50" w:after="50"/>
              <w:jc w:val="right"/>
              <w:rPr>
                <w:b/>
                <w:bCs/>
              </w:rPr>
            </w:pPr>
            <w:r w:rsidRPr="00BC0D1F">
              <w:rPr>
                <w:b/>
                <w:bCs/>
              </w:rPr>
              <w:t>59,158</w:t>
            </w:r>
          </w:p>
        </w:tc>
      </w:tr>
      <w:tr w:rsidR="00DB771A" w:rsidRPr="00BC0D1F" w14:paraId="00C8AFC6" w14:textId="77777777" w:rsidTr="0014210E">
        <w:trPr>
          <w:cantSplit/>
        </w:trPr>
        <w:tc>
          <w:tcPr>
            <w:tcW w:w="1134" w:type="dxa"/>
            <w:tcBorders>
              <w:top w:val="nil"/>
              <w:right w:val="nil"/>
            </w:tcBorders>
            <w:shd w:val="solid" w:color="FFFFFF" w:fill="auto"/>
          </w:tcPr>
          <w:p w14:paraId="564A3B63" w14:textId="77777777" w:rsidR="00DB771A" w:rsidRPr="00BC0D1F" w:rsidRDefault="00DB771A" w:rsidP="006A557B">
            <w:pPr>
              <w:pStyle w:val="TableText"/>
              <w:spacing w:before="180" w:after="50"/>
              <w:ind w:right="284"/>
              <w:jc w:val="right"/>
            </w:pPr>
          </w:p>
        </w:tc>
        <w:tc>
          <w:tcPr>
            <w:tcW w:w="4111" w:type="dxa"/>
            <w:tcBorders>
              <w:top w:val="nil"/>
              <w:left w:val="nil"/>
            </w:tcBorders>
            <w:shd w:val="solid" w:color="FFFFFF" w:fill="auto"/>
          </w:tcPr>
          <w:p w14:paraId="78D52ED6" w14:textId="77777777" w:rsidR="00DB771A" w:rsidRPr="00BC0D1F" w:rsidRDefault="00DB771A" w:rsidP="006A557B">
            <w:pPr>
              <w:pStyle w:val="TableText"/>
              <w:spacing w:before="180" w:after="50"/>
              <w:rPr>
                <w:b/>
                <w:bCs/>
              </w:rPr>
            </w:pPr>
            <w:r w:rsidRPr="00BC0D1F">
              <w:rPr>
                <w:b/>
                <w:bCs/>
              </w:rPr>
              <w:t>Liabilities</w:t>
            </w:r>
          </w:p>
        </w:tc>
        <w:tc>
          <w:tcPr>
            <w:tcW w:w="709" w:type="dxa"/>
            <w:tcBorders>
              <w:top w:val="nil"/>
              <w:left w:val="nil"/>
            </w:tcBorders>
            <w:shd w:val="solid" w:color="FFFFFF" w:fill="auto"/>
          </w:tcPr>
          <w:p w14:paraId="2572BAD6" w14:textId="77777777" w:rsidR="00DB771A" w:rsidRPr="00BC0D1F" w:rsidRDefault="00DB771A" w:rsidP="006A557B">
            <w:pPr>
              <w:pStyle w:val="TableText"/>
              <w:spacing w:before="180" w:after="50"/>
            </w:pPr>
          </w:p>
        </w:tc>
        <w:tc>
          <w:tcPr>
            <w:tcW w:w="1134" w:type="dxa"/>
            <w:tcBorders>
              <w:top w:val="nil"/>
            </w:tcBorders>
            <w:shd w:val="clear" w:color="E3E3E3" w:fill="D9D9D9"/>
          </w:tcPr>
          <w:p w14:paraId="3D765738" w14:textId="77777777" w:rsidR="00DB771A" w:rsidRPr="00BC0D1F" w:rsidRDefault="00DB771A" w:rsidP="006A557B">
            <w:pPr>
              <w:pStyle w:val="TableText"/>
              <w:spacing w:before="180" w:after="50"/>
              <w:ind w:right="113"/>
              <w:jc w:val="right"/>
              <w:rPr>
                <w:b/>
                <w:bCs/>
              </w:rPr>
            </w:pPr>
          </w:p>
        </w:tc>
        <w:tc>
          <w:tcPr>
            <w:tcW w:w="1134" w:type="dxa"/>
            <w:tcBorders>
              <w:top w:val="nil"/>
            </w:tcBorders>
          </w:tcPr>
          <w:p w14:paraId="7FFCD103" w14:textId="77777777" w:rsidR="00DB771A" w:rsidRPr="00BC0D1F" w:rsidRDefault="00DB771A" w:rsidP="006A557B">
            <w:pPr>
              <w:pStyle w:val="TableText"/>
              <w:spacing w:before="180" w:after="50"/>
              <w:jc w:val="right"/>
              <w:rPr>
                <w:b/>
                <w:bCs/>
              </w:rPr>
            </w:pPr>
          </w:p>
        </w:tc>
        <w:tc>
          <w:tcPr>
            <w:tcW w:w="1134" w:type="dxa"/>
            <w:tcBorders>
              <w:top w:val="nil"/>
            </w:tcBorders>
          </w:tcPr>
          <w:p w14:paraId="20EB5FD8" w14:textId="77777777" w:rsidR="00DB771A" w:rsidRPr="00BC0D1F" w:rsidRDefault="00DB771A" w:rsidP="006A557B">
            <w:pPr>
              <w:pStyle w:val="TableText"/>
              <w:spacing w:before="180" w:after="50"/>
              <w:jc w:val="right"/>
            </w:pPr>
          </w:p>
        </w:tc>
      </w:tr>
      <w:tr w:rsidR="00DB771A" w:rsidRPr="00BC0D1F" w14:paraId="33DB3DE4" w14:textId="77777777" w:rsidTr="0014210E">
        <w:trPr>
          <w:cantSplit/>
        </w:trPr>
        <w:tc>
          <w:tcPr>
            <w:tcW w:w="1134" w:type="dxa"/>
            <w:tcBorders>
              <w:top w:val="nil"/>
              <w:right w:val="nil"/>
            </w:tcBorders>
            <w:shd w:val="solid" w:color="FFFFFF" w:fill="auto"/>
          </w:tcPr>
          <w:p w14:paraId="2E0BEB4A" w14:textId="77777777" w:rsidR="00DB771A" w:rsidRPr="00BC0D1F" w:rsidRDefault="00DB771A" w:rsidP="006A557B">
            <w:pPr>
              <w:pStyle w:val="TableText"/>
              <w:spacing w:before="120" w:after="50"/>
              <w:ind w:right="284"/>
              <w:jc w:val="right"/>
            </w:pPr>
          </w:p>
        </w:tc>
        <w:tc>
          <w:tcPr>
            <w:tcW w:w="4111" w:type="dxa"/>
            <w:tcBorders>
              <w:top w:val="nil"/>
              <w:left w:val="nil"/>
            </w:tcBorders>
            <w:shd w:val="solid" w:color="FFFFFF" w:fill="auto"/>
          </w:tcPr>
          <w:p w14:paraId="1A4E3DBE" w14:textId="77777777" w:rsidR="00DB771A" w:rsidRPr="00BC0D1F" w:rsidRDefault="00DB771A" w:rsidP="006A557B">
            <w:pPr>
              <w:pStyle w:val="TableText"/>
              <w:spacing w:before="120" w:after="50"/>
              <w:rPr>
                <w:b/>
                <w:bCs/>
              </w:rPr>
            </w:pPr>
            <w:r w:rsidRPr="00BC0D1F">
              <w:rPr>
                <w:b/>
                <w:bCs/>
              </w:rPr>
              <w:t>Current liabilities</w:t>
            </w:r>
          </w:p>
        </w:tc>
        <w:tc>
          <w:tcPr>
            <w:tcW w:w="709" w:type="dxa"/>
            <w:tcBorders>
              <w:top w:val="nil"/>
              <w:left w:val="nil"/>
            </w:tcBorders>
            <w:shd w:val="solid" w:color="FFFFFF" w:fill="auto"/>
          </w:tcPr>
          <w:p w14:paraId="46A3686B" w14:textId="77777777" w:rsidR="00DB771A" w:rsidRPr="00BC0D1F" w:rsidRDefault="00DB771A" w:rsidP="006A557B">
            <w:pPr>
              <w:pStyle w:val="TableText"/>
              <w:spacing w:before="120" w:after="50"/>
            </w:pPr>
          </w:p>
        </w:tc>
        <w:tc>
          <w:tcPr>
            <w:tcW w:w="1134" w:type="dxa"/>
            <w:tcBorders>
              <w:top w:val="nil"/>
            </w:tcBorders>
            <w:shd w:val="clear" w:color="E3E3E3" w:fill="D9D9D9"/>
          </w:tcPr>
          <w:p w14:paraId="05E9B085" w14:textId="77777777" w:rsidR="00DB771A" w:rsidRPr="00BC0D1F" w:rsidRDefault="00DB771A" w:rsidP="006A557B">
            <w:pPr>
              <w:pStyle w:val="TableText"/>
              <w:spacing w:before="120" w:after="50"/>
              <w:ind w:right="113"/>
              <w:jc w:val="right"/>
              <w:rPr>
                <w:b/>
                <w:bCs/>
              </w:rPr>
            </w:pPr>
          </w:p>
        </w:tc>
        <w:tc>
          <w:tcPr>
            <w:tcW w:w="1134" w:type="dxa"/>
            <w:tcBorders>
              <w:top w:val="nil"/>
            </w:tcBorders>
          </w:tcPr>
          <w:p w14:paraId="71259FCD" w14:textId="77777777" w:rsidR="00DB771A" w:rsidRPr="00BC0D1F" w:rsidRDefault="00DB771A" w:rsidP="006A557B">
            <w:pPr>
              <w:pStyle w:val="TableText"/>
              <w:spacing w:before="120" w:after="50"/>
              <w:jc w:val="right"/>
              <w:rPr>
                <w:b/>
                <w:bCs/>
              </w:rPr>
            </w:pPr>
          </w:p>
        </w:tc>
        <w:tc>
          <w:tcPr>
            <w:tcW w:w="1134" w:type="dxa"/>
            <w:tcBorders>
              <w:top w:val="nil"/>
            </w:tcBorders>
          </w:tcPr>
          <w:p w14:paraId="4B70723C" w14:textId="77777777" w:rsidR="00DB771A" w:rsidRPr="00BC0D1F" w:rsidRDefault="00DB771A" w:rsidP="006A557B">
            <w:pPr>
              <w:pStyle w:val="TableText"/>
              <w:spacing w:before="120" w:after="50"/>
              <w:jc w:val="right"/>
            </w:pPr>
          </w:p>
        </w:tc>
      </w:tr>
      <w:tr w:rsidR="00DB771A" w:rsidRPr="00BC0D1F" w14:paraId="0E3EEDFE" w14:textId="77777777" w:rsidTr="0014210E">
        <w:trPr>
          <w:cantSplit/>
        </w:trPr>
        <w:tc>
          <w:tcPr>
            <w:tcW w:w="1134" w:type="dxa"/>
            <w:tcBorders>
              <w:top w:val="nil"/>
              <w:right w:val="nil"/>
            </w:tcBorders>
            <w:shd w:val="solid" w:color="FFFFFF" w:fill="auto"/>
          </w:tcPr>
          <w:p w14:paraId="7CE22259" w14:textId="77777777" w:rsidR="00DB771A" w:rsidRPr="00BC0D1F" w:rsidRDefault="00DB771A" w:rsidP="006A557B">
            <w:pPr>
              <w:pStyle w:val="TableText"/>
              <w:spacing w:before="50" w:after="50"/>
              <w:ind w:right="284"/>
              <w:jc w:val="right"/>
            </w:pPr>
            <w:r w:rsidRPr="00BC0D1F">
              <w:t>15,365</w:t>
            </w:r>
          </w:p>
        </w:tc>
        <w:tc>
          <w:tcPr>
            <w:tcW w:w="4111" w:type="dxa"/>
            <w:tcBorders>
              <w:top w:val="nil"/>
              <w:left w:val="nil"/>
            </w:tcBorders>
            <w:shd w:val="solid" w:color="FFFFFF" w:fill="auto"/>
          </w:tcPr>
          <w:p w14:paraId="0A4CBE53" w14:textId="77777777" w:rsidR="00DB771A" w:rsidRPr="00BC0D1F" w:rsidRDefault="00DB771A" w:rsidP="006A557B">
            <w:pPr>
              <w:pStyle w:val="TableText"/>
              <w:spacing w:before="50" w:after="50"/>
            </w:pPr>
            <w:r w:rsidRPr="00BC0D1F">
              <w:t>Creditors and other payables</w:t>
            </w:r>
          </w:p>
        </w:tc>
        <w:tc>
          <w:tcPr>
            <w:tcW w:w="709" w:type="dxa"/>
            <w:tcBorders>
              <w:top w:val="nil"/>
              <w:left w:val="nil"/>
            </w:tcBorders>
            <w:shd w:val="solid" w:color="FFFFFF" w:fill="auto"/>
          </w:tcPr>
          <w:p w14:paraId="3D2E31B9" w14:textId="77777777" w:rsidR="00DB771A" w:rsidRPr="00BC0D1F" w:rsidRDefault="00DB771A" w:rsidP="006A557B">
            <w:pPr>
              <w:pStyle w:val="TableText"/>
              <w:spacing w:before="50" w:after="50"/>
              <w:rPr>
                <w:b/>
                <w:bCs/>
              </w:rPr>
            </w:pPr>
            <w:r w:rsidRPr="00BC0D1F">
              <w:rPr>
                <w:b/>
                <w:bCs/>
              </w:rPr>
              <w:t>8</w:t>
            </w:r>
          </w:p>
        </w:tc>
        <w:tc>
          <w:tcPr>
            <w:tcW w:w="1134" w:type="dxa"/>
            <w:tcBorders>
              <w:top w:val="nil"/>
            </w:tcBorders>
            <w:shd w:val="clear" w:color="E3E3E3" w:fill="D9D9D9"/>
          </w:tcPr>
          <w:p w14:paraId="30364932" w14:textId="77777777" w:rsidR="00DB771A" w:rsidRPr="00BC0D1F" w:rsidRDefault="00DB771A" w:rsidP="006A557B">
            <w:pPr>
              <w:pStyle w:val="TableText"/>
              <w:spacing w:before="50" w:after="50"/>
              <w:ind w:right="113"/>
              <w:jc w:val="right"/>
            </w:pPr>
            <w:r w:rsidRPr="00BC0D1F">
              <w:t>11,731</w:t>
            </w:r>
          </w:p>
        </w:tc>
        <w:tc>
          <w:tcPr>
            <w:tcW w:w="1134" w:type="dxa"/>
            <w:tcBorders>
              <w:top w:val="nil"/>
            </w:tcBorders>
          </w:tcPr>
          <w:p w14:paraId="2DA2C57A" w14:textId="77777777" w:rsidR="00DB771A" w:rsidRPr="00BC0D1F" w:rsidRDefault="00DB771A" w:rsidP="006A557B">
            <w:pPr>
              <w:pStyle w:val="TableText"/>
              <w:spacing w:before="50" w:after="50"/>
              <w:jc w:val="right"/>
            </w:pPr>
            <w:r w:rsidRPr="00BC0D1F">
              <w:t>14,361</w:t>
            </w:r>
          </w:p>
        </w:tc>
        <w:tc>
          <w:tcPr>
            <w:tcW w:w="1134" w:type="dxa"/>
            <w:tcBorders>
              <w:top w:val="nil"/>
            </w:tcBorders>
          </w:tcPr>
          <w:p w14:paraId="587EA9A4" w14:textId="75204928" w:rsidR="008D3000" w:rsidRPr="00BC0D1F" w:rsidRDefault="00DB771A" w:rsidP="008D3000">
            <w:pPr>
              <w:pStyle w:val="TableText"/>
              <w:spacing w:before="50" w:after="50"/>
              <w:jc w:val="right"/>
            </w:pPr>
            <w:r w:rsidRPr="00BC0D1F">
              <w:t>14,04</w:t>
            </w:r>
            <w:r w:rsidR="008D3000">
              <w:t>1</w:t>
            </w:r>
          </w:p>
        </w:tc>
      </w:tr>
      <w:tr w:rsidR="00DB771A" w:rsidRPr="00BC0D1F" w14:paraId="0F24524F" w14:textId="77777777" w:rsidTr="0014210E">
        <w:trPr>
          <w:cantSplit/>
        </w:trPr>
        <w:tc>
          <w:tcPr>
            <w:tcW w:w="1134" w:type="dxa"/>
            <w:tcBorders>
              <w:top w:val="nil"/>
              <w:right w:val="nil"/>
            </w:tcBorders>
            <w:shd w:val="solid" w:color="FFFFFF" w:fill="auto"/>
          </w:tcPr>
          <w:p w14:paraId="1F3CF4F4" w14:textId="0C1DFA84" w:rsidR="00DB771A" w:rsidRPr="00BC0D1F" w:rsidRDefault="00DB771A" w:rsidP="006A557B">
            <w:pPr>
              <w:pStyle w:val="TableText"/>
              <w:spacing w:before="50" w:after="50"/>
              <w:ind w:right="284"/>
              <w:jc w:val="right"/>
            </w:pPr>
            <w:r w:rsidRPr="00BC0D1F">
              <w:t>–</w:t>
            </w:r>
          </w:p>
        </w:tc>
        <w:tc>
          <w:tcPr>
            <w:tcW w:w="4111" w:type="dxa"/>
            <w:tcBorders>
              <w:top w:val="nil"/>
              <w:left w:val="nil"/>
            </w:tcBorders>
            <w:shd w:val="solid" w:color="FFFFFF" w:fill="auto"/>
          </w:tcPr>
          <w:p w14:paraId="008DF9A7" w14:textId="77777777" w:rsidR="00DB771A" w:rsidRPr="00BC0D1F" w:rsidRDefault="00DB771A" w:rsidP="006A557B">
            <w:pPr>
              <w:pStyle w:val="TableText"/>
              <w:spacing w:before="50" w:after="50"/>
            </w:pPr>
            <w:r w:rsidRPr="00BC0D1F">
              <w:t>Operating surplus to be returned to the Crown</w:t>
            </w:r>
          </w:p>
        </w:tc>
        <w:tc>
          <w:tcPr>
            <w:tcW w:w="709" w:type="dxa"/>
            <w:tcBorders>
              <w:top w:val="nil"/>
              <w:left w:val="nil"/>
            </w:tcBorders>
            <w:shd w:val="solid" w:color="FFFFFF" w:fill="auto"/>
          </w:tcPr>
          <w:p w14:paraId="61AF3A4E" w14:textId="77777777" w:rsidR="00DB771A" w:rsidRPr="00BC0D1F" w:rsidRDefault="00DB771A" w:rsidP="006A557B">
            <w:pPr>
              <w:pStyle w:val="TableText"/>
              <w:spacing w:before="50" w:after="50"/>
              <w:rPr>
                <w:b/>
                <w:bCs/>
              </w:rPr>
            </w:pPr>
            <w:r w:rsidRPr="00BC0D1F">
              <w:rPr>
                <w:b/>
                <w:bCs/>
              </w:rPr>
              <w:t>9</w:t>
            </w:r>
          </w:p>
        </w:tc>
        <w:tc>
          <w:tcPr>
            <w:tcW w:w="1134" w:type="dxa"/>
            <w:tcBorders>
              <w:top w:val="nil"/>
            </w:tcBorders>
            <w:shd w:val="clear" w:color="E3E3E3" w:fill="D9D9D9"/>
          </w:tcPr>
          <w:p w14:paraId="1A5CBCD9" w14:textId="2E8D288F" w:rsidR="00DB771A" w:rsidRPr="00BC0D1F" w:rsidRDefault="00202C6B" w:rsidP="006A557B">
            <w:pPr>
              <w:pStyle w:val="TableText"/>
              <w:spacing w:before="50" w:after="50"/>
              <w:ind w:right="113"/>
              <w:jc w:val="right"/>
            </w:pPr>
            <w:r>
              <w:t>608</w:t>
            </w:r>
          </w:p>
        </w:tc>
        <w:tc>
          <w:tcPr>
            <w:tcW w:w="1134" w:type="dxa"/>
            <w:tcBorders>
              <w:top w:val="nil"/>
            </w:tcBorders>
          </w:tcPr>
          <w:p w14:paraId="72C58F18" w14:textId="77777777" w:rsidR="00DB771A" w:rsidRPr="00BC0D1F" w:rsidRDefault="00DB771A" w:rsidP="006A557B">
            <w:pPr>
              <w:pStyle w:val="TableText"/>
              <w:spacing w:before="50" w:after="50"/>
              <w:jc w:val="right"/>
            </w:pPr>
            <w:r w:rsidRPr="00BC0D1F">
              <w:t>–</w:t>
            </w:r>
          </w:p>
        </w:tc>
        <w:tc>
          <w:tcPr>
            <w:tcW w:w="1134" w:type="dxa"/>
            <w:tcBorders>
              <w:top w:val="nil"/>
            </w:tcBorders>
          </w:tcPr>
          <w:p w14:paraId="200F89C0" w14:textId="77777777" w:rsidR="00DB771A" w:rsidRPr="00BC0D1F" w:rsidRDefault="00DB771A" w:rsidP="006A557B">
            <w:pPr>
              <w:pStyle w:val="TableText"/>
              <w:spacing w:before="50" w:after="50"/>
              <w:jc w:val="right"/>
            </w:pPr>
            <w:r w:rsidRPr="00BC0D1F">
              <w:t>–</w:t>
            </w:r>
          </w:p>
        </w:tc>
      </w:tr>
      <w:tr w:rsidR="00DB771A" w:rsidRPr="00BC0D1F" w14:paraId="4C735D20" w14:textId="77777777" w:rsidTr="0014210E">
        <w:trPr>
          <w:cantSplit/>
        </w:trPr>
        <w:tc>
          <w:tcPr>
            <w:tcW w:w="1134" w:type="dxa"/>
            <w:tcBorders>
              <w:top w:val="nil"/>
              <w:right w:val="nil"/>
            </w:tcBorders>
            <w:shd w:val="solid" w:color="FFFFFF" w:fill="auto"/>
          </w:tcPr>
          <w:p w14:paraId="7F766614" w14:textId="77777777" w:rsidR="00DB771A" w:rsidRPr="00BC0D1F" w:rsidRDefault="00DB771A" w:rsidP="006A557B">
            <w:pPr>
              <w:pStyle w:val="TableText"/>
              <w:spacing w:before="50" w:after="50"/>
              <w:ind w:right="284"/>
              <w:jc w:val="right"/>
            </w:pPr>
            <w:r w:rsidRPr="00BC0D1F">
              <w:t>1</w:t>
            </w:r>
            <w:r w:rsidR="008234DC" w:rsidRPr="00BC0D1F">
              <w:t>,</w:t>
            </w:r>
            <w:r w:rsidRPr="00BC0D1F">
              <w:t>132</w:t>
            </w:r>
          </w:p>
        </w:tc>
        <w:tc>
          <w:tcPr>
            <w:tcW w:w="4111" w:type="dxa"/>
            <w:tcBorders>
              <w:top w:val="nil"/>
              <w:left w:val="nil"/>
            </w:tcBorders>
            <w:shd w:val="solid" w:color="FFFFFF" w:fill="auto"/>
          </w:tcPr>
          <w:p w14:paraId="7C37151B" w14:textId="77777777" w:rsidR="00DB771A" w:rsidRPr="00BC0D1F" w:rsidRDefault="00DB771A" w:rsidP="006A557B">
            <w:pPr>
              <w:pStyle w:val="TableText"/>
              <w:spacing w:before="50" w:after="50"/>
            </w:pPr>
            <w:r w:rsidRPr="00BC0D1F">
              <w:t>Provisions</w:t>
            </w:r>
          </w:p>
        </w:tc>
        <w:tc>
          <w:tcPr>
            <w:tcW w:w="709" w:type="dxa"/>
            <w:tcBorders>
              <w:top w:val="nil"/>
              <w:left w:val="nil"/>
            </w:tcBorders>
            <w:shd w:val="solid" w:color="FFFFFF" w:fill="auto"/>
          </w:tcPr>
          <w:p w14:paraId="6831B926" w14:textId="77777777" w:rsidR="00DB771A" w:rsidRPr="00BC0D1F" w:rsidRDefault="00DB771A" w:rsidP="006A557B">
            <w:pPr>
              <w:pStyle w:val="TableText"/>
              <w:spacing w:before="50" w:after="50"/>
              <w:rPr>
                <w:b/>
                <w:bCs/>
              </w:rPr>
            </w:pPr>
            <w:r w:rsidRPr="00BC0D1F">
              <w:rPr>
                <w:b/>
                <w:bCs/>
              </w:rPr>
              <w:t>10</w:t>
            </w:r>
          </w:p>
        </w:tc>
        <w:tc>
          <w:tcPr>
            <w:tcW w:w="1134" w:type="dxa"/>
            <w:tcBorders>
              <w:top w:val="nil"/>
            </w:tcBorders>
            <w:shd w:val="clear" w:color="E3E3E3" w:fill="D9D9D9"/>
          </w:tcPr>
          <w:p w14:paraId="5698C8E3" w14:textId="77777777" w:rsidR="00DB771A" w:rsidRPr="00BC0D1F" w:rsidRDefault="00DB771A" w:rsidP="006A557B">
            <w:pPr>
              <w:pStyle w:val="TableText"/>
              <w:spacing w:before="50" w:after="50"/>
              <w:ind w:right="113"/>
              <w:jc w:val="right"/>
            </w:pPr>
            <w:r w:rsidRPr="00BC0D1F">
              <w:t>3</w:t>
            </w:r>
            <w:r w:rsidR="008234DC" w:rsidRPr="00BC0D1F">
              <w:t>,</w:t>
            </w:r>
            <w:r w:rsidRPr="00BC0D1F">
              <w:t>691</w:t>
            </w:r>
          </w:p>
        </w:tc>
        <w:tc>
          <w:tcPr>
            <w:tcW w:w="1134" w:type="dxa"/>
            <w:tcBorders>
              <w:top w:val="nil"/>
            </w:tcBorders>
          </w:tcPr>
          <w:p w14:paraId="3E5F7D63" w14:textId="77777777" w:rsidR="00DB771A" w:rsidRPr="00BC0D1F" w:rsidRDefault="00DB771A" w:rsidP="006A557B">
            <w:pPr>
              <w:pStyle w:val="TableText"/>
              <w:spacing w:before="50" w:after="50"/>
              <w:jc w:val="right"/>
            </w:pPr>
            <w:r w:rsidRPr="00BC0D1F">
              <w:t>1</w:t>
            </w:r>
            <w:r w:rsidR="008234DC" w:rsidRPr="00BC0D1F">
              <w:t>,</w:t>
            </w:r>
            <w:r w:rsidRPr="00BC0D1F">
              <w:t>451</w:t>
            </w:r>
          </w:p>
        </w:tc>
        <w:tc>
          <w:tcPr>
            <w:tcW w:w="1134" w:type="dxa"/>
            <w:tcBorders>
              <w:top w:val="nil"/>
            </w:tcBorders>
          </w:tcPr>
          <w:p w14:paraId="705A1F65" w14:textId="77777777" w:rsidR="00DB771A" w:rsidRPr="00BC0D1F" w:rsidRDefault="00DB771A" w:rsidP="006A557B">
            <w:pPr>
              <w:pStyle w:val="TableText"/>
              <w:spacing w:before="50" w:after="50"/>
              <w:jc w:val="right"/>
            </w:pPr>
            <w:r w:rsidRPr="00BC0D1F">
              <w:t>500</w:t>
            </w:r>
          </w:p>
        </w:tc>
      </w:tr>
      <w:tr w:rsidR="00DB771A" w:rsidRPr="00BC0D1F" w14:paraId="3D9AC396" w14:textId="77777777" w:rsidTr="0014210E">
        <w:trPr>
          <w:cantSplit/>
        </w:trPr>
        <w:tc>
          <w:tcPr>
            <w:tcW w:w="1134" w:type="dxa"/>
            <w:tcBorders>
              <w:top w:val="nil"/>
              <w:right w:val="nil"/>
            </w:tcBorders>
            <w:shd w:val="solid" w:color="FFFFFF" w:fill="auto"/>
          </w:tcPr>
          <w:p w14:paraId="00C88326" w14:textId="77777777" w:rsidR="00DB771A" w:rsidRPr="00BC0D1F" w:rsidRDefault="00DB771A" w:rsidP="006A557B">
            <w:pPr>
              <w:pStyle w:val="TableText"/>
              <w:spacing w:before="50" w:after="50"/>
              <w:ind w:right="284"/>
              <w:jc w:val="right"/>
            </w:pPr>
            <w:r w:rsidRPr="00BC0D1F">
              <w:t>8</w:t>
            </w:r>
            <w:r w:rsidR="008234DC" w:rsidRPr="00BC0D1F">
              <w:t>,</w:t>
            </w:r>
            <w:r w:rsidRPr="00BC0D1F">
              <w:t>840</w:t>
            </w:r>
          </w:p>
        </w:tc>
        <w:tc>
          <w:tcPr>
            <w:tcW w:w="4111" w:type="dxa"/>
            <w:tcBorders>
              <w:top w:val="nil"/>
              <w:left w:val="nil"/>
            </w:tcBorders>
            <w:shd w:val="solid" w:color="FFFFFF" w:fill="auto"/>
          </w:tcPr>
          <w:p w14:paraId="275BF936" w14:textId="77777777" w:rsidR="00DB771A" w:rsidRPr="00BC0D1F" w:rsidRDefault="00DB771A" w:rsidP="006A557B">
            <w:pPr>
              <w:pStyle w:val="TableText"/>
              <w:spacing w:before="50" w:after="50"/>
            </w:pPr>
            <w:r w:rsidRPr="00BC0D1F">
              <w:t>Employee entitlements</w:t>
            </w:r>
          </w:p>
        </w:tc>
        <w:tc>
          <w:tcPr>
            <w:tcW w:w="709" w:type="dxa"/>
            <w:tcBorders>
              <w:top w:val="nil"/>
              <w:left w:val="nil"/>
            </w:tcBorders>
            <w:shd w:val="solid" w:color="FFFFFF" w:fill="auto"/>
          </w:tcPr>
          <w:p w14:paraId="0E744D23" w14:textId="77777777" w:rsidR="00DB771A" w:rsidRPr="00BC0D1F" w:rsidRDefault="00DB771A" w:rsidP="006A557B">
            <w:pPr>
              <w:pStyle w:val="TableText"/>
              <w:spacing w:before="50" w:after="50"/>
              <w:rPr>
                <w:b/>
                <w:bCs/>
              </w:rPr>
            </w:pPr>
            <w:r w:rsidRPr="00BC0D1F">
              <w:rPr>
                <w:b/>
                <w:bCs/>
              </w:rPr>
              <w:t>11</w:t>
            </w:r>
          </w:p>
        </w:tc>
        <w:tc>
          <w:tcPr>
            <w:tcW w:w="1134" w:type="dxa"/>
            <w:tcBorders>
              <w:top w:val="nil"/>
            </w:tcBorders>
            <w:shd w:val="clear" w:color="E3E3E3" w:fill="D9D9D9"/>
          </w:tcPr>
          <w:p w14:paraId="1EBFDF64" w14:textId="77777777" w:rsidR="00DB771A" w:rsidRPr="00BC0D1F" w:rsidRDefault="00DB771A" w:rsidP="006A557B">
            <w:pPr>
              <w:pStyle w:val="TableText"/>
              <w:spacing w:before="50" w:after="50"/>
              <w:ind w:right="113"/>
              <w:jc w:val="right"/>
            </w:pPr>
            <w:r w:rsidRPr="00BC0D1F">
              <w:t>8</w:t>
            </w:r>
            <w:r w:rsidR="008234DC" w:rsidRPr="00BC0D1F">
              <w:t>,</w:t>
            </w:r>
            <w:r w:rsidRPr="00BC0D1F">
              <w:t>162</w:t>
            </w:r>
          </w:p>
        </w:tc>
        <w:tc>
          <w:tcPr>
            <w:tcW w:w="1134" w:type="dxa"/>
            <w:tcBorders>
              <w:top w:val="nil"/>
            </w:tcBorders>
          </w:tcPr>
          <w:p w14:paraId="41E9CCD7" w14:textId="77777777" w:rsidR="00DB771A" w:rsidRPr="00BC0D1F" w:rsidRDefault="00DB771A" w:rsidP="006A557B">
            <w:pPr>
              <w:pStyle w:val="TableText"/>
              <w:spacing w:before="50" w:after="50"/>
              <w:jc w:val="right"/>
            </w:pPr>
            <w:r w:rsidRPr="00BC0D1F">
              <w:t>8</w:t>
            </w:r>
            <w:r w:rsidR="008234DC" w:rsidRPr="00BC0D1F">
              <w:t>,</w:t>
            </w:r>
            <w:r w:rsidRPr="00BC0D1F">
              <w:t>977</w:t>
            </w:r>
          </w:p>
        </w:tc>
        <w:tc>
          <w:tcPr>
            <w:tcW w:w="1134" w:type="dxa"/>
            <w:tcBorders>
              <w:top w:val="nil"/>
            </w:tcBorders>
          </w:tcPr>
          <w:p w14:paraId="41643D91" w14:textId="77777777" w:rsidR="00DB771A" w:rsidRPr="00BC0D1F" w:rsidRDefault="00DB771A" w:rsidP="006A557B">
            <w:pPr>
              <w:pStyle w:val="TableText"/>
              <w:spacing w:before="50" w:after="50"/>
              <w:jc w:val="right"/>
            </w:pPr>
            <w:r w:rsidRPr="00BC0D1F">
              <w:t>8</w:t>
            </w:r>
            <w:r w:rsidR="008234DC" w:rsidRPr="00BC0D1F">
              <w:t>,</w:t>
            </w:r>
            <w:r w:rsidRPr="00BC0D1F">
              <w:t>000</w:t>
            </w:r>
          </w:p>
        </w:tc>
      </w:tr>
      <w:tr w:rsidR="00DB771A" w:rsidRPr="00BC0D1F" w14:paraId="5B54DABE" w14:textId="77777777" w:rsidTr="0014210E">
        <w:trPr>
          <w:cantSplit/>
        </w:trPr>
        <w:tc>
          <w:tcPr>
            <w:tcW w:w="1134" w:type="dxa"/>
            <w:tcBorders>
              <w:top w:val="nil"/>
              <w:right w:val="nil"/>
            </w:tcBorders>
            <w:shd w:val="solid" w:color="FFFFFF" w:fill="auto"/>
          </w:tcPr>
          <w:p w14:paraId="754E1826" w14:textId="77777777" w:rsidR="00DB771A" w:rsidRPr="00BC0D1F" w:rsidRDefault="00DB771A" w:rsidP="006A557B">
            <w:pPr>
              <w:pStyle w:val="TableText"/>
              <w:spacing w:before="50" w:after="50"/>
              <w:ind w:right="284"/>
              <w:jc w:val="right"/>
              <w:rPr>
                <w:b/>
                <w:bCs/>
              </w:rPr>
            </w:pPr>
            <w:r w:rsidRPr="00BC0D1F">
              <w:rPr>
                <w:b/>
                <w:bCs/>
              </w:rPr>
              <w:t>25,337</w:t>
            </w:r>
          </w:p>
        </w:tc>
        <w:tc>
          <w:tcPr>
            <w:tcW w:w="4111" w:type="dxa"/>
            <w:tcBorders>
              <w:top w:val="nil"/>
              <w:left w:val="nil"/>
            </w:tcBorders>
            <w:shd w:val="solid" w:color="FFFFFF" w:fill="auto"/>
          </w:tcPr>
          <w:p w14:paraId="50014EA8" w14:textId="77777777" w:rsidR="00DB771A" w:rsidRPr="00BC0D1F" w:rsidRDefault="00DB771A" w:rsidP="006A557B">
            <w:pPr>
              <w:pStyle w:val="TableText"/>
              <w:spacing w:before="50" w:after="50"/>
              <w:rPr>
                <w:b/>
                <w:bCs/>
              </w:rPr>
            </w:pPr>
            <w:r w:rsidRPr="00BC0D1F">
              <w:rPr>
                <w:b/>
                <w:bCs/>
              </w:rPr>
              <w:t>Total current liabilities</w:t>
            </w:r>
          </w:p>
        </w:tc>
        <w:tc>
          <w:tcPr>
            <w:tcW w:w="709" w:type="dxa"/>
            <w:tcBorders>
              <w:top w:val="nil"/>
              <w:left w:val="nil"/>
            </w:tcBorders>
            <w:shd w:val="solid" w:color="FFFFFF" w:fill="auto"/>
          </w:tcPr>
          <w:p w14:paraId="5D336FC0"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19530819" w14:textId="3DE9C8D8" w:rsidR="00DB771A" w:rsidRPr="00BC0D1F" w:rsidRDefault="00AA0713" w:rsidP="006A557B">
            <w:pPr>
              <w:pStyle w:val="TableText"/>
              <w:spacing w:before="50" w:after="50"/>
              <w:ind w:right="113"/>
              <w:jc w:val="right"/>
              <w:rPr>
                <w:b/>
                <w:bCs/>
              </w:rPr>
            </w:pPr>
            <w:r>
              <w:rPr>
                <w:b/>
                <w:bCs/>
              </w:rPr>
              <w:t>24,192</w:t>
            </w:r>
          </w:p>
        </w:tc>
        <w:tc>
          <w:tcPr>
            <w:tcW w:w="1134" w:type="dxa"/>
            <w:tcBorders>
              <w:top w:val="nil"/>
            </w:tcBorders>
          </w:tcPr>
          <w:p w14:paraId="216A576A" w14:textId="77777777" w:rsidR="00DB771A" w:rsidRPr="00BC0D1F" w:rsidRDefault="00DB771A" w:rsidP="006A557B">
            <w:pPr>
              <w:pStyle w:val="TableText"/>
              <w:spacing w:before="50" w:after="50"/>
              <w:jc w:val="right"/>
              <w:rPr>
                <w:b/>
                <w:bCs/>
              </w:rPr>
            </w:pPr>
            <w:r w:rsidRPr="00BC0D1F">
              <w:rPr>
                <w:b/>
                <w:bCs/>
              </w:rPr>
              <w:t>24,789</w:t>
            </w:r>
          </w:p>
        </w:tc>
        <w:tc>
          <w:tcPr>
            <w:tcW w:w="1134" w:type="dxa"/>
            <w:tcBorders>
              <w:top w:val="nil"/>
            </w:tcBorders>
          </w:tcPr>
          <w:p w14:paraId="07A8370E" w14:textId="68141D3B" w:rsidR="00DB771A" w:rsidRPr="00BC0D1F" w:rsidRDefault="00DB771A" w:rsidP="00A202BF">
            <w:pPr>
              <w:pStyle w:val="TableText"/>
              <w:spacing w:before="50" w:after="50"/>
              <w:jc w:val="right"/>
              <w:rPr>
                <w:b/>
                <w:bCs/>
              </w:rPr>
            </w:pPr>
            <w:r w:rsidRPr="00BC0D1F">
              <w:rPr>
                <w:b/>
                <w:bCs/>
              </w:rPr>
              <w:t>22,54</w:t>
            </w:r>
            <w:r w:rsidR="00A202BF">
              <w:rPr>
                <w:b/>
                <w:bCs/>
              </w:rPr>
              <w:t>1</w:t>
            </w:r>
          </w:p>
        </w:tc>
      </w:tr>
      <w:tr w:rsidR="00DB771A" w:rsidRPr="00BC0D1F" w14:paraId="6926E888" w14:textId="77777777" w:rsidTr="0014210E">
        <w:trPr>
          <w:cantSplit/>
        </w:trPr>
        <w:tc>
          <w:tcPr>
            <w:tcW w:w="1134" w:type="dxa"/>
            <w:tcBorders>
              <w:top w:val="nil"/>
              <w:right w:val="nil"/>
            </w:tcBorders>
            <w:shd w:val="solid" w:color="FFFFFF" w:fill="auto"/>
          </w:tcPr>
          <w:p w14:paraId="61588FE0" w14:textId="77777777" w:rsidR="00DB771A" w:rsidRPr="00BC0D1F" w:rsidRDefault="00DB771A" w:rsidP="006A557B">
            <w:pPr>
              <w:pStyle w:val="TableText"/>
              <w:spacing w:before="120" w:after="50"/>
              <w:ind w:right="284"/>
              <w:jc w:val="right"/>
            </w:pPr>
          </w:p>
        </w:tc>
        <w:tc>
          <w:tcPr>
            <w:tcW w:w="4111" w:type="dxa"/>
            <w:tcBorders>
              <w:top w:val="nil"/>
              <w:left w:val="nil"/>
            </w:tcBorders>
            <w:shd w:val="solid" w:color="FFFFFF" w:fill="auto"/>
          </w:tcPr>
          <w:p w14:paraId="1D9470F3" w14:textId="77777777" w:rsidR="00DB771A" w:rsidRPr="00BC0D1F" w:rsidRDefault="00DB771A" w:rsidP="006A557B">
            <w:pPr>
              <w:pStyle w:val="TableText"/>
              <w:spacing w:before="120" w:after="50"/>
              <w:rPr>
                <w:b/>
                <w:bCs/>
              </w:rPr>
            </w:pPr>
            <w:r w:rsidRPr="00BC0D1F">
              <w:rPr>
                <w:b/>
                <w:bCs/>
              </w:rPr>
              <w:t>Non-current liabilities</w:t>
            </w:r>
          </w:p>
        </w:tc>
        <w:tc>
          <w:tcPr>
            <w:tcW w:w="709" w:type="dxa"/>
            <w:tcBorders>
              <w:top w:val="nil"/>
              <w:left w:val="nil"/>
            </w:tcBorders>
            <w:shd w:val="solid" w:color="FFFFFF" w:fill="auto"/>
          </w:tcPr>
          <w:p w14:paraId="62BDD552" w14:textId="77777777" w:rsidR="00DB771A" w:rsidRPr="00BC0D1F" w:rsidRDefault="00DB771A" w:rsidP="006A557B">
            <w:pPr>
              <w:pStyle w:val="TableText"/>
              <w:spacing w:before="120" w:after="50"/>
            </w:pPr>
          </w:p>
        </w:tc>
        <w:tc>
          <w:tcPr>
            <w:tcW w:w="1134" w:type="dxa"/>
            <w:tcBorders>
              <w:top w:val="nil"/>
            </w:tcBorders>
            <w:shd w:val="clear" w:color="E3E3E3" w:fill="D9D9D9"/>
          </w:tcPr>
          <w:p w14:paraId="27AD89BA" w14:textId="77777777" w:rsidR="00DB771A" w:rsidRPr="00BC0D1F" w:rsidRDefault="00DB771A" w:rsidP="006A557B">
            <w:pPr>
              <w:pStyle w:val="TableText"/>
              <w:spacing w:before="120" w:after="50"/>
              <w:ind w:right="113"/>
              <w:jc w:val="right"/>
              <w:rPr>
                <w:b/>
                <w:bCs/>
              </w:rPr>
            </w:pPr>
          </w:p>
        </w:tc>
        <w:tc>
          <w:tcPr>
            <w:tcW w:w="1134" w:type="dxa"/>
            <w:tcBorders>
              <w:top w:val="nil"/>
            </w:tcBorders>
          </w:tcPr>
          <w:p w14:paraId="47895D5E" w14:textId="77777777" w:rsidR="00DB771A" w:rsidRPr="00BC0D1F" w:rsidRDefault="00DB771A" w:rsidP="006A557B">
            <w:pPr>
              <w:pStyle w:val="TableText"/>
              <w:spacing w:before="120" w:after="50"/>
              <w:jc w:val="right"/>
              <w:rPr>
                <w:b/>
                <w:bCs/>
              </w:rPr>
            </w:pPr>
          </w:p>
        </w:tc>
        <w:tc>
          <w:tcPr>
            <w:tcW w:w="1134" w:type="dxa"/>
            <w:tcBorders>
              <w:top w:val="nil"/>
            </w:tcBorders>
          </w:tcPr>
          <w:p w14:paraId="7BCFACD9" w14:textId="77777777" w:rsidR="00DB771A" w:rsidRPr="00BC0D1F" w:rsidRDefault="00DB771A" w:rsidP="006A557B">
            <w:pPr>
              <w:pStyle w:val="TableText"/>
              <w:spacing w:before="120" w:after="50"/>
              <w:jc w:val="right"/>
            </w:pPr>
          </w:p>
        </w:tc>
      </w:tr>
      <w:tr w:rsidR="00DB771A" w:rsidRPr="00BC0D1F" w14:paraId="17EF284B" w14:textId="77777777" w:rsidTr="0014210E">
        <w:trPr>
          <w:cantSplit/>
        </w:trPr>
        <w:tc>
          <w:tcPr>
            <w:tcW w:w="1134" w:type="dxa"/>
            <w:tcBorders>
              <w:top w:val="nil"/>
              <w:right w:val="nil"/>
            </w:tcBorders>
            <w:shd w:val="solid" w:color="FFFFFF" w:fill="auto"/>
          </w:tcPr>
          <w:p w14:paraId="14B3923C" w14:textId="77777777" w:rsidR="00DB771A" w:rsidRPr="00BC0D1F" w:rsidRDefault="00DB771A" w:rsidP="006A557B">
            <w:pPr>
              <w:pStyle w:val="TableText"/>
              <w:spacing w:before="50" w:after="50"/>
              <w:ind w:right="284"/>
              <w:jc w:val="right"/>
            </w:pPr>
            <w:r w:rsidRPr="00BC0D1F">
              <w:t>2</w:t>
            </w:r>
            <w:r w:rsidR="008234DC" w:rsidRPr="00BC0D1F">
              <w:t>,</w:t>
            </w:r>
            <w:r w:rsidRPr="00BC0D1F">
              <w:t>750</w:t>
            </w:r>
          </w:p>
        </w:tc>
        <w:tc>
          <w:tcPr>
            <w:tcW w:w="4111" w:type="dxa"/>
            <w:tcBorders>
              <w:top w:val="nil"/>
              <w:left w:val="nil"/>
            </w:tcBorders>
            <w:shd w:val="solid" w:color="FFFFFF" w:fill="auto"/>
          </w:tcPr>
          <w:p w14:paraId="47FDBFB1" w14:textId="77777777" w:rsidR="00DB771A" w:rsidRPr="00BC0D1F" w:rsidRDefault="00DB771A" w:rsidP="006A557B">
            <w:pPr>
              <w:pStyle w:val="TableText"/>
              <w:spacing w:before="50" w:after="50"/>
            </w:pPr>
            <w:r w:rsidRPr="00BC0D1F">
              <w:t>Provisions</w:t>
            </w:r>
          </w:p>
        </w:tc>
        <w:tc>
          <w:tcPr>
            <w:tcW w:w="709" w:type="dxa"/>
            <w:tcBorders>
              <w:top w:val="nil"/>
              <w:left w:val="nil"/>
            </w:tcBorders>
            <w:shd w:val="solid" w:color="FFFFFF" w:fill="auto"/>
          </w:tcPr>
          <w:p w14:paraId="6CAFD678" w14:textId="77777777" w:rsidR="00DB771A" w:rsidRPr="00BC0D1F" w:rsidRDefault="00DB771A" w:rsidP="006A557B">
            <w:pPr>
              <w:pStyle w:val="TableText"/>
              <w:spacing w:before="50" w:after="50"/>
              <w:rPr>
                <w:b/>
                <w:bCs/>
              </w:rPr>
            </w:pPr>
            <w:r w:rsidRPr="00BC0D1F">
              <w:rPr>
                <w:b/>
                <w:bCs/>
              </w:rPr>
              <w:t>10</w:t>
            </w:r>
          </w:p>
        </w:tc>
        <w:tc>
          <w:tcPr>
            <w:tcW w:w="1134" w:type="dxa"/>
            <w:tcBorders>
              <w:top w:val="nil"/>
            </w:tcBorders>
            <w:shd w:val="clear" w:color="E3E3E3" w:fill="D9D9D9"/>
          </w:tcPr>
          <w:p w14:paraId="30C3AC63" w14:textId="77777777" w:rsidR="00DB771A" w:rsidRPr="00BC0D1F" w:rsidRDefault="00DB771A" w:rsidP="006A557B">
            <w:pPr>
              <w:pStyle w:val="TableText"/>
              <w:spacing w:before="50" w:after="50"/>
              <w:ind w:right="113"/>
              <w:jc w:val="right"/>
            </w:pPr>
            <w:r w:rsidRPr="00BC0D1F">
              <w:t>30</w:t>
            </w:r>
          </w:p>
        </w:tc>
        <w:tc>
          <w:tcPr>
            <w:tcW w:w="1134" w:type="dxa"/>
            <w:tcBorders>
              <w:top w:val="nil"/>
            </w:tcBorders>
          </w:tcPr>
          <w:p w14:paraId="5DB90FEE" w14:textId="77777777" w:rsidR="00DB771A" w:rsidRPr="00BC0D1F" w:rsidRDefault="00DB771A" w:rsidP="006A557B">
            <w:pPr>
              <w:pStyle w:val="TableText"/>
              <w:spacing w:before="50" w:after="50"/>
              <w:jc w:val="right"/>
            </w:pPr>
            <w:r w:rsidRPr="00BC0D1F">
              <w:t>3</w:t>
            </w:r>
            <w:r w:rsidR="008234DC" w:rsidRPr="00BC0D1F">
              <w:t>,</w:t>
            </w:r>
            <w:r w:rsidRPr="00BC0D1F">
              <w:t>522</w:t>
            </w:r>
          </w:p>
        </w:tc>
        <w:tc>
          <w:tcPr>
            <w:tcW w:w="1134" w:type="dxa"/>
            <w:tcBorders>
              <w:top w:val="nil"/>
            </w:tcBorders>
          </w:tcPr>
          <w:p w14:paraId="1FA4FF9F" w14:textId="77777777" w:rsidR="00DB771A" w:rsidRPr="00BC0D1F" w:rsidRDefault="00DB771A" w:rsidP="006A557B">
            <w:pPr>
              <w:pStyle w:val="TableText"/>
              <w:spacing w:before="50" w:after="50"/>
              <w:jc w:val="right"/>
            </w:pPr>
            <w:r w:rsidRPr="00BC0D1F">
              <w:t>30</w:t>
            </w:r>
          </w:p>
        </w:tc>
      </w:tr>
      <w:tr w:rsidR="00DB771A" w:rsidRPr="00BC0D1F" w14:paraId="50C6514D" w14:textId="77777777" w:rsidTr="0014210E">
        <w:trPr>
          <w:cantSplit/>
        </w:trPr>
        <w:tc>
          <w:tcPr>
            <w:tcW w:w="1134" w:type="dxa"/>
            <w:tcBorders>
              <w:top w:val="nil"/>
              <w:right w:val="nil"/>
            </w:tcBorders>
            <w:shd w:val="solid" w:color="FFFFFF" w:fill="auto"/>
          </w:tcPr>
          <w:p w14:paraId="4CE97B32" w14:textId="796377A7" w:rsidR="00DB771A" w:rsidRPr="00BC0D1F" w:rsidRDefault="00DB771A" w:rsidP="00C13BF2">
            <w:pPr>
              <w:pStyle w:val="TableText"/>
              <w:spacing w:before="50" w:after="50"/>
              <w:ind w:right="284"/>
              <w:jc w:val="right"/>
            </w:pPr>
            <w:r w:rsidRPr="00BC0D1F">
              <w:t>1</w:t>
            </w:r>
            <w:r w:rsidR="00C13BF2">
              <w:t>,</w:t>
            </w:r>
            <w:r w:rsidRPr="00BC0D1F">
              <w:t>411</w:t>
            </w:r>
          </w:p>
        </w:tc>
        <w:tc>
          <w:tcPr>
            <w:tcW w:w="4111" w:type="dxa"/>
            <w:tcBorders>
              <w:top w:val="nil"/>
              <w:left w:val="nil"/>
            </w:tcBorders>
            <w:shd w:val="solid" w:color="FFFFFF" w:fill="auto"/>
          </w:tcPr>
          <w:p w14:paraId="3427FE9D" w14:textId="77777777" w:rsidR="00DB771A" w:rsidRPr="00BC0D1F" w:rsidRDefault="00DB771A" w:rsidP="006A557B">
            <w:pPr>
              <w:pStyle w:val="TableText"/>
              <w:spacing w:before="50" w:after="50"/>
            </w:pPr>
            <w:r w:rsidRPr="00BC0D1F">
              <w:t>Employee entitlements</w:t>
            </w:r>
          </w:p>
        </w:tc>
        <w:tc>
          <w:tcPr>
            <w:tcW w:w="709" w:type="dxa"/>
            <w:tcBorders>
              <w:top w:val="nil"/>
              <w:left w:val="nil"/>
            </w:tcBorders>
            <w:shd w:val="solid" w:color="FFFFFF" w:fill="auto"/>
          </w:tcPr>
          <w:p w14:paraId="7D5F9184" w14:textId="77777777" w:rsidR="00DB771A" w:rsidRPr="00BC0D1F" w:rsidRDefault="00DB771A" w:rsidP="006A557B">
            <w:pPr>
              <w:pStyle w:val="TableText"/>
              <w:spacing w:before="50" w:after="50"/>
              <w:rPr>
                <w:b/>
                <w:bCs/>
              </w:rPr>
            </w:pPr>
            <w:r w:rsidRPr="00BC0D1F">
              <w:rPr>
                <w:b/>
                <w:bCs/>
              </w:rPr>
              <w:t>11</w:t>
            </w:r>
          </w:p>
        </w:tc>
        <w:tc>
          <w:tcPr>
            <w:tcW w:w="1134" w:type="dxa"/>
            <w:tcBorders>
              <w:top w:val="nil"/>
            </w:tcBorders>
            <w:shd w:val="clear" w:color="E3E3E3" w:fill="D9D9D9"/>
          </w:tcPr>
          <w:p w14:paraId="565E75E7" w14:textId="77777777" w:rsidR="00DB771A" w:rsidRPr="00BC0D1F" w:rsidRDefault="00DB771A" w:rsidP="006A557B">
            <w:pPr>
              <w:pStyle w:val="TableText"/>
              <w:spacing w:before="50" w:after="50"/>
              <w:ind w:right="113"/>
              <w:jc w:val="right"/>
            </w:pPr>
            <w:r w:rsidRPr="00BC0D1F">
              <w:t>1</w:t>
            </w:r>
            <w:r w:rsidR="008234DC" w:rsidRPr="00BC0D1F">
              <w:t>,</w:t>
            </w:r>
            <w:r w:rsidRPr="00BC0D1F">
              <w:t>343</w:t>
            </w:r>
          </w:p>
        </w:tc>
        <w:tc>
          <w:tcPr>
            <w:tcW w:w="1134" w:type="dxa"/>
            <w:tcBorders>
              <w:top w:val="nil"/>
            </w:tcBorders>
          </w:tcPr>
          <w:p w14:paraId="00DE0FFD" w14:textId="77777777" w:rsidR="00DB771A" w:rsidRPr="00BC0D1F" w:rsidRDefault="00DB771A" w:rsidP="006A557B">
            <w:pPr>
              <w:pStyle w:val="TableText"/>
              <w:spacing w:before="50" w:after="50"/>
              <w:jc w:val="right"/>
            </w:pPr>
            <w:r w:rsidRPr="00BC0D1F">
              <w:t>1</w:t>
            </w:r>
            <w:r w:rsidR="008234DC" w:rsidRPr="00BC0D1F">
              <w:t>,</w:t>
            </w:r>
            <w:r w:rsidRPr="00BC0D1F">
              <w:t>454</w:t>
            </w:r>
          </w:p>
        </w:tc>
        <w:tc>
          <w:tcPr>
            <w:tcW w:w="1134" w:type="dxa"/>
            <w:tcBorders>
              <w:top w:val="nil"/>
            </w:tcBorders>
          </w:tcPr>
          <w:p w14:paraId="6218140E" w14:textId="77777777" w:rsidR="00DB771A" w:rsidRPr="00BC0D1F" w:rsidRDefault="00DB771A" w:rsidP="006A557B">
            <w:pPr>
              <w:pStyle w:val="TableText"/>
              <w:spacing w:before="50" w:after="50"/>
              <w:jc w:val="right"/>
            </w:pPr>
            <w:r w:rsidRPr="00BC0D1F">
              <w:t>1</w:t>
            </w:r>
            <w:r w:rsidR="008234DC" w:rsidRPr="00BC0D1F">
              <w:t>,</w:t>
            </w:r>
            <w:r w:rsidRPr="00BC0D1F">
              <w:t>438</w:t>
            </w:r>
          </w:p>
        </w:tc>
      </w:tr>
      <w:tr w:rsidR="00DB771A" w:rsidRPr="00BC0D1F" w14:paraId="559D4E48" w14:textId="77777777" w:rsidTr="0014210E">
        <w:trPr>
          <w:cantSplit/>
        </w:trPr>
        <w:tc>
          <w:tcPr>
            <w:tcW w:w="1134" w:type="dxa"/>
            <w:tcBorders>
              <w:top w:val="nil"/>
              <w:right w:val="nil"/>
            </w:tcBorders>
            <w:shd w:val="solid" w:color="FFFFFF" w:fill="auto"/>
          </w:tcPr>
          <w:p w14:paraId="6329D1B6" w14:textId="77777777" w:rsidR="00DB771A" w:rsidRPr="00BC0D1F" w:rsidRDefault="00DB771A" w:rsidP="006A557B">
            <w:pPr>
              <w:pStyle w:val="TableText"/>
              <w:spacing w:before="50" w:after="50"/>
              <w:ind w:right="284"/>
              <w:jc w:val="right"/>
              <w:rPr>
                <w:b/>
                <w:bCs/>
              </w:rPr>
            </w:pPr>
            <w:r w:rsidRPr="00BC0D1F">
              <w:rPr>
                <w:b/>
                <w:bCs/>
              </w:rPr>
              <w:t>4</w:t>
            </w:r>
            <w:r w:rsidR="008234DC" w:rsidRPr="00BC0D1F">
              <w:rPr>
                <w:b/>
                <w:bCs/>
              </w:rPr>
              <w:t>,</w:t>
            </w:r>
            <w:r w:rsidRPr="00BC0D1F">
              <w:rPr>
                <w:b/>
                <w:bCs/>
              </w:rPr>
              <w:t>161</w:t>
            </w:r>
          </w:p>
        </w:tc>
        <w:tc>
          <w:tcPr>
            <w:tcW w:w="4111" w:type="dxa"/>
            <w:tcBorders>
              <w:top w:val="nil"/>
              <w:left w:val="nil"/>
            </w:tcBorders>
            <w:shd w:val="solid" w:color="FFFFFF" w:fill="auto"/>
          </w:tcPr>
          <w:p w14:paraId="565F0BAE" w14:textId="77777777" w:rsidR="00DB771A" w:rsidRPr="00BC0D1F" w:rsidRDefault="00DB771A" w:rsidP="006A557B">
            <w:pPr>
              <w:pStyle w:val="TableText"/>
              <w:spacing w:before="50" w:after="50"/>
              <w:rPr>
                <w:b/>
                <w:bCs/>
              </w:rPr>
            </w:pPr>
            <w:r w:rsidRPr="00BC0D1F">
              <w:rPr>
                <w:b/>
                <w:bCs/>
              </w:rPr>
              <w:t>Total non-current liabilities</w:t>
            </w:r>
          </w:p>
        </w:tc>
        <w:tc>
          <w:tcPr>
            <w:tcW w:w="709" w:type="dxa"/>
            <w:tcBorders>
              <w:top w:val="nil"/>
              <w:left w:val="nil"/>
            </w:tcBorders>
            <w:shd w:val="solid" w:color="FFFFFF" w:fill="auto"/>
          </w:tcPr>
          <w:p w14:paraId="175006E1" w14:textId="77777777" w:rsidR="00DB771A" w:rsidRPr="00BC0D1F" w:rsidRDefault="00DB771A" w:rsidP="006A557B">
            <w:pPr>
              <w:pStyle w:val="TableText"/>
              <w:spacing w:before="50" w:after="50"/>
              <w:rPr>
                <w:b/>
                <w:bCs/>
              </w:rPr>
            </w:pPr>
          </w:p>
        </w:tc>
        <w:tc>
          <w:tcPr>
            <w:tcW w:w="1134" w:type="dxa"/>
            <w:tcBorders>
              <w:top w:val="nil"/>
            </w:tcBorders>
            <w:shd w:val="clear" w:color="E3E3E3" w:fill="D9D9D9"/>
          </w:tcPr>
          <w:p w14:paraId="74249218" w14:textId="77777777" w:rsidR="00DB771A" w:rsidRPr="00BC0D1F" w:rsidRDefault="00DB771A" w:rsidP="006A557B">
            <w:pPr>
              <w:pStyle w:val="TableText"/>
              <w:spacing w:before="50" w:after="50"/>
              <w:ind w:right="113"/>
              <w:jc w:val="right"/>
              <w:rPr>
                <w:b/>
                <w:bCs/>
              </w:rPr>
            </w:pPr>
            <w:r w:rsidRPr="00BC0D1F">
              <w:rPr>
                <w:b/>
                <w:bCs/>
              </w:rPr>
              <w:t>1</w:t>
            </w:r>
            <w:r w:rsidR="008234DC" w:rsidRPr="00BC0D1F">
              <w:rPr>
                <w:b/>
                <w:bCs/>
              </w:rPr>
              <w:t>,</w:t>
            </w:r>
            <w:r w:rsidRPr="00BC0D1F">
              <w:rPr>
                <w:b/>
                <w:bCs/>
              </w:rPr>
              <w:t>373</w:t>
            </w:r>
          </w:p>
        </w:tc>
        <w:tc>
          <w:tcPr>
            <w:tcW w:w="1134" w:type="dxa"/>
            <w:tcBorders>
              <w:top w:val="nil"/>
            </w:tcBorders>
          </w:tcPr>
          <w:p w14:paraId="3A0590F0" w14:textId="77777777" w:rsidR="00DB771A" w:rsidRPr="00BC0D1F" w:rsidRDefault="00DB771A" w:rsidP="006A557B">
            <w:pPr>
              <w:pStyle w:val="TableText"/>
              <w:spacing w:before="50" w:after="50"/>
              <w:jc w:val="right"/>
              <w:rPr>
                <w:b/>
                <w:bCs/>
              </w:rPr>
            </w:pPr>
            <w:r w:rsidRPr="00BC0D1F">
              <w:rPr>
                <w:b/>
                <w:bCs/>
              </w:rPr>
              <w:t>4</w:t>
            </w:r>
            <w:r w:rsidR="008234DC" w:rsidRPr="00BC0D1F">
              <w:rPr>
                <w:b/>
                <w:bCs/>
              </w:rPr>
              <w:t>,</w:t>
            </w:r>
            <w:r w:rsidRPr="00BC0D1F">
              <w:rPr>
                <w:b/>
                <w:bCs/>
              </w:rPr>
              <w:t>976</w:t>
            </w:r>
          </w:p>
        </w:tc>
        <w:tc>
          <w:tcPr>
            <w:tcW w:w="1134" w:type="dxa"/>
            <w:tcBorders>
              <w:top w:val="nil"/>
            </w:tcBorders>
          </w:tcPr>
          <w:p w14:paraId="02962886" w14:textId="77777777" w:rsidR="00DB771A" w:rsidRPr="00BC0D1F" w:rsidRDefault="00DB771A" w:rsidP="006A557B">
            <w:pPr>
              <w:pStyle w:val="TableText"/>
              <w:spacing w:before="50" w:after="50"/>
              <w:jc w:val="right"/>
              <w:rPr>
                <w:b/>
                <w:bCs/>
              </w:rPr>
            </w:pPr>
            <w:r w:rsidRPr="00BC0D1F">
              <w:rPr>
                <w:b/>
                <w:bCs/>
              </w:rPr>
              <w:t>1</w:t>
            </w:r>
            <w:r w:rsidR="008234DC" w:rsidRPr="00BC0D1F">
              <w:rPr>
                <w:b/>
                <w:bCs/>
              </w:rPr>
              <w:t>,</w:t>
            </w:r>
            <w:r w:rsidRPr="00BC0D1F">
              <w:rPr>
                <w:b/>
                <w:bCs/>
              </w:rPr>
              <w:t>468</w:t>
            </w:r>
          </w:p>
        </w:tc>
      </w:tr>
      <w:tr w:rsidR="00DB771A" w:rsidRPr="00BC0D1F" w14:paraId="65AE71E3" w14:textId="77777777" w:rsidTr="0014210E">
        <w:trPr>
          <w:cantSplit/>
        </w:trPr>
        <w:tc>
          <w:tcPr>
            <w:tcW w:w="1134" w:type="dxa"/>
            <w:tcBorders>
              <w:top w:val="nil"/>
              <w:right w:val="nil"/>
            </w:tcBorders>
            <w:shd w:val="solid" w:color="FFFFFF" w:fill="auto"/>
          </w:tcPr>
          <w:p w14:paraId="0ED10371" w14:textId="77777777" w:rsidR="00DB771A" w:rsidRPr="00BC0D1F" w:rsidRDefault="00DB771A" w:rsidP="006A557B">
            <w:pPr>
              <w:pStyle w:val="TableText"/>
              <w:spacing w:before="180" w:after="50"/>
              <w:ind w:right="284"/>
              <w:jc w:val="right"/>
              <w:rPr>
                <w:b/>
                <w:bCs/>
              </w:rPr>
            </w:pPr>
            <w:r w:rsidRPr="00BC0D1F">
              <w:rPr>
                <w:b/>
                <w:bCs/>
              </w:rPr>
              <w:t>29,498</w:t>
            </w:r>
          </w:p>
        </w:tc>
        <w:tc>
          <w:tcPr>
            <w:tcW w:w="4111" w:type="dxa"/>
            <w:tcBorders>
              <w:top w:val="nil"/>
              <w:left w:val="nil"/>
            </w:tcBorders>
            <w:shd w:val="solid" w:color="FFFFFF" w:fill="auto"/>
          </w:tcPr>
          <w:p w14:paraId="037DC405" w14:textId="77777777" w:rsidR="00DB771A" w:rsidRPr="00BC0D1F" w:rsidRDefault="00DB771A" w:rsidP="006A557B">
            <w:pPr>
              <w:pStyle w:val="TableText"/>
              <w:spacing w:before="180" w:after="50"/>
              <w:rPr>
                <w:b/>
                <w:bCs/>
              </w:rPr>
            </w:pPr>
            <w:r w:rsidRPr="00BC0D1F">
              <w:rPr>
                <w:b/>
                <w:bCs/>
              </w:rPr>
              <w:t>Total liabilities</w:t>
            </w:r>
          </w:p>
        </w:tc>
        <w:tc>
          <w:tcPr>
            <w:tcW w:w="709" w:type="dxa"/>
            <w:tcBorders>
              <w:top w:val="nil"/>
              <w:left w:val="nil"/>
            </w:tcBorders>
            <w:shd w:val="solid" w:color="FFFFFF" w:fill="auto"/>
          </w:tcPr>
          <w:p w14:paraId="0AD5AF9D" w14:textId="77777777" w:rsidR="00DB771A" w:rsidRPr="00BC0D1F" w:rsidRDefault="00DB771A" w:rsidP="006A557B">
            <w:pPr>
              <w:pStyle w:val="TableText"/>
              <w:spacing w:before="180" w:after="50"/>
              <w:rPr>
                <w:b/>
                <w:bCs/>
              </w:rPr>
            </w:pPr>
          </w:p>
        </w:tc>
        <w:tc>
          <w:tcPr>
            <w:tcW w:w="1134" w:type="dxa"/>
            <w:tcBorders>
              <w:top w:val="nil"/>
            </w:tcBorders>
            <w:shd w:val="clear" w:color="E3E3E3" w:fill="D9D9D9"/>
          </w:tcPr>
          <w:p w14:paraId="42BECB90" w14:textId="1B4EA7EE" w:rsidR="00DB771A" w:rsidRPr="00BC0D1F" w:rsidRDefault="00AA0713" w:rsidP="006A557B">
            <w:pPr>
              <w:pStyle w:val="TableText"/>
              <w:spacing w:before="180" w:after="50"/>
              <w:ind w:right="113"/>
              <w:jc w:val="right"/>
              <w:rPr>
                <w:b/>
                <w:bCs/>
              </w:rPr>
            </w:pPr>
            <w:r>
              <w:rPr>
                <w:b/>
                <w:bCs/>
              </w:rPr>
              <w:t>25,565</w:t>
            </w:r>
          </w:p>
        </w:tc>
        <w:tc>
          <w:tcPr>
            <w:tcW w:w="1134" w:type="dxa"/>
            <w:tcBorders>
              <w:top w:val="nil"/>
            </w:tcBorders>
          </w:tcPr>
          <w:p w14:paraId="2C942FA0" w14:textId="77777777" w:rsidR="00DB771A" w:rsidRPr="00BC0D1F" w:rsidRDefault="00DB771A" w:rsidP="006A557B">
            <w:pPr>
              <w:pStyle w:val="TableText"/>
              <w:spacing w:before="180" w:after="50"/>
              <w:jc w:val="right"/>
              <w:rPr>
                <w:b/>
                <w:bCs/>
              </w:rPr>
            </w:pPr>
            <w:r w:rsidRPr="00BC0D1F">
              <w:rPr>
                <w:b/>
                <w:bCs/>
              </w:rPr>
              <w:t>29,765</w:t>
            </w:r>
          </w:p>
        </w:tc>
        <w:tc>
          <w:tcPr>
            <w:tcW w:w="1134" w:type="dxa"/>
            <w:tcBorders>
              <w:top w:val="nil"/>
            </w:tcBorders>
          </w:tcPr>
          <w:p w14:paraId="4BF3DE92" w14:textId="62CACF0D" w:rsidR="00DB771A" w:rsidRPr="00BC0D1F" w:rsidRDefault="00DB771A" w:rsidP="00A202BF">
            <w:pPr>
              <w:pStyle w:val="TableText"/>
              <w:spacing w:before="180" w:after="50"/>
              <w:jc w:val="right"/>
              <w:rPr>
                <w:b/>
                <w:bCs/>
              </w:rPr>
            </w:pPr>
            <w:r w:rsidRPr="00BC0D1F">
              <w:rPr>
                <w:b/>
                <w:bCs/>
              </w:rPr>
              <w:t>24,0</w:t>
            </w:r>
            <w:r w:rsidR="00A202BF">
              <w:rPr>
                <w:b/>
                <w:bCs/>
              </w:rPr>
              <w:t>09</w:t>
            </w:r>
          </w:p>
        </w:tc>
      </w:tr>
      <w:tr w:rsidR="00DB771A" w:rsidRPr="00BC0D1F" w14:paraId="0989E469" w14:textId="77777777" w:rsidTr="0014210E">
        <w:trPr>
          <w:cantSplit/>
        </w:trPr>
        <w:tc>
          <w:tcPr>
            <w:tcW w:w="1134" w:type="dxa"/>
            <w:tcBorders>
              <w:top w:val="nil"/>
              <w:right w:val="nil"/>
            </w:tcBorders>
            <w:shd w:val="solid" w:color="FFFFFF" w:fill="auto"/>
          </w:tcPr>
          <w:p w14:paraId="7053EC0D" w14:textId="77777777" w:rsidR="00DB771A" w:rsidRPr="00BC0D1F" w:rsidRDefault="00DB771A" w:rsidP="006A557B">
            <w:pPr>
              <w:pStyle w:val="TableText"/>
              <w:spacing w:before="180" w:after="50"/>
              <w:ind w:right="284"/>
              <w:jc w:val="right"/>
              <w:rPr>
                <w:b/>
              </w:rPr>
            </w:pPr>
            <w:r w:rsidRPr="00BC0D1F">
              <w:rPr>
                <w:b/>
              </w:rPr>
              <w:t>35,292</w:t>
            </w:r>
          </w:p>
        </w:tc>
        <w:tc>
          <w:tcPr>
            <w:tcW w:w="4111" w:type="dxa"/>
            <w:tcBorders>
              <w:top w:val="nil"/>
              <w:left w:val="nil"/>
            </w:tcBorders>
            <w:shd w:val="solid" w:color="FFFFFF" w:fill="auto"/>
          </w:tcPr>
          <w:p w14:paraId="5E939FB7" w14:textId="77777777" w:rsidR="00DB771A" w:rsidRPr="00BC0D1F" w:rsidRDefault="00DB771A" w:rsidP="006A557B">
            <w:pPr>
              <w:pStyle w:val="TableText"/>
              <w:spacing w:before="180" w:after="50"/>
              <w:rPr>
                <w:b/>
              </w:rPr>
            </w:pPr>
            <w:r w:rsidRPr="00BC0D1F">
              <w:rPr>
                <w:b/>
              </w:rPr>
              <w:t>Net assets</w:t>
            </w:r>
          </w:p>
        </w:tc>
        <w:tc>
          <w:tcPr>
            <w:tcW w:w="709" w:type="dxa"/>
            <w:tcBorders>
              <w:top w:val="nil"/>
              <w:left w:val="nil"/>
            </w:tcBorders>
            <w:shd w:val="solid" w:color="FFFFFF" w:fill="auto"/>
          </w:tcPr>
          <w:p w14:paraId="60630605" w14:textId="77777777" w:rsidR="00DB771A" w:rsidRPr="00BC0D1F" w:rsidRDefault="00DB771A" w:rsidP="006A557B">
            <w:pPr>
              <w:pStyle w:val="TableText"/>
              <w:spacing w:before="180" w:after="50"/>
              <w:rPr>
                <w:b/>
              </w:rPr>
            </w:pPr>
          </w:p>
        </w:tc>
        <w:tc>
          <w:tcPr>
            <w:tcW w:w="1134" w:type="dxa"/>
            <w:tcBorders>
              <w:top w:val="nil"/>
            </w:tcBorders>
            <w:shd w:val="clear" w:color="E3E3E3" w:fill="D9D9D9"/>
          </w:tcPr>
          <w:p w14:paraId="51EAE627" w14:textId="272C5993" w:rsidR="00DB771A" w:rsidRPr="00BC0D1F" w:rsidRDefault="00202C6B" w:rsidP="008D3000">
            <w:pPr>
              <w:pStyle w:val="TableText"/>
              <w:spacing w:before="180" w:after="50"/>
              <w:ind w:right="113"/>
              <w:jc w:val="right"/>
              <w:rPr>
                <w:b/>
              </w:rPr>
            </w:pPr>
            <w:r>
              <w:rPr>
                <w:b/>
              </w:rPr>
              <w:t>34,541</w:t>
            </w:r>
          </w:p>
        </w:tc>
        <w:tc>
          <w:tcPr>
            <w:tcW w:w="1134" w:type="dxa"/>
            <w:tcBorders>
              <w:top w:val="nil"/>
            </w:tcBorders>
          </w:tcPr>
          <w:p w14:paraId="3B8C3511" w14:textId="77777777" w:rsidR="00DB771A" w:rsidRPr="00BC0D1F" w:rsidRDefault="00DB771A" w:rsidP="006A557B">
            <w:pPr>
              <w:pStyle w:val="TableText"/>
              <w:spacing w:before="180" w:after="50"/>
              <w:jc w:val="right"/>
              <w:rPr>
                <w:b/>
              </w:rPr>
            </w:pPr>
            <w:r w:rsidRPr="00BC0D1F">
              <w:rPr>
                <w:b/>
              </w:rPr>
              <w:t>35,607</w:t>
            </w:r>
          </w:p>
        </w:tc>
        <w:tc>
          <w:tcPr>
            <w:tcW w:w="1134" w:type="dxa"/>
            <w:tcBorders>
              <w:top w:val="nil"/>
            </w:tcBorders>
          </w:tcPr>
          <w:p w14:paraId="0CDCB149" w14:textId="29F71870" w:rsidR="00DB771A" w:rsidRPr="00BC0D1F" w:rsidRDefault="00DB771A" w:rsidP="008D3000">
            <w:pPr>
              <w:pStyle w:val="TableText"/>
              <w:spacing w:before="180" w:after="50"/>
              <w:jc w:val="right"/>
              <w:rPr>
                <w:b/>
                <w:bCs/>
              </w:rPr>
            </w:pPr>
            <w:r w:rsidRPr="00BC0D1F">
              <w:rPr>
                <w:b/>
                <w:bCs/>
              </w:rPr>
              <w:t>35,14</w:t>
            </w:r>
            <w:r w:rsidR="008D3000">
              <w:rPr>
                <w:b/>
                <w:bCs/>
              </w:rPr>
              <w:t>9</w:t>
            </w:r>
          </w:p>
        </w:tc>
      </w:tr>
    </w:tbl>
    <w:p w14:paraId="0A0C4E0A" w14:textId="21FE6EF8" w:rsidR="00DD0FC4" w:rsidRPr="00BC0D1F" w:rsidRDefault="00DD0FC4" w:rsidP="00DB771A">
      <w:pPr>
        <w:pStyle w:val="Note"/>
      </w:pPr>
      <w:r w:rsidRPr="00BC0D1F">
        <w:t xml:space="preserve">Explanations of significant variances against budget are detailed in note </w:t>
      </w:r>
      <w:r w:rsidR="00C13BF2">
        <w:t>18</w:t>
      </w:r>
      <w:r w:rsidR="00DB771A" w:rsidRPr="00BC0D1F">
        <w:t>.</w:t>
      </w:r>
    </w:p>
    <w:p w14:paraId="151A8A76" w14:textId="77777777" w:rsidR="00DD0FC4" w:rsidRPr="00BC0D1F" w:rsidRDefault="00DD0FC4" w:rsidP="0093551C"/>
    <w:p w14:paraId="363E8684" w14:textId="77777777" w:rsidR="00DD0FC4" w:rsidRPr="00BC0D1F" w:rsidRDefault="00DD0FC4" w:rsidP="006A557B">
      <w:pPr>
        <w:pStyle w:val="Heading2"/>
        <w:spacing w:before="0"/>
      </w:pPr>
      <w:bookmarkStart w:id="167" w:name="_Toc463507934"/>
      <w:r w:rsidRPr="00BC0D1F">
        <w:lastRenderedPageBreak/>
        <w:t>Statement of cash flows for the year ended 30</w:t>
      </w:r>
      <w:r w:rsidR="006A557B" w:rsidRPr="00BC0D1F">
        <w:t> </w:t>
      </w:r>
      <w:r w:rsidRPr="00BC0D1F">
        <w:t>June 2016</w:t>
      </w:r>
      <w:bookmarkEnd w:id="167"/>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111"/>
        <w:gridCol w:w="709"/>
        <w:gridCol w:w="1134"/>
        <w:gridCol w:w="1134"/>
        <w:gridCol w:w="1134"/>
      </w:tblGrid>
      <w:tr w:rsidR="00E2677A" w:rsidRPr="00BC0D1F" w14:paraId="5CAEC78B" w14:textId="77777777" w:rsidTr="0014210E">
        <w:trPr>
          <w:cantSplit/>
        </w:trPr>
        <w:tc>
          <w:tcPr>
            <w:tcW w:w="1134" w:type="dxa"/>
            <w:tcBorders>
              <w:top w:val="single" w:sz="4" w:space="0" w:color="auto"/>
              <w:bottom w:val="single" w:sz="4" w:space="0" w:color="auto"/>
              <w:right w:val="nil"/>
            </w:tcBorders>
            <w:shd w:val="solid" w:color="FFFFFF" w:fill="auto"/>
          </w:tcPr>
          <w:p w14:paraId="17BB51E5" w14:textId="77777777" w:rsidR="00E2677A" w:rsidRPr="00BC0D1F" w:rsidRDefault="00E2677A" w:rsidP="00E2677A">
            <w:pPr>
              <w:pStyle w:val="TableText"/>
              <w:ind w:right="198"/>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111" w:type="dxa"/>
            <w:tcBorders>
              <w:top w:val="single" w:sz="4" w:space="0" w:color="auto"/>
              <w:left w:val="nil"/>
              <w:bottom w:val="single" w:sz="4" w:space="0" w:color="auto"/>
            </w:tcBorders>
            <w:shd w:val="solid" w:color="FFFFFF" w:fill="auto"/>
          </w:tcPr>
          <w:p w14:paraId="08416CCD" w14:textId="77777777" w:rsidR="00E2677A" w:rsidRPr="00BC0D1F" w:rsidRDefault="00E2677A" w:rsidP="0014210E">
            <w:pPr>
              <w:pStyle w:val="TableText"/>
              <w:rPr>
                <w:b/>
                <w:lang w:eastAsia="en-NZ"/>
              </w:rPr>
            </w:pPr>
          </w:p>
        </w:tc>
        <w:tc>
          <w:tcPr>
            <w:tcW w:w="709" w:type="dxa"/>
            <w:tcBorders>
              <w:top w:val="single" w:sz="4" w:space="0" w:color="auto"/>
              <w:left w:val="nil"/>
              <w:bottom w:val="single" w:sz="4" w:space="0" w:color="auto"/>
            </w:tcBorders>
            <w:shd w:val="solid" w:color="FFFFFF" w:fill="auto"/>
          </w:tcPr>
          <w:p w14:paraId="50F7A733" w14:textId="77777777" w:rsidR="00E2677A" w:rsidRPr="00BC0D1F" w:rsidRDefault="00E2677A" w:rsidP="0014210E">
            <w:pPr>
              <w:pStyle w:val="TableText"/>
              <w:jc w:val="center"/>
              <w:rPr>
                <w:b/>
                <w:lang w:eastAsia="en-NZ"/>
              </w:rPr>
            </w:pPr>
            <w:r w:rsidRPr="00BC0D1F">
              <w:rPr>
                <w:b/>
                <w:lang w:eastAsia="en-NZ"/>
              </w:rPr>
              <w:t>Note</w:t>
            </w:r>
          </w:p>
        </w:tc>
        <w:tc>
          <w:tcPr>
            <w:tcW w:w="1134" w:type="dxa"/>
            <w:tcBorders>
              <w:top w:val="single" w:sz="4" w:space="0" w:color="auto"/>
              <w:bottom w:val="single" w:sz="4" w:space="0" w:color="auto"/>
            </w:tcBorders>
            <w:shd w:val="clear" w:color="E3E3E3" w:fill="D9D9D9"/>
          </w:tcPr>
          <w:p w14:paraId="47D6283E" w14:textId="77777777" w:rsidR="00E2677A" w:rsidRPr="00BC0D1F" w:rsidRDefault="00E2677A" w:rsidP="0014210E">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7DD2AEC2" w14:textId="77777777" w:rsidR="00E2677A" w:rsidRPr="00BC0D1F" w:rsidRDefault="00E2677A" w:rsidP="0014210E">
            <w:pPr>
              <w:pStyle w:val="TableText"/>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134" w:type="dxa"/>
            <w:tcBorders>
              <w:top w:val="single" w:sz="4" w:space="0" w:color="auto"/>
              <w:bottom w:val="single" w:sz="4" w:space="0" w:color="auto"/>
            </w:tcBorders>
            <w:shd w:val="solid" w:color="FFFFFF" w:fill="auto"/>
          </w:tcPr>
          <w:p w14:paraId="16873952" w14:textId="77777777" w:rsidR="00E2677A" w:rsidRPr="00BC0D1F" w:rsidRDefault="00E2677A" w:rsidP="0014210E">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E2677A" w:rsidRPr="00BC0D1F" w14:paraId="28AB9F26" w14:textId="77777777" w:rsidTr="0014210E">
        <w:trPr>
          <w:cantSplit/>
        </w:trPr>
        <w:tc>
          <w:tcPr>
            <w:tcW w:w="1134" w:type="dxa"/>
            <w:tcBorders>
              <w:top w:val="single" w:sz="4" w:space="0" w:color="auto"/>
              <w:right w:val="nil"/>
            </w:tcBorders>
            <w:shd w:val="solid" w:color="FFFFFF" w:fill="auto"/>
          </w:tcPr>
          <w:p w14:paraId="382A07A6" w14:textId="77777777" w:rsidR="00E2677A" w:rsidRPr="00BC0D1F" w:rsidRDefault="00E2677A" w:rsidP="00E2677A">
            <w:pPr>
              <w:pStyle w:val="TableText"/>
              <w:ind w:right="198"/>
              <w:jc w:val="right"/>
            </w:pPr>
          </w:p>
        </w:tc>
        <w:tc>
          <w:tcPr>
            <w:tcW w:w="4111" w:type="dxa"/>
            <w:tcBorders>
              <w:top w:val="single" w:sz="4" w:space="0" w:color="auto"/>
              <w:left w:val="nil"/>
            </w:tcBorders>
            <w:shd w:val="solid" w:color="FFFFFF" w:fill="auto"/>
          </w:tcPr>
          <w:p w14:paraId="3F743137" w14:textId="77777777" w:rsidR="00E2677A" w:rsidRPr="00BC0D1F" w:rsidRDefault="00E2677A" w:rsidP="00E2677A">
            <w:pPr>
              <w:pStyle w:val="TableText"/>
              <w:rPr>
                <w:b/>
                <w:bCs/>
              </w:rPr>
            </w:pPr>
            <w:r w:rsidRPr="00BC0D1F">
              <w:rPr>
                <w:b/>
                <w:bCs/>
              </w:rPr>
              <w:t>Cash flows from operating activities</w:t>
            </w:r>
          </w:p>
        </w:tc>
        <w:tc>
          <w:tcPr>
            <w:tcW w:w="709" w:type="dxa"/>
            <w:tcBorders>
              <w:top w:val="single" w:sz="4" w:space="0" w:color="auto"/>
              <w:left w:val="nil"/>
            </w:tcBorders>
            <w:shd w:val="solid" w:color="FFFFFF" w:fill="auto"/>
          </w:tcPr>
          <w:p w14:paraId="6790D083" w14:textId="77777777" w:rsidR="00E2677A" w:rsidRPr="00BC0D1F" w:rsidRDefault="00E2677A" w:rsidP="00E2677A">
            <w:pPr>
              <w:pStyle w:val="TableText"/>
              <w:jc w:val="center"/>
            </w:pPr>
          </w:p>
        </w:tc>
        <w:tc>
          <w:tcPr>
            <w:tcW w:w="1134" w:type="dxa"/>
            <w:tcBorders>
              <w:top w:val="single" w:sz="4" w:space="0" w:color="auto"/>
            </w:tcBorders>
            <w:shd w:val="clear" w:color="E3E3E3" w:fill="D9D9D9"/>
          </w:tcPr>
          <w:p w14:paraId="399C2102" w14:textId="77777777" w:rsidR="00E2677A" w:rsidRPr="00BC0D1F" w:rsidRDefault="00E2677A" w:rsidP="00E2677A">
            <w:pPr>
              <w:pStyle w:val="TableText"/>
              <w:ind w:right="113"/>
              <w:jc w:val="right"/>
              <w:rPr>
                <w:b/>
                <w:bCs/>
              </w:rPr>
            </w:pPr>
          </w:p>
        </w:tc>
        <w:tc>
          <w:tcPr>
            <w:tcW w:w="1134" w:type="dxa"/>
            <w:tcBorders>
              <w:top w:val="single" w:sz="4" w:space="0" w:color="auto"/>
            </w:tcBorders>
          </w:tcPr>
          <w:p w14:paraId="35AB2763" w14:textId="77777777" w:rsidR="00E2677A" w:rsidRPr="00BC0D1F" w:rsidRDefault="00E2677A" w:rsidP="00E2677A">
            <w:pPr>
              <w:pStyle w:val="TableText"/>
              <w:jc w:val="right"/>
              <w:rPr>
                <w:b/>
                <w:bCs/>
              </w:rPr>
            </w:pPr>
          </w:p>
        </w:tc>
        <w:tc>
          <w:tcPr>
            <w:tcW w:w="1134" w:type="dxa"/>
            <w:tcBorders>
              <w:top w:val="single" w:sz="4" w:space="0" w:color="auto"/>
            </w:tcBorders>
          </w:tcPr>
          <w:p w14:paraId="0212DCC2" w14:textId="77777777" w:rsidR="00E2677A" w:rsidRPr="00BC0D1F" w:rsidRDefault="00E2677A" w:rsidP="00E2677A">
            <w:pPr>
              <w:pStyle w:val="TableText"/>
              <w:jc w:val="right"/>
            </w:pPr>
          </w:p>
        </w:tc>
      </w:tr>
      <w:tr w:rsidR="00E2677A" w:rsidRPr="00BC0D1F" w14:paraId="7433C312" w14:textId="77777777" w:rsidTr="0014210E">
        <w:trPr>
          <w:cantSplit/>
        </w:trPr>
        <w:tc>
          <w:tcPr>
            <w:tcW w:w="1134" w:type="dxa"/>
            <w:tcBorders>
              <w:right w:val="nil"/>
            </w:tcBorders>
            <w:shd w:val="solid" w:color="FFFFFF" w:fill="auto"/>
          </w:tcPr>
          <w:p w14:paraId="5B052FC6" w14:textId="77777777" w:rsidR="00E2677A" w:rsidRPr="00BC0D1F" w:rsidRDefault="00E2677A" w:rsidP="00E2677A">
            <w:pPr>
              <w:pStyle w:val="TableText"/>
              <w:ind w:right="198"/>
              <w:jc w:val="right"/>
            </w:pPr>
          </w:p>
        </w:tc>
        <w:tc>
          <w:tcPr>
            <w:tcW w:w="4111" w:type="dxa"/>
            <w:tcBorders>
              <w:left w:val="nil"/>
            </w:tcBorders>
            <w:shd w:val="solid" w:color="FFFFFF" w:fill="auto"/>
          </w:tcPr>
          <w:p w14:paraId="7106ADE5" w14:textId="77777777" w:rsidR="00E2677A" w:rsidRPr="00BC0D1F" w:rsidRDefault="00E2677A" w:rsidP="00E2677A">
            <w:pPr>
              <w:pStyle w:val="TableText"/>
            </w:pPr>
            <w:r w:rsidRPr="00BC0D1F">
              <w:t>Cash was provided from:</w:t>
            </w:r>
          </w:p>
        </w:tc>
        <w:tc>
          <w:tcPr>
            <w:tcW w:w="709" w:type="dxa"/>
            <w:tcBorders>
              <w:left w:val="nil"/>
            </w:tcBorders>
            <w:shd w:val="solid" w:color="FFFFFF" w:fill="auto"/>
          </w:tcPr>
          <w:p w14:paraId="284A2AC5" w14:textId="77777777" w:rsidR="00E2677A" w:rsidRPr="00BC0D1F" w:rsidRDefault="00E2677A" w:rsidP="00E2677A">
            <w:pPr>
              <w:pStyle w:val="TableText"/>
              <w:jc w:val="center"/>
            </w:pPr>
          </w:p>
        </w:tc>
        <w:tc>
          <w:tcPr>
            <w:tcW w:w="1134" w:type="dxa"/>
            <w:shd w:val="clear" w:color="E3E3E3" w:fill="D9D9D9"/>
          </w:tcPr>
          <w:p w14:paraId="405795B8" w14:textId="77777777" w:rsidR="00E2677A" w:rsidRPr="00BC0D1F" w:rsidRDefault="00E2677A" w:rsidP="00E2677A">
            <w:pPr>
              <w:pStyle w:val="TableText"/>
              <w:ind w:right="113"/>
              <w:jc w:val="right"/>
              <w:rPr>
                <w:b/>
                <w:bCs/>
              </w:rPr>
            </w:pPr>
          </w:p>
        </w:tc>
        <w:tc>
          <w:tcPr>
            <w:tcW w:w="1134" w:type="dxa"/>
          </w:tcPr>
          <w:p w14:paraId="7B1778A0" w14:textId="77777777" w:rsidR="00E2677A" w:rsidRPr="00BC0D1F" w:rsidRDefault="00E2677A" w:rsidP="00E2677A">
            <w:pPr>
              <w:pStyle w:val="TableText"/>
              <w:jc w:val="right"/>
              <w:rPr>
                <w:b/>
                <w:bCs/>
              </w:rPr>
            </w:pPr>
          </w:p>
        </w:tc>
        <w:tc>
          <w:tcPr>
            <w:tcW w:w="1134" w:type="dxa"/>
          </w:tcPr>
          <w:p w14:paraId="4E7B8896" w14:textId="77777777" w:rsidR="00E2677A" w:rsidRPr="00BC0D1F" w:rsidRDefault="00E2677A" w:rsidP="00E2677A">
            <w:pPr>
              <w:pStyle w:val="TableText"/>
              <w:jc w:val="right"/>
            </w:pPr>
          </w:p>
        </w:tc>
      </w:tr>
      <w:tr w:rsidR="00E2677A" w:rsidRPr="00BC0D1F" w14:paraId="7CEB957A" w14:textId="77777777" w:rsidTr="0014210E">
        <w:trPr>
          <w:cantSplit/>
        </w:trPr>
        <w:tc>
          <w:tcPr>
            <w:tcW w:w="1134" w:type="dxa"/>
            <w:tcBorders>
              <w:right w:val="nil"/>
            </w:tcBorders>
            <w:shd w:val="solid" w:color="FFFFFF" w:fill="auto"/>
          </w:tcPr>
          <w:p w14:paraId="00CF8EEA" w14:textId="77777777" w:rsidR="00E2677A" w:rsidRPr="00BC0D1F" w:rsidRDefault="00E2677A" w:rsidP="00E2677A">
            <w:pPr>
              <w:pStyle w:val="TableText"/>
              <w:ind w:right="198"/>
              <w:jc w:val="right"/>
            </w:pPr>
          </w:p>
        </w:tc>
        <w:tc>
          <w:tcPr>
            <w:tcW w:w="4111" w:type="dxa"/>
            <w:tcBorders>
              <w:left w:val="nil"/>
            </w:tcBorders>
            <w:shd w:val="solid" w:color="FFFFFF" w:fill="auto"/>
          </w:tcPr>
          <w:p w14:paraId="35AA66C6" w14:textId="77777777" w:rsidR="00E2677A" w:rsidRPr="00BC0D1F" w:rsidRDefault="00E2677A" w:rsidP="00E2677A">
            <w:pPr>
              <w:pStyle w:val="TableText"/>
            </w:pPr>
            <w:r w:rsidRPr="00BC0D1F">
              <w:t>Supply of outputs to:</w:t>
            </w:r>
          </w:p>
        </w:tc>
        <w:tc>
          <w:tcPr>
            <w:tcW w:w="709" w:type="dxa"/>
            <w:tcBorders>
              <w:left w:val="nil"/>
            </w:tcBorders>
            <w:shd w:val="solid" w:color="FFFFFF" w:fill="auto"/>
          </w:tcPr>
          <w:p w14:paraId="65358382" w14:textId="77777777" w:rsidR="00E2677A" w:rsidRPr="00BC0D1F" w:rsidRDefault="00E2677A" w:rsidP="00E2677A">
            <w:pPr>
              <w:pStyle w:val="TableText"/>
              <w:jc w:val="center"/>
            </w:pPr>
          </w:p>
        </w:tc>
        <w:tc>
          <w:tcPr>
            <w:tcW w:w="1134" w:type="dxa"/>
            <w:shd w:val="clear" w:color="E3E3E3" w:fill="D9D9D9"/>
          </w:tcPr>
          <w:p w14:paraId="510305C4" w14:textId="77777777" w:rsidR="00E2677A" w:rsidRPr="00BC0D1F" w:rsidRDefault="00E2677A" w:rsidP="00E2677A">
            <w:pPr>
              <w:pStyle w:val="TableText"/>
              <w:ind w:right="113"/>
              <w:jc w:val="right"/>
              <w:rPr>
                <w:b/>
                <w:bCs/>
              </w:rPr>
            </w:pPr>
          </w:p>
        </w:tc>
        <w:tc>
          <w:tcPr>
            <w:tcW w:w="1134" w:type="dxa"/>
          </w:tcPr>
          <w:p w14:paraId="7C010D7C" w14:textId="77777777" w:rsidR="00E2677A" w:rsidRPr="00BC0D1F" w:rsidRDefault="00E2677A" w:rsidP="00E2677A">
            <w:pPr>
              <w:pStyle w:val="TableText"/>
              <w:jc w:val="right"/>
              <w:rPr>
                <w:b/>
                <w:bCs/>
              </w:rPr>
            </w:pPr>
          </w:p>
        </w:tc>
        <w:tc>
          <w:tcPr>
            <w:tcW w:w="1134" w:type="dxa"/>
          </w:tcPr>
          <w:p w14:paraId="4F6F53B8" w14:textId="77777777" w:rsidR="00E2677A" w:rsidRPr="00BC0D1F" w:rsidRDefault="00E2677A" w:rsidP="00E2677A">
            <w:pPr>
              <w:pStyle w:val="TableText"/>
              <w:jc w:val="right"/>
            </w:pPr>
          </w:p>
        </w:tc>
      </w:tr>
      <w:tr w:rsidR="00E2677A" w:rsidRPr="00BC0D1F" w14:paraId="4B3BDF19" w14:textId="77777777" w:rsidTr="0014210E">
        <w:trPr>
          <w:cantSplit/>
        </w:trPr>
        <w:tc>
          <w:tcPr>
            <w:tcW w:w="1134" w:type="dxa"/>
            <w:tcBorders>
              <w:right w:val="nil"/>
            </w:tcBorders>
          </w:tcPr>
          <w:p w14:paraId="74D26F24" w14:textId="77777777" w:rsidR="00E2677A" w:rsidRPr="00BC0D1F" w:rsidRDefault="00E2677A" w:rsidP="00E2677A">
            <w:pPr>
              <w:pStyle w:val="TableText"/>
              <w:ind w:right="198"/>
              <w:jc w:val="right"/>
            </w:pPr>
            <w:r w:rsidRPr="00BC0D1F">
              <w:t>180,373</w:t>
            </w:r>
          </w:p>
        </w:tc>
        <w:tc>
          <w:tcPr>
            <w:tcW w:w="4111" w:type="dxa"/>
            <w:tcBorders>
              <w:left w:val="nil"/>
            </w:tcBorders>
            <w:shd w:val="solid" w:color="FFFFFF" w:fill="auto"/>
          </w:tcPr>
          <w:p w14:paraId="47FEA1CD" w14:textId="77777777" w:rsidR="00E2677A" w:rsidRPr="00BC0D1F" w:rsidRDefault="00E2677A" w:rsidP="00E2677A">
            <w:pPr>
              <w:pStyle w:val="TableText"/>
              <w:ind w:left="284"/>
            </w:pPr>
            <w:r w:rsidRPr="00BC0D1F">
              <w:t>Receipts from Crown Revenue</w:t>
            </w:r>
          </w:p>
        </w:tc>
        <w:tc>
          <w:tcPr>
            <w:tcW w:w="709" w:type="dxa"/>
            <w:tcBorders>
              <w:left w:val="nil"/>
            </w:tcBorders>
            <w:shd w:val="solid" w:color="FFFFFF" w:fill="auto"/>
          </w:tcPr>
          <w:p w14:paraId="0E921AB4" w14:textId="77777777" w:rsidR="00E2677A" w:rsidRPr="00BC0D1F" w:rsidRDefault="00E2677A" w:rsidP="00E2677A">
            <w:pPr>
              <w:pStyle w:val="TableText"/>
              <w:jc w:val="center"/>
              <w:rPr>
                <w:b/>
                <w:bCs/>
              </w:rPr>
            </w:pPr>
          </w:p>
        </w:tc>
        <w:tc>
          <w:tcPr>
            <w:tcW w:w="1134" w:type="dxa"/>
            <w:shd w:val="clear" w:color="E3E3E3" w:fill="D9D9D9"/>
          </w:tcPr>
          <w:p w14:paraId="16172E14" w14:textId="77777777" w:rsidR="00E2677A" w:rsidRPr="00BC0D1F" w:rsidRDefault="00E2677A" w:rsidP="00E2677A">
            <w:pPr>
              <w:pStyle w:val="TableText"/>
              <w:ind w:right="113"/>
              <w:jc w:val="right"/>
            </w:pPr>
            <w:r w:rsidRPr="00BC0D1F">
              <w:t>188,162</w:t>
            </w:r>
          </w:p>
        </w:tc>
        <w:tc>
          <w:tcPr>
            <w:tcW w:w="1134" w:type="dxa"/>
          </w:tcPr>
          <w:p w14:paraId="124F8212" w14:textId="77777777" w:rsidR="00E2677A" w:rsidRPr="00BC0D1F" w:rsidRDefault="00E2677A" w:rsidP="00E2677A">
            <w:pPr>
              <w:pStyle w:val="TableText"/>
              <w:jc w:val="right"/>
            </w:pPr>
            <w:r w:rsidRPr="00BC0D1F">
              <w:t>180,774</w:t>
            </w:r>
          </w:p>
        </w:tc>
        <w:tc>
          <w:tcPr>
            <w:tcW w:w="1134" w:type="dxa"/>
          </w:tcPr>
          <w:p w14:paraId="0F3DA6FD" w14:textId="77777777" w:rsidR="00E2677A" w:rsidRPr="00BC0D1F" w:rsidRDefault="00E2677A" w:rsidP="00E2677A">
            <w:pPr>
              <w:pStyle w:val="TableText"/>
              <w:jc w:val="right"/>
            </w:pPr>
            <w:r w:rsidRPr="00BC0D1F">
              <w:t>172,664</w:t>
            </w:r>
          </w:p>
        </w:tc>
      </w:tr>
      <w:tr w:rsidR="00E2677A" w:rsidRPr="00BC0D1F" w14:paraId="79F34223" w14:textId="77777777" w:rsidTr="0014210E">
        <w:trPr>
          <w:cantSplit/>
        </w:trPr>
        <w:tc>
          <w:tcPr>
            <w:tcW w:w="1134" w:type="dxa"/>
            <w:tcBorders>
              <w:bottom w:val="nil"/>
              <w:right w:val="nil"/>
            </w:tcBorders>
            <w:shd w:val="solid" w:color="FFFFFF" w:fill="auto"/>
          </w:tcPr>
          <w:p w14:paraId="52EA9BD8" w14:textId="77777777" w:rsidR="00E2677A" w:rsidRPr="00BC0D1F" w:rsidRDefault="00E2677A" w:rsidP="00E2677A">
            <w:pPr>
              <w:pStyle w:val="TableText"/>
              <w:ind w:right="198"/>
              <w:jc w:val="right"/>
            </w:pPr>
            <w:r w:rsidRPr="00BC0D1F">
              <w:t>12,271</w:t>
            </w:r>
          </w:p>
        </w:tc>
        <w:tc>
          <w:tcPr>
            <w:tcW w:w="4111" w:type="dxa"/>
            <w:tcBorders>
              <w:left w:val="nil"/>
              <w:bottom w:val="nil"/>
            </w:tcBorders>
            <w:shd w:val="solid" w:color="FFFFFF" w:fill="auto"/>
          </w:tcPr>
          <w:p w14:paraId="0D699E8A" w14:textId="77777777" w:rsidR="00E2677A" w:rsidRPr="00BC0D1F" w:rsidRDefault="00E2677A" w:rsidP="00E2677A">
            <w:pPr>
              <w:pStyle w:val="TableText"/>
              <w:ind w:left="284"/>
            </w:pPr>
            <w:r w:rsidRPr="00BC0D1F">
              <w:t>Receipts from other revenue</w:t>
            </w:r>
          </w:p>
        </w:tc>
        <w:tc>
          <w:tcPr>
            <w:tcW w:w="709" w:type="dxa"/>
            <w:tcBorders>
              <w:left w:val="nil"/>
              <w:bottom w:val="nil"/>
            </w:tcBorders>
            <w:shd w:val="solid" w:color="FFFFFF" w:fill="auto"/>
          </w:tcPr>
          <w:p w14:paraId="27F3CB48" w14:textId="77777777" w:rsidR="00E2677A" w:rsidRPr="00BC0D1F" w:rsidRDefault="00E2677A" w:rsidP="00E2677A">
            <w:pPr>
              <w:pStyle w:val="TableText"/>
              <w:jc w:val="center"/>
              <w:rPr>
                <w:b/>
                <w:bCs/>
              </w:rPr>
            </w:pPr>
          </w:p>
        </w:tc>
        <w:tc>
          <w:tcPr>
            <w:tcW w:w="1134" w:type="dxa"/>
            <w:tcBorders>
              <w:bottom w:val="nil"/>
            </w:tcBorders>
            <w:shd w:val="clear" w:color="E3E3E3" w:fill="D9D9D9"/>
          </w:tcPr>
          <w:p w14:paraId="4ECA5702" w14:textId="77777777" w:rsidR="00E2677A" w:rsidRPr="00BC0D1F" w:rsidRDefault="00E2677A" w:rsidP="00E2677A">
            <w:pPr>
              <w:pStyle w:val="TableText"/>
              <w:ind w:right="113"/>
              <w:jc w:val="right"/>
            </w:pPr>
            <w:r w:rsidRPr="00BC0D1F">
              <w:t>10,884</w:t>
            </w:r>
          </w:p>
        </w:tc>
        <w:tc>
          <w:tcPr>
            <w:tcW w:w="1134" w:type="dxa"/>
            <w:tcBorders>
              <w:bottom w:val="nil"/>
            </w:tcBorders>
          </w:tcPr>
          <w:p w14:paraId="4378B700" w14:textId="77777777" w:rsidR="00E2677A" w:rsidRPr="00BC0D1F" w:rsidRDefault="00E2677A" w:rsidP="00E2677A">
            <w:pPr>
              <w:pStyle w:val="TableText"/>
              <w:jc w:val="right"/>
            </w:pPr>
            <w:r w:rsidRPr="00BC0D1F">
              <w:t>14,485</w:t>
            </w:r>
          </w:p>
        </w:tc>
        <w:tc>
          <w:tcPr>
            <w:tcW w:w="1134" w:type="dxa"/>
            <w:tcBorders>
              <w:bottom w:val="nil"/>
            </w:tcBorders>
          </w:tcPr>
          <w:p w14:paraId="09115B96" w14:textId="77777777" w:rsidR="00E2677A" w:rsidRPr="00BC0D1F" w:rsidRDefault="00E2677A" w:rsidP="00E2677A">
            <w:pPr>
              <w:pStyle w:val="TableText"/>
              <w:jc w:val="right"/>
            </w:pPr>
            <w:r w:rsidRPr="00BC0D1F">
              <w:t>13,016</w:t>
            </w:r>
          </w:p>
        </w:tc>
      </w:tr>
      <w:tr w:rsidR="00E2677A" w:rsidRPr="00BC0D1F" w14:paraId="2254945A" w14:textId="77777777" w:rsidTr="0014210E">
        <w:trPr>
          <w:cantSplit/>
        </w:trPr>
        <w:tc>
          <w:tcPr>
            <w:tcW w:w="1134" w:type="dxa"/>
            <w:tcBorders>
              <w:top w:val="nil"/>
              <w:bottom w:val="nil"/>
              <w:right w:val="nil"/>
            </w:tcBorders>
            <w:shd w:val="solid" w:color="FFFFFF" w:fill="auto"/>
          </w:tcPr>
          <w:p w14:paraId="043D1ED9" w14:textId="77777777" w:rsidR="00E2677A" w:rsidRPr="00BC0D1F" w:rsidRDefault="00E2677A" w:rsidP="00E2677A">
            <w:pPr>
              <w:pStyle w:val="TableText"/>
              <w:ind w:right="198"/>
              <w:jc w:val="right"/>
            </w:pPr>
            <w:r w:rsidRPr="00BC0D1F">
              <w:t>(67,121)</w:t>
            </w:r>
          </w:p>
        </w:tc>
        <w:tc>
          <w:tcPr>
            <w:tcW w:w="4111" w:type="dxa"/>
            <w:tcBorders>
              <w:top w:val="nil"/>
              <w:left w:val="nil"/>
              <w:bottom w:val="nil"/>
            </w:tcBorders>
            <w:shd w:val="solid" w:color="FFFFFF" w:fill="auto"/>
          </w:tcPr>
          <w:p w14:paraId="37D50E20" w14:textId="77777777" w:rsidR="00E2677A" w:rsidRPr="00BC0D1F" w:rsidRDefault="00E2677A" w:rsidP="00E2677A">
            <w:pPr>
              <w:pStyle w:val="TableText"/>
              <w:ind w:left="284"/>
            </w:pPr>
            <w:r w:rsidRPr="00BC0D1F">
              <w:t>Payments to suppliers</w:t>
            </w:r>
          </w:p>
        </w:tc>
        <w:tc>
          <w:tcPr>
            <w:tcW w:w="709" w:type="dxa"/>
            <w:tcBorders>
              <w:top w:val="nil"/>
              <w:left w:val="nil"/>
              <w:bottom w:val="nil"/>
            </w:tcBorders>
            <w:shd w:val="solid" w:color="FFFFFF" w:fill="auto"/>
          </w:tcPr>
          <w:p w14:paraId="038BAA4F" w14:textId="77777777" w:rsidR="00E2677A" w:rsidRPr="00BC0D1F" w:rsidRDefault="00E2677A" w:rsidP="00E2677A">
            <w:pPr>
              <w:pStyle w:val="TableText"/>
              <w:jc w:val="center"/>
            </w:pPr>
          </w:p>
        </w:tc>
        <w:tc>
          <w:tcPr>
            <w:tcW w:w="1134" w:type="dxa"/>
            <w:tcBorders>
              <w:top w:val="nil"/>
              <w:bottom w:val="nil"/>
            </w:tcBorders>
            <w:shd w:val="clear" w:color="E3E3E3" w:fill="D9D9D9"/>
          </w:tcPr>
          <w:p w14:paraId="20115385" w14:textId="0191A578" w:rsidR="00E2677A" w:rsidRPr="00BC0D1F" w:rsidRDefault="00E2677A" w:rsidP="00C13BF2">
            <w:pPr>
              <w:pStyle w:val="TableText"/>
              <w:ind w:right="113"/>
              <w:jc w:val="right"/>
            </w:pPr>
            <w:r w:rsidRPr="00BC0D1F">
              <w:t>(66,6</w:t>
            </w:r>
            <w:r w:rsidR="00C13BF2">
              <w:t>2</w:t>
            </w:r>
            <w:r w:rsidRPr="00BC0D1F">
              <w:t>2)</w:t>
            </w:r>
          </w:p>
        </w:tc>
        <w:tc>
          <w:tcPr>
            <w:tcW w:w="1134" w:type="dxa"/>
            <w:tcBorders>
              <w:top w:val="nil"/>
              <w:bottom w:val="nil"/>
            </w:tcBorders>
          </w:tcPr>
          <w:p w14:paraId="53BDDF58" w14:textId="77777777" w:rsidR="00E2677A" w:rsidRPr="00BC0D1F" w:rsidRDefault="00E2677A" w:rsidP="00E2677A">
            <w:pPr>
              <w:pStyle w:val="TableText"/>
              <w:jc w:val="right"/>
            </w:pPr>
            <w:r w:rsidRPr="00BC0D1F">
              <w:t>(73,407)</w:t>
            </w:r>
          </w:p>
        </w:tc>
        <w:tc>
          <w:tcPr>
            <w:tcW w:w="1134" w:type="dxa"/>
            <w:tcBorders>
              <w:top w:val="nil"/>
              <w:bottom w:val="nil"/>
            </w:tcBorders>
          </w:tcPr>
          <w:p w14:paraId="362E1E7E" w14:textId="77777777" w:rsidR="00E2677A" w:rsidRPr="00BC0D1F" w:rsidRDefault="00E2677A" w:rsidP="00E2677A">
            <w:pPr>
              <w:pStyle w:val="TableText"/>
              <w:jc w:val="right"/>
            </w:pPr>
            <w:r w:rsidRPr="00BC0D1F">
              <w:t>(69,347)</w:t>
            </w:r>
          </w:p>
        </w:tc>
      </w:tr>
      <w:tr w:rsidR="00E2677A" w:rsidRPr="00BC0D1F" w14:paraId="566A52E5" w14:textId="77777777" w:rsidTr="0014210E">
        <w:trPr>
          <w:cantSplit/>
        </w:trPr>
        <w:tc>
          <w:tcPr>
            <w:tcW w:w="1134" w:type="dxa"/>
            <w:tcBorders>
              <w:top w:val="nil"/>
              <w:right w:val="nil"/>
            </w:tcBorders>
            <w:shd w:val="solid" w:color="FFFFFF" w:fill="auto"/>
          </w:tcPr>
          <w:p w14:paraId="21CC0C9A" w14:textId="77777777" w:rsidR="00E2677A" w:rsidRPr="00BC0D1F" w:rsidRDefault="00E2677A" w:rsidP="00E2677A">
            <w:pPr>
              <w:pStyle w:val="TableText"/>
              <w:ind w:right="198"/>
              <w:jc w:val="right"/>
            </w:pPr>
            <w:r w:rsidRPr="00BC0D1F">
              <w:t>(111,865)</w:t>
            </w:r>
          </w:p>
        </w:tc>
        <w:tc>
          <w:tcPr>
            <w:tcW w:w="4111" w:type="dxa"/>
            <w:tcBorders>
              <w:top w:val="nil"/>
              <w:left w:val="nil"/>
            </w:tcBorders>
            <w:shd w:val="solid" w:color="FFFFFF" w:fill="auto"/>
          </w:tcPr>
          <w:p w14:paraId="2C0C237F" w14:textId="77777777" w:rsidR="00E2677A" w:rsidRPr="00BC0D1F" w:rsidRDefault="00E2677A" w:rsidP="00E2677A">
            <w:pPr>
              <w:pStyle w:val="TableText"/>
              <w:ind w:left="284"/>
            </w:pPr>
            <w:r w:rsidRPr="00BC0D1F">
              <w:t>Pay</w:t>
            </w:r>
            <w:r w:rsidR="00C81438">
              <w:t>m</w:t>
            </w:r>
            <w:r w:rsidRPr="00BC0D1F">
              <w:t>ents to employees</w:t>
            </w:r>
          </w:p>
        </w:tc>
        <w:tc>
          <w:tcPr>
            <w:tcW w:w="709" w:type="dxa"/>
            <w:tcBorders>
              <w:top w:val="nil"/>
              <w:left w:val="nil"/>
            </w:tcBorders>
            <w:shd w:val="solid" w:color="FFFFFF" w:fill="auto"/>
          </w:tcPr>
          <w:p w14:paraId="68BA97C6" w14:textId="77777777" w:rsidR="00E2677A" w:rsidRPr="00BC0D1F" w:rsidRDefault="00E2677A" w:rsidP="00E2677A">
            <w:pPr>
              <w:pStyle w:val="TableText"/>
              <w:jc w:val="center"/>
            </w:pPr>
          </w:p>
        </w:tc>
        <w:tc>
          <w:tcPr>
            <w:tcW w:w="1134" w:type="dxa"/>
            <w:tcBorders>
              <w:top w:val="nil"/>
            </w:tcBorders>
            <w:shd w:val="clear" w:color="E3E3E3" w:fill="D9D9D9"/>
          </w:tcPr>
          <w:p w14:paraId="595D828F" w14:textId="77777777" w:rsidR="00E2677A" w:rsidRPr="00BC0D1F" w:rsidRDefault="00E2677A" w:rsidP="00E2677A">
            <w:pPr>
              <w:pStyle w:val="TableText"/>
              <w:ind w:right="113"/>
              <w:jc w:val="right"/>
            </w:pPr>
            <w:r w:rsidRPr="00BC0D1F">
              <w:t>(113,281)</w:t>
            </w:r>
          </w:p>
        </w:tc>
        <w:tc>
          <w:tcPr>
            <w:tcW w:w="1134" w:type="dxa"/>
            <w:tcBorders>
              <w:top w:val="nil"/>
            </w:tcBorders>
          </w:tcPr>
          <w:p w14:paraId="73669CE9" w14:textId="77777777" w:rsidR="00E2677A" w:rsidRPr="00BC0D1F" w:rsidRDefault="00E2677A" w:rsidP="00E2677A">
            <w:pPr>
              <w:pStyle w:val="TableText"/>
              <w:jc w:val="right"/>
            </w:pPr>
            <w:r w:rsidRPr="00BC0D1F">
              <w:t>(106,094)</w:t>
            </w:r>
          </w:p>
        </w:tc>
        <w:tc>
          <w:tcPr>
            <w:tcW w:w="1134" w:type="dxa"/>
            <w:tcBorders>
              <w:top w:val="nil"/>
            </w:tcBorders>
          </w:tcPr>
          <w:p w14:paraId="429E853D" w14:textId="77777777" w:rsidR="00E2677A" w:rsidRPr="00BC0D1F" w:rsidRDefault="00E2677A" w:rsidP="00E2677A">
            <w:pPr>
              <w:pStyle w:val="TableText"/>
              <w:jc w:val="right"/>
            </w:pPr>
            <w:r w:rsidRPr="00BC0D1F">
              <w:t>(108,413)</w:t>
            </w:r>
          </w:p>
        </w:tc>
      </w:tr>
      <w:tr w:rsidR="00E2677A" w:rsidRPr="00BC0D1F" w14:paraId="3CA9C4D7" w14:textId="77777777" w:rsidTr="0014210E">
        <w:trPr>
          <w:cantSplit/>
        </w:trPr>
        <w:tc>
          <w:tcPr>
            <w:tcW w:w="1134" w:type="dxa"/>
            <w:tcBorders>
              <w:top w:val="nil"/>
              <w:right w:val="nil"/>
            </w:tcBorders>
            <w:shd w:val="solid" w:color="FFFFFF" w:fill="auto"/>
          </w:tcPr>
          <w:p w14:paraId="47FAFDF2" w14:textId="77777777" w:rsidR="00E2677A" w:rsidRPr="00BC0D1F" w:rsidRDefault="00E2677A" w:rsidP="00E2677A">
            <w:pPr>
              <w:pStyle w:val="TableText"/>
              <w:ind w:right="198"/>
              <w:jc w:val="right"/>
            </w:pPr>
            <w:r w:rsidRPr="00BC0D1F">
              <w:t>(2</w:t>
            </w:r>
            <w:r w:rsidR="008234DC" w:rsidRPr="00BC0D1F">
              <w:t>,</w:t>
            </w:r>
            <w:r w:rsidRPr="00BC0D1F">
              <w:t>579)</w:t>
            </w:r>
          </w:p>
        </w:tc>
        <w:tc>
          <w:tcPr>
            <w:tcW w:w="4111" w:type="dxa"/>
            <w:tcBorders>
              <w:top w:val="nil"/>
              <w:left w:val="nil"/>
            </w:tcBorders>
            <w:shd w:val="solid" w:color="FFFFFF" w:fill="auto"/>
          </w:tcPr>
          <w:p w14:paraId="02ED1631" w14:textId="77777777" w:rsidR="00E2677A" w:rsidRPr="00BC0D1F" w:rsidRDefault="00E2677A" w:rsidP="00E2677A">
            <w:pPr>
              <w:pStyle w:val="TableText"/>
              <w:ind w:left="284"/>
            </w:pPr>
            <w:r w:rsidRPr="00BC0D1F">
              <w:t>Payments for capital charge</w:t>
            </w:r>
          </w:p>
        </w:tc>
        <w:tc>
          <w:tcPr>
            <w:tcW w:w="709" w:type="dxa"/>
            <w:tcBorders>
              <w:top w:val="nil"/>
              <w:left w:val="nil"/>
            </w:tcBorders>
            <w:shd w:val="solid" w:color="FFFFFF" w:fill="auto"/>
          </w:tcPr>
          <w:p w14:paraId="5C791125" w14:textId="77777777" w:rsidR="00E2677A" w:rsidRPr="00BC0D1F" w:rsidRDefault="00E2677A" w:rsidP="00E2677A">
            <w:pPr>
              <w:pStyle w:val="TableText"/>
              <w:jc w:val="center"/>
            </w:pPr>
          </w:p>
        </w:tc>
        <w:tc>
          <w:tcPr>
            <w:tcW w:w="1134" w:type="dxa"/>
            <w:tcBorders>
              <w:top w:val="nil"/>
            </w:tcBorders>
            <w:shd w:val="clear" w:color="E3E3E3" w:fill="D9D9D9"/>
          </w:tcPr>
          <w:p w14:paraId="2B938CE4" w14:textId="77777777" w:rsidR="00E2677A" w:rsidRPr="00BC0D1F" w:rsidRDefault="00E2677A" w:rsidP="00E2677A">
            <w:pPr>
              <w:pStyle w:val="TableText"/>
              <w:ind w:right="113"/>
              <w:jc w:val="right"/>
            </w:pPr>
            <w:r w:rsidRPr="00BC0D1F">
              <w:t>(2</w:t>
            </w:r>
            <w:r w:rsidR="008234DC" w:rsidRPr="00BC0D1F">
              <w:t>,</w:t>
            </w:r>
            <w:r w:rsidRPr="00BC0D1F">
              <w:t>576)</w:t>
            </w:r>
          </w:p>
        </w:tc>
        <w:tc>
          <w:tcPr>
            <w:tcW w:w="1134" w:type="dxa"/>
            <w:tcBorders>
              <w:top w:val="nil"/>
            </w:tcBorders>
          </w:tcPr>
          <w:p w14:paraId="5690C624" w14:textId="77777777" w:rsidR="00E2677A" w:rsidRPr="00BC0D1F" w:rsidRDefault="00E2677A" w:rsidP="00E2677A">
            <w:pPr>
              <w:pStyle w:val="TableText"/>
              <w:jc w:val="right"/>
            </w:pPr>
            <w:r w:rsidRPr="00BC0D1F">
              <w:t>(2</w:t>
            </w:r>
            <w:r w:rsidR="008234DC" w:rsidRPr="00BC0D1F">
              <w:t>,</w:t>
            </w:r>
            <w:r w:rsidRPr="00BC0D1F">
              <w:t>524)</w:t>
            </w:r>
          </w:p>
        </w:tc>
        <w:tc>
          <w:tcPr>
            <w:tcW w:w="1134" w:type="dxa"/>
            <w:tcBorders>
              <w:top w:val="nil"/>
            </w:tcBorders>
          </w:tcPr>
          <w:p w14:paraId="0B0E3F94" w14:textId="77777777" w:rsidR="00E2677A" w:rsidRPr="00BC0D1F" w:rsidRDefault="00E2677A" w:rsidP="00E2677A">
            <w:pPr>
              <w:pStyle w:val="TableText"/>
              <w:jc w:val="right"/>
            </w:pPr>
            <w:r w:rsidRPr="00BC0D1F">
              <w:t>(2</w:t>
            </w:r>
            <w:r w:rsidR="008234DC" w:rsidRPr="00BC0D1F">
              <w:t>,</w:t>
            </w:r>
            <w:r w:rsidRPr="00BC0D1F">
              <w:t>587)</w:t>
            </w:r>
          </w:p>
        </w:tc>
      </w:tr>
      <w:tr w:rsidR="00E2677A" w:rsidRPr="00BC0D1F" w14:paraId="1CE9CFE1" w14:textId="77777777" w:rsidTr="0014210E">
        <w:trPr>
          <w:cantSplit/>
        </w:trPr>
        <w:tc>
          <w:tcPr>
            <w:tcW w:w="1134" w:type="dxa"/>
            <w:tcBorders>
              <w:top w:val="nil"/>
              <w:right w:val="nil"/>
            </w:tcBorders>
            <w:shd w:val="solid" w:color="FFFFFF" w:fill="auto"/>
          </w:tcPr>
          <w:p w14:paraId="57F14F29" w14:textId="77777777" w:rsidR="00E2677A" w:rsidRPr="00BC0D1F" w:rsidRDefault="00E2677A" w:rsidP="00E2677A">
            <w:pPr>
              <w:pStyle w:val="TableText"/>
              <w:ind w:right="198"/>
              <w:jc w:val="right"/>
            </w:pPr>
            <w:r w:rsidRPr="00BC0D1F">
              <w:t>214</w:t>
            </w:r>
          </w:p>
        </w:tc>
        <w:tc>
          <w:tcPr>
            <w:tcW w:w="4111" w:type="dxa"/>
            <w:tcBorders>
              <w:top w:val="nil"/>
              <w:left w:val="nil"/>
            </w:tcBorders>
            <w:shd w:val="solid" w:color="FFFFFF" w:fill="auto"/>
          </w:tcPr>
          <w:p w14:paraId="5F76B6AD" w14:textId="77777777" w:rsidR="00E2677A" w:rsidRPr="00BC0D1F" w:rsidRDefault="00E2677A" w:rsidP="00E2677A">
            <w:pPr>
              <w:pStyle w:val="TableText"/>
              <w:ind w:left="284"/>
            </w:pPr>
            <w:r w:rsidRPr="00BC0D1F">
              <w:t>Net GST received/(paid)</w:t>
            </w:r>
          </w:p>
        </w:tc>
        <w:tc>
          <w:tcPr>
            <w:tcW w:w="709" w:type="dxa"/>
            <w:tcBorders>
              <w:top w:val="nil"/>
              <w:left w:val="nil"/>
            </w:tcBorders>
            <w:shd w:val="solid" w:color="FFFFFF" w:fill="auto"/>
          </w:tcPr>
          <w:p w14:paraId="684B026E" w14:textId="77777777" w:rsidR="00E2677A" w:rsidRPr="00BC0D1F" w:rsidRDefault="00E2677A" w:rsidP="00E2677A">
            <w:pPr>
              <w:pStyle w:val="TableText"/>
              <w:jc w:val="center"/>
              <w:rPr>
                <w:b/>
                <w:bCs/>
              </w:rPr>
            </w:pPr>
          </w:p>
        </w:tc>
        <w:tc>
          <w:tcPr>
            <w:tcW w:w="1134" w:type="dxa"/>
            <w:tcBorders>
              <w:top w:val="nil"/>
            </w:tcBorders>
            <w:shd w:val="clear" w:color="E3E3E3" w:fill="D9D9D9"/>
          </w:tcPr>
          <w:p w14:paraId="20A93245" w14:textId="77777777" w:rsidR="00E2677A" w:rsidRPr="00BC0D1F" w:rsidRDefault="00E2677A" w:rsidP="00E2677A">
            <w:pPr>
              <w:pStyle w:val="TableText"/>
              <w:ind w:right="113"/>
              <w:jc w:val="right"/>
            </w:pPr>
            <w:r w:rsidRPr="00BC0D1F">
              <w:t>(391)</w:t>
            </w:r>
          </w:p>
        </w:tc>
        <w:tc>
          <w:tcPr>
            <w:tcW w:w="1134" w:type="dxa"/>
            <w:tcBorders>
              <w:top w:val="nil"/>
            </w:tcBorders>
          </w:tcPr>
          <w:p w14:paraId="15FA41A8" w14:textId="77777777" w:rsidR="00E2677A" w:rsidRPr="00BC0D1F" w:rsidRDefault="00E2677A" w:rsidP="00E2677A">
            <w:pPr>
              <w:pStyle w:val="TableText"/>
              <w:jc w:val="right"/>
            </w:pPr>
            <w:r w:rsidRPr="00BC0D1F">
              <w:t>(256)</w:t>
            </w:r>
          </w:p>
        </w:tc>
        <w:tc>
          <w:tcPr>
            <w:tcW w:w="1134" w:type="dxa"/>
            <w:tcBorders>
              <w:top w:val="nil"/>
            </w:tcBorders>
          </w:tcPr>
          <w:p w14:paraId="3CB59389" w14:textId="77777777" w:rsidR="00E2677A" w:rsidRPr="00BC0D1F" w:rsidRDefault="00E2677A" w:rsidP="00E2677A">
            <w:pPr>
              <w:pStyle w:val="TableText"/>
              <w:jc w:val="right"/>
            </w:pPr>
            <w:r w:rsidRPr="00BC0D1F">
              <w:t>(256)</w:t>
            </w:r>
          </w:p>
        </w:tc>
      </w:tr>
      <w:tr w:rsidR="00E2677A" w:rsidRPr="00BC0D1F" w14:paraId="18F64BBF" w14:textId="77777777" w:rsidTr="0014210E">
        <w:trPr>
          <w:cantSplit/>
        </w:trPr>
        <w:tc>
          <w:tcPr>
            <w:tcW w:w="1134" w:type="dxa"/>
            <w:tcBorders>
              <w:top w:val="nil"/>
              <w:right w:val="nil"/>
            </w:tcBorders>
            <w:shd w:val="solid" w:color="FFFFFF" w:fill="auto"/>
          </w:tcPr>
          <w:p w14:paraId="50D8ADCC" w14:textId="77777777" w:rsidR="00E2677A" w:rsidRPr="00BC0D1F" w:rsidRDefault="00E2677A" w:rsidP="00E2677A">
            <w:pPr>
              <w:pStyle w:val="TableText"/>
              <w:spacing w:before="240"/>
              <w:ind w:right="198"/>
              <w:jc w:val="right"/>
              <w:rPr>
                <w:b/>
                <w:bCs/>
              </w:rPr>
            </w:pPr>
            <w:r w:rsidRPr="00BC0D1F">
              <w:rPr>
                <w:b/>
                <w:bCs/>
              </w:rPr>
              <w:t>11,293</w:t>
            </w:r>
          </w:p>
        </w:tc>
        <w:tc>
          <w:tcPr>
            <w:tcW w:w="4111" w:type="dxa"/>
            <w:tcBorders>
              <w:top w:val="nil"/>
              <w:left w:val="nil"/>
            </w:tcBorders>
            <w:shd w:val="solid" w:color="FFFFFF" w:fill="auto"/>
          </w:tcPr>
          <w:p w14:paraId="23905AC1" w14:textId="77777777" w:rsidR="00E2677A" w:rsidRPr="00BC0D1F" w:rsidRDefault="00E2677A" w:rsidP="00E2677A">
            <w:pPr>
              <w:pStyle w:val="TableText"/>
              <w:spacing w:before="240"/>
              <w:rPr>
                <w:b/>
                <w:bCs/>
              </w:rPr>
            </w:pPr>
            <w:r w:rsidRPr="00BC0D1F">
              <w:rPr>
                <w:b/>
                <w:bCs/>
              </w:rPr>
              <w:t>Net cash provided from operating activities</w:t>
            </w:r>
          </w:p>
        </w:tc>
        <w:tc>
          <w:tcPr>
            <w:tcW w:w="709" w:type="dxa"/>
            <w:tcBorders>
              <w:top w:val="nil"/>
              <w:left w:val="nil"/>
            </w:tcBorders>
            <w:shd w:val="solid" w:color="FFFFFF" w:fill="auto"/>
          </w:tcPr>
          <w:p w14:paraId="73F66A50" w14:textId="77777777" w:rsidR="00E2677A" w:rsidRPr="00BC0D1F" w:rsidRDefault="00E2677A" w:rsidP="00E2677A">
            <w:pPr>
              <w:pStyle w:val="TableText"/>
              <w:spacing w:before="240"/>
              <w:jc w:val="center"/>
              <w:rPr>
                <w:b/>
                <w:bCs/>
              </w:rPr>
            </w:pPr>
            <w:r w:rsidRPr="00BC0D1F">
              <w:rPr>
                <w:b/>
                <w:bCs/>
              </w:rPr>
              <w:t>13</w:t>
            </w:r>
          </w:p>
        </w:tc>
        <w:tc>
          <w:tcPr>
            <w:tcW w:w="1134" w:type="dxa"/>
            <w:tcBorders>
              <w:top w:val="nil"/>
            </w:tcBorders>
            <w:shd w:val="clear" w:color="E3E3E3" w:fill="D9D9D9"/>
          </w:tcPr>
          <w:p w14:paraId="4F5974D9" w14:textId="48CB6D95" w:rsidR="00E2677A" w:rsidRPr="00BC0D1F" w:rsidRDefault="00E2677A" w:rsidP="00C13BF2">
            <w:pPr>
              <w:pStyle w:val="TableText"/>
              <w:spacing w:before="240"/>
              <w:ind w:right="113"/>
              <w:jc w:val="right"/>
              <w:rPr>
                <w:b/>
                <w:bCs/>
              </w:rPr>
            </w:pPr>
            <w:r w:rsidRPr="00BC0D1F">
              <w:rPr>
                <w:b/>
                <w:bCs/>
              </w:rPr>
              <w:t>16,1</w:t>
            </w:r>
            <w:r w:rsidR="00C13BF2">
              <w:rPr>
                <w:b/>
                <w:bCs/>
              </w:rPr>
              <w:t>7</w:t>
            </w:r>
            <w:r w:rsidRPr="00BC0D1F">
              <w:rPr>
                <w:b/>
                <w:bCs/>
              </w:rPr>
              <w:t>6</w:t>
            </w:r>
          </w:p>
        </w:tc>
        <w:tc>
          <w:tcPr>
            <w:tcW w:w="1134" w:type="dxa"/>
            <w:tcBorders>
              <w:top w:val="nil"/>
            </w:tcBorders>
          </w:tcPr>
          <w:p w14:paraId="35E4975A" w14:textId="77777777" w:rsidR="00E2677A" w:rsidRPr="00BC0D1F" w:rsidRDefault="00E2677A" w:rsidP="00E2677A">
            <w:pPr>
              <w:pStyle w:val="TableText"/>
              <w:spacing w:before="240"/>
              <w:jc w:val="right"/>
              <w:rPr>
                <w:b/>
                <w:bCs/>
              </w:rPr>
            </w:pPr>
            <w:r w:rsidRPr="00BC0D1F">
              <w:rPr>
                <w:b/>
                <w:bCs/>
              </w:rPr>
              <w:t>12,978</w:t>
            </w:r>
          </w:p>
        </w:tc>
        <w:tc>
          <w:tcPr>
            <w:tcW w:w="1134" w:type="dxa"/>
            <w:tcBorders>
              <w:top w:val="nil"/>
            </w:tcBorders>
          </w:tcPr>
          <w:p w14:paraId="1D8F2E77" w14:textId="77777777" w:rsidR="00E2677A" w:rsidRPr="00BC0D1F" w:rsidRDefault="00E2677A" w:rsidP="00E2677A">
            <w:pPr>
              <w:pStyle w:val="TableText"/>
              <w:spacing w:before="240"/>
              <w:jc w:val="right"/>
              <w:rPr>
                <w:b/>
                <w:bCs/>
              </w:rPr>
            </w:pPr>
            <w:r w:rsidRPr="00BC0D1F">
              <w:rPr>
                <w:b/>
                <w:bCs/>
              </w:rPr>
              <w:t>5</w:t>
            </w:r>
            <w:r w:rsidR="008234DC" w:rsidRPr="00BC0D1F">
              <w:rPr>
                <w:b/>
                <w:bCs/>
              </w:rPr>
              <w:t>,</w:t>
            </w:r>
            <w:r w:rsidRPr="00BC0D1F">
              <w:rPr>
                <w:b/>
                <w:bCs/>
              </w:rPr>
              <w:t>077</w:t>
            </w:r>
          </w:p>
        </w:tc>
      </w:tr>
      <w:tr w:rsidR="00E2677A" w:rsidRPr="00BC0D1F" w14:paraId="5EDBC427" w14:textId="77777777" w:rsidTr="0014210E">
        <w:trPr>
          <w:cantSplit/>
        </w:trPr>
        <w:tc>
          <w:tcPr>
            <w:tcW w:w="1134" w:type="dxa"/>
            <w:tcBorders>
              <w:top w:val="nil"/>
              <w:right w:val="nil"/>
            </w:tcBorders>
            <w:shd w:val="solid" w:color="FFFFFF" w:fill="auto"/>
          </w:tcPr>
          <w:p w14:paraId="3BC4A0EC" w14:textId="77777777" w:rsidR="00E2677A" w:rsidRPr="00BC0D1F" w:rsidRDefault="00E2677A" w:rsidP="00E2677A">
            <w:pPr>
              <w:pStyle w:val="TableText"/>
              <w:spacing w:before="240"/>
              <w:ind w:right="198"/>
              <w:jc w:val="right"/>
              <w:rPr>
                <w:b/>
                <w:bCs/>
              </w:rPr>
            </w:pPr>
          </w:p>
        </w:tc>
        <w:tc>
          <w:tcPr>
            <w:tcW w:w="4111" w:type="dxa"/>
            <w:tcBorders>
              <w:top w:val="nil"/>
              <w:left w:val="nil"/>
            </w:tcBorders>
            <w:shd w:val="solid" w:color="FFFFFF" w:fill="auto"/>
          </w:tcPr>
          <w:p w14:paraId="015E62F7" w14:textId="77777777" w:rsidR="00E2677A" w:rsidRPr="00BC0D1F" w:rsidRDefault="00E2677A" w:rsidP="00E2677A">
            <w:pPr>
              <w:pStyle w:val="TableText"/>
              <w:spacing w:before="240"/>
              <w:rPr>
                <w:b/>
                <w:bCs/>
              </w:rPr>
            </w:pPr>
            <w:r w:rsidRPr="00BC0D1F">
              <w:rPr>
                <w:b/>
                <w:bCs/>
              </w:rPr>
              <w:t>Revenue in advance</w:t>
            </w:r>
          </w:p>
        </w:tc>
        <w:tc>
          <w:tcPr>
            <w:tcW w:w="709" w:type="dxa"/>
            <w:tcBorders>
              <w:top w:val="nil"/>
              <w:left w:val="nil"/>
            </w:tcBorders>
            <w:shd w:val="solid" w:color="FFFFFF" w:fill="auto"/>
          </w:tcPr>
          <w:p w14:paraId="1D07606B" w14:textId="77777777" w:rsidR="00E2677A" w:rsidRPr="00BC0D1F" w:rsidRDefault="00E2677A" w:rsidP="00E2677A">
            <w:pPr>
              <w:pStyle w:val="TableText"/>
              <w:spacing w:before="240"/>
              <w:jc w:val="center"/>
              <w:rPr>
                <w:b/>
                <w:bCs/>
              </w:rPr>
            </w:pPr>
          </w:p>
        </w:tc>
        <w:tc>
          <w:tcPr>
            <w:tcW w:w="1134" w:type="dxa"/>
            <w:tcBorders>
              <w:top w:val="nil"/>
            </w:tcBorders>
            <w:shd w:val="clear" w:color="E3E3E3" w:fill="D9D9D9"/>
          </w:tcPr>
          <w:p w14:paraId="3F0AB5AD" w14:textId="77777777" w:rsidR="00E2677A" w:rsidRPr="00BC0D1F" w:rsidRDefault="00E2677A" w:rsidP="00E2677A">
            <w:pPr>
              <w:pStyle w:val="TableText"/>
              <w:spacing w:before="240"/>
              <w:ind w:right="113"/>
              <w:jc w:val="right"/>
              <w:rPr>
                <w:b/>
                <w:bCs/>
              </w:rPr>
            </w:pPr>
          </w:p>
        </w:tc>
        <w:tc>
          <w:tcPr>
            <w:tcW w:w="1134" w:type="dxa"/>
            <w:tcBorders>
              <w:top w:val="nil"/>
            </w:tcBorders>
          </w:tcPr>
          <w:p w14:paraId="18E873CC" w14:textId="77777777" w:rsidR="00E2677A" w:rsidRPr="00BC0D1F" w:rsidRDefault="00E2677A" w:rsidP="00E2677A">
            <w:pPr>
              <w:pStyle w:val="TableText"/>
              <w:spacing w:before="240"/>
              <w:jc w:val="right"/>
              <w:rPr>
                <w:b/>
                <w:bCs/>
              </w:rPr>
            </w:pPr>
          </w:p>
        </w:tc>
        <w:tc>
          <w:tcPr>
            <w:tcW w:w="1134" w:type="dxa"/>
            <w:tcBorders>
              <w:top w:val="nil"/>
            </w:tcBorders>
          </w:tcPr>
          <w:p w14:paraId="28AF0EE9" w14:textId="77777777" w:rsidR="00E2677A" w:rsidRPr="00BC0D1F" w:rsidRDefault="00E2677A" w:rsidP="00E2677A">
            <w:pPr>
              <w:pStyle w:val="TableText"/>
              <w:spacing w:before="240"/>
              <w:jc w:val="right"/>
              <w:rPr>
                <w:b/>
                <w:bCs/>
              </w:rPr>
            </w:pPr>
          </w:p>
        </w:tc>
      </w:tr>
      <w:tr w:rsidR="00E2677A" w:rsidRPr="00BC0D1F" w14:paraId="35E0BE94" w14:textId="77777777" w:rsidTr="0014210E">
        <w:trPr>
          <w:cantSplit/>
        </w:trPr>
        <w:tc>
          <w:tcPr>
            <w:tcW w:w="1134" w:type="dxa"/>
            <w:tcBorders>
              <w:top w:val="nil"/>
              <w:right w:val="nil"/>
            </w:tcBorders>
            <w:shd w:val="solid" w:color="FFFFFF" w:fill="auto"/>
          </w:tcPr>
          <w:p w14:paraId="3000FF42" w14:textId="77777777" w:rsidR="00E2677A" w:rsidRPr="00BC0D1F" w:rsidRDefault="00E2677A" w:rsidP="00E2677A">
            <w:pPr>
              <w:pStyle w:val="TableText"/>
              <w:ind w:right="198"/>
              <w:jc w:val="right"/>
            </w:pPr>
          </w:p>
        </w:tc>
        <w:tc>
          <w:tcPr>
            <w:tcW w:w="4111" w:type="dxa"/>
            <w:tcBorders>
              <w:top w:val="nil"/>
              <w:left w:val="nil"/>
            </w:tcBorders>
            <w:shd w:val="solid" w:color="FFFFFF" w:fill="auto"/>
          </w:tcPr>
          <w:p w14:paraId="314D60D1" w14:textId="77777777" w:rsidR="00E2677A" w:rsidRPr="00BC0D1F" w:rsidRDefault="00E2677A" w:rsidP="00E2677A">
            <w:pPr>
              <w:pStyle w:val="TableText"/>
              <w:rPr>
                <w:b/>
                <w:bCs/>
              </w:rPr>
            </w:pPr>
            <w:r w:rsidRPr="00BC0D1F">
              <w:rPr>
                <w:b/>
                <w:bCs/>
              </w:rPr>
              <w:t>Cash flows from investing activities</w:t>
            </w:r>
          </w:p>
        </w:tc>
        <w:tc>
          <w:tcPr>
            <w:tcW w:w="709" w:type="dxa"/>
            <w:tcBorders>
              <w:top w:val="nil"/>
              <w:left w:val="nil"/>
            </w:tcBorders>
            <w:shd w:val="solid" w:color="FFFFFF" w:fill="auto"/>
          </w:tcPr>
          <w:p w14:paraId="0088039A" w14:textId="77777777" w:rsidR="00E2677A" w:rsidRPr="00BC0D1F" w:rsidRDefault="00E2677A" w:rsidP="00E2677A">
            <w:pPr>
              <w:pStyle w:val="TableText"/>
              <w:jc w:val="center"/>
            </w:pPr>
          </w:p>
        </w:tc>
        <w:tc>
          <w:tcPr>
            <w:tcW w:w="1134" w:type="dxa"/>
            <w:tcBorders>
              <w:top w:val="nil"/>
            </w:tcBorders>
            <w:shd w:val="clear" w:color="E3E3E3" w:fill="D9D9D9"/>
          </w:tcPr>
          <w:p w14:paraId="7CFEDDF8" w14:textId="77777777" w:rsidR="00E2677A" w:rsidRPr="00BC0D1F" w:rsidRDefault="00E2677A" w:rsidP="00E2677A">
            <w:pPr>
              <w:pStyle w:val="TableText"/>
              <w:ind w:right="113"/>
              <w:jc w:val="right"/>
              <w:rPr>
                <w:b/>
                <w:bCs/>
              </w:rPr>
            </w:pPr>
          </w:p>
        </w:tc>
        <w:tc>
          <w:tcPr>
            <w:tcW w:w="1134" w:type="dxa"/>
            <w:tcBorders>
              <w:top w:val="nil"/>
            </w:tcBorders>
          </w:tcPr>
          <w:p w14:paraId="589667AF" w14:textId="77777777" w:rsidR="00E2677A" w:rsidRPr="00BC0D1F" w:rsidRDefault="00E2677A" w:rsidP="00E2677A">
            <w:pPr>
              <w:pStyle w:val="TableText"/>
              <w:jc w:val="right"/>
              <w:rPr>
                <w:b/>
                <w:bCs/>
              </w:rPr>
            </w:pPr>
          </w:p>
        </w:tc>
        <w:tc>
          <w:tcPr>
            <w:tcW w:w="1134" w:type="dxa"/>
            <w:tcBorders>
              <w:top w:val="nil"/>
            </w:tcBorders>
          </w:tcPr>
          <w:p w14:paraId="1D147BDE" w14:textId="77777777" w:rsidR="00E2677A" w:rsidRPr="00BC0D1F" w:rsidRDefault="00E2677A" w:rsidP="00E2677A">
            <w:pPr>
              <w:pStyle w:val="TableText"/>
              <w:jc w:val="right"/>
            </w:pPr>
          </w:p>
        </w:tc>
      </w:tr>
      <w:tr w:rsidR="00E2677A" w:rsidRPr="00BC0D1F" w14:paraId="0F1B301E" w14:textId="77777777" w:rsidTr="0014210E">
        <w:trPr>
          <w:cantSplit/>
        </w:trPr>
        <w:tc>
          <w:tcPr>
            <w:tcW w:w="1134" w:type="dxa"/>
            <w:tcBorders>
              <w:top w:val="nil"/>
              <w:right w:val="nil"/>
            </w:tcBorders>
            <w:shd w:val="solid" w:color="FFFFFF" w:fill="auto"/>
          </w:tcPr>
          <w:p w14:paraId="09FBFFD2" w14:textId="77777777" w:rsidR="00E2677A" w:rsidRPr="00BC0D1F" w:rsidRDefault="00E2677A" w:rsidP="00E2677A">
            <w:pPr>
              <w:pStyle w:val="TableText"/>
              <w:ind w:right="198"/>
              <w:jc w:val="right"/>
            </w:pPr>
            <w:r w:rsidRPr="00BC0D1F">
              <w:t>41</w:t>
            </w:r>
          </w:p>
        </w:tc>
        <w:tc>
          <w:tcPr>
            <w:tcW w:w="4111" w:type="dxa"/>
            <w:tcBorders>
              <w:top w:val="nil"/>
              <w:left w:val="nil"/>
            </w:tcBorders>
            <w:shd w:val="solid" w:color="FFFFFF" w:fill="auto"/>
          </w:tcPr>
          <w:p w14:paraId="2391DCC7" w14:textId="77777777" w:rsidR="00E2677A" w:rsidRPr="00BC0D1F" w:rsidRDefault="00E2677A" w:rsidP="00E2677A">
            <w:pPr>
              <w:pStyle w:val="TableText"/>
            </w:pPr>
            <w:r w:rsidRPr="00BC0D1F">
              <w:t>Receipts from sale of property, plant and equipment</w:t>
            </w:r>
          </w:p>
        </w:tc>
        <w:tc>
          <w:tcPr>
            <w:tcW w:w="709" w:type="dxa"/>
            <w:tcBorders>
              <w:top w:val="nil"/>
              <w:left w:val="nil"/>
            </w:tcBorders>
            <w:shd w:val="solid" w:color="FFFFFF" w:fill="auto"/>
          </w:tcPr>
          <w:p w14:paraId="2DCF8EB1" w14:textId="77777777" w:rsidR="00E2677A" w:rsidRPr="00BC0D1F" w:rsidRDefault="00E2677A" w:rsidP="00E2677A">
            <w:pPr>
              <w:pStyle w:val="TableText"/>
              <w:jc w:val="center"/>
            </w:pPr>
          </w:p>
        </w:tc>
        <w:tc>
          <w:tcPr>
            <w:tcW w:w="1134" w:type="dxa"/>
            <w:tcBorders>
              <w:top w:val="nil"/>
            </w:tcBorders>
            <w:shd w:val="clear" w:color="E3E3E3" w:fill="D9D9D9"/>
          </w:tcPr>
          <w:p w14:paraId="0EA1F252" w14:textId="77777777" w:rsidR="00E2677A" w:rsidRPr="00BC0D1F" w:rsidRDefault="00E2677A" w:rsidP="00E2677A">
            <w:pPr>
              <w:pStyle w:val="TableText"/>
              <w:ind w:right="113"/>
              <w:jc w:val="right"/>
            </w:pPr>
            <w:r w:rsidRPr="00BC0D1F">
              <w:t>1</w:t>
            </w:r>
            <w:r w:rsidR="008234DC" w:rsidRPr="00BC0D1F">
              <w:t>,</w:t>
            </w:r>
            <w:r w:rsidRPr="00BC0D1F">
              <w:t>575</w:t>
            </w:r>
          </w:p>
        </w:tc>
        <w:tc>
          <w:tcPr>
            <w:tcW w:w="1134" w:type="dxa"/>
            <w:tcBorders>
              <w:top w:val="nil"/>
            </w:tcBorders>
          </w:tcPr>
          <w:p w14:paraId="75D9FB58" w14:textId="77777777" w:rsidR="00E2677A" w:rsidRPr="00BC0D1F" w:rsidRDefault="00E2677A" w:rsidP="00E2677A">
            <w:pPr>
              <w:pStyle w:val="TableText"/>
              <w:jc w:val="right"/>
            </w:pPr>
            <w:r w:rsidRPr="00BC0D1F">
              <w:t>–</w:t>
            </w:r>
          </w:p>
        </w:tc>
        <w:tc>
          <w:tcPr>
            <w:tcW w:w="1134" w:type="dxa"/>
            <w:tcBorders>
              <w:top w:val="nil"/>
            </w:tcBorders>
          </w:tcPr>
          <w:p w14:paraId="468C4AB7" w14:textId="77777777" w:rsidR="00E2677A" w:rsidRPr="00BC0D1F" w:rsidRDefault="00E2677A" w:rsidP="00E2677A">
            <w:pPr>
              <w:pStyle w:val="TableText"/>
              <w:jc w:val="right"/>
            </w:pPr>
            <w:r w:rsidRPr="00BC0D1F">
              <w:t>12,000</w:t>
            </w:r>
          </w:p>
        </w:tc>
      </w:tr>
      <w:tr w:rsidR="00E2677A" w:rsidRPr="00BC0D1F" w14:paraId="41FFC9F4" w14:textId="77777777" w:rsidTr="0014210E">
        <w:trPr>
          <w:cantSplit/>
        </w:trPr>
        <w:tc>
          <w:tcPr>
            <w:tcW w:w="1134" w:type="dxa"/>
            <w:tcBorders>
              <w:top w:val="nil"/>
              <w:right w:val="nil"/>
            </w:tcBorders>
            <w:shd w:val="solid" w:color="FFFFFF" w:fill="auto"/>
          </w:tcPr>
          <w:p w14:paraId="21119603" w14:textId="77777777" w:rsidR="00E2677A" w:rsidRPr="00BC0D1F" w:rsidRDefault="00E2677A" w:rsidP="00E2677A">
            <w:pPr>
              <w:pStyle w:val="TableText"/>
              <w:ind w:right="198"/>
              <w:jc w:val="right"/>
            </w:pPr>
            <w:r w:rsidRPr="00BC0D1F">
              <w:t>(7</w:t>
            </w:r>
            <w:r w:rsidR="008234DC" w:rsidRPr="00BC0D1F">
              <w:t>,</w:t>
            </w:r>
            <w:r w:rsidRPr="00BC0D1F">
              <w:t>463)</w:t>
            </w:r>
          </w:p>
        </w:tc>
        <w:tc>
          <w:tcPr>
            <w:tcW w:w="4111" w:type="dxa"/>
            <w:tcBorders>
              <w:top w:val="nil"/>
              <w:left w:val="nil"/>
            </w:tcBorders>
            <w:shd w:val="solid" w:color="FFFFFF" w:fill="auto"/>
          </w:tcPr>
          <w:p w14:paraId="3AB4C3E3" w14:textId="77777777" w:rsidR="00E2677A" w:rsidRPr="00BC0D1F" w:rsidRDefault="00E2677A" w:rsidP="00E2677A">
            <w:pPr>
              <w:pStyle w:val="TableText"/>
            </w:pPr>
            <w:r w:rsidRPr="00BC0D1F">
              <w:t>Purchase of property, plant and equipment</w:t>
            </w:r>
          </w:p>
        </w:tc>
        <w:tc>
          <w:tcPr>
            <w:tcW w:w="709" w:type="dxa"/>
            <w:tcBorders>
              <w:top w:val="nil"/>
              <w:left w:val="nil"/>
            </w:tcBorders>
            <w:shd w:val="solid" w:color="FFFFFF" w:fill="auto"/>
          </w:tcPr>
          <w:p w14:paraId="43CBAA4A" w14:textId="77777777" w:rsidR="00E2677A" w:rsidRPr="00BC0D1F" w:rsidRDefault="00E2677A" w:rsidP="00E2677A">
            <w:pPr>
              <w:pStyle w:val="TableText"/>
              <w:jc w:val="center"/>
              <w:rPr>
                <w:b/>
                <w:bCs/>
              </w:rPr>
            </w:pPr>
          </w:p>
        </w:tc>
        <w:tc>
          <w:tcPr>
            <w:tcW w:w="1134" w:type="dxa"/>
            <w:tcBorders>
              <w:top w:val="nil"/>
            </w:tcBorders>
            <w:shd w:val="clear" w:color="E3E3E3" w:fill="D9D9D9"/>
          </w:tcPr>
          <w:p w14:paraId="7750B604" w14:textId="77777777" w:rsidR="00E2677A" w:rsidRPr="00BC0D1F" w:rsidRDefault="00E2677A" w:rsidP="00E2677A">
            <w:pPr>
              <w:pStyle w:val="TableText"/>
              <w:ind w:right="113"/>
              <w:jc w:val="right"/>
            </w:pPr>
            <w:r w:rsidRPr="00BC0D1F">
              <w:t>(5</w:t>
            </w:r>
            <w:r w:rsidR="008234DC" w:rsidRPr="00BC0D1F">
              <w:t>,</w:t>
            </w:r>
            <w:r w:rsidRPr="00BC0D1F">
              <w:t>188)</w:t>
            </w:r>
          </w:p>
        </w:tc>
        <w:tc>
          <w:tcPr>
            <w:tcW w:w="1134" w:type="dxa"/>
            <w:tcBorders>
              <w:top w:val="nil"/>
            </w:tcBorders>
          </w:tcPr>
          <w:p w14:paraId="6E63AF30" w14:textId="77777777" w:rsidR="00E2677A" w:rsidRPr="00BC0D1F" w:rsidRDefault="00E2677A" w:rsidP="00E2677A">
            <w:pPr>
              <w:pStyle w:val="TableText"/>
              <w:jc w:val="right"/>
            </w:pPr>
            <w:r w:rsidRPr="00BC0D1F">
              <w:t>(3</w:t>
            </w:r>
            <w:r w:rsidR="008234DC" w:rsidRPr="00BC0D1F">
              <w:t>,</w:t>
            </w:r>
            <w:r w:rsidRPr="00BC0D1F">
              <w:t>500)</w:t>
            </w:r>
          </w:p>
        </w:tc>
        <w:tc>
          <w:tcPr>
            <w:tcW w:w="1134" w:type="dxa"/>
            <w:tcBorders>
              <w:top w:val="nil"/>
            </w:tcBorders>
          </w:tcPr>
          <w:p w14:paraId="0144A879" w14:textId="77777777" w:rsidR="00E2677A" w:rsidRPr="00BC0D1F" w:rsidRDefault="00E2677A" w:rsidP="00E2677A">
            <w:pPr>
              <w:pStyle w:val="TableText"/>
              <w:jc w:val="right"/>
            </w:pPr>
            <w:r w:rsidRPr="00BC0D1F">
              <w:t>(8</w:t>
            </w:r>
            <w:r w:rsidR="008234DC" w:rsidRPr="00BC0D1F">
              <w:t>,</w:t>
            </w:r>
            <w:r w:rsidRPr="00BC0D1F">
              <w:t>500)</w:t>
            </w:r>
          </w:p>
        </w:tc>
      </w:tr>
      <w:tr w:rsidR="00E2677A" w:rsidRPr="00BC0D1F" w14:paraId="44414578" w14:textId="77777777" w:rsidTr="0014210E">
        <w:trPr>
          <w:cantSplit/>
        </w:trPr>
        <w:tc>
          <w:tcPr>
            <w:tcW w:w="1134" w:type="dxa"/>
            <w:tcBorders>
              <w:top w:val="nil"/>
              <w:right w:val="nil"/>
            </w:tcBorders>
            <w:shd w:val="solid" w:color="FFFFFF" w:fill="auto"/>
          </w:tcPr>
          <w:p w14:paraId="0CF35EA0" w14:textId="77777777" w:rsidR="00E2677A" w:rsidRPr="00BC0D1F" w:rsidRDefault="00E2677A" w:rsidP="00E2677A">
            <w:pPr>
              <w:pStyle w:val="TableText"/>
              <w:ind w:right="198"/>
              <w:jc w:val="right"/>
            </w:pPr>
            <w:r w:rsidRPr="00BC0D1F">
              <w:t>(5</w:t>
            </w:r>
            <w:r w:rsidR="008234DC" w:rsidRPr="00BC0D1F">
              <w:t>,</w:t>
            </w:r>
            <w:r w:rsidRPr="00BC0D1F">
              <w:t>289)</w:t>
            </w:r>
          </w:p>
        </w:tc>
        <w:tc>
          <w:tcPr>
            <w:tcW w:w="4111" w:type="dxa"/>
            <w:tcBorders>
              <w:top w:val="nil"/>
              <w:left w:val="nil"/>
            </w:tcBorders>
            <w:shd w:val="solid" w:color="FFFFFF" w:fill="auto"/>
          </w:tcPr>
          <w:p w14:paraId="6F81DBEA" w14:textId="77777777" w:rsidR="00E2677A" w:rsidRPr="00BC0D1F" w:rsidRDefault="00E2677A" w:rsidP="00E2677A">
            <w:pPr>
              <w:pStyle w:val="TableText"/>
            </w:pPr>
            <w:r w:rsidRPr="00BC0D1F">
              <w:t>Purchase of intangible assets</w:t>
            </w:r>
          </w:p>
        </w:tc>
        <w:tc>
          <w:tcPr>
            <w:tcW w:w="709" w:type="dxa"/>
            <w:tcBorders>
              <w:top w:val="nil"/>
              <w:left w:val="nil"/>
            </w:tcBorders>
            <w:shd w:val="solid" w:color="FFFFFF" w:fill="auto"/>
          </w:tcPr>
          <w:p w14:paraId="63DE9E43" w14:textId="77777777" w:rsidR="00E2677A" w:rsidRPr="00BC0D1F" w:rsidRDefault="00E2677A" w:rsidP="00E2677A">
            <w:pPr>
              <w:pStyle w:val="TableText"/>
              <w:jc w:val="center"/>
              <w:rPr>
                <w:b/>
                <w:bCs/>
              </w:rPr>
            </w:pPr>
          </w:p>
        </w:tc>
        <w:tc>
          <w:tcPr>
            <w:tcW w:w="1134" w:type="dxa"/>
            <w:tcBorders>
              <w:top w:val="nil"/>
            </w:tcBorders>
            <w:shd w:val="clear" w:color="E3E3E3" w:fill="D9D9D9"/>
          </w:tcPr>
          <w:p w14:paraId="6E6A4CB9" w14:textId="5DFEFF5E" w:rsidR="00E2677A" w:rsidRPr="00BC0D1F" w:rsidRDefault="00E2677A" w:rsidP="00C13BF2">
            <w:pPr>
              <w:pStyle w:val="TableText"/>
              <w:ind w:right="113"/>
              <w:jc w:val="right"/>
            </w:pPr>
            <w:r w:rsidRPr="00BC0D1F">
              <w:t>(6</w:t>
            </w:r>
            <w:r w:rsidR="008234DC" w:rsidRPr="00BC0D1F">
              <w:t>,</w:t>
            </w:r>
            <w:r w:rsidRPr="00BC0D1F">
              <w:t>3</w:t>
            </w:r>
            <w:r w:rsidR="00C13BF2">
              <w:t>4</w:t>
            </w:r>
            <w:r w:rsidRPr="00BC0D1F">
              <w:t>7)</w:t>
            </w:r>
          </w:p>
        </w:tc>
        <w:tc>
          <w:tcPr>
            <w:tcW w:w="1134" w:type="dxa"/>
            <w:tcBorders>
              <w:top w:val="nil"/>
            </w:tcBorders>
          </w:tcPr>
          <w:p w14:paraId="7F0E53FB" w14:textId="77777777" w:rsidR="00E2677A" w:rsidRPr="00BC0D1F" w:rsidRDefault="00E2677A" w:rsidP="00E2677A">
            <w:pPr>
              <w:pStyle w:val="TableText"/>
              <w:jc w:val="right"/>
            </w:pPr>
            <w:r w:rsidRPr="00BC0D1F">
              <w:t>(8</w:t>
            </w:r>
            <w:r w:rsidR="008234DC" w:rsidRPr="00BC0D1F">
              <w:t>,</w:t>
            </w:r>
            <w:r w:rsidRPr="00BC0D1F">
              <w:t>000)</w:t>
            </w:r>
          </w:p>
        </w:tc>
        <w:tc>
          <w:tcPr>
            <w:tcW w:w="1134" w:type="dxa"/>
            <w:tcBorders>
              <w:top w:val="nil"/>
            </w:tcBorders>
          </w:tcPr>
          <w:p w14:paraId="63B8D146" w14:textId="77777777" w:rsidR="00E2677A" w:rsidRPr="00BC0D1F" w:rsidRDefault="00E2677A" w:rsidP="00E2677A">
            <w:pPr>
              <w:pStyle w:val="TableText"/>
              <w:jc w:val="right"/>
            </w:pPr>
            <w:r w:rsidRPr="00BC0D1F">
              <w:t>(6</w:t>
            </w:r>
            <w:r w:rsidR="008234DC" w:rsidRPr="00BC0D1F">
              <w:t>,</w:t>
            </w:r>
            <w:r w:rsidRPr="00BC0D1F">
              <w:t>000)</w:t>
            </w:r>
          </w:p>
        </w:tc>
      </w:tr>
      <w:tr w:rsidR="00E2677A" w:rsidRPr="00BC0D1F" w14:paraId="77D6E0E8" w14:textId="77777777" w:rsidTr="0014210E">
        <w:trPr>
          <w:cantSplit/>
        </w:trPr>
        <w:tc>
          <w:tcPr>
            <w:tcW w:w="1134" w:type="dxa"/>
            <w:tcBorders>
              <w:top w:val="nil"/>
              <w:right w:val="nil"/>
            </w:tcBorders>
            <w:shd w:val="solid" w:color="FFFFFF" w:fill="auto"/>
          </w:tcPr>
          <w:p w14:paraId="1712DAAC" w14:textId="77777777" w:rsidR="00E2677A" w:rsidRPr="00BC0D1F" w:rsidRDefault="00E2677A" w:rsidP="00E2677A">
            <w:pPr>
              <w:pStyle w:val="TableText"/>
              <w:spacing w:before="240"/>
              <w:ind w:right="198"/>
              <w:jc w:val="right"/>
              <w:rPr>
                <w:b/>
                <w:bCs/>
              </w:rPr>
            </w:pPr>
            <w:r w:rsidRPr="00BC0D1F">
              <w:rPr>
                <w:b/>
                <w:bCs/>
              </w:rPr>
              <w:t>(12,711)</w:t>
            </w:r>
          </w:p>
        </w:tc>
        <w:tc>
          <w:tcPr>
            <w:tcW w:w="4111" w:type="dxa"/>
            <w:tcBorders>
              <w:top w:val="nil"/>
              <w:left w:val="nil"/>
            </w:tcBorders>
            <w:shd w:val="solid" w:color="FFFFFF" w:fill="auto"/>
          </w:tcPr>
          <w:p w14:paraId="495BB64D" w14:textId="77777777" w:rsidR="00E2677A" w:rsidRPr="00BC0D1F" w:rsidRDefault="00E2677A" w:rsidP="00E2677A">
            <w:pPr>
              <w:pStyle w:val="TableText"/>
              <w:spacing w:before="240"/>
              <w:rPr>
                <w:b/>
                <w:bCs/>
              </w:rPr>
            </w:pPr>
            <w:r w:rsidRPr="00BC0D1F">
              <w:rPr>
                <w:b/>
                <w:bCs/>
              </w:rPr>
              <w:t>Net cash outflow from investing activities</w:t>
            </w:r>
          </w:p>
        </w:tc>
        <w:tc>
          <w:tcPr>
            <w:tcW w:w="709" w:type="dxa"/>
            <w:tcBorders>
              <w:top w:val="nil"/>
              <w:left w:val="nil"/>
            </w:tcBorders>
            <w:shd w:val="solid" w:color="FFFFFF" w:fill="auto"/>
          </w:tcPr>
          <w:p w14:paraId="5E6D7C31" w14:textId="77777777" w:rsidR="00E2677A" w:rsidRPr="00BC0D1F" w:rsidRDefault="00E2677A" w:rsidP="00E2677A">
            <w:pPr>
              <w:pStyle w:val="TableText"/>
              <w:spacing w:before="240"/>
              <w:jc w:val="center"/>
              <w:rPr>
                <w:b/>
                <w:bCs/>
              </w:rPr>
            </w:pPr>
          </w:p>
        </w:tc>
        <w:tc>
          <w:tcPr>
            <w:tcW w:w="1134" w:type="dxa"/>
            <w:tcBorders>
              <w:top w:val="nil"/>
            </w:tcBorders>
            <w:shd w:val="clear" w:color="E3E3E3" w:fill="D9D9D9"/>
          </w:tcPr>
          <w:p w14:paraId="294243EF" w14:textId="5C936A57" w:rsidR="00E2677A" w:rsidRPr="00BC0D1F" w:rsidRDefault="00E2677A" w:rsidP="00C13BF2">
            <w:pPr>
              <w:pStyle w:val="TableText"/>
              <w:spacing w:before="240"/>
              <w:ind w:right="113"/>
              <w:jc w:val="right"/>
              <w:rPr>
                <w:b/>
                <w:bCs/>
              </w:rPr>
            </w:pPr>
            <w:r w:rsidRPr="00BC0D1F">
              <w:rPr>
                <w:b/>
                <w:bCs/>
              </w:rPr>
              <w:t>(9</w:t>
            </w:r>
            <w:r w:rsidR="008234DC" w:rsidRPr="00BC0D1F">
              <w:rPr>
                <w:b/>
                <w:bCs/>
              </w:rPr>
              <w:t>,</w:t>
            </w:r>
            <w:r w:rsidRPr="00BC0D1F">
              <w:rPr>
                <w:b/>
                <w:bCs/>
              </w:rPr>
              <w:t>9</w:t>
            </w:r>
            <w:r w:rsidR="00C13BF2">
              <w:rPr>
                <w:b/>
                <w:bCs/>
              </w:rPr>
              <w:t>6</w:t>
            </w:r>
            <w:r w:rsidRPr="00BC0D1F">
              <w:rPr>
                <w:b/>
                <w:bCs/>
              </w:rPr>
              <w:t>0)</w:t>
            </w:r>
          </w:p>
        </w:tc>
        <w:tc>
          <w:tcPr>
            <w:tcW w:w="1134" w:type="dxa"/>
            <w:tcBorders>
              <w:top w:val="nil"/>
            </w:tcBorders>
          </w:tcPr>
          <w:p w14:paraId="6E350362" w14:textId="77777777" w:rsidR="00E2677A" w:rsidRPr="00BC0D1F" w:rsidRDefault="00E2677A" w:rsidP="00E2677A">
            <w:pPr>
              <w:pStyle w:val="TableText"/>
              <w:spacing w:before="240"/>
              <w:jc w:val="right"/>
              <w:rPr>
                <w:b/>
                <w:bCs/>
              </w:rPr>
            </w:pPr>
            <w:r w:rsidRPr="00BC0D1F">
              <w:rPr>
                <w:b/>
                <w:bCs/>
              </w:rPr>
              <w:t>(11,500)</w:t>
            </w:r>
          </w:p>
        </w:tc>
        <w:tc>
          <w:tcPr>
            <w:tcW w:w="1134" w:type="dxa"/>
            <w:tcBorders>
              <w:top w:val="nil"/>
            </w:tcBorders>
          </w:tcPr>
          <w:p w14:paraId="02CFC576" w14:textId="77777777" w:rsidR="00E2677A" w:rsidRPr="00BC0D1F" w:rsidRDefault="00E2677A" w:rsidP="00E2677A">
            <w:pPr>
              <w:pStyle w:val="TableText"/>
              <w:spacing w:before="240"/>
              <w:jc w:val="right"/>
              <w:rPr>
                <w:b/>
                <w:bCs/>
              </w:rPr>
            </w:pPr>
            <w:r w:rsidRPr="00BC0D1F">
              <w:rPr>
                <w:b/>
                <w:bCs/>
              </w:rPr>
              <w:t>(2</w:t>
            </w:r>
            <w:r w:rsidR="008234DC" w:rsidRPr="00BC0D1F">
              <w:rPr>
                <w:b/>
                <w:bCs/>
              </w:rPr>
              <w:t>,</w:t>
            </w:r>
            <w:r w:rsidRPr="00BC0D1F">
              <w:rPr>
                <w:b/>
                <w:bCs/>
              </w:rPr>
              <w:t>500)</w:t>
            </w:r>
          </w:p>
        </w:tc>
      </w:tr>
      <w:tr w:rsidR="00E2677A" w:rsidRPr="00BC0D1F" w14:paraId="483B4021" w14:textId="77777777" w:rsidTr="0014210E">
        <w:trPr>
          <w:cantSplit/>
        </w:trPr>
        <w:tc>
          <w:tcPr>
            <w:tcW w:w="1134" w:type="dxa"/>
            <w:tcBorders>
              <w:top w:val="nil"/>
              <w:right w:val="nil"/>
            </w:tcBorders>
            <w:shd w:val="solid" w:color="FFFFFF" w:fill="auto"/>
          </w:tcPr>
          <w:p w14:paraId="097F2876" w14:textId="77777777" w:rsidR="00E2677A" w:rsidRPr="00BC0D1F" w:rsidRDefault="00E2677A" w:rsidP="00E2677A">
            <w:pPr>
              <w:pStyle w:val="TableText"/>
              <w:spacing w:before="240"/>
              <w:ind w:right="198"/>
              <w:jc w:val="right"/>
            </w:pPr>
          </w:p>
        </w:tc>
        <w:tc>
          <w:tcPr>
            <w:tcW w:w="4111" w:type="dxa"/>
            <w:tcBorders>
              <w:top w:val="nil"/>
              <w:left w:val="nil"/>
            </w:tcBorders>
            <w:shd w:val="solid" w:color="FFFFFF" w:fill="auto"/>
          </w:tcPr>
          <w:p w14:paraId="6E3FEAF1" w14:textId="77777777" w:rsidR="00E2677A" w:rsidRPr="00BC0D1F" w:rsidRDefault="00E2677A" w:rsidP="00E2677A">
            <w:pPr>
              <w:pStyle w:val="TableText"/>
              <w:spacing w:before="240"/>
              <w:rPr>
                <w:b/>
                <w:bCs/>
              </w:rPr>
            </w:pPr>
            <w:r w:rsidRPr="00BC0D1F">
              <w:rPr>
                <w:b/>
                <w:bCs/>
              </w:rPr>
              <w:t>Cash flows from financing activities</w:t>
            </w:r>
          </w:p>
        </w:tc>
        <w:tc>
          <w:tcPr>
            <w:tcW w:w="709" w:type="dxa"/>
            <w:tcBorders>
              <w:top w:val="nil"/>
              <w:left w:val="nil"/>
            </w:tcBorders>
            <w:shd w:val="solid" w:color="FFFFFF" w:fill="auto"/>
          </w:tcPr>
          <w:p w14:paraId="2525029C" w14:textId="77777777" w:rsidR="00E2677A" w:rsidRPr="00BC0D1F" w:rsidRDefault="00E2677A" w:rsidP="00E2677A">
            <w:pPr>
              <w:pStyle w:val="TableText"/>
              <w:spacing w:before="240"/>
              <w:jc w:val="center"/>
            </w:pPr>
          </w:p>
        </w:tc>
        <w:tc>
          <w:tcPr>
            <w:tcW w:w="1134" w:type="dxa"/>
            <w:tcBorders>
              <w:top w:val="nil"/>
            </w:tcBorders>
            <w:shd w:val="clear" w:color="E3E3E3" w:fill="D9D9D9"/>
          </w:tcPr>
          <w:p w14:paraId="17E1D33F" w14:textId="77777777" w:rsidR="00E2677A" w:rsidRPr="00BC0D1F" w:rsidRDefault="00E2677A" w:rsidP="00E2677A">
            <w:pPr>
              <w:pStyle w:val="TableText"/>
              <w:spacing w:before="240"/>
              <w:ind w:right="113"/>
              <w:jc w:val="right"/>
              <w:rPr>
                <w:b/>
                <w:bCs/>
              </w:rPr>
            </w:pPr>
          </w:p>
        </w:tc>
        <w:tc>
          <w:tcPr>
            <w:tcW w:w="1134" w:type="dxa"/>
            <w:tcBorders>
              <w:top w:val="nil"/>
            </w:tcBorders>
          </w:tcPr>
          <w:p w14:paraId="4D71D0AF" w14:textId="77777777" w:rsidR="00E2677A" w:rsidRPr="00BC0D1F" w:rsidRDefault="00E2677A" w:rsidP="00E2677A">
            <w:pPr>
              <w:pStyle w:val="TableText"/>
              <w:spacing w:before="240"/>
              <w:jc w:val="right"/>
              <w:rPr>
                <w:b/>
                <w:bCs/>
              </w:rPr>
            </w:pPr>
          </w:p>
        </w:tc>
        <w:tc>
          <w:tcPr>
            <w:tcW w:w="1134" w:type="dxa"/>
            <w:tcBorders>
              <w:top w:val="nil"/>
            </w:tcBorders>
          </w:tcPr>
          <w:p w14:paraId="225F9747" w14:textId="77777777" w:rsidR="00E2677A" w:rsidRPr="00BC0D1F" w:rsidRDefault="00E2677A" w:rsidP="00E2677A">
            <w:pPr>
              <w:pStyle w:val="TableText"/>
              <w:spacing w:before="240"/>
              <w:jc w:val="right"/>
            </w:pPr>
          </w:p>
        </w:tc>
      </w:tr>
      <w:tr w:rsidR="00E2677A" w:rsidRPr="00BC0D1F" w14:paraId="79228ED6" w14:textId="77777777" w:rsidTr="0014210E">
        <w:trPr>
          <w:cantSplit/>
        </w:trPr>
        <w:tc>
          <w:tcPr>
            <w:tcW w:w="1134" w:type="dxa"/>
            <w:tcBorders>
              <w:top w:val="nil"/>
              <w:right w:val="nil"/>
            </w:tcBorders>
            <w:shd w:val="solid" w:color="FFFFFF" w:fill="auto"/>
          </w:tcPr>
          <w:p w14:paraId="24181AD1" w14:textId="77777777" w:rsidR="00E2677A" w:rsidRPr="00BC0D1F" w:rsidRDefault="00E2677A" w:rsidP="00E2677A">
            <w:pPr>
              <w:pStyle w:val="TableText"/>
              <w:ind w:right="198"/>
              <w:jc w:val="right"/>
            </w:pPr>
            <w:r w:rsidRPr="00BC0D1F">
              <w:t>1</w:t>
            </w:r>
            <w:r w:rsidR="008234DC" w:rsidRPr="00BC0D1F">
              <w:t>,</w:t>
            </w:r>
            <w:r w:rsidRPr="00BC0D1F">
              <w:t>517</w:t>
            </w:r>
          </w:p>
        </w:tc>
        <w:tc>
          <w:tcPr>
            <w:tcW w:w="4111" w:type="dxa"/>
            <w:tcBorders>
              <w:top w:val="nil"/>
              <w:left w:val="nil"/>
            </w:tcBorders>
            <w:shd w:val="solid" w:color="FFFFFF" w:fill="auto"/>
          </w:tcPr>
          <w:p w14:paraId="4BC97BD2" w14:textId="77777777" w:rsidR="00E2677A" w:rsidRPr="00BC0D1F" w:rsidRDefault="00E2677A" w:rsidP="00E2677A">
            <w:pPr>
              <w:pStyle w:val="TableText"/>
            </w:pPr>
            <w:r w:rsidRPr="00BC0D1F">
              <w:t>Capital injections</w:t>
            </w:r>
          </w:p>
        </w:tc>
        <w:tc>
          <w:tcPr>
            <w:tcW w:w="709" w:type="dxa"/>
            <w:tcBorders>
              <w:top w:val="nil"/>
              <w:left w:val="nil"/>
            </w:tcBorders>
            <w:shd w:val="solid" w:color="FFFFFF" w:fill="auto"/>
          </w:tcPr>
          <w:p w14:paraId="0BA01477" w14:textId="77777777" w:rsidR="00E2677A" w:rsidRPr="00BC0D1F" w:rsidRDefault="00E2677A" w:rsidP="00E2677A">
            <w:pPr>
              <w:pStyle w:val="TableText"/>
              <w:jc w:val="center"/>
              <w:rPr>
                <w:b/>
                <w:bCs/>
                <w:i/>
                <w:iCs/>
              </w:rPr>
            </w:pPr>
          </w:p>
        </w:tc>
        <w:tc>
          <w:tcPr>
            <w:tcW w:w="1134" w:type="dxa"/>
            <w:tcBorders>
              <w:top w:val="nil"/>
            </w:tcBorders>
            <w:shd w:val="clear" w:color="E3E3E3" w:fill="D9D9D9"/>
          </w:tcPr>
          <w:p w14:paraId="173DBF4C" w14:textId="77777777" w:rsidR="00E2677A" w:rsidRPr="00BC0D1F" w:rsidRDefault="00E2677A" w:rsidP="00E2677A">
            <w:pPr>
              <w:pStyle w:val="TableText"/>
              <w:ind w:right="113"/>
              <w:jc w:val="right"/>
            </w:pPr>
            <w:r w:rsidRPr="00BC0D1F">
              <w:t>–</w:t>
            </w:r>
          </w:p>
        </w:tc>
        <w:tc>
          <w:tcPr>
            <w:tcW w:w="1134" w:type="dxa"/>
            <w:tcBorders>
              <w:top w:val="nil"/>
            </w:tcBorders>
          </w:tcPr>
          <w:p w14:paraId="36E08493" w14:textId="77777777" w:rsidR="00E2677A" w:rsidRPr="00BC0D1F" w:rsidRDefault="00E2677A" w:rsidP="00E2677A">
            <w:pPr>
              <w:pStyle w:val="TableText"/>
              <w:jc w:val="right"/>
            </w:pPr>
            <w:r w:rsidRPr="00BC0D1F">
              <w:t>315</w:t>
            </w:r>
          </w:p>
        </w:tc>
        <w:tc>
          <w:tcPr>
            <w:tcW w:w="1134" w:type="dxa"/>
            <w:tcBorders>
              <w:top w:val="nil"/>
            </w:tcBorders>
          </w:tcPr>
          <w:p w14:paraId="5E4ADD8F" w14:textId="77777777" w:rsidR="00E2677A" w:rsidRPr="00BC0D1F" w:rsidRDefault="00E2677A" w:rsidP="00E2677A">
            <w:pPr>
              <w:pStyle w:val="TableText"/>
              <w:jc w:val="right"/>
            </w:pPr>
            <w:r w:rsidRPr="00BC0D1F">
              <w:t>–</w:t>
            </w:r>
          </w:p>
        </w:tc>
      </w:tr>
      <w:tr w:rsidR="00E2677A" w:rsidRPr="00BC0D1F" w14:paraId="13DCD3FA" w14:textId="77777777" w:rsidTr="0014210E">
        <w:trPr>
          <w:cantSplit/>
        </w:trPr>
        <w:tc>
          <w:tcPr>
            <w:tcW w:w="1134" w:type="dxa"/>
            <w:tcBorders>
              <w:top w:val="nil"/>
              <w:right w:val="nil"/>
            </w:tcBorders>
            <w:shd w:val="solid" w:color="FFFFFF" w:fill="auto"/>
          </w:tcPr>
          <w:p w14:paraId="3DCEAA6B" w14:textId="77777777" w:rsidR="00E2677A" w:rsidRPr="00BC0D1F" w:rsidRDefault="00E2677A" w:rsidP="00E2677A">
            <w:pPr>
              <w:pStyle w:val="TableText"/>
              <w:ind w:right="198"/>
              <w:jc w:val="right"/>
            </w:pPr>
            <w:r w:rsidRPr="00BC0D1F">
              <w:t>(2</w:t>
            </w:r>
            <w:r w:rsidR="008234DC" w:rsidRPr="00BC0D1F">
              <w:t>,</w:t>
            </w:r>
            <w:r w:rsidRPr="00BC0D1F">
              <w:t>248)</w:t>
            </w:r>
          </w:p>
        </w:tc>
        <w:tc>
          <w:tcPr>
            <w:tcW w:w="4111" w:type="dxa"/>
            <w:tcBorders>
              <w:top w:val="nil"/>
              <w:left w:val="nil"/>
            </w:tcBorders>
            <w:shd w:val="solid" w:color="FFFFFF" w:fill="auto"/>
          </w:tcPr>
          <w:p w14:paraId="3C6C9C52" w14:textId="77777777" w:rsidR="00E2677A" w:rsidRPr="00BC0D1F" w:rsidRDefault="00E2677A" w:rsidP="00E2677A">
            <w:pPr>
              <w:pStyle w:val="TableText"/>
            </w:pPr>
            <w:r w:rsidRPr="00BC0D1F">
              <w:t>Repayment of surplus to the Crown</w:t>
            </w:r>
          </w:p>
        </w:tc>
        <w:tc>
          <w:tcPr>
            <w:tcW w:w="709" w:type="dxa"/>
            <w:tcBorders>
              <w:top w:val="nil"/>
              <w:left w:val="nil"/>
            </w:tcBorders>
            <w:shd w:val="solid" w:color="FFFFFF" w:fill="auto"/>
          </w:tcPr>
          <w:p w14:paraId="2DB5BA46" w14:textId="77777777" w:rsidR="00E2677A" w:rsidRPr="00BC0D1F" w:rsidRDefault="00E2677A" w:rsidP="00E2677A">
            <w:pPr>
              <w:pStyle w:val="TableText"/>
              <w:jc w:val="center"/>
            </w:pPr>
          </w:p>
        </w:tc>
        <w:tc>
          <w:tcPr>
            <w:tcW w:w="1134" w:type="dxa"/>
            <w:tcBorders>
              <w:top w:val="nil"/>
            </w:tcBorders>
            <w:shd w:val="clear" w:color="E3E3E3" w:fill="D9D9D9"/>
          </w:tcPr>
          <w:p w14:paraId="2FB7EA05" w14:textId="77777777" w:rsidR="00E2677A" w:rsidRPr="00BC0D1F" w:rsidRDefault="00E2677A" w:rsidP="00E2677A">
            <w:pPr>
              <w:pStyle w:val="TableText"/>
              <w:ind w:right="113"/>
              <w:jc w:val="right"/>
            </w:pPr>
            <w:r w:rsidRPr="00BC0D1F">
              <w:t>–</w:t>
            </w:r>
          </w:p>
        </w:tc>
        <w:tc>
          <w:tcPr>
            <w:tcW w:w="1134" w:type="dxa"/>
            <w:tcBorders>
              <w:top w:val="nil"/>
            </w:tcBorders>
          </w:tcPr>
          <w:p w14:paraId="3D998C72" w14:textId="77777777" w:rsidR="00E2677A" w:rsidRPr="00BC0D1F" w:rsidRDefault="00E2677A" w:rsidP="00E2677A">
            <w:pPr>
              <w:pStyle w:val="TableText"/>
              <w:jc w:val="right"/>
            </w:pPr>
            <w:r w:rsidRPr="00BC0D1F">
              <w:t>–</w:t>
            </w:r>
          </w:p>
        </w:tc>
        <w:tc>
          <w:tcPr>
            <w:tcW w:w="1134" w:type="dxa"/>
            <w:tcBorders>
              <w:top w:val="nil"/>
            </w:tcBorders>
          </w:tcPr>
          <w:p w14:paraId="46ADC7F5" w14:textId="77777777" w:rsidR="00E2677A" w:rsidRPr="00BC0D1F" w:rsidRDefault="00E2677A" w:rsidP="00E2677A">
            <w:pPr>
              <w:pStyle w:val="TableText"/>
              <w:jc w:val="right"/>
            </w:pPr>
            <w:r w:rsidRPr="00BC0D1F">
              <w:t>–</w:t>
            </w:r>
          </w:p>
        </w:tc>
      </w:tr>
      <w:tr w:rsidR="00E2677A" w:rsidRPr="00BC0D1F" w14:paraId="60C44166" w14:textId="77777777" w:rsidTr="0014210E">
        <w:trPr>
          <w:cantSplit/>
        </w:trPr>
        <w:tc>
          <w:tcPr>
            <w:tcW w:w="1134" w:type="dxa"/>
            <w:tcBorders>
              <w:top w:val="nil"/>
              <w:right w:val="nil"/>
            </w:tcBorders>
            <w:shd w:val="solid" w:color="FFFFFF" w:fill="auto"/>
          </w:tcPr>
          <w:p w14:paraId="19BCECB9" w14:textId="77777777" w:rsidR="00E2677A" w:rsidRPr="00BC0D1F" w:rsidRDefault="00E2677A" w:rsidP="00E2677A">
            <w:pPr>
              <w:pStyle w:val="TableText"/>
              <w:spacing w:before="240"/>
              <w:ind w:right="198"/>
              <w:jc w:val="right"/>
              <w:rPr>
                <w:b/>
                <w:bCs/>
              </w:rPr>
            </w:pPr>
            <w:r w:rsidRPr="00BC0D1F">
              <w:rPr>
                <w:b/>
                <w:bCs/>
              </w:rPr>
              <w:t>(731)</w:t>
            </w:r>
          </w:p>
        </w:tc>
        <w:tc>
          <w:tcPr>
            <w:tcW w:w="4111" w:type="dxa"/>
            <w:tcBorders>
              <w:top w:val="nil"/>
              <w:left w:val="nil"/>
            </w:tcBorders>
            <w:shd w:val="solid" w:color="FFFFFF" w:fill="auto"/>
          </w:tcPr>
          <w:p w14:paraId="7FD232F2" w14:textId="77777777" w:rsidR="00E2677A" w:rsidRPr="00BC0D1F" w:rsidRDefault="00E2677A" w:rsidP="00E2677A">
            <w:pPr>
              <w:pStyle w:val="TableText"/>
              <w:spacing w:before="240"/>
              <w:rPr>
                <w:b/>
                <w:bCs/>
              </w:rPr>
            </w:pPr>
            <w:r w:rsidRPr="00BC0D1F">
              <w:rPr>
                <w:b/>
                <w:bCs/>
              </w:rPr>
              <w:t>Net cash flows from financing activities</w:t>
            </w:r>
          </w:p>
        </w:tc>
        <w:tc>
          <w:tcPr>
            <w:tcW w:w="709" w:type="dxa"/>
            <w:tcBorders>
              <w:top w:val="nil"/>
              <w:left w:val="nil"/>
            </w:tcBorders>
            <w:shd w:val="solid" w:color="FFFFFF" w:fill="auto"/>
          </w:tcPr>
          <w:p w14:paraId="3DF96187" w14:textId="77777777" w:rsidR="00E2677A" w:rsidRPr="00BC0D1F" w:rsidRDefault="00E2677A" w:rsidP="00E2677A">
            <w:pPr>
              <w:pStyle w:val="TableText"/>
              <w:spacing w:before="240"/>
              <w:jc w:val="center"/>
              <w:rPr>
                <w:b/>
                <w:bCs/>
              </w:rPr>
            </w:pPr>
          </w:p>
        </w:tc>
        <w:tc>
          <w:tcPr>
            <w:tcW w:w="1134" w:type="dxa"/>
            <w:tcBorders>
              <w:top w:val="nil"/>
            </w:tcBorders>
            <w:shd w:val="clear" w:color="E3E3E3" w:fill="D9D9D9"/>
          </w:tcPr>
          <w:p w14:paraId="231F5C60" w14:textId="77777777" w:rsidR="00E2677A" w:rsidRPr="00BC0D1F" w:rsidRDefault="00E2677A" w:rsidP="00E2677A">
            <w:pPr>
              <w:pStyle w:val="TableText"/>
              <w:spacing w:before="240"/>
              <w:ind w:right="113"/>
              <w:jc w:val="right"/>
              <w:rPr>
                <w:b/>
                <w:bCs/>
              </w:rPr>
            </w:pPr>
            <w:r w:rsidRPr="00BC0D1F">
              <w:rPr>
                <w:b/>
                <w:bCs/>
              </w:rPr>
              <w:t>–</w:t>
            </w:r>
          </w:p>
        </w:tc>
        <w:tc>
          <w:tcPr>
            <w:tcW w:w="1134" w:type="dxa"/>
            <w:tcBorders>
              <w:top w:val="nil"/>
            </w:tcBorders>
          </w:tcPr>
          <w:p w14:paraId="05278AAC" w14:textId="77777777" w:rsidR="00E2677A" w:rsidRPr="00BC0D1F" w:rsidRDefault="00E2677A" w:rsidP="00E2677A">
            <w:pPr>
              <w:pStyle w:val="TableText"/>
              <w:spacing w:before="240"/>
              <w:jc w:val="right"/>
              <w:rPr>
                <w:b/>
                <w:bCs/>
              </w:rPr>
            </w:pPr>
            <w:r w:rsidRPr="00BC0D1F">
              <w:rPr>
                <w:b/>
                <w:bCs/>
              </w:rPr>
              <w:t>315</w:t>
            </w:r>
          </w:p>
        </w:tc>
        <w:tc>
          <w:tcPr>
            <w:tcW w:w="1134" w:type="dxa"/>
            <w:tcBorders>
              <w:top w:val="nil"/>
            </w:tcBorders>
          </w:tcPr>
          <w:p w14:paraId="58FF9A03" w14:textId="77777777" w:rsidR="00E2677A" w:rsidRPr="00BC0D1F" w:rsidRDefault="00E2677A" w:rsidP="00E2677A">
            <w:pPr>
              <w:pStyle w:val="TableText"/>
              <w:spacing w:before="240"/>
              <w:jc w:val="right"/>
              <w:rPr>
                <w:b/>
                <w:bCs/>
              </w:rPr>
            </w:pPr>
            <w:r w:rsidRPr="00BC0D1F">
              <w:rPr>
                <w:b/>
                <w:bCs/>
              </w:rPr>
              <w:t>–</w:t>
            </w:r>
          </w:p>
        </w:tc>
      </w:tr>
      <w:tr w:rsidR="00E2677A" w:rsidRPr="00BC0D1F" w14:paraId="483179B7" w14:textId="77777777" w:rsidTr="0014210E">
        <w:trPr>
          <w:cantSplit/>
        </w:trPr>
        <w:tc>
          <w:tcPr>
            <w:tcW w:w="1134" w:type="dxa"/>
            <w:tcBorders>
              <w:top w:val="nil"/>
              <w:right w:val="nil"/>
            </w:tcBorders>
            <w:shd w:val="solid" w:color="FFFFFF" w:fill="auto"/>
          </w:tcPr>
          <w:p w14:paraId="640DDDDD" w14:textId="77777777" w:rsidR="00E2677A" w:rsidRPr="00BC0D1F" w:rsidRDefault="00E2677A" w:rsidP="00E2677A">
            <w:pPr>
              <w:pStyle w:val="TableText"/>
              <w:spacing w:before="240"/>
              <w:ind w:right="198"/>
              <w:jc w:val="right"/>
              <w:rPr>
                <w:b/>
                <w:bCs/>
              </w:rPr>
            </w:pPr>
            <w:r w:rsidRPr="00BC0D1F">
              <w:rPr>
                <w:b/>
                <w:bCs/>
              </w:rPr>
              <w:t>(2</w:t>
            </w:r>
            <w:r w:rsidR="008234DC" w:rsidRPr="00BC0D1F">
              <w:rPr>
                <w:b/>
                <w:bCs/>
              </w:rPr>
              <w:t>,</w:t>
            </w:r>
            <w:r w:rsidRPr="00BC0D1F">
              <w:rPr>
                <w:b/>
                <w:bCs/>
              </w:rPr>
              <w:t>149)</w:t>
            </w:r>
          </w:p>
        </w:tc>
        <w:tc>
          <w:tcPr>
            <w:tcW w:w="4111" w:type="dxa"/>
            <w:tcBorders>
              <w:top w:val="nil"/>
              <w:left w:val="nil"/>
            </w:tcBorders>
            <w:shd w:val="solid" w:color="FFFFFF" w:fill="auto"/>
          </w:tcPr>
          <w:p w14:paraId="03055223" w14:textId="77777777" w:rsidR="00E2677A" w:rsidRPr="00BC0D1F" w:rsidRDefault="00E2677A" w:rsidP="00E2677A">
            <w:pPr>
              <w:pStyle w:val="TableText"/>
              <w:spacing w:before="240"/>
              <w:rPr>
                <w:b/>
                <w:bCs/>
              </w:rPr>
            </w:pPr>
            <w:r w:rsidRPr="00BC0D1F">
              <w:rPr>
                <w:b/>
                <w:bCs/>
              </w:rPr>
              <w:t>Net increase/(decrease) in cash and cash equivalents held</w:t>
            </w:r>
          </w:p>
        </w:tc>
        <w:tc>
          <w:tcPr>
            <w:tcW w:w="709" w:type="dxa"/>
            <w:tcBorders>
              <w:top w:val="nil"/>
              <w:left w:val="nil"/>
            </w:tcBorders>
            <w:shd w:val="solid" w:color="FFFFFF" w:fill="auto"/>
          </w:tcPr>
          <w:p w14:paraId="7E2CBCF0" w14:textId="77777777" w:rsidR="00E2677A" w:rsidRPr="00BC0D1F" w:rsidRDefault="00E2677A" w:rsidP="00E2677A">
            <w:pPr>
              <w:pStyle w:val="TableText"/>
              <w:spacing w:before="240"/>
              <w:jc w:val="center"/>
              <w:rPr>
                <w:b/>
                <w:bCs/>
              </w:rPr>
            </w:pPr>
          </w:p>
        </w:tc>
        <w:tc>
          <w:tcPr>
            <w:tcW w:w="1134" w:type="dxa"/>
            <w:tcBorders>
              <w:top w:val="nil"/>
            </w:tcBorders>
            <w:shd w:val="clear" w:color="E3E3E3" w:fill="D9D9D9"/>
          </w:tcPr>
          <w:p w14:paraId="1559342F" w14:textId="77777777" w:rsidR="00E2677A" w:rsidRPr="00BC0D1F" w:rsidRDefault="00E2677A" w:rsidP="00E2677A">
            <w:pPr>
              <w:pStyle w:val="TableText"/>
              <w:spacing w:before="240"/>
              <w:ind w:right="113"/>
              <w:jc w:val="right"/>
              <w:rPr>
                <w:b/>
                <w:bCs/>
              </w:rPr>
            </w:pPr>
            <w:r w:rsidRPr="00BC0D1F">
              <w:rPr>
                <w:b/>
                <w:bCs/>
              </w:rPr>
              <w:t>6</w:t>
            </w:r>
            <w:r w:rsidR="008234DC" w:rsidRPr="00BC0D1F">
              <w:rPr>
                <w:b/>
                <w:bCs/>
              </w:rPr>
              <w:t>,</w:t>
            </w:r>
            <w:r w:rsidRPr="00BC0D1F">
              <w:rPr>
                <w:b/>
                <w:bCs/>
              </w:rPr>
              <w:t>216</w:t>
            </w:r>
          </w:p>
        </w:tc>
        <w:tc>
          <w:tcPr>
            <w:tcW w:w="1134" w:type="dxa"/>
            <w:tcBorders>
              <w:top w:val="nil"/>
            </w:tcBorders>
          </w:tcPr>
          <w:p w14:paraId="1A33B655" w14:textId="77777777" w:rsidR="00E2677A" w:rsidRPr="00BC0D1F" w:rsidRDefault="00E2677A" w:rsidP="00E2677A">
            <w:pPr>
              <w:pStyle w:val="TableText"/>
              <w:spacing w:before="240"/>
              <w:jc w:val="right"/>
              <w:rPr>
                <w:b/>
                <w:bCs/>
              </w:rPr>
            </w:pPr>
            <w:r w:rsidRPr="00BC0D1F">
              <w:rPr>
                <w:b/>
                <w:bCs/>
              </w:rPr>
              <w:t>1</w:t>
            </w:r>
            <w:r w:rsidR="008234DC" w:rsidRPr="00BC0D1F">
              <w:rPr>
                <w:b/>
                <w:bCs/>
              </w:rPr>
              <w:t>,</w:t>
            </w:r>
            <w:r w:rsidRPr="00BC0D1F">
              <w:rPr>
                <w:b/>
                <w:bCs/>
              </w:rPr>
              <w:t>793</w:t>
            </w:r>
          </w:p>
        </w:tc>
        <w:tc>
          <w:tcPr>
            <w:tcW w:w="1134" w:type="dxa"/>
            <w:tcBorders>
              <w:top w:val="nil"/>
            </w:tcBorders>
          </w:tcPr>
          <w:p w14:paraId="4CE6AAC1" w14:textId="77777777" w:rsidR="00E2677A" w:rsidRPr="00BC0D1F" w:rsidRDefault="00E2677A" w:rsidP="00E2677A">
            <w:pPr>
              <w:pStyle w:val="TableText"/>
              <w:spacing w:before="240"/>
              <w:jc w:val="right"/>
              <w:rPr>
                <w:b/>
                <w:bCs/>
              </w:rPr>
            </w:pPr>
            <w:r w:rsidRPr="00BC0D1F">
              <w:rPr>
                <w:b/>
                <w:bCs/>
              </w:rPr>
              <w:t>2</w:t>
            </w:r>
            <w:r w:rsidR="008234DC" w:rsidRPr="00BC0D1F">
              <w:rPr>
                <w:b/>
                <w:bCs/>
              </w:rPr>
              <w:t>,</w:t>
            </w:r>
            <w:r w:rsidRPr="00BC0D1F">
              <w:rPr>
                <w:b/>
                <w:bCs/>
              </w:rPr>
              <w:t>577</w:t>
            </w:r>
          </w:p>
        </w:tc>
      </w:tr>
      <w:tr w:rsidR="00E2677A" w:rsidRPr="00BC0D1F" w14:paraId="5C343333" w14:textId="77777777" w:rsidTr="0014210E">
        <w:trPr>
          <w:cantSplit/>
        </w:trPr>
        <w:tc>
          <w:tcPr>
            <w:tcW w:w="1134" w:type="dxa"/>
            <w:tcBorders>
              <w:top w:val="nil"/>
              <w:right w:val="nil"/>
            </w:tcBorders>
            <w:shd w:val="solid" w:color="FFFFFF" w:fill="auto"/>
          </w:tcPr>
          <w:p w14:paraId="2D1745E3" w14:textId="77777777" w:rsidR="00E2677A" w:rsidRPr="00BC0D1F" w:rsidRDefault="00E2677A" w:rsidP="0014210E">
            <w:pPr>
              <w:pStyle w:val="TableText"/>
              <w:ind w:right="198"/>
              <w:jc w:val="right"/>
            </w:pPr>
            <w:r w:rsidRPr="00BC0D1F">
              <w:t>2</w:t>
            </w:r>
            <w:r w:rsidR="008234DC" w:rsidRPr="00BC0D1F">
              <w:t>,</w:t>
            </w:r>
            <w:r w:rsidRPr="00BC0D1F">
              <w:t>356</w:t>
            </w:r>
          </w:p>
        </w:tc>
        <w:tc>
          <w:tcPr>
            <w:tcW w:w="4111" w:type="dxa"/>
            <w:tcBorders>
              <w:top w:val="nil"/>
              <w:left w:val="nil"/>
            </w:tcBorders>
            <w:shd w:val="solid" w:color="FFFFFF" w:fill="auto"/>
          </w:tcPr>
          <w:p w14:paraId="70E0D839" w14:textId="77777777" w:rsidR="00E2677A" w:rsidRPr="00BC0D1F" w:rsidRDefault="00E2677A" w:rsidP="0014210E">
            <w:pPr>
              <w:pStyle w:val="TableText"/>
            </w:pPr>
            <w:r w:rsidRPr="00BC0D1F">
              <w:t>Add cash and cash equivalents at the beginning of the year</w:t>
            </w:r>
          </w:p>
        </w:tc>
        <w:tc>
          <w:tcPr>
            <w:tcW w:w="709" w:type="dxa"/>
            <w:tcBorders>
              <w:top w:val="nil"/>
              <w:left w:val="nil"/>
            </w:tcBorders>
            <w:shd w:val="solid" w:color="FFFFFF" w:fill="auto"/>
          </w:tcPr>
          <w:p w14:paraId="7CD3FCD6" w14:textId="77777777" w:rsidR="00E2677A" w:rsidRPr="00BC0D1F" w:rsidRDefault="00E2677A" w:rsidP="0014210E">
            <w:pPr>
              <w:pStyle w:val="TableText"/>
              <w:jc w:val="center"/>
            </w:pPr>
          </w:p>
        </w:tc>
        <w:tc>
          <w:tcPr>
            <w:tcW w:w="1134" w:type="dxa"/>
            <w:tcBorders>
              <w:top w:val="nil"/>
            </w:tcBorders>
            <w:shd w:val="clear" w:color="E3E3E3" w:fill="D9D9D9"/>
          </w:tcPr>
          <w:p w14:paraId="6B97A0F0" w14:textId="77777777" w:rsidR="00E2677A" w:rsidRPr="00BC0D1F" w:rsidRDefault="00E2677A" w:rsidP="0014210E">
            <w:pPr>
              <w:pStyle w:val="TableText"/>
              <w:ind w:right="113"/>
              <w:jc w:val="right"/>
            </w:pPr>
            <w:r w:rsidRPr="00BC0D1F">
              <w:t>207</w:t>
            </w:r>
          </w:p>
        </w:tc>
        <w:tc>
          <w:tcPr>
            <w:tcW w:w="1134" w:type="dxa"/>
            <w:tcBorders>
              <w:top w:val="nil"/>
            </w:tcBorders>
          </w:tcPr>
          <w:p w14:paraId="3306197D" w14:textId="77777777" w:rsidR="00E2677A" w:rsidRPr="00BC0D1F" w:rsidRDefault="00E2677A" w:rsidP="0014210E">
            <w:pPr>
              <w:pStyle w:val="TableText"/>
              <w:jc w:val="right"/>
            </w:pPr>
            <w:r w:rsidRPr="00BC0D1F">
              <w:t>207</w:t>
            </w:r>
          </w:p>
        </w:tc>
        <w:tc>
          <w:tcPr>
            <w:tcW w:w="1134" w:type="dxa"/>
            <w:tcBorders>
              <w:top w:val="nil"/>
            </w:tcBorders>
          </w:tcPr>
          <w:p w14:paraId="0C0CA575" w14:textId="77777777" w:rsidR="00E2677A" w:rsidRPr="00BC0D1F" w:rsidRDefault="00E2677A" w:rsidP="0014210E">
            <w:pPr>
              <w:pStyle w:val="TableText"/>
              <w:jc w:val="right"/>
            </w:pPr>
            <w:r w:rsidRPr="00BC0D1F">
              <w:t>6</w:t>
            </w:r>
            <w:r w:rsidR="008234DC" w:rsidRPr="00BC0D1F">
              <w:t>,</w:t>
            </w:r>
            <w:r w:rsidRPr="00BC0D1F">
              <w:t>423</w:t>
            </w:r>
          </w:p>
        </w:tc>
      </w:tr>
      <w:tr w:rsidR="00E2677A" w:rsidRPr="00BC0D1F" w14:paraId="0DFAB3D2" w14:textId="77777777" w:rsidTr="0014210E">
        <w:trPr>
          <w:cantSplit/>
        </w:trPr>
        <w:tc>
          <w:tcPr>
            <w:tcW w:w="1134" w:type="dxa"/>
            <w:tcBorders>
              <w:top w:val="nil"/>
              <w:right w:val="nil"/>
            </w:tcBorders>
            <w:shd w:val="solid" w:color="FFFFFF" w:fill="auto"/>
          </w:tcPr>
          <w:p w14:paraId="599D001F" w14:textId="77777777" w:rsidR="00E2677A" w:rsidRPr="00BC0D1F" w:rsidRDefault="00E2677A" w:rsidP="00E2677A">
            <w:pPr>
              <w:pStyle w:val="TableText"/>
              <w:spacing w:before="240"/>
              <w:ind w:right="198"/>
              <w:jc w:val="right"/>
              <w:rPr>
                <w:b/>
              </w:rPr>
            </w:pPr>
            <w:r w:rsidRPr="00BC0D1F">
              <w:rPr>
                <w:b/>
              </w:rPr>
              <w:t>207</w:t>
            </w:r>
          </w:p>
        </w:tc>
        <w:tc>
          <w:tcPr>
            <w:tcW w:w="4111" w:type="dxa"/>
            <w:tcBorders>
              <w:top w:val="nil"/>
              <w:left w:val="nil"/>
            </w:tcBorders>
            <w:shd w:val="solid" w:color="FFFFFF" w:fill="auto"/>
          </w:tcPr>
          <w:p w14:paraId="771A81DF" w14:textId="77777777" w:rsidR="00E2677A" w:rsidRPr="00BC0D1F" w:rsidRDefault="00E2677A" w:rsidP="00E2677A">
            <w:pPr>
              <w:pStyle w:val="TableText"/>
              <w:spacing w:before="240"/>
              <w:rPr>
                <w:b/>
              </w:rPr>
            </w:pPr>
            <w:r w:rsidRPr="00BC0D1F">
              <w:rPr>
                <w:b/>
              </w:rPr>
              <w:t>Cash and cash equivalents at the end of the year</w:t>
            </w:r>
          </w:p>
        </w:tc>
        <w:tc>
          <w:tcPr>
            <w:tcW w:w="709" w:type="dxa"/>
            <w:tcBorders>
              <w:top w:val="nil"/>
              <w:left w:val="nil"/>
            </w:tcBorders>
            <w:shd w:val="solid" w:color="FFFFFF" w:fill="auto"/>
          </w:tcPr>
          <w:p w14:paraId="4EF53555" w14:textId="77777777" w:rsidR="00E2677A" w:rsidRPr="00BC0D1F" w:rsidRDefault="00E2677A" w:rsidP="00E2677A">
            <w:pPr>
              <w:pStyle w:val="TableText"/>
              <w:spacing w:before="240"/>
              <w:jc w:val="center"/>
              <w:rPr>
                <w:b/>
              </w:rPr>
            </w:pPr>
          </w:p>
        </w:tc>
        <w:tc>
          <w:tcPr>
            <w:tcW w:w="1134" w:type="dxa"/>
            <w:tcBorders>
              <w:top w:val="nil"/>
            </w:tcBorders>
            <w:shd w:val="clear" w:color="E3E3E3" w:fill="D9D9D9"/>
          </w:tcPr>
          <w:p w14:paraId="300BD852" w14:textId="77777777" w:rsidR="00E2677A" w:rsidRPr="00BC0D1F" w:rsidRDefault="00E2677A" w:rsidP="00E2677A">
            <w:pPr>
              <w:pStyle w:val="TableText"/>
              <w:spacing w:before="240"/>
              <w:ind w:right="113"/>
              <w:jc w:val="right"/>
              <w:rPr>
                <w:b/>
              </w:rPr>
            </w:pPr>
            <w:r w:rsidRPr="00BC0D1F">
              <w:rPr>
                <w:b/>
              </w:rPr>
              <w:t>6</w:t>
            </w:r>
            <w:r w:rsidR="008234DC" w:rsidRPr="00BC0D1F">
              <w:rPr>
                <w:b/>
              </w:rPr>
              <w:t>,</w:t>
            </w:r>
            <w:r w:rsidRPr="00BC0D1F">
              <w:rPr>
                <w:b/>
              </w:rPr>
              <w:t>423</w:t>
            </w:r>
          </w:p>
        </w:tc>
        <w:tc>
          <w:tcPr>
            <w:tcW w:w="1134" w:type="dxa"/>
            <w:tcBorders>
              <w:top w:val="nil"/>
            </w:tcBorders>
          </w:tcPr>
          <w:p w14:paraId="51767E7B" w14:textId="77777777" w:rsidR="00E2677A" w:rsidRPr="00BC0D1F" w:rsidRDefault="00E2677A" w:rsidP="00E2677A">
            <w:pPr>
              <w:pStyle w:val="TableText"/>
              <w:spacing w:before="240"/>
              <w:jc w:val="right"/>
              <w:rPr>
                <w:b/>
              </w:rPr>
            </w:pPr>
            <w:r w:rsidRPr="00BC0D1F">
              <w:rPr>
                <w:b/>
              </w:rPr>
              <w:t>2</w:t>
            </w:r>
            <w:r w:rsidR="008234DC" w:rsidRPr="00BC0D1F">
              <w:rPr>
                <w:b/>
              </w:rPr>
              <w:t>,</w:t>
            </w:r>
            <w:r w:rsidRPr="00BC0D1F">
              <w:rPr>
                <w:b/>
              </w:rPr>
              <w:t>000</w:t>
            </w:r>
          </w:p>
        </w:tc>
        <w:tc>
          <w:tcPr>
            <w:tcW w:w="1134" w:type="dxa"/>
            <w:tcBorders>
              <w:top w:val="nil"/>
            </w:tcBorders>
          </w:tcPr>
          <w:p w14:paraId="49DF1378" w14:textId="77777777" w:rsidR="00E2677A" w:rsidRPr="00BC0D1F" w:rsidRDefault="00E2677A" w:rsidP="00E2677A">
            <w:pPr>
              <w:pStyle w:val="TableText"/>
              <w:spacing w:before="240"/>
              <w:jc w:val="right"/>
              <w:rPr>
                <w:b/>
                <w:bCs/>
              </w:rPr>
            </w:pPr>
            <w:r w:rsidRPr="00BC0D1F">
              <w:rPr>
                <w:b/>
                <w:bCs/>
              </w:rPr>
              <w:t>9</w:t>
            </w:r>
            <w:r w:rsidR="008234DC" w:rsidRPr="00BC0D1F">
              <w:rPr>
                <w:b/>
                <w:bCs/>
              </w:rPr>
              <w:t>,</w:t>
            </w:r>
            <w:r w:rsidRPr="00BC0D1F">
              <w:rPr>
                <w:b/>
                <w:bCs/>
              </w:rPr>
              <w:t>000</w:t>
            </w:r>
          </w:p>
        </w:tc>
      </w:tr>
    </w:tbl>
    <w:p w14:paraId="65D12EDE" w14:textId="77777777" w:rsidR="00E2677A" w:rsidRPr="00BC0D1F" w:rsidRDefault="00E2677A" w:rsidP="0014210E"/>
    <w:p w14:paraId="24FFE19A" w14:textId="77777777" w:rsidR="0014210E" w:rsidRPr="00BC0D1F" w:rsidRDefault="0014210E">
      <w:pPr>
        <w:spacing w:line="240" w:lineRule="auto"/>
        <w:rPr>
          <w:b/>
          <w:sz w:val="28"/>
        </w:rPr>
      </w:pPr>
      <w:r w:rsidRPr="00BC0D1F">
        <w:br w:type="page"/>
      </w:r>
    </w:p>
    <w:p w14:paraId="077E9A74" w14:textId="77777777" w:rsidR="00DD0FC4" w:rsidRPr="00BC0D1F" w:rsidRDefault="0014210E" w:rsidP="006A557B">
      <w:pPr>
        <w:pStyle w:val="Heading2"/>
      </w:pPr>
      <w:bookmarkStart w:id="168" w:name="_Toc463507935"/>
      <w:r w:rsidRPr="00BC0D1F">
        <w:lastRenderedPageBreak/>
        <w:t>S</w:t>
      </w:r>
      <w:r w:rsidR="00DD0FC4" w:rsidRPr="00BC0D1F">
        <w:t>tatement of commitments as at 30 June 2016</w:t>
      </w:r>
      <w:bookmarkEnd w:id="168"/>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7088"/>
        <w:gridCol w:w="1134"/>
      </w:tblGrid>
      <w:tr w:rsidR="0014210E" w:rsidRPr="00BC0D1F" w14:paraId="261D355B" w14:textId="77777777" w:rsidTr="0014210E">
        <w:trPr>
          <w:cantSplit/>
        </w:trPr>
        <w:tc>
          <w:tcPr>
            <w:tcW w:w="1134" w:type="dxa"/>
            <w:tcBorders>
              <w:top w:val="single" w:sz="4" w:space="0" w:color="auto"/>
              <w:bottom w:val="single" w:sz="4" w:space="0" w:color="auto"/>
              <w:right w:val="nil"/>
            </w:tcBorders>
            <w:shd w:val="solid" w:color="FFFFFF" w:fill="auto"/>
          </w:tcPr>
          <w:p w14:paraId="1EF80EE3" w14:textId="77777777" w:rsidR="0014210E" w:rsidRPr="00BC0D1F" w:rsidRDefault="0014210E" w:rsidP="0014210E">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7088" w:type="dxa"/>
            <w:tcBorders>
              <w:top w:val="single" w:sz="4" w:space="0" w:color="auto"/>
              <w:left w:val="nil"/>
              <w:bottom w:val="single" w:sz="4" w:space="0" w:color="auto"/>
            </w:tcBorders>
            <w:shd w:val="solid" w:color="FFFFFF" w:fill="auto"/>
          </w:tcPr>
          <w:p w14:paraId="2D5FDD87" w14:textId="77777777" w:rsidR="0014210E" w:rsidRPr="00BC0D1F" w:rsidRDefault="0014210E" w:rsidP="0014210E">
            <w:pPr>
              <w:pStyle w:val="TableText"/>
              <w:rPr>
                <w:b/>
                <w:lang w:eastAsia="en-NZ"/>
              </w:rPr>
            </w:pPr>
          </w:p>
        </w:tc>
        <w:tc>
          <w:tcPr>
            <w:tcW w:w="1134" w:type="dxa"/>
            <w:tcBorders>
              <w:top w:val="single" w:sz="4" w:space="0" w:color="auto"/>
              <w:bottom w:val="single" w:sz="4" w:space="0" w:color="auto"/>
            </w:tcBorders>
            <w:shd w:val="clear" w:color="E3E3E3" w:fill="D9D9D9"/>
          </w:tcPr>
          <w:p w14:paraId="51C24D52" w14:textId="77777777" w:rsidR="0014210E" w:rsidRPr="00BC0D1F" w:rsidRDefault="0014210E" w:rsidP="0014210E">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r>
      <w:tr w:rsidR="0014210E" w:rsidRPr="00BC0D1F" w14:paraId="7C9314E8" w14:textId="77777777" w:rsidTr="0014210E">
        <w:trPr>
          <w:cantSplit/>
        </w:trPr>
        <w:tc>
          <w:tcPr>
            <w:tcW w:w="1134" w:type="dxa"/>
            <w:tcBorders>
              <w:top w:val="single" w:sz="4" w:space="0" w:color="auto"/>
              <w:right w:val="nil"/>
            </w:tcBorders>
            <w:shd w:val="solid" w:color="FFFFFF" w:fill="auto"/>
          </w:tcPr>
          <w:p w14:paraId="4994B37B" w14:textId="77777777" w:rsidR="0014210E" w:rsidRPr="00BC0D1F" w:rsidRDefault="0014210E" w:rsidP="0014210E">
            <w:pPr>
              <w:pStyle w:val="TableText"/>
              <w:ind w:right="284"/>
              <w:jc w:val="right"/>
              <w:rPr>
                <w:b/>
              </w:rPr>
            </w:pPr>
          </w:p>
        </w:tc>
        <w:tc>
          <w:tcPr>
            <w:tcW w:w="7088" w:type="dxa"/>
            <w:tcBorders>
              <w:top w:val="single" w:sz="4" w:space="0" w:color="auto"/>
              <w:left w:val="nil"/>
            </w:tcBorders>
            <w:shd w:val="solid" w:color="FFFFFF" w:fill="auto"/>
          </w:tcPr>
          <w:p w14:paraId="68B66433" w14:textId="77777777" w:rsidR="0014210E" w:rsidRPr="00BC0D1F" w:rsidRDefault="0014210E" w:rsidP="0014210E">
            <w:pPr>
              <w:pStyle w:val="TableText"/>
              <w:rPr>
                <w:b/>
              </w:rPr>
            </w:pPr>
            <w:r w:rsidRPr="00BC0D1F">
              <w:rPr>
                <w:b/>
              </w:rPr>
              <w:t>Capital commitments</w:t>
            </w:r>
          </w:p>
        </w:tc>
        <w:tc>
          <w:tcPr>
            <w:tcW w:w="1134" w:type="dxa"/>
            <w:tcBorders>
              <w:top w:val="single" w:sz="4" w:space="0" w:color="auto"/>
            </w:tcBorders>
            <w:shd w:val="clear" w:color="E3E3E3" w:fill="D9D9D9"/>
          </w:tcPr>
          <w:p w14:paraId="382EF5A9" w14:textId="77777777" w:rsidR="0014210E" w:rsidRPr="00BC0D1F" w:rsidRDefault="0014210E" w:rsidP="0014210E">
            <w:pPr>
              <w:pStyle w:val="TableText"/>
              <w:ind w:right="113"/>
              <w:jc w:val="right"/>
              <w:rPr>
                <w:b/>
              </w:rPr>
            </w:pPr>
          </w:p>
        </w:tc>
      </w:tr>
      <w:tr w:rsidR="0014210E" w:rsidRPr="00BC0D1F" w14:paraId="513AD6F6" w14:textId="77777777" w:rsidTr="0014210E">
        <w:trPr>
          <w:cantSplit/>
        </w:trPr>
        <w:tc>
          <w:tcPr>
            <w:tcW w:w="1134" w:type="dxa"/>
            <w:tcBorders>
              <w:right w:val="nil"/>
            </w:tcBorders>
            <w:shd w:val="solid" w:color="FFFFFF" w:fill="auto"/>
          </w:tcPr>
          <w:p w14:paraId="3195F12F" w14:textId="77777777" w:rsidR="0014210E" w:rsidRPr="00BC0D1F" w:rsidRDefault="0014210E" w:rsidP="0014210E">
            <w:pPr>
              <w:pStyle w:val="TableText"/>
              <w:ind w:right="284"/>
              <w:jc w:val="right"/>
            </w:pPr>
            <w:r w:rsidRPr="00BC0D1F">
              <w:t>–</w:t>
            </w:r>
          </w:p>
        </w:tc>
        <w:tc>
          <w:tcPr>
            <w:tcW w:w="7088" w:type="dxa"/>
            <w:tcBorders>
              <w:left w:val="nil"/>
            </w:tcBorders>
            <w:shd w:val="solid" w:color="FFFFFF" w:fill="auto"/>
          </w:tcPr>
          <w:p w14:paraId="605256F0" w14:textId="77777777" w:rsidR="0014210E" w:rsidRPr="00BC0D1F" w:rsidRDefault="0014210E" w:rsidP="0014210E">
            <w:pPr>
              <w:pStyle w:val="TableText"/>
            </w:pPr>
            <w:r w:rsidRPr="00BC0D1F">
              <w:t>Property, plant and equipment</w:t>
            </w:r>
          </w:p>
        </w:tc>
        <w:tc>
          <w:tcPr>
            <w:tcW w:w="1134" w:type="dxa"/>
            <w:shd w:val="clear" w:color="E3E3E3" w:fill="D9D9D9"/>
          </w:tcPr>
          <w:p w14:paraId="51DE1E3C" w14:textId="77777777" w:rsidR="0014210E" w:rsidRPr="00BC0D1F" w:rsidRDefault="0014210E" w:rsidP="0014210E">
            <w:pPr>
              <w:pStyle w:val="TableText"/>
              <w:ind w:right="113"/>
              <w:jc w:val="right"/>
            </w:pPr>
            <w:r w:rsidRPr="00BC0D1F">
              <w:t>–</w:t>
            </w:r>
          </w:p>
        </w:tc>
      </w:tr>
      <w:tr w:rsidR="0014210E" w:rsidRPr="00BC0D1F" w14:paraId="21D2107F" w14:textId="77777777" w:rsidTr="0014210E">
        <w:trPr>
          <w:cantSplit/>
        </w:trPr>
        <w:tc>
          <w:tcPr>
            <w:tcW w:w="1134" w:type="dxa"/>
            <w:tcBorders>
              <w:right w:val="nil"/>
            </w:tcBorders>
            <w:shd w:val="solid" w:color="FFFFFF" w:fill="auto"/>
          </w:tcPr>
          <w:p w14:paraId="59557C2C" w14:textId="77777777" w:rsidR="0014210E" w:rsidRPr="00BC0D1F" w:rsidRDefault="0014210E" w:rsidP="0014210E">
            <w:pPr>
              <w:pStyle w:val="TableText"/>
              <w:ind w:right="284"/>
              <w:jc w:val="right"/>
            </w:pPr>
            <w:r w:rsidRPr="00BC0D1F">
              <w:t>1</w:t>
            </w:r>
            <w:r w:rsidR="008234DC" w:rsidRPr="00BC0D1F">
              <w:t>,</w:t>
            </w:r>
            <w:r w:rsidRPr="00BC0D1F">
              <w:t>987</w:t>
            </w:r>
          </w:p>
        </w:tc>
        <w:tc>
          <w:tcPr>
            <w:tcW w:w="7088" w:type="dxa"/>
            <w:tcBorders>
              <w:left w:val="nil"/>
            </w:tcBorders>
            <w:shd w:val="solid" w:color="FFFFFF" w:fill="auto"/>
          </w:tcPr>
          <w:p w14:paraId="3F8997E6" w14:textId="77777777" w:rsidR="0014210E" w:rsidRPr="00BC0D1F" w:rsidRDefault="0014210E" w:rsidP="0014210E">
            <w:pPr>
              <w:pStyle w:val="TableText"/>
            </w:pPr>
            <w:r w:rsidRPr="00BC0D1F">
              <w:t>Intangible assets</w:t>
            </w:r>
          </w:p>
        </w:tc>
        <w:tc>
          <w:tcPr>
            <w:tcW w:w="1134" w:type="dxa"/>
            <w:shd w:val="clear" w:color="E3E3E3" w:fill="D9D9D9"/>
          </w:tcPr>
          <w:p w14:paraId="1C952C52" w14:textId="77777777" w:rsidR="0014210E" w:rsidRPr="00BC0D1F" w:rsidRDefault="0014210E" w:rsidP="0014210E">
            <w:pPr>
              <w:pStyle w:val="TableText"/>
              <w:ind w:right="113"/>
              <w:jc w:val="right"/>
            </w:pPr>
            <w:r w:rsidRPr="00BC0D1F">
              <w:t>368</w:t>
            </w:r>
          </w:p>
        </w:tc>
      </w:tr>
      <w:tr w:rsidR="0014210E" w:rsidRPr="00BC0D1F" w14:paraId="694FF79A" w14:textId="77777777" w:rsidTr="0014210E">
        <w:trPr>
          <w:cantSplit/>
        </w:trPr>
        <w:tc>
          <w:tcPr>
            <w:tcW w:w="1134" w:type="dxa"/>
            <w:tcBorders>
              <w:right w:val="nil"/>
            </w:tcBorders>
          </w:tcPr>
          <w:p w14:paraId="12CF8F49" w14:textId="77777777" w:rsidR="0014210E" w:rsidRPr="00BC0D1F" w:rsidRDefault="0014210E" w:rsidP="0014210E">
            <w:pPr>
              <w:pStyle w:val="TableText"/>
              <w:ind w:right="284"/>
              <w:jc w:val="right"/>
            </w:pPr>
            <w:r w:rsidRPr="00BC0D1F">
              <w:t>–</w:t>
            </w:r>
          </w:p>
        </w:tc>
        <w:tc>
          <w:tcPr>
            <w:tcW w:w="7088" w:type="dxa"/>
            <w:tcBorders>
              <w:left w:val="nil"/>
            </w:tcBorders>
            <w:shd w:val="solid" w:color="FFFFFF" w:fill="auto"/>
          </w:tcPr>
          <w:p w14:paraId="3FB8B15F" w14:textId="77777777" w:rsidR="0014210E" w:rsidRPr="00BC0D1F" w:rsidRDefault="0014210E" w:rsidP="0014210E">
            <w:pPr>
              <w:pStyle w:val="TableText"/>
            </w:pPr>
            <w:r w:rsidRPr="00BC0D1F">
              <w:t>Other capital commitments</w:t>
            </w:r>
          </w:p>
        </w:tc>
        <w:tc>
          <w:tcPr>
            <w:tcW w:w="1134" w:type="dxa"/>
            <w:shd w:val="clear" w:color="E3E3E3" w:fill="D9D9D9"/>
          </w:tcPr>
          <w:p w14:paraId="2B7958CA" w14:textId="77777777" w:rsidR="0014210E" w:rsidRPr="00BC0D1F" w:rsidRDefault="0014210E" w:rsidP="0014210E">
            <w:pPr>
              <w:pStyle w:val="TableText"/>
              <w:ind w:right="113"/>
              <w:jc w:val="right"/>
            </w:pPr>
            <w:r w:rsidRPr="00BC0D1F">
              <w:t>–</w:t>
            </w:r>
          </w:p>
        </w:tc>
      </w:tr>
      <w:tr w:rsidR="0014210E" w:rsidRPr="00BC0D1F" w14:paraId="428C2D84" w14:textId="77777777" w:rsidTr="0014210E">
        <w:trPr>
          <w:cantSplit/>
        </w:trPr>
        <w:tc>
          <w:tcPr>
            <w:tcW w:w="1134" w:type="dxa"/>
            <w:tcBorders>
              <w:bottom w:val="nil"/>
              <w:right w:val="nil"/>
            </w:tcBorders>
            <w:shd w:val="solid" w:color="FFFFFF" w:fill="auto"/>
          </w:tcPr>
          <w:p w14:paraId="3BDAADF4" w14:textId="77777777" w:rsidR="0014210E" w:rsidRPr="00BC0D1F" w:rsidRDefault="0014210E" w:rsidP="0014210E">
            <w:pPr>
              <w:pStyle w:val="TableText"/>
              <w:ind w:right="284"/>
              <w:jc w:val="right"/>
              <w:rPr>
                <w:b/>
              </w:rPr>
            </w:pPr>
            <w:r w:rsidRPr="00BC0D1F">
              <w:rPr>
                <w:b/>
              </w:rPr>
              <w:t>1</w:t>
            </w:r>
            <w:r w:rsidR="008234DC" w:rsidRPr="00BC0D1F">
              <w:rPr>
                <w:b/>
              </w:rPr>
              <w:t>,</w:t>
            </w:r>
            <w:r w:rsidRPr="00BC0D1F">
              <w:rPr>
                <w:b/>
              </w:rPr>
              <w:t>987</w:t>
            </w:r>
          </w:p>
        </w:tc>
        <w:tc>
          <w:tcPr>
            <w:tcW w:w="7088" w:type="dxa"/>
            <w:tcBorders>
              <w:left w:val="nil"/>
              <w:bottom w:val="nil"/>
            </w:tcBorders>
            <w:shd w:val="solid" w:color="FFFFFF" w:fill="auto"/>
          </w:tcPr>
          <w:p w14:paraId="4F504FC4" w14:textId="77777777" w:rsidR="0014210E" w:rsidRPr="00BC0D1F" w:rsidRDefault="0014210E" w:rsidP="0014210E">
            <w:pPr>
              <w:pStyle w:val="TableText"/>
              <w:rPr>
                <w:b/>
              </w:rPr>
            </w:pPr>
            <w:r w:rsidRPr="00BC0D1F">
              <w:rPr>
                <w:b/>
              </w:rPr>
              <w:t>Total capital commitments</w:t>
            </w:r>
          </w:p>
        </w:tc>
        <w:tc>
          <w:tcPr>
            <w:tcW w:w="1134" w:type="dxa"/>
            <w:tcBorders>
              <w:bottom w:val="nil"/>
            </w:tcBorders>
            <w:shd w:val="clear" w:color="E3E3E3" w:fill="D9D9D9"/>
          </w:tcPr>
          <w:p w14:paraId="57110225" w14:textId="77777777" w:rsidR="0014210E" w:rsidRPr="00BC0D1F" w:rsidRDefault="0014210E" w:rsidP="0014210E">
            <w:pPr>
              <w:pStyle w:val="TableText"/>
              <w:ind w:right="113"/>
              <w:jc w:val="right"/>
              <w:rPr>
                <w:b/>
              </w:rPr>
            </w:pPr>
            <w:r w:rsidRPr="00BC0D1F">
              <w:rPr>
                <w:b/>
              </w:rPr>
              <w:t>368</w:t>
            </w:r>
          </w:p>
        </w:tc>
      </w:tr>
      <w:tr w:rsidR="0014210E" w:rsidRPr="00BC0D1F" w14:paraId="0DAFA897" w14:textId="77777777" w:rsidTr="0014210E">
        <w:trPr>
          <w:cantSplit/>
        </w:trPr>
        <w:tc>
          <w:tcPr>
            <w:tcW w:w="1134" w:type="dxa"/>
            <w:tcBorders>
              <w:top w:val="nil"/>
              <w:right w:val="nil"/>
            </w:tcBorders>
            <w:shd w:val="solid" w:color="FFFFFF" w:fill="auto"/>
          </w:tcPr>
          <w:p w14:paraId="16BB0642" w14:textId="77777777" w:rsidR="0014210E" w:rsidRPr="00BC0D1F" w:rsidRDefault="0014210E" w:rsidP="0014210E">
            <w:pPr>
              <w:pStyle w:val="TableText"/>
              <w:spacing w:before="240"/>
              <w:ind w:right="284"/>
              <w:jc w:val="right"/>
              <w:rPr>
                <w:b/>
              </w:rPr>
            </w:pPr>
          </w:p>
        </w:tc>
        <w:tc>
          <w:tcPr>
            <w:tcW w:w="7088" w:type="dxa"/>
            <w:tcBorders>
              <w:top w:val="nil"/>
              <w:left w:val="nil"/>
            </w:tcBorders>
            <w:shd w:val="solid" w:color="FFFFFF" w:fill="auto"/>
          </w:tcPr>
          <w:p w14:paraId="1FEBDBA2" w14:textId="77777777" w:rsidR="0014210E" w:rsidRPr="00BC0D1F" w:rsidRDefault="0014210E" w:rsidP="0014210E">
            <w:pPr>
              <w:pStyle w:val="TableText"/>
              <w:spacing w:before="240"/>
              <w:rPr>
                <w:b/>
              </w:rPr>
            </w:pPr>
            <w:r w:rsidRPr="00BC0D1F">
              <w:rPr>
                <w:b/>
              </w:rPr>
              <w:t>Non-cancellable operating lease commitments</w:t>
            </w:r>
          </w:p>
        </w:tc>
        <w:tc>
          <w:tcPr>
            <w:tcW w:w="1134" w:type="dxa"/>
            <w:tcBorders>
              <w:top w:val="nil"/>
            </w:tcBorders>
            <w:shd w:val="clear" w:color="E3E3E3" w:fill="D9D9D9"/>
          </w:tcPr>
          <w:p w14:paraId="36559E88" w14:textId="77777777" w:rsidR="0014210E" w:rsidRPr="00BC0D1F" w:rsidRDefault="0014210E" w:rsidP="0014210E">
            <w:pPr>
              <w:pStyle w:val="TableText"/>
              <w:spacing w:before="240"/>
              <w:ind w:right="113"/>
              <w:jc w:val="right"/>
              <w:rPr>
                <w:b/>
              </w:rPr>
            </w:pPr>
          </w:p>
        </w:tc>
      </w:tr>
      <w:tr w:rsidR="0014210E" w:rsidRPr="00BC0D1F" w14:paraId="2F89BE72" w14:textId="77777777" w:rsidTr="0014210E">
        <w:trPr>
          <w:cantSplit/>
        </w:trPr>
        <w:tc>
          <w:tcPr>
            <w:tcW w:w="1134" w:type="dxa"/>
            <w:tcBorders>
              <w:top w:val="nil"/>
              <w:right w:val="nil"/>
            </w:tcBorders>
            <w:shd w:val="solid" w:color="FFFFFF" w:fill="auto"/>
          </w:tcPr>
          <w:p w14:paraId="26E372E3" w14:textId="77777777" w:rsidR="0014210E" w:rsidRPr="00BC0D1F" w:rsidRDefault="0014210E" w:rsidP="0014210E">
            <w:pPr>
              <w:pStyle w:val="TableText"/>
              <w:ind w:right="284"/>
              <w:jc w:val="right"/>
            </w:pPr>
            <w:r w:rsidRPr="00BC0D1F">
              <w:t>6</w:t>
            </w:r>
            <w:r w:rsidR="008234DC" w:rsidRPr="00BC0D1F">
              <w:t>,</w:t>
            </w:r>
            <w:r w:rsidRPr="00BC0D1F">
              <w:t>801</w:t>
            </w:r>
          </w:p>
        </w:tc>
        <w:tc>
          <w:tcPr>
            <w:tcW w:w="7088" w:type="dxa"/>
            <w:tcBorders>
              <w:top w:val="nil"/>
              <w:left w:val="nil"/>
            </w:tcBorders>
            <w:shd w:val="solid" w:color="FFFFFF" w:fill="auto"/>
          </w:tcPr>
          <w:p w14:paraId="7EBB339F" w14:textId="77777777" w:rsidR="0014210E" w:rsidRPr="00BC0D1F" w:rsidRDefault="0014210E" w:rsidP="0014210E">
            <w:pPr>
              <w:pStyle w:val="TableText"/>
            </w:pPr>
            <w:r w:rsidRPr="00BC0D1F">
              <w:t>Not later than one year</w:t>
            </w:r>
          </w:p>
        </w:tc>
        <w:tc>
          <w:tcPr>
            <w:tcW w:w="1134" w:type="dxa"/>
            <w:tcBorders>
              <w:top w:val="nil"/>
            </w:tcBorders>
            <w:shd w:val="clear" w:color="E3E3E3" w:fill="D9D9D9"/>
          </w:tcPr>
          <w:p w14:paraId="6EB84DB3" w14:textId="658DFFB7" w:rsidR="0014210E" w:rsidRPr="00BC0D1F" w:rsidRDefault="00C13BF2" w:rsidP="006A557B">
            <w:pPr>
              <w:pStyle w:val="TableText"/>
              <w:ind w:right="113"/>
              <w:jc w:val="right"/>
            </w:pPr>
            <w:r>
              <w:t>7,981</w:t>
            </w:r>
          </w:p>
        </w:tc>
      </w:tr>
      <w:tr w:rsidR="0014210E" w:rsidRPr="00BC0D1F" w14:paraId="4D914C2C" w14:textId="77777777" w:rsidTr="0014210E">
        <w:trPr>
          <w:cantSplit/>
        </w:trPr>
        <w:tc>
          <w:tcPr>
            <w:tcW w:w="1134" w:type="dxa"/>
            <w:tcBorders>
              <w:top w:val="nil"/>
              <w:right w:val="nil"/>
            </w:tcBorders>
            <w:shd w:val="solid" w:color="FFFFFF" w:fill="auto"/>
          </w:tcPr>
          <w:p w14:paraId="525BDCFA" w14:textId="77777777" w:rsidR="0014210E" w:rsidRPr="00BC0D1F" w:rsidRDefault="0014210E" w:rsidP="0014210E">
            <w:pPr>
              <w:pStyle w:val="TableText"/>
              <w:ind w:right="284"/>
              <w:jc w:val="right"/>
            </w:pPr>
            <w:r w:rsidRPr="00BC0D1F">
              <w:t>28,762</w:t>
            </w:r>
          </w:p>
        </w:tc>
        <w:tc>
          <w:tcPr>
            <w:tcW w:w="7088" w:type="dxa"/>
            <w:tcBorders>
              <w:top w:val="nil"/>
              <w:left w:val="nil"/>
            </w:tcBorders>
            <w:shd w:val="solid" w:color="FFFFFF" w:fill="auto"/>
          </w:tcPr>
          <w:p w14:paraId="29393A30" w14:textId="77777777" w:rsidR="0014210E" w:rsidRPr="00BC0D1F" w:rsidRDefault="0014210E" w:rsidP="0014210E">
            <w:pPr>
              <w:pStyle w:val="TableText"/>
            </w:pPr>
            <w:r w:rsidRPr="00BC0D1F">
              <w:t>Later than one year and not later than five years</w:t>
            </w:r>
          </w:p>
        </w:tc>
        <w:tc>
          <w:tcPr>
            <w:tcW w:w="1134" w:type="dxa"/>
            <w:tcBorders>
              <w:top w:val="nil"/>
            </w:tcBorders>
            <w:shd w:val="clear" w:color="E3E3E3" w:fill="D9D9D9"/>
          </w:tcPr>
          <w:p w14:paraId="137A1556" w14:textId="77777777" w:rsidR="0014210E" w:rsidRPr="00BC0D1F" w:rsidRDefault="0014210E" w:rsidP="0014210E">
            <w:pPr>
              <w:pStyle w:val="TableText"/>
              <w:ind w:right="113"/>
              <w:jc w:val="right"/>
            </w:pPr>
            <w:r w:rsidRPr="00BC0D1F">
              <w:t>29,774</w:t>
            </w:r>
          </w:p>
        </w:tc>
      </w:tr>
      <w:tr w:rsidR="0014210E" w:rsidRPr="00BC0D1F" w14:paraId="05D37FA8" w14:textId="77777777" w:rsidTr="0014210E">
        <w:trPr>
          <w:cantSplit/>
        </w:trPr>
        <w:tc>
          <w:tcPr>
            <w:tcW w:w="1134" w:type="dxa"/>
            <w:tcBorders>
              <w:top w:val="nil"/>
              <w:right w:val="nil"/>
            </w:tcBorders>
            <w:shd w:val="solid" w:color="FFFFFF" w:fill="auto"/>
          </w:tcPr>
          <w:p w14:paraId="5A241C35" w14:textId="77777777" w:rsidR="0014210E" w:rsidRPr="00BC0D1F" w:rsidRDefault="0014210E" w:rsidP="0014210E">
            <w:pPr>
              <w:pStyle w:val="TableText"/>
              <w:ind w:right="284"/>
              <w:jc w:val="right"/>
            </w:pPr>
            <w:r w:rsidRPr="00BC0D1F">
              <w:t>55,769</w:t>
            </w:r>
          </w:p>
        </w:tc>
        <w:tc>
          <w:tcPr>
            <w:tcW w:w="7088" w:type="dxa"/>
            <w:tcBorders>
              <w:top w:val="nil"/>
              <w:left w:val="nil"/>
            </w:tcBorders>
            <w:shd w:val="solid" w:color="FFFFFF" w:fill="auto"/>
          </w:tcPr>
          <w:p w14:paraId="365B107F" w14:textId="77777777" w:rsidR="0014210E" w:rsidRPr="00BC0D1F" w:rsidRDefault="0014210E" w:rsidP="0014210E">
            <w:pPr>
              <w:pStyle w:val="TableText"/>
            </w:pPr>
            <w:r w:rsidRPr="00BC0D1F">
              <w:t>Later than five years</w:t>
            </w:r>
          </w:p>
        </w:tc>
        <w:tc>
          <w:tcPr>
            <w:tcW w:w="1134" w:type="dxa"/>
            <w:tcBorders>
              <w:top w:val="nil"/>
            </w:tcBorders>
            <w:shd w:val="clear" w:color="E3E3E3" w:fill="D9D9D9"/>
          </w:tcPr>
          <w:p w14:paraId="5E94998C" w14:textId="47BECADD" w:rsidR="0014210E" w:rsidRPr="00BC0D1F" w:rsidRDefault="00C13BF2" w:rsidP="0014210E">
            <w:pPr>
              <w:pStyle w:val="TableText"/>
              <w:ind w:right="113"/>
              <w:jc w:val="right"/>
            </w:pPr>
            <w:r>
              <w:t>82,439</w:t>
            </w:r>
          </w:p>
        </w:tc>
      </w:tr>
      <w:tr w:rsidR="0014210E" w:rsidRPr="00BC0D1F" w14:paraId="5F6B1DF3" w14:textId="77777777" w:rsidTr="0014210E">
        <w:trPr>
          <w:cantSplit/>
        </w:trPr>
        <w:tc>
          <w:tcPr>
            <w:tcW w:w="1134" w:type="dxa"/>
            <w:tcBorders>
              <w:top w:val="nil"/>
              <w:right w:val="nil"/>
            </w:tcBorders>
            <w:shd w:val="solid" w:color="FFFFFF" w:fill="auto"/>
          </w:tcPr>
          <w:p w14:paraId="1DD503CF" w14:textId="77777777" w:rsidR="0014210E" w:rsidRPr="00BC0D1F" w:rsidRDefault="0014210E" w:rsidP="0014210E">
            <w:pPr>
              <w:pStyle w:val="TableText"/>
              <w:ind w:right="284"/>
              <w:jc w:val="right"/>
              <w:rPr>
                <w:b/>
              </w:rPr>
            </w:pPr>
            <w:r w:rsidRPr="00BC0D1F">
              <w:rPr>
                <w:b/>
              </w:rPr>
              <w:t>91,332</w:t>
            </w:r>
          </w:p>
        </w:tc>
        <w:tc>
          <w:tcPr>
            <w:tcW w:w="7088" w:type="dxa"/>
            <w:tcBorders>
              <w:top w:val="nil"/>
              <w:left w:val="nil"/>
            </w:tcBorders>
            <w:shd w:val="solid" w:color="FFFFFF" w:fill="auto"/>
          </w:tcPr>
          <w:p w14:paraId="0FFFE362" w14:textId="77777777" w:rsidR="0014210E" w:rsidRPr="00BC0D1F" w:rsidRDefault="0014210E" w:rsidP="0014210E">
            <w:pPr>
              <w:pStyle w:val="TableText"/>
              <w:rPr>
                <w:b/>
              </w:rPr>
            </w:pPr>
            <w:r w:rsidRPr="00BC0D1F">
              <w:rPr>
                <w:b/>
              </w:rPr>
              <w:t>Total non-cancellable operating lease commitments</w:t>
            </w:r>
          </w:p>
        </w:tc>
        <w:tc>
          <w:tcPr>
            <w:tcW w:w="1134" w:type="dxa"/>
            <w:tcBorders>
              <w:top w:val="nil"/>
            </w:tcBorders>
            <w:shd w:val="clear" w:color="E3E3E3" w:fill="D9D9D9"/>
          </w:tcPr>
          <w:p w14:paraId="66C2EF81" w14:textId="77777777" w:rsidR="0014210E" w:rsidRPr="00BC0D1F" w:rsidRDefault="0014210E" w:rsidP="0014210E">
            <w:pPr>
              <w:pStyle w:val="TableText"/>
              <w:ind w:right="113"/>
              <w:jc w:val="right"/>
              <w:rPr>
                <w:b/>
              </w:rPr>
            </w:pPr>
            <w:r w:rsidRPr="00BC0D1F">
              <w:rPr>
                <w:b/>
              </w:rPr>
              <w:t>120,194</w:t>
            </w:r>
          </w:p>
        </w:tc>
      </w:tr>
      <w:tr w:rsidR="0014210E" w:rsidRPr="00BC0D1F" w14:paraId="47BD48D6" w14:textId="77777777" w:rsidTr="0014210E">
        <w:trPr>
          <w:cantSplit/>
        </w:trPr>
        <w:tc>
          <w:tcPr>
            <w:tcW w:w="1134" w:type="dxa"/>
            <w:tcBorders>
              <w:top w:val="nil"/>
              <w:right w:val="nil"/>
            </w:tcBorders>
            <w:shd w:val="solid" w:color="FFFFFF" w:fill="auto"/>
          </w:tcPr>
          <w:p w14:paraId="2B68D74F" w14:textId="77777777" w:rsidR="0014210E" w:rsidRPr="00BC0D1F" w:rsidRDefault="0014210E" w:rsidP="0014210E">
            <w:pPr>
              <w:pStyle w:val="TableText"/>
              <w:spacing w:before="240"/>
              <w:ind w:right="284"/>
              <w:jc w:val="right"/>
              <w:rPr>
                <w:b/>
              </w:rPr>
            </w:pPr>
            <w:r w:rsidRPr="00BC0D1F">
              <w:rPr>
                <w:b/>
              </w:rPr>
              <w:t>93,319</w:t>
            </w:r>
          </w:p>
        </w:tc>
        <w:tc>
          <w:tcPr>
            <w:tcW w:w="7088" w:type="dxa"/>
            <w:tcBorders>
              <w:top w:val="nil"/>
              <w:left w:val="nil"/>
            </w:tcBorders>
            <w:shd w:val="solid" w:color="FFFFFF" w:fill="auto"/>
          </w:tcPr>
          <w:p w14:paraId="7018B7FB" w14:textId="77777777" w:rsidR="0014210E" w:rsidRPr="00BC0D1F" w:rsidRDefault="0014210E" w:rsidP="0014210E">
            <w:pPr>
              <w:pStyle w:val="TableText"/>
              <w:spacing w:before="240"/>
              <w:rPr>
                <w:b/>
              </w:rPr>
            </w:pPr>
            <w:r w:rsidRPr="00BC0D1F">
              <w:rPr>
                <w:b/>
              </w:rPr>
              <w:t>Total commitments</w:t>
            </w:r>
          </w:p>
        </w:tc>
        <w:tc>
          <w:tcPr>
            <w:tcW w:w="1134" w:type="dxa"/>
            <w:tcBorders>
              <w:top w:val="nil"/>
            </w:tcBorders>
            <w:shd w:val="clear" w:color="E3E3E3" w:fill="D9D9D9"/>
          </w:tcPr>
          <w:p w14:paraId="7F57008E" w14:textId="77777777" w:rsidR="0014210E" w:rsidRPr="00BC0D1F" w:rsidRDefault="0014210E" w:rsidP="0014210E">
            <w:pPr>
              <w:pStyle w:val="TableText"/>
              <w:spacing w:before="240"/>
              <w:ind w:right="113"/>
              <w:jc w:val="right"/>
              <w:rPr>
                <w:b/>
              </w:rPr>
            </w:pPr>
            <w:r w:rsidRPr="00BC0D1F">
              <w:rPr>
                <w:b/>
              </w:rPr>
              <w:t>120,562</w:t>
            </w:r>
          </w:p>
        </w:tc>
      </w:tr>
    </w:tbl>
    <w:p w14:paraId="43A02052" w14:textId="77777777" w:rsidR="00DD0FC4" w:rsidRPr="00BC0D1F" w:rsidRDefault="00DD0FC4" w:rsidP="006A557B"/>
    <w:p w14:paraId="7104B6D0" w14:textId="77777777" w:rsidR="00DD0FC4" w:rsidRPr="00BC0D1F" w:rsidRDefault="00DD0FC4" w:rsidP="006A557B">
      <w:r w:rsidRPr="00BC0D1F">
        <w:t xml:space="preserve">The Ministry has medium- to long-term leases on its premises in Auckland, Christchurch, Dunedin, Hamilton, </w:t>
      </w:r>
      <w:proofErr w:type="spellStart"/>
      <w:r w:rsidRPr="00BC0D1F">
        <w:t>Whanganui</w:t>
      </w:r>
      <w:proofErr w:type="spellEnd"/>
      <w:r w:rsidRPr="00BC0D1F">
        <w:t xml:space="preserve"> and Wellington. The annual lease payments are subject to regular reviews, ranging from one year to four years. The amounts disclosed above as future commitments are based on current rental rates.</w:t>
      </w:r>
    </w:p>
    <w:p w14:paraId="5CE63F46" w14:textId="77777777" w:rsidR="00DD0FC4" w:rsidRPr="00BC0D1F" w:rsidRDefault="00DD0FC4" w:rsidP="006A557B"/>
    <w:p w14:paraId="0816480F" w14:textId="77777777" w:rsidR="00DD0FC4" w:rsidRPr="00BC0D1F" w:rsidRDefault="00DD0FC4" w:rsidP="006A557B">
      <w:pPr>
        <w:pStyle w:val="Heading3"/>
      </w:pPr>
      <w:r w:rsidRPr="00BC0D1F">
        <w:t>Statement of contingent liabilities and contingent assets as at 30</w:t>
      </w:r>
      <w:r w:rsidR="006A557B" w:rsidRPr="00BC0D1F">
        <w:t> </w:t>
      </w:r>
      <w:r w:rsidRPr="00BC0D1F">
        <w:t>June 2016</w:t>
      </w:r>
    </w:p>
    <w:p w14:paraId="59D722F1" w14:textId="77777777" w:rsidR="00DD0FC4" w:rsidRPr="00BC0D1F" w:rsidRDefault="00DD0FC4" w:rsidP="006A557B">
      <w:r w:rsidRPr="00BC0D1F">
        <w:t>The Ministry had no contingent liabilities as at 30 June 2016 (2015: Nil).</w:t>
      </w:r>
    </w:p>
    <w:p w14:paraId="2D6459EF" w14:textId="77777777" w:rsidR="00DD0FC4" w:rsidRPr="00BC0D1F" w:rsidRDefault="00DD0FC4" w:rsidP="006A557B"/>
    <w:p w14:paraId="7DDAEC41" w14:textId="77777777" w:rsidR="00DD0FC4" w:rsidRPr="00BC0D1F" w:rsidRDefault="00DD0FC4" w:rsidP="006A557B">
      <w:r w:rsidRPr="00BC0D1F">
        <w:t>The Ministry had no contingent assets as at 30 June 2016 (2015: Nil).</w:t>
      </w:r>
    </w:p>
    <w:p w14:paraId="52A66FED" w14:textId="77777777" w:rsidR="00DD0FC4" w:rsidRPr="00BC0D1F" w:rsidRDefault="00DD0FC4" w:rsidP="006A557B"/>
    <w:p w14:paraId="5620A9BE" w14:textId="77777777" w:rsidR="00DD0FC4" w:rsidRPr="00BC0D1F" w:rsidRDefault="00DD0FC4" w:rsidP="006A557B">
      <w:pPr>
        <w:pStyle w:val="Heading3"/>
      </w:pPr>
      <w:r w:rsidRPr="00BC0D1F">
        <w:t>Statement of unappropriated departmental expenditure and capital expenditure for the year ended 30 June 2016</w:t>
      </w:r>
    </w:p>
    <w:p w14:paraId="3E1CC546" w14:textId="77777777" w:rsidR="00DD0FC4" w:rsidRPr="00BC0D1F" w:rsidRDefault="00DD0FC4" w:rsidP="006A557B">
      <w:pPr>
        <w:rPr>
          <w:sz w:val="20"/>
        </w:rPr>
      </w:pPr>
      <w:r w:rsidRPr="00BC0D1F">
        <w:t>There was no unappropriated departmental expenditure for the year ended 30 June 2016 (2015:</w:t>
      </w:r>
      <w:r w:rsidR="006A557B" w:rsidRPr="00BC0D1F">
        <w:t> </w:t>
      </w:r>
      <w:r w:rsidRPr="00BC0D1F">
        <w:t>Nil).</w:t>
      </w:r>
    </w:p>
    <w:p w14:paraId="70C8F3CE" w14:textId="77777777" w:rsidR="00DD0FC4" w:rsidRPr="00BC0D1F" w:rsidRDefault="00DD0FC4" w:rsidP="006A557B"/>
    <w:p w14:paraId="683E1CD2" w14:textId="77777777" w:rsidR="006A557B" w:rsidRPr="00BC0D1F" w:rsidRDefault="006A557B" w:rsidP="006A557B">
      <w:pPr>
        <w:pStyle w:val="Heading3"/>
        <w:sectPr w:rsidR="006A557B" w:rsidRPr="00BC0D1F" w:rsidSect="008E3728">
          <w:footerReference w:type="even" r:id="rId39"/>
          <w:footerReference w:type="default" r:id="rId40"/>
          <w:pgSz w:w="11907" w:h="16834" w:code="9"/>
          <w:pgMar w:top="851" w:right="1134" w:bottom="2268" w:left="1134" w:header="284" w:footer="567" w:gutter="284"/>
          <w:cols w:space="720"/>
        </w:sectPr>
      </w:pPr>
      <w:bookmarkStart w:id="169" w:name="_Toc399405938"/>
      <w:bookmarkStart w:id="170" w:name="_Toc419977172"/>
      <w:bookmarkStart w:id="171" w:name="_Toc430768845"/>
    </w:p>
    <w:p w14:paraId="31E48F37" w14:textId="77777777" w:rsidR="00AD72CC" w:rsidRPr="00BC0D1F" w:rsidRDefault="00AD72CC" w:rsidP="006A557B">
      <w:pPr>
        <w:pStyle w:val="Heading2"/>
      </w:pPr>
      <w:bookmarkStart w:id="172" w:name="_Toc463507936"/>
      <w:r w:rsidRPr="00BC0D1F">
        <w:lastRenderedPageBreak/>
        <w:t xml:space="preserve">Notes to the financial statements for the year ended 30 June </w:t>
      </w:r>
      <w:bookmarkEnd w:id="169"/>
      <w:bookmarkEnd w:id="170"/>
      <w:r w:rsidRPr="00BC0D1F">
        <w:t>201</w:t>
      </w:r>
      <w:r w:rsidR="00D60822" w:rsidRPr="00BC0D1F">
        <w:t>6</w:t>
      </w:r>
      <w:bookmarkEnd w:id="171"/>
      <w:bookmarkEnd w:id="172"/>
    </w:p>
    <w:p w14:paraId="2856EC2D" w14:textId="77777777" w:rsidR="006A557B" w:rsidRPr="00BC0D1F" w:rsidRDefault="006A557B" w:rsidP="008E3728">
      <w:pPr>
        <w:pStyle w:val="Heading3"/>
      </w:pPr>
      <w:r w:rsidRPr="00BC0D1F">
        <w:t>Note 1: Statement of accounting policies for the year ended 30</w:t>
      </w:r>
      <w:r w:rsidR="008E3728" w:rsidRPr="00BC0D1F">
        <w:t> </w:t>
      </w:r>
      <w:r w:rsidRPr="00BC0D1F">
        <w:t>June 2016</w:t>
      </w:r>
    </w:p>
    <w:p w14:paraId="29AF40DB" w14:textId="77777777" w:rsidR="006A557B" w:rsidRPr="00BC0D1F" w:rsidRDefault="006A557B" w:rsidP="008E3728">
      <w:pPr>
        <w:pStyle w:val="Heading4"/>
      </w:pPr>
      <w:r w:rsidRPr="00BC0D1F">
        <w:t>Reporting entity</w:t>
      </w:r>
    </w:p>
    <w:p w14:paraId="4357E87A" w14:textId="77777777" w:rsidR="006A557B" w:rsidRPr="00BC0D1F" w:rsidRDefault="006A557B" w:rsidP="008E3728">
      <w:r w:rsidRPr="00BC0D1F">
        <w:t>The Ministry of Health (the Ministry) is a government department as defined by section 2 of the Public Finance Act 1989. The relevant legislation governing the Ministry’s operations includes the Public Finance Act 1989 and New Zealand Public Health and Disability Act 2000. The Ministry’s ultimate parent is the New Zealand Crown.</w:t>
      </w:r>
    </w:p>
    <w:p w14:paraId="1E7E5EC6" w14:textId="77777777" w:rsidR="006A557B" w:rsidRPr="00BC0D1F" w:rsidRDefault="006A557B" w:rsidP="008E3728"/>
    <w:p w14:paraId="71068C39" w14:textId="77777777" w:rsidR="006A557B" w:rsidRPr="00BC0D1F" w:rsidRDefault="006A557B" w:rsidP="008E3728">
      <w:r w:rsidRPr="00BC0D1F">
        <w:t>The primary objective of the Ministry is to act as the Government’s agent to fund, administer and monitor the delivery of health services to New Zealanders, rather than to make a financial return. Accordingly, the Ministry has designated itself as a public benefit entity (PBE) for financial reporting purposes.</w:t>
      </w:r>
    </w:p>
    <w:p w14:paraId="233E4CB0" w14:textId="77777777" w:rsidR="006A557B" w:rsidRPr="00BC0D1F" w:rsidRDefault="006A557B" w:rsidP="008E3728"/>
    <w:p w14:paraId="2810B7A8" w14:textId="77777777" w:rsidR="006A557B" w:rsidRPr="00BC0D1F" w:rsidRDefault="006A557B" w:rsidP="008E3728">
      <w:r w:rsidRPr="00BC0D1F">
        <w:t>The Ministry’s financial statements are for the year ended 30 June 2016. The financial statements were authorised for issue by the Director-General of Health on 30 September 2016.</w:t>
      </w:r>
    </w:p>
    <w:p w14:paraId="246278F5" w14:textId="77777777" w:rsidR="006A557B" w:rsidRPr="00BC0D1F" w:rsidRDefault="006A557B" w:rsidP="008E3728"/>
    <w:p w14:paraId="70C70912" w14:textId="77777777" w:rsidR="006A557B" w:rsidRPr="00BC0D1F" w:rsidRDefault="006A557B" w:rsidP="008E3728">
      <w:r w:rsidRPr="00BC0D1F">
        <w:t>In addition, the Ministry has reported the activities and trust monies that it administers on behalf of the Crown.</w:t>
      </w:r>
    </w:p>
    <w:p w14:paraId="1EB3EEFA" w14:textId="77777777" w:rsidR="006A557B" w:rsidRPr="00BC0D1F" w:rsidRDefault="006A557B" w:rsidP="008E3728"/>
    <w:p w14:paraId="77E3B4F9" w14:textId="77777777" w:rsidR="006A557B" w:rsidRPr="00BC0D1F" w:rsidRDefault="006A557B" w:rsidP="008E3728">
      <w:r w:rsidRPr="00BC0D1F">
        <w:t>The Departmental Financial Statements and the financial information reported in the Non-departmental Schedules are consolidated into the Financial Statements of the Government and therefore readers of these schedules should also refer to the Financial Statements of the Government for the year ended 30 June 2016.</w:t>
      </w:r>
    </w:p>
    <w:p w14:paraId="75A2B196" w14:textId="77777777" w:rsidR="006A557B" w:rsidRPr="00BC0D1F" w:rsidRDefault="006A557B" w:rsidP="008E3728"/>
    <w:p w14:paraId="7D83AE84" w14:textId="77B36E8A" w:rsidR="006A557B" w:rsidRPr="00BC0D1F" w:rsidRDefault="006A557B" w:rsidP="008E3728">
      <w:pPr>
        <w:pStyle w:val="Heading4"/>
      </w:pPr>
      <w:r w:rsidRPr="00BC0D1F">
        <w:t xml:space="preserve">Basis of </w:t>
      </w:r>
      <w:r w:rsidR="008E3728" w:rsidRPr="00BC0D1F">
        <w:t>p</w:t>
      </w:r>
      <w:r w:rsidRPr="00BC0D1F">
        <w:t>reparation</w:t>
      </w:r>
    </w:p>
    <w:p w14:paraId="3FCAF4DD" w14:textId="77777777" w:rsidR="006A557B" w:rsidRPr="00BC0D1F" w:rsidRDefault="006A557B" w:rsidP="008E3728">
      <w:r w:rsidRPr="00BC0D1F">
        <w:t>The financial statements have been prepared on a going concern basis, and the accounting policies have been applied consistently throughout the period.</w:t>
      </w:r>
    </w:p>
    <w:p w14:paraId="6820A650" w14:textId="77777777" w:rsidR="006A557B" w:rsidRPr="00BC0D1F" w:rsidRDefault="006A557B" w:rsidP="008E3728"/>
    <w:p w14:paraId="479937B5" w14:textId="77777777" w:rsidR="006A557B" w:rsidRPr="00BC0D1F" w:rsidRDefault="006A557B" w:rsidP="008E3728">
      <w:pPr>
        <w:pStyle w:val="Heading4"/>
      </w:pPr>
      <w:r w:rsidRPr="00BC0D1F">
        <w:t>Statement of compliance</w:t>
      </w:r>
    </w:p>
    <w:p w14:paraId="5BFB0321" w14:textId="77777777" w:rsidR="006A557B" w:rsidRPr="00BC0D1F" w:rsidRDefault="006A557B" w:rsidP="008E3728">
      <w:r w:rsidRPr="00BC0D1F">
        <w:t>The financial statements of the Ministry have been prepared in accordance with the requirements of the Public Finance Act 1989, which include the requirement to comply with New Zealand generally accepted accounting practice (NZ GAAP), and Treasury Instructions. Measurement and recognition rules applied in the preparation of the Non-departmental Supplementary Financial Schedules are consistent with NZ GAAP and Crown accounting policies and are detailed in the Financial Statements of the Government. These Financial Statements have been prepared in accordance with Tier 1 NZ PBE accounting standards.</w:t>
      </w:r>
    </w:p>
    <w:p w14:paraId="47B3E3CD" w14:textId="77777777" w:rsidR="006A557B" w:rsidRPr="00BC0D1F" w:rsidRDefault="006A557B" w:rsidP="008E3728"/>
    <w:p w14:paraId="5B370F01" w14:textId="77777777" w:rsidR="006A557B" w:rsidRPr="00BC0D1F" w:rsidRDefault="006A557B" w:rsidP="008E3728">
      <w:pPr>
        <w:pStyle w:val="Heading4"/>
      </w:pPr>
      <w:r w:rsidRPr="00BC0D1F">
        <w:t>Measurement base</w:t>
      </w:r>
    </w:p>
    <w:p w14:paraId="6A4789E7" w14:textId="77777777" w:rsidR="006A557B" w:rsidRPr="00BC0D1F" w:rsidRDefault="006A557B" w:rsidP="008E3728">
      <w:r w:rsidRPr="00BC0D1F">
        <w:t>The Financial Statements have been prepared on an historical cost basis, modified by the revaluation of certain assets and liabilities as described in this statement of accounting policies.</w:t>
      </w:r>
    </w:p>
    <w:p w14:paraId="55825C60" w14:textId="77777777" w:rsidR="006A557B" w:rsidRPr="00BC0D1F" w:rsidRDefault="006A557B" w:rsidP="008E3728"/>
    <w:p w14:paraId="051EB994" w14:textId="77777777" w:rsidR="006A557B" w:rsidRPr="00BC0D1F" w:rsidRDefault="006A557B" w:rsidP="008E3728">
      <w:pPr>
        <w:pStyle w:val="Heading4"/>
      </w:pPr>
      <w:r w:rsidRPr="00BC0D1F">
        <w:lastRenderedPageBreak/>
        <w:t>Functional and presentation currency</w:t>
      </w:r>
    </w:p>
    <w:p w14:paraId="06C2090F" w14:textId="77777777" w:rsidR="006A557B" w:rsidRPr="00BC0D1F" w:rsidRDefault="006A557B" w:rsidP="008E3728">
      <w:pPr>
        <w:keepNext/>
      </w:pPr>
      <w:r w:rsidRPr="00BC0D1F">
        <w:t>The financial statements are presented in New Zealand dollars being the functional currency of the Ministry. Unless stated otherwise, all values are rounded to the nearest thousand dollars ($000).</w:t>
      </w:r>
      <w:bookmarkStart w:id="173" w:name="OLE_LINK1"/>
    </w:p>
    <w:bookmarkEnd w:id="173"/>
    <w:p w14:paraId="5CE230F5" w14:textId="77777777" w:rsidR="006A557B" w:rsidRPr="00BC0D1F" w:rsidRDefault="006A557B" w:rsidP="008E3728"/>
    <w:p w14:paraId="6C7CFCCB" w14:textId="77777777" w:rsidR="006A557B" w:rsidRPr="00BC0D1F" w:rsidRDefault="006A557B" w:rsidP="008E3728">
      <w:pPr>
        <w:pStyle w:val="Heading4"/>
      </w:pPr>
      <w:r w:rsidRPr="00BC0D1F">
        <w:t>Budget and forecast figures</w:t>
      </w:r>
    </w:p>
    <w:p w14:paraId="11FAF721" w14:textId="77777777" w:rsidR="006A557B" w:rsidRPr="00BC0D1F" w:rsidRDefault="006A557B" w:rsidP="008E3728">
      <w:r w:rsidRPr="00BC0D1F">
        <w:t>The budget figures (Main Estimates) are the original figures for the 2016 financial year as presented in the 2015 Budget Economic and Fiscal Update (BEFU) and were published in the 2014/15 annual report as the 2016 Forecast.</w:t>
      </w:r>
    </w:p>
    <w:p w14:paraId="63E7585F" w14:textId="77777777" w:rsidR="006A557B" w:rsidRPr="00BC0D1F" w:rsidRDefault="006A557B" w:rsidP="008E3728"/>
    <w:p w14:paraId="3D3614DF" w14:textId="77777777" w:rsidR="006A557B" w:rsidRPr="00BC0D1F" w:rsidRDefault="006A557B" w:rsidP="008E3728">
      <w:r w:rsidRPr="00BC0D1F">
        <w:t>Forecast Financial Statements have been prepared in accordance with the accounting policies expected to be used in the future for reporting historical general purpose financial statements. These Forecast Financial Statements have been prepared in accordance with NZ PBE IPSAS.</w:t>
      </w:r>
    </w:p>
    <w:p w14:paraId="5ECB791D" w14:textId="77777777" w:rsidR="006A557B" w:rsidRPr="00BC0D1F" w:rsidRDefault="006A557B" w:rsidP="008E3728"/>
    <w:p w14:paraId="3EF24007" w14:textId="77777777" w:rsidR="006A557B" w:rsidRPr="00BC0D1F" w:rsidRDefault="006A557B" w:rsidP="008E3728">
      <w:r w:rsidRPr="00BC0D1F">
        <w:t>The 2017 forecast figures are for the year ending 30 June 2017 and are based on the BEFU and have been prepared on the basis of assumptions as to future events that the Ministry reasonably expects to occur, associated with the actions it reasonably expects to take. They have been compiled on the basis of existing government policies and ministerial expectations at the date that the information was prepared.</w:t>
      </w:r>
    </w:p>
    <w:p w14:paraId="6E8F14FF" w14:textId="77777777" w:rsidR="006A557B" w:rsidRPr="00BC0D1F" w:rsidRDefault="006A557B" w:rsidP="008E3728"/>
    <w:p w14:paraId="02256D48" w14:textId="77777777" w:rsidR="006A557B" w:rsidRPr="00BC0D1F" w:rsidRDefault="006A557B" w:rsidP="008E3728">
      <w:pPr>
        <w:pStyle w:val="Heading4"/>
      </w:pPr>
      <w:r w:rsidRPr="00BC0D1F">
        <w:t>Judgements and estimations</w:t>
      </w:r>
    </w:p>
    <w:p w14:paraId="70DE1355" w14:textId="77777777" w:rsidR="006A557B" w:rsidRPr="00BC0D1F" w:rsidRDefault="006A557B" w:rsidP="008E3728">
      <w:r w:rsidRPr="00BC0D1F">
        <w:t>The preparation of financial statements is in conformity with NZ GAAP and requires judgements, estimates, and assumptions that affect the application of policies and reported amounts of assets and liabilities, income and expenses. The estimates and associated assumptions are based on historical experience and various other factors that are believed to be reasonable under the circumstances. Actual results may differ from these estimates.</w:t>
      </w:r>
    </w:p>
    <w:p w14:paraId="12989C38" w14:textId="77777777" w:rsidR="006A557B" w:rsidRPr="00BC0D1F" w:rsidRDefault="006A557B" w:rsidP="008E3728"/>
    <w:p w14:paraId="03ADCFF6" w14:textId="77777777" w:rsidR="006A557B" w:rsidRPr="00BC0D1F" w:rsidRDefault="006A557B" w:rsidP="008E3728">
      <w:r w:rsidRPr="00BC0D1F">
        <w:t>The estimates and underlying assumptions are reviewed on an ongoing basis. Revisions to accounting estimates are recognised in the reporting period in which the revision is made and in any future periods that will be affected by those revisions.</w:t>
      </w:r>
    </w:p>
    <w:p w14:paraId="3E0FCC03" w14:textId="77777777" w:rsidR="006A557B" w:rsidRPr="00BC0D1F" w:rsidRDefault="006A557B" w:rsidP="008E3728"/>
    <w:p w14:paraId="7F12590A" w14:textId="77777777" w:rsidR="006A557B" w:rsidRPr="00BC0D1F" w:rsidRDefault="006A557B" w:rsidP="008E3728">
      <w:pPr>
        <w:pStyle w:val="Heading4"/>
      </w:pPr>
      <w:r w:rsidRPr="00BC0D1F">
        <w:t>Significant assumptions</w:t>
      </w:r>
    </w:p>
    <w:p w14:paraId="7DEEDF8C" w14:textId="77777777" w:rsidR="006A557B" w:rsidRPr="00BC0D1F" w:rsidRDefault="006A557B" w:rsidP="008E3728">
      <w:r w:rsidRPr="00BC0D1F">
        <w:t>The main assumptions were as follows:</w:t>
      </w:r>
    </w:p>
    <w:p w14:paraId="5002F512" w14:textId="77777777" w:rsidR="006A557B" w:rsidRPr="00BC0D1F" w:rsidRDefault="006A557B" w:rsidP="008E3728">
      <w:pPr>
        <w:pStyle w:val="Bullet"/>
      </w:pPr>
      <w:r w:rsidRPr="00BC0D1F">
        <w:t>The Ministry’s activities and output expectations will remain substantially the same as the previous year focusing on the Government’s priorities.</w:t>
      </w:r>
    </w:p>
    <w:p w14:paraId="1C808D15" w14:textId="77777777" w:rsidR="006A557B" w:rsidRPr="00BC0D1F" w:rsidRDefault="006A557B" w:rsidP="008E3728">
      <w:pPr>
        <w:pStyle w:val="Bullet"/>
      </w:pPr>
      <w:r w:rsidRPr="00BC0D1F">
        <w:t>Personnel costs were based on current wages and salary costs, adjusted for anticipated remuneration changes.</w:t>
      </w:r>
    </w:p>
    <w:p w14:paraId="0AB1146E" w14:textId="77777777" w:rsidR="006A557B" w:rsidRPr="00BC0D1F" w:rsidRDefault="006A557B" w:rsidP="008E3728">
      <w:pPr>
        <w:pStyle w:val="Bullet"/>
      </w:pPr>
      <w:r w:rsidRPr="00BC0D1F">
        <w:t>Operating costs were based on historical experience and other factors that are believed to be reasonable in the circumstances and are the Ministry’s best estimate of future costs that will be incurred.</w:t>
      </w:r>
    </w:p>
    <w:p w14:paraId="46698379" w14:textId="77777777" w:rsidR="006A557B" w:rsidRPr="00BC0D1F" w:rsidRDefault="006A557B" w:rsidP="008E3728"/>
    <w:p w14:paraId="58E585AF" w14:textId="77777777" w:rsidR="006A557B" w:rsidRPr="00BC0D1F" w:rsidRDefault="006A557B" w:rsidP="008E3728">
      <w:r w:rsidRPr="00BC0D1F">
        <w:t>The forecast financial statements were approved for issue by the Chief Executive on 25 April 2016. The Chief Executive is responsible for the forecast financial statements, including the appropriateness of the assumptions underlying them and all other required disclosures.</w:t>
      </w:r>
    </w:p>
    <w:p w14:paraId="78466469" w14:textId="77777777" w:rsidR="006A557B" w:rsidRPr="00BC0D1F" w:rsidRDefault="006A557B" w:rsidP="008E3728"/>
    <w:p w14:paraId="3F87082E" w14:textId="77777777" w:rsidR="006A557B" w:rsidRPr="00BC0D1F" w:rsidRDefault="006A557B" w:rsidP="008E3728">
      <w:pPr>
        <w:pStyle w:val="Heading4"/>
      </w:pPr>
      <w:r w:rsidRPr="00BC0D1F">
        <w:lastRenderedPageBreak/>
        <w:t>Variations to forecast</w:t>
      </w:r>
    </w:p>
    <w:p w14:paraId="3A51A640" w14:textId="77777777" w:rsidR="006A557B" w:rsidRPr="00BC0D1F" w:rsidRDefault="006A557B" w:rsidP="008E3728">
      <w:pPr>
        <w:keepLines/>
      </w:pPr>
      <w:r w:rsidRPr="00BC0D1F">
        <w:t>The actual financial results for the forecast period covered are likely to vary from the information presented in these forecasts. Factors that may lead to a material difference between information in these forecast financial information statements and the actual reported results include:</w:t>
      </w:r>
    </w:p>
    <w:p w14:paraId="6963C169" w14:textId="7AABFB4C" w:rsidR="006A557B" w:rsidRPr="00BC0D1F" w:rsidRDefault="008E3728" w:rsidP="008E3728">
      <w:pPr>
        <w:pStyle w:val="Bullet"/>
      </w:pPr>
      <w:r w:rsidRPr="00BC0D1F">
        <w:t>c</w:t>
      </w:r>
      <w:r w:rsidR="006A557B" w:rsidRPr="00BC0D1F">
        <w:t>hanges to the budget through initiatives approved by Cabinet</w:t>
      </w:r>
    </w:p>
    <w:p w14:paraId="32FFC305" w14:textId="1D2E48A0" w:rsidR="006A557B" w:rsidRPr="00BC0D1F" w:rsidRDefault="008E3728" w:rsidP="008E3728">
      <w:pPr>
        <w:pStyle w:val="Bullet"/>
      </w:pPr>
      <w:r w:rsidRPr="00BC0D1F">
        <w:t>t</w:t>
      </w:r>
      <w:r w:rsidR="006A557B" w:rsidRPr="00BC0D1F">
        <w:t>echnical adjustments to the budget including transfers between financial years</w:t>
      </w:r>
    </w:p>
    <w:p w14:paraId="18E9638C" w14:textId="13A4D408" w:rsidR="006A557B" w:rsidRPr="00BC0D1F" w:rsidRDefault="008E3728" w:rsidP="008E3728">
      <w:pPr>
        <w:pStyle w:val="Bullet"/>
      </w:pPr>
      <w:proofErr w:type="gramStart"/>
      <w:r w:rsidRPr="00BC0D1F">
        <w:t>t</w:t>
      </w:r>
      <w:r w:rsidR="006A557B" w:rsidRPr="00BC0D1F">
        <w:t>he</w:t>
      </w:r>
      <w:proofErr w:type="gramEnd"/>
      <w:r w:rsidR="006A557B" w:rsidRPr="00BC0D1F">
        <w:t xml:space="preserve"> timing of expenditure relating to significant programmes and projects.</w:t>
      </w:r>
    </w:p>
    <w:p w14:paraId="4C9CA556" w14:textId="77777777" w:rsidR="008E3728" w:rsidRPr="00BC0D1F" w:rsidRDefault="008E3728" w:rsidP="008E3728"/>
    <w:p w14:paraId="307FA5EA" w14:textId="3566E955" w:rsidR="006A557B" w:rsidRPr="00BC0D1F" w:rsidRDefault="006A557B" w:rsidP="008E3728">
      <w:r w:rsidRPr="00BC0D1F">
        <w:t>Any changes to budgets during 2016</w:t>
      </w:r>
      <w:r w:rsidR="008E3728" w:rsidRPr="00BC0D1F">
        <w:t>–</w:t>
      </w:r>
      <w:r w:rsidRPr="00BC0D1F">
        <w:t xml:space="preserve">17 will be incorporated into </w:t>
      </w:r>
      <w:r w:rsidRPr="00BC0D1F">
        <w:rPr>
          <w:i/>
        </w:rPr>
        <w:t>The Supplementary Estimates of Appropriations</w:t>
      </w:r>
      <w:r w:rsidRPr="00BC0D1F">
        <w:t xml:space="preserve"> for the year ending 30 June 2017.</w:t>
      </w:r>
    </w:p>
    <w:p w14:paraId="2C0CDB66" w14:textId="77777777" w:rsidR="006A557B" w:rsidRPr="00BC0D1F" w:rsidRDefault="006A557B" w:rsidP="008E3728"/>
    <w:p w14:paraId="0449A649" w14:textId="77777777" w:rsidR="006A557B" w:rsidRPr="00BC0D1F" w:rsidRDefault="006A557B" w:rsidP="008E3728">
      <w:pPr>
        <w:pStyle w:val="Heading4"/>
      </w:pPr>
      <w:r w:rsidRPr="00BC0D1F">
        <w:t>Revenue</w:t>
      </w:r>
    </w:p>
    <w:p w14:paraId="187CE3E9" w14:textId="77777777" w:rsidR="006A557B" w:rsidRPr="00BC0D1F" w:rsidRDefault="006A557B" w:rsidP="008E3728">
      <w:r w:rsidRPr="00BC0D1F">
        <w:t>The Ministry derives revenue through the provision of outputs to the Crown and for services to third parties. Such revenue is recognised at fair value of consideration received.</w:t>
      </w:r>
    </w:p>
    <w:p w14:paraId="0A402DA0" w14:textId="77777777" w:rsidR="006A557B" w:rsidRPr="00BC0D1F" w:rsidRDefault="006A557B" w:rsidP="008E3728"/>
    <w:p w14:paraId="5B230DA5" w14:textId="77777777" w:rsidR="006A557B" w:rsidRPr="00BC0D1F" w:rsidRDefault="006A557B" w:rsidP="008E3728">
      <w:r w:rsidRPr="00BC0D1F">
        <w:t>Revenue from the Crown is measured based on the Ministry’s funding entitlement for the reporting period. The funding entitlement is established by Parliament when it passes the Appropriation Acts for the financial year. The amount of revenue recognised takes into account any amendments to appropriations approved in the Appropriation (Supplementary Estimates) Act for the year and certain other unconditional funding adjustments formally approved prior to balance date.</w:t>
      </w:r>
    </w:p>
    <w:p w14:paraId="6ACF4775" w14:textId="77777777" w:rsidR="006A557B" w:rsidRPr="00BC0D1F" w:rsidRDefault="006A557B" w:rsidP="008E3728"/>
    <w:p w14:paraId="2CF54F83" w14:textId="77777777" w:rsidR="006A557B" w:rsidRPr="00BC0D1F" w:rsidRDefault="006A557B" w:rsidP="008E3728">
      <w:r w:rsidRPr="00BC0D1F">
        <w:t>There are no conditions attached to the funding from the Crown. However, the Ministry can incur expenses only within the scope and limits of its appropriations.</w:t>
      </w:r>
    </w:p>
    <w:p w14:paraId="59F81FBE" w14:textId="77777777" w:rsidR="006A557B" w:rsidRPr="00BC0D1F" w:rsidRDefault="006A557B" w:rsidP="008E3728"/>
    <w:p w14:paraId="1EE69CFC" w14:textId="77777777" w:rsidR="006A557B" w:rsidRPr="00BC0D1F" w:rsidRDefault="006A557B" w:rsidP="008E3728">
      <w:r w:rsidRPr="00BC0D1F">
        <w:t>The fair value of Revenue Crown has been determined to be equivalent to the funding entitlement.</w:t>
      </w:r>
    </w:p>
    <w:p w14:paraId="102124AD" w14:textId="77777777" w:rsidR="006A557B" w:rsidRPr="00BC0D1F" w:rsidRDefault="006A557B" w:rsidP="008E3728"/>
    <w:p w14:paraId="6288AC01" w14:textId="77777777" w:rsidR="006A557B" w:rsidRPr="00BC0D1F" w:rsidRDefault="006A557B" w:rsidP="008E3728">
      <w:r w:rsidRPr="00BC0D1F">
        <w:t>Other revenue from the supply of services is recognised by reference to the stage of completion of the transaction at balance date and only to the extent that the outcome of the transaction can be estimated reliably.</w:t>
      </w:r>
    </w:p>
    <w:p w14:paraId="303B942E" w14:textId="77777777" w:rsidR="006A557B" w:rsidRPr="00BC0D1F" w:rsidRDefault="006A557B" w:rsidP="008E3728"/>
    <w:p w14:paraId="78B07F2D" w14:textId="77777777" w:rsidR="006A557B" w:rsidRPr="00BC0D1F" w:rsidRDefault="006A557B" w:rsidP="008E3728">
      <w:pPr>
        <w:pStyle w:val="Heading4"/>
      </w:pPr>
      <w:r w:rsidRPr="00BC0D1F">
        <w:t>Cost allocation</w:t>
      </w:r>
    </w:p>
    <w:p w14:paraId="260BD2B7" w14:textId="77777777" w:rsidR="006A557B" w:rsidRPr="00BC0D1F" w:rsidRDefault="006A557B" w:rsidP="008E3728">
      <w:r w:rsidRPr="00BC0D1F">
        <w:t>Direct costs are those costs directly attributed to an output. Indirect costs are those costs that cannot be identified in an economically feasible manner with any one specific output.</w:t>
      </w:r>
    </w:p>
    <w:p w14:paraId="2E9F8994" w14:textId="77777777" w:rsidR="006A557B" w:rsidRPr="00BC0D1F" w:rsidRDefault="006A557B" w:rsidP="008E3728"/>
    <w:p w14:paraId="396DB71A" w14:textId="77777777" w:rsidR="006A557B" w:rsidRPr="00BC0D1F" w:rsidRDefault="006A557B" w:rsidP="008E3728">
      <w:r w:rsidRPr="00BC0D1F">
        <w:t>Direct costs are charged directly to outputs while indirect costs are allocated to outputs based on the level of activity associated with relevant cost drivers.</w:t>
      </w:r>
    </w:p>
    <w:p w14:paraId="41162D19" w14:textId="77777777" w:rsidR="006A557B" w:rsidRPr="00BC0D1F" w:rsidRDefault="006A557B" w:rsidP="008E3728"/>
    <w:p w14:paraId="0ACCEAF5" w14:textId="77777777" w:rsidR="006A557B" w:rsidRPr="00BC0D1F" w:rsidRDefault="006A557B" w:rsidP="008E3728">
      <w:r w:rsidRPr="00BC0D1F">
        <w:t>Depreciation is primarily charged as direct costs to outputs on the basis of asset utilisation: the remainder is charged as indirect costs.</w:t>
      </w:r>
    </w:p>
    <w:p w14:paraId="725E686E" w14:textId="77777777" w:rsidR="006A557B" w:rsidRPr="00BC0D1F" w:rsidRDefault="006A557B" w:rsidP="008E3728"/>
    <w:p w14:paraId="2AD94357" w14:textId="77777777" w:rsidR="006A557B" w:rsidRPr="00BC0D1F" w:rsidRDefault="006A557B" w:rsidP="008E3728">
      <w:r w:rsidRPr="00BC0D1F">
        <w:t>There have been no changes in the cost allocation policy since the date of the last audited financial statements.</w:t>
      </w:r>
    </w:p>
    <w:p w14:paraId="6BF9325A" w14:textId="77777777" w:rsidR="006A557B" w:rsidRPr="00BC0D1F" w:rsidRDefault="006A557B" w:rsidP="008E3728"/>
    <w:p w14:paraId="520D870D" w14:textId="77777777" w:rsidR="006A557B" w:rsidRPr="00BC0D1F" w:rsidRDefault="006A557B" w:rsidP="008E3728">
      <w:pPr>
        <w:pStyle w:val="Heading4"/>
      </w:pPr>
      <w:r w:rsidRPr="00BC0D1F">
        <w:t>Taxation</w:t>
      </w:r>
    </w:p>
    <w:p w14:paraId="6C02EE56" w14:textId="77777777" w:rsidR="006A557B" w:rsidRPr="00BC0D1F" w:rsidRDefault="006A557B" w:rsidP="008E3728">
      <w:r w:rsidRPr="00BC0D1F">
        <w:t>As a government department, the Ministry is exempt from the payment of income tax in terms of the Income Tax Act 2007. Accordingly, no charge for income tax is recognised.</w:t>
      </w:r>
    </w:p>
    <w:p w14:paraId="477E59AB" w14:textId="77777777" w:rsidR="006A557B" w:rsidRPr="00BC0D1F" w:rsidRDefault="006A557B" w:rsidP="008E3728"/>
    <w:p w14:paraId="5542DBD9" w14:textId="77777777" w:rsidR="006A557B" w:rsidRPr="00BC0D1F" w:rsidRDefault="006A557B" w:rsidP="008E3728">
      <w:pPr>
        <w:pStyle w:val="Heading4"/>
      </w:pPr>
      <w:r w:rsidRPr="00BC0D1F">
        <w:t>Equity</w:t>
      </w:r>
    </w:p>
    <w:p w14:paraId="00F8EECD" w14:textId="77777777" w:rsidR="006A557B" w:rsidRPr="00BC0D1F" w:rsidRDefault="006A557B" w:rsidP="008E3728">
      <w:r w:rsidRPr="00BC0D1F">
        <w:t>Equity is the Crown’s net investment in the Ministry and is measured as the difference between total assets and total liabilities. Equity is disaggregated and classified as taxpayers’ funds, property revaluation reserves and memorandum accounts.</w:t>
      </w:r>
    </w:p>
    <w:p w14:paraId="68EDCF37" w14:textId="77777777" w:rsidR="006A557B" w:rsidRPr="00BC0D1F" w:rsidRDefault="006A557B" w:rsidP="008E3728"/>
    <w:p w14:paraId="06335949" w14:textId="7FF12359" w:rsidR="006A557B" w:rsidRPr="00BC0D1F" w:rsidRDefault="006A557B" w:rsidP="008E3728">
      <w:pPr>
        <w:pStyle w:val="Heading5"/>
      </w:pPr>
      <w:r w:rsidRPr="00BC0D1F">
        <w:t xml:space="preserve">Property </w:t>
      </w:r>
      <w:r w:rsidR="008E3728" w:rsidRPr="00BC0D1F">
        <w:t>r</w:t>
      </w:r>
      <w:r w:rsidRPr="00BC0D1F">
        <w:t xml:space="preserve">evaluation </w:t>
      </w:r>
      <w:r w:rsidR="008E3728" w:rsidRPr="00BC0D1F">
        <w:t>r</w:t>
      </w:r>
      <w:r w:rsidRPr="00BC0D1F">
        <w:t>eserves</w:t>
      </w:r>
    </w:p>
    <w:p w14:paraId="7AF4FE76" w14:textId="77777777" w:rsidR="006A557B" w:rsidRPr="00BC0D1F" w:rsidRDefault="006A557B" w:rsidP="008E3728">
      <w:r w:rsidRPr="00BC0D1F">
        <w:t>These reserves relate to the revaluation of land and buildings to fair value.</w:t>
      </w:r>
    </w:p>
    <w:p w14:paraId="23D2F6DF" w14:textId="77777777" w:rsidR="006A557B" w:rsidRPr="00BC0D1F" w:rsidRDefault="006A557B" w:rsidP="008E3728"/>
    <w:p w14:paraId="6F55822E" w14:textId="60E5FCAC" w:rsidR="006A557B" w:rsidRPr="00BC0D1F" w:rsidRDefault="006A557B" w:rsidP="008E3728">
      <w:pPr>
        <w:pStyle w:val="Heading5"/>
      </w:pPr>
      <w:r w:rsidRPr="00BC0D1F">
        <w:t xml:space="preserve">Memorandum </w:t>
      </w:r>
      <w:r w:rsidR="008E3728" w:rsidRPr="00BC0D1F">
        <w:t>a</w:t>
      </w:r>
      <w:r w:rsidRPr="00BC0D1F">
        <w:t>ccounts</w:t>
      </w:r>
    </w:p>
    <w:p w14:paraId="3E700F41" w14:textId="721B4FB0" w:rsidR="006A557B" w:rsidRPr="00BC0D1F" w:rsidRDefault="006A557B" w:rsidP="008E3728">
      <w:r w:rsidRPr="00BC0D1F">
        <w:t xml:space="preserve">Memorandum </w:t>
      </w:r>
      <w:r w:rsidR="008E3728" w:rsidRPr="00BC0D1F">
        <w:t>a</w:t>
      </w:r>
      <w:r w:rsidRPr="00BC0D1F">
        <w:t>ccounts reflect the cumulative surplus/(deficit) on those departmental services provided that are intended to be fully cost recovered from third parties through fees, levies or charges. The balance of each memorandum account is expected to trend toward zero over time.</w:t>
      </w:r>
    </w:p>
    <w:p w14:paraId="6C0603DB" w14:textId="77777777" w:rsidR="006A557B" w:rsidRPr="00BC0D1F" w:rsidRDefault="006A557B" w:rsidP="008E3728"/>
    <w:p w14:paraId="3DCEE132" w14:textId="77777777" w:rsidR="006A557B" w:rsidRPr="00BC0D1F" w:rsidRDefault="006A557B" w:rsidP="008E3728">
      <w:pPr>
        <w:pStyle w:val="Heading4"/>
      </w:pPr>
      <w:r w:rsidRPr="00BC0D1F">
        <w:t>Cash and cash equivalents</w:t>
      </w:r>
    </w:p>
    <w:p w14:paraId="44A1FFB9" w14:textId="77777777" w:rsidR="006A557B" w:rsidRPr="00BC0D1F" w:rsidRDefault="006A557B" w:rsidP="008E3728">
      <w:r w:rsidRPr="00BC0D1F">
        <w:t>Comprise funds in current accounts with Westpac New Zealand Limited, a registered bank.</w:t>
      </w:r>
    </w:p>
    <w:p w14:paraId="15DC3DC4" w14:textId="77777777" w:rsidR="006A557B" w:rsidRPr="00BC0D1F" w:rsidRDefault="006A557B" w:rsidP="008E3728"/>
    <w:p w14:paraId="3D3A4EB6" w14:textId="77777777" w:rsidR="006A557B" w:rsidRPr="00BC0D1F" w:rsidRDefault="006A557B" w:rsidP="008E3728">
      <w:pPr>
        <w:pStyle w:val="Heading4"/>
      </w:pPr>
      <w:r w:rsidRPr="00BC0D1F">
        <w:t>Property plant and equipment</w:t>
      </w:r>
    </w:p>
    <w:p w14:paraId="00EA730A" w14:textId="77777777" w:rsidR="006A557B" w:rsidRPr="00BC0D1F" w:rsidRDefault="006A557B" w:rsidP="008E3728">
      <w:r w:rsidRPr="00BC0D1F">
        <w:t>Items of property, plant and equipment are initially recorded at cost. Where an asset is acquired for nil or nominal consideration the asset will be recognised initially at fair value, where fair value can be reliably determined. The fair value of the asset received, less costs incurred to acquire the asset, is recognised as revenue in the Statement of Comprehensive Revenue and Expense.</w:t>
      </w:r>
    </w:p>
    <w:p w14:paraId="3D4BEEB8" w14:textId="77777777" w:rsidR="006A557B" w:rsidRPr="00BC0D1F" w:rsidRDefault="006A557B" w:rsidP="008E3728"/>
    <w:p w14:paraId="2511E981" w14:textId="77777777" w:rsidR="006A557B" w:rsidRPr="00BC0D1F" w:rsidRDefault="006A557B" w:rsidP="008E3728">
      <w:r w:rsidRPr="00BC0D1F">
        <w:t>All individual assets or groups of assets are capitalised if their historical cost is $4,000 or greater.</w:t>
      </w:r>
    </w:p>
    <w:p w14:paraId="3B37C4F1" w14:textId="77777777" w:rsidR="006A557B" w:rsidRPr="00BC0D1F" w:rsidRDefault="006A557B" w:rsidP="008E3728"/>
    <w:p w14:paraId="658B2B8A" w14:textId="77777777" w:rsidR="006A557B" w:rsidRPr="00BC0D1F" w:rsidRDefault="006A557B" w:rsidP="008E3728">
      <w:r w:rsidRPr="00BC0D1F">
        <w:t xml:space="preserve">Land is recorded at fair value less impairment losses. Buildings are recorded at fair value less impairment losses and less depreciation accumulated since the assets were last revalued. Valuations are based on either valuation undertaken in accordance with standards issued by the New Zealand Property Institute if available, or valuation conducted in accordance with the Rating Valuation Act 1998 that has been confirmed as appropriate by an independent </w:t>
      </w:r>
      <w:proofErr w:type="spellStart"/>
      <w:r w:rsidRPr="00BC0D1F">
        <w:t>valuer</w:t>
      </w:r>
      <w:proofErr w:type="spellEnd"/>
      <w:r w:rsidRPr="00BC0D1F">
        <w:t>.</w:t>
      </w:r>
    </w:p>
    <w:p w14:paraId="27122CBE" w14:textId="77777777" w:rsidR="006A557B" w:rsidRPr="00BC0D1F" w:rsidRDefault="006A557B" w:rsidP="008E3728"/>
    <w:p w14:paraId="7F4B462B" w14:textId="77777777" w:rsidR="006A557B" w:rsidRPr="00BC0D1F" w:rsidRDefault="006A557B" w:rsidP="008E3728">
      <w:r w:rsidRPr="00BC0D1F">
        <w:t>Revaluations are carried out for the Ministry’s land and buildings to reflect the service potential or economic benefit obtained through control of the asset. Revaluation is based on the fair value of the asset, with changes reported by class of asset.</w:t>
      </w:r>
    </w:p>
    <w:p w14:paraId="05CFD4F6" w14:textId="77777777" w:rsidR="006A557B" w:rsidRPr="00BC0D1F" w:rsidRDefault="006A557B" w:rsidP="008E3728"/>
    <w:p w14:paraId="1129A63B" w14:textId="77777777" w:rsidR="006A557B" w:rsidRPr="00BC0D1F" w:rsidRDefault="006A557B" w:rsidP="008E3728">
      <w:r w:rsidRPr="00BC0D1F">
        <w:t>Accumulated depreciation at revaluation date may be either restated proportionately or eliminated against the gross carrying amount so that the carrying amount after revaluation equals the revalued amount. The elimination approach is applied unless otherwise indicated.</w:t>
      </w:r>
    </w:p>
    <w:p w14:paraId="05DAD624" w14:textId="77777777" w:rsidR="006A557B" w:rsidRPr="00BC0D1F" w:rsidRDefault="006A557B" w:rsidP="008E3728"/>
    <w:p w14:paraId="3755D91A" w14:textId="77777777" w:rsidR="006A557B" w:rsidRPr="00BC0D1F" w:rsidRDefault="006A557B" w:rsidP="008E3728">
      <w:r w:rsidRPr="00BC0D1F">
        <w:t>All other asset classes are initially carried at depreciated historical cost, with a review of the carrying values of revalued items performed at each balance date to determine whether any material adjustment is required.</w:t>
      </w:r>
    </w:p>
    <w:p w14:paraId="737692DC" w14:textId="77777777" w:rsidR="006A557B" w:rsidRPr="00BC0D1F" w:rsidRDefault="006A557B" w:rsidP="008E3728"/>
    <w:p w14:paraId="26ECE8A7" w14:textId="77777777" w:rsidR="006A557B" w:rsidRPr="00BC0D1F" w:rsidRDefault="006A557B" w:rsidP="008E3728">
      <w:r w:rsidRPr="00BC0D1F">
        <w:t xml:space="preserve">Classes of property, plant and equipment subject to fair value review are revalued at least every three years or sooner where indicators suggest the carrying amount differs materially to fair value. Unrealised gains and losses arising from changes in the value of property, plant and equipment are recognised as at each balance date. To the extent that a gain reverses a loss </w:t>
      </w:r>
      <w:r w:rsidRPr="00BC0D1F">
        <w:lastRenderedPageBreak/>
        <w:t>previously charged to the Statement of Comprehensive Revenue and Expense for the asset class, the gain is credited to the Statement of Comprehensive Revenue and Expense; otherwise gains are credited to the asset revaluation reserve for that class of asset. To the extent that there is a balance in the asset revaluation reserve for the asset class, any loss on revaluation is debited to the reserve to the extent that a balance remains in such reserve. All other losses on property, plant and equipment are reported in the Statement of Comprehensive Revenue and Expense.</w:t>
      </w:r>
    </w:p>
    <w:p w14:paraId="69A60357" w14:textId="77777777" w:rsidR="006A557B" w:rsidRPr="00BC0D1F" w:rsidRDefault="006A557B" w:rsidP="006D368C"/>
    <w:p w14:paraId="20DB150C" w14:textId="77777777" w:rsidR="006A557B" w:rsidRPr="00BC0D1F" w:rsidRDefault="006A557B" w:rsidP="006D368C">
      <w:r w:rsidRPr="00BC0D1F">
        <w:t>For each property, plant and equipment asset, project borrowing costs incurred during the period required to complete and prepare the asset for its intended use are expensed.</w:t>
      </w:r>
    </w:p>
    <w:p w14:paraId="0FC32B2E" w14:textId="77777777" w:rsidR="006A557B" w:rsidRPr="00BC0D1F" w:rsidRDefault="006A557B" w:rsidP="006D368C"/>
    <w:p w14:paraId="4D5C3191" w14:textId="77777777" w:rsidR="006A557B" w:rsidRPr="00BC0D1F" w:rsidRDefault="006A557B" w:rsidP="006D368C">
      <w:r w:rsidRPr="00BC0D1F">
        <w:t>Depreciation is charged on a straight-line basis at rates calculated to allocate the cost or valuation of an item of property, plant and equipment, less any estimated residual value, over its estimated useful life. Typically, the estimated useful lives of different classes of property, plant and equipment are as follows:</w:t>
      </w:r>
    </w:p>
    <w:p w14:paraId="64E667CF" w14:textId="77777777" w:rsidR="006A557B" w:rsidRPr="00BC0D1F" w:rsidRDefault="006A557B" w:rsidP="006D368C"/>
    <w:tbl>
      <w:tblPr>
        <w:tblW w:w="0" w:type="auto"/>
        <w:tblInd w:w="57" w:type="dxa"/>
        <w:tblLayout w:type="fixed"/>
        <w:tblCellMar>
          <w:left w:w="57" w:type="dxa"/>
          <w:right w:w="57" w:type="dxa"/>
        </w:tblCellMar>
        <w:tblLook w:val="00A0" w:firstRow="1" w:lastRow="0" w:firstColumn="1" w:lastColumn="0" w:noHBand="0" w:noVBand="0"/>
      </w:tblPr>
      <w:tblGrid>
        <w:gridCol w:w="2410"/>
        <w:gridCol w:w="1730"/>
        <w:gridCol w:w="1800"/>
      </w:tblGrid>
      <w:tr w:rsidR="006A557B" w:rsidRPr="00BC0D1F" w14:paraId="30EF9255" w14:textId="77777777" w:rsidTr="00800915">
        <w:trPr>
          <w:cantSplit/>
        </w:trPr>
        <w:tc>
          <w:tcPr>
            <w:tcW w:w="2410" w:type="dxa"/>
            <w:tcBorders>
              <w:top w:val="single" w:sz="4" w:space="0" w:color="auto"/>
              <w:bottom w:val="single" w:sz="4" w:space="0" w:color="auto"/>
            </w:tcBorders>
          </w:tcPr>
          <w:p w14:paraId="76294BC2" w14:textId="77777777" w:rsidR="006A557B" w:rsidRPr="00BC0D1F" w:rsidRDefault="006A557B" w:rsidP="00800915">
            <w:pPr>
              <w:pStyle w:val="TableText"/>
              <w:rPr>
                <w:b/>
              </w:rPr>
            </w:pPr>
          </w:p>
        </w:tc>
        <w:tc>
          <w:tcPr>
            <w:tcW w:w="1730" w:type="dxa"/>
            <w:tcBorders>
              <w:top w:val="single" w:sz="4" w:space="0" w:color="auto"/>
              <w:bottom w:val="single" w:sz="4" w:space="0" w:color="auto"/>
            </w:tcBorders>
          </w:tcPr>
          <w:p w14:paraId="294C5055" w14:textId="77777777" w:rsidR="006A557B" w:rsidRPr="00BC0D1F" w:rsidRDefault="006A557B" w:rsidP="00800915">
            <w:pPr>
              <w:pStyle w:val="TableText"/>
              <w:jc w:val="center"/>
              <w:rPr>
                <w:b/>
              </w:rPr>
            </w:pPr>
            <w:r w:rsidRPr="00BC0D1F">
              <w:rPr>
                <w:b/>
              </w:rPr>
              <w:t>Useful life</w:t>
            </w:r>
          </w:p>
        </w:tc>
        <w:tc>
          <w:tcPr>
            <w:tcW w:w="1800" w:type="dxa"/>
            <w:tcBorders>
              <w:top w:val="single" w:sz="4" w:space="0" w:color="auto"/>
              <w:bottom w:val="single" w:sz="4" w:space="0" w:color="auto"/>
            </w:tcBorders>
          </w:tcPr>
          <w:p w14:paraId="6FB29448" w14:textId="77777777" w:rsidR="006A557B" w:rsidRPr="00BC0D1F" w:rsidRDefault="006A557B" w:rsidP="00800915">
            <w:pPr>
              <w:pStyle w:val="TableText"/>
              <w:jc w:val="center"/>
              <w:rPr>
                <w:b/>
              </w:rPr>
            </w:pPr>
            <w:r w:rsidRPr="00BC0D1F">
              <w:rPr>
                <w:b/>
              </w:rPr>
              <w:t>Depreciation rate</w:t>
            </w:r>
          </w:p>
        </w:tc>
      </w:tr>
      <w:tr w:rsidR="006A557B" w:rsidRPr="00BC0D1F" w14:paraId="6F00E22D" w14:textId="77777777" w:rsidTr="00800915">
        <w:trPr>
          <w:cantSplit/>
        </w:trPr>
        <w:tc>
          <w:tcPr>
            <w:tcW w:w="2410" w:type="dxa"/>
            <w:tcBorders>
              <w:top w:val="single" w:sz="4" w:space="0" w:color="auto"/>
            </w:tcBorders>
            <w:vAlign w:val="center"/>
          </w:tcPr>
          <w:p w14:paraId="71CD8A3D" w14:textId="77777777" w:rsidR="006A557B" w:rsidRPr="00BC0D1F" w:rsidRDefault="006A557B" w:rsidP="00800915">
            <w:pPr>
              <w:pStyle w:val="TableText"/>
            </w:pPr>
            <w:r w:rsidRPr="00BC0D1F">
              <w:t>Buildings</w:t>
            </w:r>
          </w:p>
        </w:tc>
        <w:tc>
          <w:tcPr>
            <w:tcW w:w="1730" w:type="dxa"/>
            <w:tcBorders>
              <w:top w:val="single" w:sz="4" w:space="0" w:color="auto"/>
            </w:tcBorders>
            <w:vAlign w:val="center"/>
          </w:tcPr>
          <w:p w14:paraId="753D2B4F" w14:textId="77777777" w:rsidR="006A557B" w:rsidRPr="00BC0D1F" w:rsidRDefault="006A557B" w:rsidP="00800915">
            <w:pPr>
              <w:pStyle w:val="TableText"/>
              <w:jc w:val="center"/>
            </w:pPr>
            <w:r w:rsidRPr="00BC0D1F">
              <w:t>40 years</w:t>
            </w:r>
          </w:p>
        </w:tc>
        <w:tc>
          <w:tcPr>
            <w:tcW w:w="1800" w:type="dxa"/>
            <w:tcBorders>
              <w:top w:val="single" w:sz="4" w:space="0" w:color="auto"/>
            </w:tcBorders>
            <w:vAlign w:val="center"/>
          </w:tcPr>
          <w:p w14:paraId="46B37E4B" w14:textId="77777777" w:rsidR="006A557B" w:rsidRPr="00BC0D1F" w:rsidRDefault="006A557B" w:rsidP="00800915">
            <w:pPr>
              <w:pStyle w:val="TableText"/>
              <w:jc w:val="center"/>
            </w:pPr>
            <w:r w:rsidRPr="00BC0D1F">
              <w:t>2.5%</w:t>
            </w:r>
          </w:p>
        </w:tc>
      </w:tr>
      <w:tr w:rsidR="006A557B" w:rsidRPr="00BC0D1F" w14:paraId="7602B087" w14:textId="77777777" w:rsidTr="00800915">
        <w:trPr>
          <w:cantSplit/>
        </w:trPr>
        <w:tc>
          <w:tcPr>
            <w:tcW w:w="2410" w:type="dxa"/>
            <w:vAlign w:val="center"/>
          </w:tcPr>
          <w:p w14:paraId="0FF1DDE0" w14:textId="77777777" w:rsidR="006A557B" w:rsidRPr="00BC0D1F" w:rsidRDefault="006A557B" w:rsidP="00800915">
            <w:pPr>
              <w:pStyle w:val="TableText"/>
            </w:pPr>
            <w:r w:rsidRPr="00BC0D1F">
              <w:t>Motor vehicles</w:t>
            </w:r>
          </w:p>
        </w:tc>
        <w:tc>
          <w:tcPr>
            <w:tcW w:w="1730" w:type="dxa"/>
            <w:vAlign w:val="center"/>
          </w:tcPr>
          <w:p w14:paraId="4CD981DD" w14:textId="77777777" w:rsidR="006A557B" w:rsidRPr="00BC0D1F" w:rsidRDefault="006A557B" w:rsidP="00800915">
            <w:pPr>
              <w:pStyle w:val="TableText"/>
              <w:jc w:val="center"/>
            </w:pPr>
            <w:r w:rsidRPr="00BC0D1F">
              <w:t>5 years</w:t>
            </w:r>
          </w:p>
        </w:tc>
        <w:tc>
          <w:tcPr>
            <w:tcW w:w="1800" w:type="dxa"/>
            <w:vAlign w:val="center"/>
          </w:tcPr>
          <w:p w14:paraId="4F57CA8F" w14:textId="77777777" w:rsidR="006A557B" w:rsidRPr="00BC0D1F" w:rsidRDefault="006A557B" w:rsidP="00800915">
            <w:pPr>
              <w:pStyle w:val="TableText"/>
              <w:jc w:val="center"/>
            </w:pPr>
            <w:r w:rsidRPr="00BC0D1F">
              <w:t>20%</w:t>
            </w:r>
          </w:p>
        </w:tc>
      </w:tr>
      <w:tr w:rsidR="006A557B" w:rsidRPr="00BC0D1F" w14:paraId="6D9CE9D2" w14:textId="77777777" w:rsidTr="00800915">
        <w:trPr>
          <w:cantSplit/>
        </w:trPr>
        <w:tc>
          <w:tcPr>
            <w:tcW w:w="2410" w:type="dxa"/>
            <w:vAlign w:val="center"/>
          </w:tcPr>
          <w:p w14:paraId="603B306A" w14:textId="77777777" w:rsidR="006A557B" w:rsidRPr="00BC0D1F" w:rsidRDefault="006A557B" w:rsidP="00800915">
            <w:pPr>
              <w:pStyle w:val="TableText"/>
            </w:pPr>
            <w:r w:rsidRPr="00BC0D1F">
              <w:t>Furniture and fittings</w:t>
            </w:r>
          </w:p>
        </w:tc>
        <w:tc>
          <w:tcPr>
            <w:tcW w:w="1730" w:type="dxa"/>
            <w:vAlign w:val="center"/>
          </w:tcPr>
          <w:p w14:paraId="59BD38A2" w14:textId="77777777" w:rsidR="006A557B" w:rsidRPr="00BC0D1F" w:rsidRDefault="006A557B" w:rsidP="00800915">
            <w:pPr>
              <w:pStyle w:val="TableText"/>
              <w:jc w:val="center"/>
            </w:pPr>
            <w:r w:rsidRPr="00BC0D1F">
              <w:t>5</w:t>
            </w:r>
            <w:r w:rsidR="00800915" w:rsidRPr="00BC0D1F">
              <w:t>–</w:t>
            </w:r>
            <w:r w:rsidRPr="00BC0D1F">
              <w:t>10 years</w:t>
            </w:r>
          </w:p>
        </w:tc>
        <w:tc>
          <w:tcPr>
            <w:tcW w:w="1800" w:type="dxa"/>
            <w:vAlign w:val="center"/>
          </w:tcPr>
          <w:p w14:paraId="4B328ECB" w14:textId="77777777" w:rsidR="006A557B" w:rsidRPr="00BC0D1F" w:rsidRDefault="006A557B" w:rsidP="00800915">
            <w:pPr>
              <w:pStyle w:val="TableText"/>
              <w:jc w:val="center"/>
            </w:pPr>
            <w:r w:rsidRPr="00BC0D1F">
              <w:t>10</w:t>
            </w:r>
            <w:r w:rsidR="00800915" w:rsidRPr="00BC0D1F">
              <w:t>–</w:t>
            </w:r>
            <w:r w:rsidRPr="00BC0D1F">
              <w:t>20%</w:t>
            </w:r>
          </w:p>
        </w:tc>
      </w:tr>
      <w:tr w:rsidR="006A557B" w:rsidRPr="00BC0D1F" w14:paraId="72DCC644" w14:textId="77777777" w:rsidTr="00800915">
        <w:trPr>
          <w:cantSplit/>
        </w:trPr>
        <w:tc>
          <w:tcPr>
            <w:tcW w:w="2410" w:type="dxa"/>
            <w:vAlign w:val="center"/>
          </w:tcPr>
          <w:p w14:paraId="37C30298" w14:textId="77777777" w:rsidR="006A557B" w:rsidRPr="00BC0D1F" w:rsidRDefault="006A557B" w:rsidP="00800915">
            <w:pPr>
              <w:pStyle w:val="TableText"/>
            </w:pPr>
            <w:r w:rsidRPr="00BC0D1F">
              <w:t>Machinery</w:t>
            </w:r>
          </w:p>
        </w:tc>
        <w:tc>
          <w:tcPr>
            <w:tcW w:w="1730" w:type="dxa"/>
            <w:vAlign w:val="center"/>
          </w:tcPr>
          <w:p w14:paraId="4F474ADF" w14:textId="77777777" w:rsidR="006A557B" w:rsidRPr="00BC0D1F" w:rsidRDefault="006A557B" w:rsidP="00800915">
            <w:pPr>
              <w:pStyle w:val="TableText"/>
              <w:jc w:val="center"/>
            </w:pPr>
            <w:r w:rsidRPr="00BC0D1F">
              <w:t>5 years</w:t>
            </w:r>
          </w:p>
        </w:tc>
        <w:tc>
          <w:tcPr>
            <w:tcW w:w="1800" w:type="dxa"/>
            <w:vAlign w:val="center"/>
          </w:tcPr>
          <w:p w14:paraId="7D103C0D" w14:textId="77777777" w:rsidR="006A557B" w:rsidRPr="00BC0D1F" w:rsidRDefault="006A557B" w:rsidP="00800915">
            <w:pPr>
              <w:pStyle w:val="TableText"/>
              <w:jc w:val="center"/>
            </w:pPr>
            <w:r w:rsidRPr="00BC0D1F">
              <w:t>20%</w:t>
            </w:r>
          </w:p>
        </w:tc>
      </w:tr>
      <w:tr w:rsidR="006A557B" w:rsidRPr="00BC0D1F" w14:paraId="3EA2B571" w14:textId="77777777" w:rsidTr="00800915">
        <w:trPr>
          <w:cantSplit/>
        </w:trPr>
        <w:tc>
          <w:tcPr>
            <w:tcW w:w="2410" w:type="dxa"/>
            <w:vAlign w:val="center"/>
          </w:tcPr>
          <w:p w14:paraId="1AAF0F2C" w14:textId="77777777" w:rsidR="006A557B" w:rsidRPr="00BC0D1F" w:rsidRDefault="006A557B" w:rsidP="00800915">
            <w:pPr>
              <w:pStyle w:val="TableText"/>
            </w:pPr>
            <w:r w:rsidRPr="00BC0D1F">
              <w:t>Leasehold improvements</w:t>
            </w:r>
          </w:p>
        </w:tc>
        <w:tc>
          <w:tcPr>
            <w:tcW w:w="1730" w:type="dxa"/>
            <w:vAlign w:val="center"/>
          </w:tcPr>
          <w:p w14:paraId="48E5D730" w14:textId="77777777" w:rsidR="006A557B" w:rsidRPr="00BC0D1F" w:rsidRDefault="006A557B" w:rsidP="00800915">
            <w:pPr>
              <w:pStyle w:val="TableText"/>
              <w:jc w:val="center"/>
            </w:pPr>
            <w:r w:rsidRPr="00BC0D1F">
              <w:t>5</w:t>
            </w:r>
            <w:r w:rsidR="00800915" w:rsidRPr="00BC0D1F">
              <w:t>–</w:t>
            </w:r>
            <w:r w:rsidRPr="00BC0D1F">
              <w:t>10 years</w:t>
            </w:r>
          </w:p>
        </w:tc>
        <w:tc>
          <w:tcPr>
            <w:tcW w:w="1800" w:type="dxa"/>
            <w:vAlign w:val="center"/>
          </w:tcPr>
          <w:p w14:paraId="347D1BDD" w14:textId="77777777" w:rsidR="006A557B" w:rsidRPr="00BC0D1F" w:rsidRDefault="00800915" w:rsidP="00800915">
            <w:pPr>
              <w:pStyle w:val="TableText"/>
              <w:jc w:val="center"/>
            </w:pPr>
            <w:r w:rsidRPr="00BC0D1F">
              <w:t>10–</w:t>
            </w:r>
            <w:r w:rsidR="006A557B" w:rsidRPr="00BC0D1F">
              <w:t>20%</w:t>
            </w:r>
          </w:p>
        </w:tc>
      </w:tr>
      <w:tr w:rsidR="006A557B" w:rsidRPr="00BC0D1F" w14:paraId="19104BBF" w14:textId="77777777" w:rsidTr="00800915">
        <w:trPr>
          <w:cantSplit/>
        </w:trPr>
        <w:tc>
          <w:tcPr>
            <w:tcW w:w="2410" w:type="dxa"/>
            <w:tcBorders>
              <w:bottom w:val="single" w:sz="4" w:space="0" w:color="auto"/>
            </w:tcBorders>
            <w:vAlign w:val="center"/>
          </w:tcPr>
          <w:p w14:paraId="031786D2" w14:textId="77777777" w:rsidR="006A557B" w:rsidRPr="00BC0D1F" w:rsidRDefault="006A557B" w:rsidP="00800915">
            <w:pPr>
              <w:pStyle w:val="TableText"/>
            </w:pPr>
            <w:r w:rsidRPr="00BC0D1F">
              <w:t>IT equipment</w:t>
            </w:r>
          </w:p>
        </w:tc>
        <w:tc>
          <w:tcPr>
            <w:tcW w:w="1730" w:type="dxa"/>
            <w:tcBorders>
              <w:bottom w:val="single" w:sz="4" w:space="0" w:color="auto"/>
            </w:tcBorders>
            <w:vAlign w:val="center"/>
          </w:tcPr>
          <w:p w14:paraId="389BE6CE" w14:textId="77777777" w:rsidR="006A557B" w:rsidRPr="00BC0D1F" w:rsidRDefault="006A557B" w:rsidP="00800915">
            <w:pPr>
              <w:pStyle w:val="TableText"/>
              <w:jc w:val="center"/>
            </w:pPr>
            <w:r w:rsidRPr="00BC0D1F">
              <w:t>3</w:t>
            </w:r>
            <w:r w:rsidR="00800915" w:rsidRPr="00BC0D1F">
              <w:t>–</w:t>
            </w:r>
            <w:r w:rsidRPr="00BC0D1F">
              <w:t>5 years</w:t>
            </w:r>
          </w:p>
        </w:tc>
        <w:tc>
          <w:tcPr>
            <w:tcW w:w="1800" w:type="dxa"/>
            <w:tcBorders>
              <w:bottom w:val="single" w:sz="4" w:space="0" w:color="auto"/>
            </w:tcBorders>
            <w:vAlign w:val="center"/>
          </w:tcPr>
          <w:p w14:paraId="4FF22F60" w14:textId="77777777" w:rsidR="006A557B" w:rsidRPr="00BC0D1F" w:rsidRDefault="006A557B" w:rsidP="00800915">
            <w:pPr>
              <w:pStyle w:val="TableText"/>
              <w:jc w:val="center"/>
            </w:pPr>
            <w:r w:rsidRPr="00BC0D1F">
              <w:t>20</w:t>
            </w:r>
            <w:r w:rsidR="00800915" w:rsidRPr="00BC0D1F">
              <w:t>–</w:t>
            </w:r>
            <w:r w:rsidRPr="00BC0D1F">
              <w:t>33.3%</w:t>
            </w:r>
          </w:p>
        </w:tc>
      </w:tr>
    </w:tbl>
    <w:p w14:paraId="21369802" w14:textId="77777777" w:rsidR="006A557B" w:rsidRPr="00BC0D1F" w:rsidRDefault="006A557B" w:rsidP="00800915"/>
    <w:p w14:paraId="4672525A" w14:textId="77777777" w:rsidR="006A557B" w:rsidRPr="00BC0D1F" w:rsidRDefault="006A557B" w:rsidP="00800915">
      <w:pPr>
        <w:pStyle w:val="Heading5"/>
      </w:pPr>
      <w:r w:rsidRPr="00BC0D1F">
        <w:t>Additions</w:t>
      </w:r>
    </w:p>
    <w:p w14:paraId="2ACE276E" w14:textId="77777777" w:rsidR="006A557B" w:rsidRPr="00BC0D1F" w:rsidRDefault="006A557B" w:rsidP="00800915">
      <w:r w:rsidRPr="00BC0D1F">
        <w:t>The cost of an item of property, plant and equipment is recognised as an asset if, and only if, it is probable that future economic benefits or service potential associated with the item will flow to the Ministry and the cost of the item can be measured reliably.</w:t>
      </w:r>
    </w:p>
    <w:p w14:paraId="41CB6D8B" w14:textId="77777777" w:rsidR="006A557B" w:rsidRPr="00BC0D1F" w:rsidRDefault="006A557B" w:rsidP="00800915"/>
    <w:p w14:paraId="34364B62" w14:textId="77777777" w:rsidR="006A557B" w:rsidRPr="00BC0D1F" w:rsidRDefault="006A557B" w:rsidP="00800915">
      <w:r w:rsidRPr="00BC0D1F">
        <w:t>Work in progress is recognised at cost less impairment and is not depreciated.</w:t>
      </w:r>
    </w:p>
    <w:p w14:paraId="21F6B8EF" w14:textId="77777777" w:rsidR="006A557B" w:rsidRPr="00BC0D1F" w:rsidRDefault="006A557B" w:rsidP="00800915"/>
    <w:p w14:paraId="1121637F" w14:textId="77777777" w:rsidR="006A557B" w:rsidRPr="00BC0D1F" w:rsidRDefault="006A557B" w:rsidP="00800915">
      <w:pPr>
        <w:pStyle w:val="Heading5"/>
      </w:pPr>
      <w:r w:rsidRPr="00BC0D1F">
        <w:t>Disposals</w:t>
      </w:r>
    </w:p>
    <w:p w14:paraId="48F2BB3B" w14:textId="77777777" w:rsidR="006A557B" w:rsidRPr="00BC0D1F" w:rsidRDefault="006A557B" w:rsidP="00800915">
      <w:r w:rsidRPr="00BC0D1F">
        <w:t>Gains and losses on disposals are determined by comparing the sale proceeds with the carrying amount of the asset. Gains and losses on disposals are included in the Statement of Comprehensive Revenue and Expense. When revalued assets are sold, the amounts included in asset revaluation reserves in respect of those assets are transferred to retained earnings.</w:t>
      </w:r>
    </w:p>
    <w:p w14:paraId="230593D6" w14:textId="77777777" w:rsidR="006A557B" w:rsidRPr="00BC0D1F" w:rsidRDefault="006A557B" w:rsidP="00800915"/>
    <w:p w14:paraId="28054492" w14:textId="77777777" w:rsidR="006A557B" w:rsidRPr="00BC0D1F" w:rsidRDefault="006A557B" w:rsidP="00800915">
      <w:pPr>
        <w:pStyle w:val="Heading5"/>
      </w:pPr>
      <w:r w:rsidRPr="00BC0D1F">
        <w:t>Subsequent costs</w:t>
      </w:r>
    </w:p>
    <w:p w14:paraId="6D2467FB" w14:textId="77777777" w:rsidR="006A557B" w:rsidRPr="00BC0D1F" w:rsidRDefault="006A557B" w:rsidP="00800915">
      <w:r w:rsidRPr="00BC0D1F">
        <w:t>Costs incurred subsequent to initial acquisition are capitalised only when it is probable that future economic benefits or service potential associated with the item will flow to the Ministry and the cost of the item can be measured reliably.</w:t>
      </w:r>
    </w:p>
    <w:p w14:paraId="28B60B4F" w14:textId="77777777" w:rsidR="006A557B" w:rsidRPr="00BC0D1F" w:rsidRDefault="006A557B" w:rsidP="00800915"/>
    <w:p w14:paraId="6ADCAABE" w14:textId="77777777" w:rsidR="006A557B" w:rsidRPr="00BC0D1F" w:rsidRDefault="006A557B" w:rsidP="00800915">
      <w:pPr>
        <w:pStyle w:val="Heading4"/>
      </w:pPr>
      <w:r w:rsidRPr="00BC0D1F">
        <w:t>Intangible assets</w:t>
      </w:r>
    </w:p>
    <w:p w14:paraId="2E8F1B15" w14:textId="77777777" w:rsidR="006A557B" w:rsidRPr="00BC0D1F" w:rsidRDefault="006A557B" w:rsidP="00800915">
      <w:r w:rsidRPr="00BC0D1F">
        <w:t>Intangible assets are initially recorded at cost. The cost of an internally generated intangible asset represents expenditure incurred in the development phase of the asset only. The development phase occurs after the following can be demonstrated: technical feasibility; ability to complete the asset; intention and ability to sell or use; and where development expenditure can be reliably measured. Expenditure incurred on research related to an internally generated intangible asset is expensed when it is incurred. Where the research phase cannot be distinguished from the development phase, the expenditure is expensed when it is incurred.</w:t>
      </w:r>
    </w:p>
    <w:p w14:paraId="430EC95F" w14:textId="77777777" w:rsidR="006A557B" w:rsidRPr="00BC0D1F" w:rsidRDefault="006A557B" w:rsidP="00800915"/>
    <w:p w14:paraId="29502C10" w14:textId="77777777" w:rsidR="006A557B" w:rsidRPr="00BC0D1F" w:rsidRDefault="006A557B" w:rsidP="00800915">
      <w:pPr>
        <w:pStyle w:val="Heading5"/>
      </w:pPr>
      <w:r w:rsidRPr="00BC0D1F">
        <w:t>Software acquisition and development</w:t>
      </w:r>
    </w:p>
    <w:p w14:paraId="03B72088" w14:textId="77777777" w:rsidR="006A557B" w:rsidRPr="00BC0D1F" w:rsidRDefault="006A557B" w:rsidP="00800915">
      <w:r w:rsidRPr="00BC0D1F">
        <w:t>Acquired computer software licenses are capitalised on the basis of the costs incurred to acquire and bring to use the specific software.</w:t>
      </w:r>
    </w:p>
    <w:p w14:paraId="2367B628" w14:textId="77777777" w:rsidR="006A557B" w:rsidRPr="00BC0D1F" w:rsidRDefault="006A557B" w:rsidP="00800915"/>
    <w:p w14:paraId="5CC3F193" w14:textId="77777777" w:rsidR="006A557B" w:rsidRPr="00BC0D1F" w:rsidRDefault="006A557B" w:rsidP="00800915">
      <w:r w:rsidRPr="00BC0D1F">
        <w:t>Costs that are directly associated with the development of software for internal use by the Ministry are recognised as an intangible asset. Direct costs include the software development, employee costs, and an appropriate portion of relevant overheads.</w:t>
      </w:r>
    </w:p>
    <w:p w14:paraId="64177475" w14:textId="77777777" w:rsidR="006A557B" w:rsidRPr="00BC0D1F" w:rsidRDefault="006A557B" w:rsidP="00800915"/>
    <w:p w14:paraId="72DBA775" w14:textId="77777777" w:rsidR="006A557B" w:rsidRPr="00BC0D1F" w:rsidRDefault="006A557B" w:rsidP="00800915">
      <w:r w:rsidRPr="00BC0D1F">
        <w:t>Staff training costs are recognised as an expense when incurred.</w:t>
      </w:r>
    </w:p>
    <w:p w14:paraId="6FB4367A" w14:textId="77777777" w:rsidR="006A557B" w:rsidRPr="00BC0D1F" w:rsidRDefault="006A557B" w:rsidP="00800915"/>
    <w:p w14:paraId="6F9AD3A3" w14:textId="77777777" w:rsidR="006A557B" w:rsidRPr="00BC0D1F" w:rsidRDefault="006A557B" w:rsidP="00800915">
      <w:r w:rsidRPr="00BC0D1F">
        <w:t>Costs associated with maintaining computer software are recognised as an expense when incurred.</w:t>
      </w:r>
    </w:p>
    <w:p w14:paraId="21B61505" w14:textId="77777777" w:rsidR="006A557B" w:rsidRPr="00BC0D1F" w:rsidRDefault="006A557B" w:rsidP="00800915"/>
    <w:p w14:paraId="61511D95" w14:textId="77777777" w:rsidR="006A557B" w:rsidRPr="00BC0D1F" w:rsidRDefault="006A557B" w:rsidP="00800915">
      <w:r w:rsidRPr="00BC0D1F">
        <w:t>Intangible assets with finite lives are subsequently recorded at cost less any amortisation and impairment losses. Amortisation is charged to the Statement of Comprehensive Revenue and Expense on a straight-line basis over the useful life of the asset. Typically, the estimated useful lives of assets are as follows:</w:t>
      </w:r>
    </w:p>
    <w:p w14:paraId="7FE8C2E1" w14:textId="77777777" w:rsidR="006A557B" w:rsidRPr="00BC0D1F" w:rsidRDefault="006A557B" w:rsidP="00800915"/>
    <w:tbl>
      <w:tblPr>
        <w:tblW w:w="0" w:type="auto"/>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2835"/>
        <w:gridCol w:w="1665"/>
        <w:gridCol w:w="1800"/>
      </w:tblGrid>
      <w:tr w:rsidR="006A557B" w:rsidRPr="00BC0D1F" w14:paraId="561BA4BA" w14:textId="77777777" w:rsidTr="00800915">
        <w:trPr>
          <w:cantSplit/>
        </w:trPr>
        <w:tc>
          <w:tcPr>
            <w:tcW w:w="2835" w:type="dxa"/>
            <w:tcBorders>
              <w:top w:val="single" w:sz="4" w:space="0" w:color="auto"/>
              <w:bottom w:val="single" w:sz="4" w:space="0" w:color="auto"/>
            </w:tcBorders>
          </w:tcPr>
          <w:p w14:paraId="1F892535" w14:textId="77777777" w:rsidR="006A557B" w:rsidRPr="00BC0D1F" w:rsidRDefault="006A557B" w:rsidP="00800915">
            <w:pPr>
              <w:pStyle w:val="TableText"/>
              <w:rPr>
                <w:b/>
              </w:rPr>
            </w:pPr>
          </w:p>
        </w:tc>
        <w:tc>
          <w:tcPr>
            <w:tcW w:w="1665" w:type="dxa"/>
            <w:tcBorders>
              <w:top w:val="single" w:sz="4" w:space="0" w:color="auto"/>
              <w:bottom w:val="single" w:sz="4" w:space="0" w:color="auto"/>
            </w:tcBorders>
          </w:tcPr>
          <w:p w14:paraId="6B651248" w14:textId="77777777" w:rsidR="006A557B" w:rsidRPr="00BC0D1F" w:rsidRDefault="006A557B" w:rsidP="00800915">
            <w:pPr>
              <w:pStyle w:val="TableText"/>
              <w:jc w:val="center"/>
              <w:rPr>
                <w:b/>
              </w:rPr>
            </w:pPr>
            <w:r w:rsidRPr="00BC0D1F">
              <w:rPr>
                <w:b/>
              </w:rPr>
              <w:t>Useful life</w:t>
            </w:r>
          </w:p>
        </w:tc>
        <w:tc>
          <w:tcPr>
            <w:tcW w:w="1800" w:type="dxa"/>
            <w:tcBorders>
              <w:top w:val="single" w:sz="4" w:space="0" w:color="auto"/>
              <w:bottom w:val="single" w:sz="4" w:space="0" w:color="auto"/>
            </w:tcBorders>
          </w:tcPr>
          <w:p w14:paraId="1F7B3E8F" w14:textId="77777777" w:rsidR="006A557B" w:rsidRPr="00BC0D1F" w:rsidRDefault="006A557B" w:rsidP="00800915">
            <w:pPr>
              <w:pStyle w:val="TableText"/>
              <w:jc w:val="center"/>
              <w:rPr>
                <w:b/>
              </w:rPr>
            </w:pPr>
            <w:r w:rsidRPr="00BC0D1F">
              <w:rPr>
                <w:b/>
              </w:rPr>
              <w:t>Amortisation rate</w:t>
            </w:r>
          </w:p>
        </w:tc>
      </w:tr>
      <w:tr w:rsidR="006A557B" w:rsidRPr="00BC0D1F" w14:paraId="7AC97045" w14:textId="77777777" w:rsidTr="00800915">
        <w:trPr>
          <w:cantSplit/>
        </w:trPr>
        <w:tc>
          <w:tcPr>
            <w:tcW w:w="2835" w:type="dxa"/>
            <w:tcBorders>
              <w:top w:val="single" w:sz="4" w:space="0" w:color="auto"/>
            </w:tcBorders>
          </w:tcPr>
          <w:p w14:paraId="7D8B56EC" w14:textId="77777777" w:rsidR="006A557B" w:rsidRPr="00BC0D1F" w:rsidRDefault="006A557B" w:rsidP="00800915">
            <w:pPr>
              <w:pStyle w:val="TableText"/>
            </w:pPr>
            <w:r w:rsidRPr="00BC0D1F">
              <w:t xml:space="preserve">Software – </w:t>
            </w:r>
            <w:r w:rsidR="00800915" w:rsidRPr="00BC0D1F">
              <w:t>internally generated</w:t>
            </w:r>
          </w:p>
        </w:tc>
        <w:tc>
          <w:tcPr>
            <w:tcW w:w="1665" w:type="dxa"/>
            <w:tcBorders>
              <w:top w:val="single" w:sz="4" w:space="0" w:color="auto"/>
            </w:tcBorders>
          </w:tcPr>
          <w:p w14:paraId="65929664" w14:textId="77777777" w:rsidR="006A557B" w:rsidRPr="00BC0D1F" w:rsidRDefault="006A557B" w:rsidP="00800915">
            <w:pPr>
              <w:pStyle w:val="TableText"/>
              <w:jc w:val="center"/>
            </w:pPr>
            <w:r w:rsidRPr="00BC0D1F">
              <w:t>3</w:t>
            </w:r>
            <w:r w:rsidR="00800915" w:rsidRPr="00BC0D1F">
              <w:t>–</w:t>
            </w:r>
            <w:r w:rsidRPr="00BC0D1F">
              <w:t>7 years</w:t>
            </w:r>
          </w:p>
        </w:tc>
        <w:tc>
          <w:tcPr>
            <w:tcW w:w="1800" w:type="dxa"/>
            <w:tcBorders>
              <w:top w:val="single" w:sz="4" w:space="0" w:color="auto"/>
            </w:tcBorders>
          </w:tcPr>
          <w:p w14:paraId="43A06181" w14:textId="77777777" w:rsidR="006A557B" w:rsidRPr="00BC0D1F" w:rsidRDefault="006A557B" w:rsidP="00800915">
            <w:pPr>
              <w:pStyle w:val="TableText"/>
              <w:jc w:val="center"/>
            </w:pPr>
            <w:r w:rsidRPr="00BC0D1F">
              <w:t>14.3</w:t>
            </w:r>
            <w:r w:rsidR="00800915" w:rsidRPr="00BC0D1F">
              <w:t>–</w:t>
            </w:r>
            <w:r w:rsidRPr="00BC0D1F">
              <w:t>33.3%</w:t>
            </w:r>
          </w:p>
        </w:tc>
      </w:tr>
      <w:tr w:rsidR="006A557B" w:rsidRPr="00BC0D1F" w14:paraId="1C34640E" w14:textId="77777777" w:rsidTr="00800915">
        <w:trPr>
          <w:cantSplit/>
        </w:trPr>
        <w:tc>
          <w:tcPr>
            <w:tcW w:w="2835" w:type="dxa"/>
          </w:tcPr>
          <w:p w14:paraId="1CE5022D" w14:textId="77777777" w:rsidR="006A557B" w:rsidRPr="00BC0D1F" w:rsidRDefault="006A557B" w:rsidP="00800915">
            <w:pPr>
              <w:pStyle w:val="TableText"/>
            </w:pPr>
            <w:r w:rsidRPr="00BC0D1F">
              <w:t>Software – other</w:t>
            </w:r>
          </w:p>
        </w:tc>
        <w:tc>
          <w:tcPr>
            <w:tcW w:w="1665" w:type="dxa"/>
          </w:tcPr>
          <w:p w14:paraId="18913C9C" w14:textId="77777777" w:rsidR="006A557B" w:rsidRPr="00BC0D1F" w:rsidRDefault="006A557B" w:rsidP="00800915">
            <w:pPr>
              <w:pStyle w:val="TableText"/>
              <w:jc w:val="center"/>
            </w:pPr>
            <w:r w:rsidRPr="00BC0D1F">
              <w:t>3</w:t>
            </w:r>
            <w:r w:rsidR="00800915" w:rsidRPr="00BC0D1F">
              <w:t>–</w:t>
            </w:r>
            <w:r w:rsidRPr="00BC0D1F">
              <w:t>7 years</w:t>
            </w:r>
          </w:p>
        </w:tc>
        <w:tc>
          <w:tcPr>
            <w:tcW w:w="1800" w:type="dxa"/>
          </w:tcPr>
          <w:p w14:paraId="16CEF25C" w14:textId="77777777" w:rsidR="006A557B" w:rsidRPr="00BC0D1F" w:rsidRDefault="006A557B" w:rsidP="00800915">
            <w:pPr>
              <w:pStyle w:val="TableText"/>
              <w:jc w:val="center"/>
            </w:pPr>
            <w:r w:rsidRPr="00BC0D1F">
              <w:t>14.3</w:t>
            </w:r>
            <w:r w:rsidR="00800915" w:rsidRPr="00BC0D1F">
              <w:t>–</w:t>
            </w:r>
            <w:r w:rsidRPr="00BC0D1F">
              <w:t>33.3%</w:t>
            </w:r>
          </w:p>
        </w:tc>
      </w:tr>
    </w:tbl>
    <w:p w14:paraId="0C963191" w14:textId="77777777" w:rsidR="006A557B" w:rsidRPr="00BC0D1F" w:rsidRDefault="006A557B" w:rsidP="00800915"/>
    <w:p w14:paraId="78F84EB4" w14:textId="77777777" w:rsidR="006A557B" w:rsidRPr="00BC0D1F" w:rsidRDefault="006A557B" w:rsidP="00800915">
      <w:r w:rsidRPr="00BC0D1F">
        <w:t>Realised gains and losses arising from disposal of intangible assets are recognised in the Statement of Comprehensive Revenue and Expense in the period in which the transaction occurs.</w:t>
      </w:r>
    </w:p>
    <w:p w14:paraId="68F05715" w14:textId="77777777" w:rsidR="006A557B" w:rsidRPr="00BC0D1F" w:rsidRDefault="006A557B" w:rsidP="00800915"/>
    <w:p w14:paraId="6749BF08" w14:textId="77777777" w:rsidR="006A557B" w:rsidRPr="00BC0D1F" w:rsidRDefault="006A557B" w:rsidP="00800915">
      <w:pPr>
        <w:pStyle w:val="Heading4"/>
      </w:pPr>
      <w:r w:rsidRPr="00BC0D1F">
        <w:t>Impairment of property, plant and equipment and intangible assets</w:t>
      </w:r>
    </w:p>
    <w:p w14:paraId="13328028" w14:textId="77777777" w:rsidR="006A557B" w:rsidRPr="00BC0D1F" w:rsidRDefault="006A557B" w:rsidP="00800915">
      <w:r w:rsidRPr="00BC0D1F">
        <w:t>The Ministry does not hold any cash-generating assets. Assets are considered cash-generating where their primary objective is to generate a commercial return.</w:t>
      </w:r>
    </w:p>
    <w:p w14:paraId="136B47BD" w14:textId="77777777" w:rsidR="006A557B" w:rsidRPr="00BC0D1F" w:rsidRDefault="006A557B" w:rsidP="00800915"/>
    <w:p w14:paraId="15ABE2E6" w14:textId="77777777" w:rsidR="006A557B" w:rsidRPr="00BC0D1F" w:rsidRDefault="006A557B" w:rsidP="00800915">
      <w:pPr>
        <w:pStyle w:val="Heading5"/>
      </w:pPr>
      <w:r w:rsidRPr="00BC0D1F">
        <w:t>Non-cash-generating assets</w:t>
      </w:r>
    </w:p>
    <w:p w14:paraId="7E2C3EBC" w14:textId="77777777" w:rsidR="006A557B" w:rsidRPr="00BC0D1F" w:rsidRDefault="006A557B" w:rsidP="00800915">
      <w:r w:rsidRPr="00BC0D1F">
        <w:t>Intangible assets subsequently measured at cost that have an indefinite useful life or are not yet available for use, are not subject to amortisation and are tested annually for impairment.</w:t>
      </w:r>
    </w:p>
    <w:p w14:paraId="026FA072" w14:textId="77777777" w:rsidR="006A557B" w:rsidRPr="00BC0D1F" w:rsidRDefault="006A557B" w:rsidP="00800915"/>
    <w:p w14:paraId="0F6AE97E" w14:textId="77777777" w:rsidR="006A557B" w:rsidRPr="00BC0D1F" w:rsidRDefault="006A557B" w:rsidP="00800915">
      <w:r w:rsidRPr="00BC0D1F">
        <w:t>Property, plant, and equipment and intangible assets held at cost that have a finite useful life are reviewed for impairment whenever events or changes in circumstances indicate that the carrying amount may not be recoverable. An impairment loss is recognised for the amount by which the asset’s carrying amount exceeds its recoverable service amount. The recoverable service amount is the higher of an asset’s fair value less costs to sell and value in use.</w:t>
      </w:r>
    </w:p>
    <w:p w14:paraId="138C4379" w14:textId="77777777" w:rsidR="006A557B" w:rsidRPr="00BC0D1F" w:rsidRDefault="006A557B" w:rsidP="00800915"/>
    <w:p w14:paraId="07052206" w14:textId="77777777" w:rsidR="006A557B" w:rsidRPr="00BC0D1F" w:rsidRDefault="006A557B" w:rsidP="00800915">
      <w:r w:rsidRPr="00BC0D1F">
        <w:t>Value in use is the present value of the asset’s remaining service potential. 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6AF6E1F8" w14:textId="77777777" w:rsidR="006A557B" w:rsidRPr="00BC0D1F" w:rsidRDefault="006A557B" w:rsidP="00800915"/>
    <w:p w14:paraId="1C47E43A" w14:textId="77777777" w:rsidR="006A557B" w:rsidRPr="00BC0D1F" w:rsidRDefault="006A557B" w:rsidP="00800915">
      <w:r w:rsidRPr="00BC0D1F">
        <w:t>If an asset’s carrying amount exceeds its recoverable service amount, the asset is regarded as impaired and the carrying amount is written down to the recoverable service amount. The total impairment loss is recognised in the surplus or deficit.</w:t>
      </w:r>
    </w:p>
    <w:p w14:paraId="0D0B45BD" w14:textId="77777777" w:rsidR="006A557B" w:rsidRPr="00BC0D1F" w:rsidRDefault="006A557B" w:rsidP="00800915"/>
    <w:p w14:paraId="047F0DC6" w14:textId="77777777" w:rsidR="006A557B" w:rsidRPr="00BC0D1F" w:rsidRDefault="006A557B" w:rsidP="00800915">
      <w:r w:rsidRPr="00BC0D1F">
        <w:lastRenderedPageBreak/>
        <w:t>The reversal of an impairment loss is recognised in the surplus or deficit.</w:t>
      </w:r>
    </w:p>
    <w:p w14:paraId="19401B8E" w14:textId="77777777" w:rsidR="006A557B" w:rsidRPr="00BC0D1F" w:rsidRDefault="006A557B" w:rsidP="00800915">
      <w:pPr>
        <w:pStyle w:val="Heading4"/>
        <w:spacing w:before="360"/>
      </w:pPr>
      <w:r w:rsidRPr="00BC0D1F">
        <w:t>Leases</w:t>
      </w:r>
    </w:p>
    <w:p w14:paraId="4B6DDA05" w14:textId="77777777" w:rsidR="006A557B" w:rsidRPr="00BC0D1F" w:rsidRDefault="006A557B" w:rsidP="00800915">
      <w:r w:rsidRPr="00BC0D1F">
        <w:t>An operating lease is a lease that does not transfer substantially all the risks and rewards incidental to ownership of an asset.</w:t>
      </w:r>
    </w:p>
    <w:p w14:paraId="5051DDF0" w14:textId="77777777" w:rsidR="006A557B" w:rsidRPr="00BC0D1F" w:rsidRDefault="006A557B" w:rsidP="00800915"/>
    <w:p w14:paraId="6FBC1E25" w14:textId="77777777" w:rsidR="006A557B" w:rsidRPr="00BC0D1F" w:rsidRDefault="006A557B" w:rsidP="00800915">
      <w:r w:rsidRPr="00BC0D1F">
        <w:t>Lease incentives received are recognised evenly over the term of the lease as a reduction in rental expense.</w:t>
      </w:r>
    </w:p>
    <w:p w14:paraId="1EDD691B" w14:textId="77777777" w:rsidR="006A557B" w:rsidRPr="00BC0D1F" w:rsidRDefault="006A557B" w:rsidP="00800915"/>
    <w:p w14:paraId="2F15E76F" w14:textId="77777777" w:rsidR="006A557B" w:rsidRPr="00BC0D1F" w:rsidRDefault="006A557B" w:rsidP="00800915">
      <w:r w:rsidRPr="00BC0D1F">
        <w:t>Leasehold improvements are capitalised and the cost is amortised over the unexpired period of the lease, or the estimated useful life of the improvements whichever is shorter.</w:t>
      </w:r>
    </w:p>
    <w:p w14:paraId="765C50C2" w14:textId="77777777" w:rsidR="006A557B" w:rsidRPr="00BC0D1F" w:rsidRDefault="006A557B" w:rsidP="00800915"/>
    <w:p w14:paraId="4E930E99" w14:textId="77777777" w:rsidR="006A557B" w:rsidRPr="00BC0D1F" w:rsidRDefault="006A557B" w:rsidP="00800915">
      <w:pPr>
        <w:pStyle w:val="Heading4"/>
      </w:pPr>
      <w:r w:rsidRPr="00BC0D1F">
        <w:t>Provisions</w:t>
      </w:r>
    </w:p>
    <w:p w14:paraId="7AA3E19D" w14:textId="77777777" w:rsidR="006A557B" w:rsidRPr="00BC0D1F" w:rsidRDefault="006A557B" w:rsidP="00800915">
      <w:r w:rsidRPr="00BC0D1F">
        <w:t>The Ministry recognises a provision, based on probable cost, for future expenditure of uncertain amount or timing where there is a present obligation (either legal or constructive) as a result of a past event.</w:t>
      </w:r>
    </w:p>
    <w:p w14:paraId="7C1342A9" w14:textId="77777777" w:rsidR="00800915" w:rsidRPr="00BC0D1F" w:rsidRDefault="00800915" w:rsidP="00800915"/>
    <w:p w14:paraId="09F14CB4" w14:textId="77777777" w:rsidR="006A557B" w:rsidRPr="00BC0D1F" w:rsidRDefault="006A557B" w:rsidP="00800915">
      <w:r w:rsidRPr="00BC0D1F">
        <w:t>Provisions are recorded at the best estimate of the expenditure required to settle the obligation using a pre-tax discount rate that reflects current market assessments of the time value of money and the risks specific to the obligation. Provisions to be settled beyond 12 months are recorded at their present value.</w:t>
      </w:r>
    </w:p>
    <w:p w14:paraId="091839E2" w14:textId="77777777" w:rsidR="006A557B" w:rsidRPr="00BC0D1F" w:rsidRDefault="006A557B" w:rsidP="00800915"/>
    <w:p w14:paraId="01715831" w14:textId="77777777" w:rsidR="006A557B" w:rsidRPr="00BC0D1F" w:rsidRDefault="006A557B" w:rsidP="00800915">
      <w:pPr>
        <w:pStyle w:val="Heading4"/>
      </w:pPr>
      <w:r w:rsidRPr="00BC0D1F">
        <w:t>Commitments</w:t>
      </w:r>
    </w:p>
    <w:p w14:paraId="7450EF0B" w14:textId="77777777" w:rsidR="006A557B" w:rsidRPr="00BC0D1F" w:rsidRDefault="006A557B" w:rsidP="00800915">
      <w:r w:rsidRPr="00BC0D1F">
        <w:t>Expenses yet to be incurred on non-cancellable contracts that have been entered into on or before balance date are disclosed as commitments to the extent that there are equally unperformed obligations. Cancellable commitments that have penalty or exit costs explicit in the agreement on exercising that option to cancel are included in the statement of commitments at the value of that penalty or exit cost.</w:t>
      </w:r>
    </w:p>
    <w:p w14:paraId="5FEF6F62" w14:textId="77777777" w:rsidR="006A557B" w:rsidRPr="00BC0D1F" w:rsidRDefault="006A557B" w:rsidP="00800915"/>
    <w:p w14:paraId="7F90E7AD" w14:textId="77777777" w:rsidR="006A557B" w:rsidRPr="00BC0D1F" w:rsidRDefault="006A557B" w:rsidP="00800915">
      <w:pPr>
        <w:pStyle w:val="Heading4"/>
      </w:pPr>
      <w:r w:rsidRPr="00BC0D1F">
        <w:t>Changes in accounting policies</w:t>
      </w:r>
    </w:p>
    <w:p w14:paraId="7514D952" w14:textId="77777777" w:rsidR="006A557B" w:rsidRPr="00BC0D1F" w:rsidRDefault="006A557B" w:rsidP="00800915">
      <w:pPr>
        <w:rPr>
          <w:lang w:eastAsia="en-NZ"/>
        </w:rPr>
      </w:pPr>
      <w:r w:rsidRPr="00BC0D1F">
        <w:rPr>
          <w:lang w:eastAsia="en-NZ"/>
        </w:rPr>
        <w:t>There have been no accounting policy changes in the year.</w:t>
      </w:r>
    </w:p>
    <w:p w14:paraId="3BE21A32" w14:textId="77777777" w:rsidR="006A557B" w:rsidRPr="00BC0D1F" w:rsidRDefault="006A557B" w:rsidP="00800915">
      <w:pPr>
        <w:rPr>
          <w:lang w:eastAsia="en-NZ"/>
        </w:rPr>
      </w:pPr>
    </w:p>
    <w:p w14:paraId="6C13D04B" w14:textId="77777777" w:rsidR="006A557B" w:rsidRPr="00BC0D1F" w:rsidRDefault="006A557B" w:rsidP="00800915">
      <w:pPr>
        <w:pStyle w:val="Heading4"/>
      </w:pPr>
      <w:r w:rsidRPr="00BC0D1F">
        <w:t>Comparative figures</w:t>
      </w:r>
    </w:p>
    <w:p w14:paraId="4F2ACF2C" w14:textId="77777777" w:rsidR="006A557B" w:rsidRPr="00BC0D1F" w:rsidRDefault="006A557B" w:rsidP="00800915">
      <w:r w:rsidRPr="00BC0D1F">
        <w:t>When presentation or classification of items in the financial statements is amended or accounting policies are changed, comparative figures are restated to ensure consistency with the current period unless it is impracticable to do so.</w:t>
      </w:r>
    </w:p>
    <w:p w14:paraId="385AA3A0" w14:textId="77777777" w:rsidR="006A557B" w:rsidRPr="00BC0D1F" w:rsidRDefault="006A557B" w:rsidP="00800915"/>
    <w:p w14:paraId="08440666" w14:textId="77777777" w:rsidR="006A557B" w:rsidRPr="00BC0D1F" w:rsidRDefault="006A557B" w:rsidP="00800915">
      <w:pPr>
        <w:pStyle w:val="Heading4"/>
      </w:pPr>
      <w:r w:rsidRPr="00BC0D1F">
        <w:t>Goods and Service Tax (GST)</w:t>
      </w:r>
    </w:p>
    <w:p w14:paraId="34B61F4B" w14:textId="77777777" w:rsidR="006A557B" w:rsidRPr="00BC0D1F" w:rsidRDefault="006A557B" w:rsidP="00800915">
      <w:r w:rsidRPr="00BC0D1F">
        <w:t>All items in the financial statements are stated exclusive of GST, except for receivables and payables, which are stated on a GST inclusive basis. Where GST is not recoverable as input tax, then it is recognised as part of the related asset or expense.</w:t>
      </w:r>
    </w:p>
    <w:p w14:paraId="49DB487A" w14:textId="77777777" w:rsidR="006A557B" w:rsidRPr="00BC0D1F" w:rsidRDefault="006A557B" w:rsidP="00800915"/>
    <w:p w14:paraId="7C784E0D" w14:textId="77777777" w:rsidR="006A557B" w:rsidRPr="00BC0D1F" w:rsidRDefault="006A557B" w:rsidP="00800915">
      <w:r w:rsidRPr="00BC0D1F">
        <w:t>The net amount of GST recoverable from, or payable to, Inland Revenue (IRD) as at balance date is included as part of receivables or payables in the Statement of Financial Position.</w:t>
      </w:r>
    </w:p>
    <w:p w14:paraId="2E5751D8" w14:textId="77777777" w:rsidR="006A557B" w:rsidRPr="00BC0D1F" w:rsidRDefault="006A557B" w:rsidP="00800915"/>
    <w:p w14:paraId="66EB8E87" w14:textId="77777777" w:rsidR="006A557B" w:rsidRPr="00BC0D1F" w:rsidRDefault="006A557B" w:rsidP="00800915">
      <w:pPr>
        <w:rPr>
          <w:sz w:val="18"/>
          <w:szCs w:val="18"/>
        </w:rPr>
      </w:pPr>
      <w:r w:rsidRPr="00BC0D1F">
        <w:t>The net GST paid to, or received, from IRD including the GST relating to investing and financing activities, is classified as an operating cash flow in the Statement of Cash Flows.</w:t>
      </w:r>
    </w:p>
    <w:p w14:paraId="75C7C0AF" w14:textId="77777777" w:rsidR="006A557B" w:rsidRPr="00BC0D1F" w:rsidRDefault="006A557B" w:rsidP="00800915"/>
    <w:p w14:paraId="0B37EC25" w14:textId="77777777" w:rsidR="006A557B" w:rsidRPr="00BC0D1F" w:rsidRDefault="006A557B" w:rsidP="00800915">
      <w:r w:rsidRPr="00BC0D1F">
        <w:lastRenderedPageBreak/>
        <w:t>Commitments and contingencies are disclosed exclusive of GST.</w:t>
      </w:r>
    </w:p>
    <w:p w14:paraId="7B6AF093" w14:textId="77777777" w:rsidR="006A557B" w:rsidRPr="00BC0D1F" w:rsidRDefault="006A557B" w:rsidP="00800915"/>
    <w:p w14:paraId="509C2CE4" w14:textId="77777777" w:rsidR="006A557B" w:rsidRPr="00BC0D1F" w:rsidRDefault="006A557B" w:rsidP="00800915">
      <w:pPr>
        <w:pStyle w:val="Heading3"/>
      </w:pPr>
      <w:r w:rsidRPr="00BC0D1F">
        <w:t>Note 2: Revenue – other</w:t>
      </w:r>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536"/>
        <w:gridCol w:w="1228"/>
        <w:gridCol w:w="1229"/>
        <w:gridCol w:w="1229"/>
      </w:tblGrid>
      <w:tr w:rsidR="00800915" w:rsidRPr="00BC0D1F" w14:paraId="1F32104C" w14:textId="77777777" w:rsidTr="00800915">
        <w:trPr>
          <w:cantSplit/>
        </w:trPr>
        <w:tc>
          <w:tcPr>
            <w:tcW w:w="1134" w:type="dxa"/>
            <w:tcBorders>
              <w:top w:val="single" w:sz="4" w:space="0" w:color="auto"/>
              <w:bottom w:val="single" w:sz="4" w:space="0" w:color="auto"/>
              <w:right w:val="nil"/>
            </w:tcBorders>
            <w:shd w:val="solid" w:color="FFFFFF" w:fill="auto"/>
          </w:tcPr>
          <w:p w14:paraId="1272F97A" w14:textId="77777777" w:rsidR="00800915" w:rsidRPr="00BC0D1F" w:rsidRDefault="00800915" w:rsidP="00800915">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536" w:type="dxa"/>
            <w:tcBorders>
              <w:top w:val="single" w:sz="4" w:space="0" w:color="auto"/>
              <w:left w:val="nil"/>
              <w:bottom w:val="single" w:sz="4" w:space="0" w:color="auto"/>
            </w:tcBorders>
            <w:shd w:val="solid" w:color="FFFFFF" w:fill="auto"/>
          </w:tcPr>
          <w:p w14:paraId="5FD97E35" w14:textId="77777777" w:rsidR="00800915" w:rsidRPr="00BC0D1F" w:rsidRDefault="00800915" w:rsidP="00800915">
            <w:pPr>
              <w:pStyle w:val="TableText"/>
              <w:rPr>
                <w:b/>
                <w:lang w:eastAsia="en-NZ"/>
              </w:rPr>
            </w:pPr>
          </w:p>
        </w:tc>
        <w:tc>
          <w:tcPr>
            <w:tcW w:w="1228" w:type="dxa"/>
            <w:tcBorders>
              <w:top w:val="single" w:sz="4" w:space="0" w:color="auto"/>
              <w:bottom w:val="single" w:sz="4" w:space="0" w:color="auto"/>
            </w:tcBorders>
            <w:shd w:val="clear" w:color="E3E3E3" w:fill="D9D9D9"/>
          </w:tcPr>
          <w:p w14:paraId="35CB9CA2" w14:textId="77777777" w:rsidR="00800915" w:rsidRPr="00BC0D1F" w:rsidRDefault="00800915" w:rsidP="00800915">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5F44C379" w14:textId="77777777" w:rsidR="00800915" w:rsidRPr="00BC0D1F" w:rsidRDefault="00800915" w:rsidP="00800915">
            <w:pPr>
              <w:pStyle w:val="TableText"/>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6C0BE3E1" w14:textId="77777777" w:rsidR="00800915" w:rsidRPr="00BC0D1F" w:rsidRDefault="00800915" w:rsidP="00800915">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800915" w:rsidRPr="00BC0D1F" w14:paraId="47FE5E50" w14:textId="77777777" w:rsidTr="00800915">
        <w:trPr>
          <w:cantSplit/>
        </w:trPr>
        <w:tc>
          <w:tcPr>
            <w:tcW w:w="1134" w:type="dxa"/>
            <w:tcBorders>
              <w:top w:val="single" w:sz="4" w:space="0" w:color="auto"/>
              <w:right w:val="nil"/>
            </w:tcBorders>
            <w:shd w:val="solid" w:color="FFFFFF" w:fill="auto"/>
          </w:tcPr>
          <w:p w14:paraId="5EA7FA44" w14:textId="77777777" w:rsidR="00800915" w:rsidRPr="00BC0D1F" w:rsidRDefault="00800915" w:rsidP="00800915">
            <w:pPr>
              <w:pStyle w:val="TableText"/>
              <w:ind w:right="284"/>
              <w:jc w:val="right"/>
            </w:pPr>
            <w:r w:rsidRPr="00BC0D1F">
              <w:t>8,567</w:t>
            </w:r>
          </w:p>
        </w:tc>
        <w:tc>
          <w:tcPr>
            <w:tcW w:w="4536" w:type="dxa"/>
            <w:tcBorders>
              <w:top w:val="single" w:sz="4" w:space="0" w:color="auto"/>
              <w:left w:val="nil"/>
            </w:tcBorders>
            <w:shd w:val="solid" w:color="FFFFFF" w:fill="auto"/>
          </w:tcPr>
          <w:p w14:paraId="6D38E78E" w14:textId="77777777" w:rsidR="00800915" w:rsidRPr="00BC0D1F" w:rsidRDefault="00800915" w:rsidP="00800915">
            <w:pPr>
              <w:pStyle w:val="TableText"/>
            </w:pPr>
            <w:r w:rsidRPr="00BC0D1F">
              <w:t>Medicines registration</w:t>
            </w:r>
          </w:p>
        </w:tc>
        <w:tc>
          <w:tcPr>
            <w:tcW w:w="1228" w:type="dxa"/>
            <w:tcBorders>
              <w:top w:val="single" w:sz="4" w:space="0" w:color="auto"/>
            </w:tcBorders>
            <w:shd w:val="clear" w:color="E3E3E3" w:fill="D9D9D9"/>
          </w:tcPr>
          <w:p w14:paraId="3B181F28" w14:textId="77777777" w:rsidR="00800915" w:rsidRPr="00BC0D1F" w:rsidRDefault="00800915" w:rsidP="00800915">
            <w:pPr>
              <w:pStyle w:val="TableText"/>
              <w:ind w:right="113"/>
              <w:jc w:val="right"/>
            </w:pPr>
            <w:r w:rsidRPr="00BC0D1F">
              <w:t>7,788</w:t>
            </w:r>
          </w:p>
        </w:tc>
        <w:tc>
          <w:tcPr>
            <w:tcW w:w="1229" w:type="dxa"/>
            <w:tcBorders>
              <w:top w:val="single" w:sz="4" w:space="0" w:color="auto"/>
            </w:tcBorders>
          </w:tcPr>
          <w:p w14:paraId="27702304" w14:textId="77777777" w:rsidR="00800915" w:rsidRPr="00BC0D1F" w:rsidRDefault="00800915" w:rsidP="00800915">
            <w:pPr>
              <w:pStyle w:val="TableText"/>
              <w:jc w:val="right"/>
            </w:pPr>
            <w:r w:rsidRPr="00BC0D1F">
              <w:t>8,400</w:t>
            </w:r>
          </w:p>
        </w:tc>
        <w:tc>
          <w:tcPr>
            <w:tcW w:w="1229" w:type="dxa"/>
            <w:tcBorders>
              <w:top w:val="single" w:sz="4" w:space="0" w:color="auto"/>
            </w:tcBorders>
          </w:tcPr>
          <w:p w14:paraId="13FC0FFF" w14:textId="77777777" w:rsidR="00800915" w:rsidRPr="00BC0D1F" w:rsidRDefault="00800915" w:rsidP="00800915">
            <w:pPr>
              <w:pStyle w:val="TableText"/>
              <w:jc w:val="right"/>
            </w:pPr>
            <w:r w:rsidRPr="00BC0D1F">
              <w:t>8,400</w:t>
            </w:r>
          </w:p>
        </w:tc>
      </w:tr>
      <w:tr w:rsidR="00800915" w:rsidRPr="00BC0D1F" w14:paraId="0CAEB28D" w14:textId="77777777" w:rsidTr="00800915">
        <w:trPr>
          <w:cantSplit/>
        </w:trPr>
        <w:tc>
          <w:tcPr>
            <w:tcW w:w="1134" w:type="dxa"/>
            <w:tcBorders>
              <w:right w:val="nil"/>
            </w:tcBorders>
            <w:shd w:val="solid" w:color="FFFFFF" w:fill="auto"/>
          </w:tcPr>
          <w:p w14:paraId="0474F124" w14:textId="77777777" w:rsidR="00800915" w:rsidRPr="00BC0D1F" w:rsidRDefault="00800915" w:rsidP="00800915">
            <w:pPr>
              <w:pStyle w:val="TableText"/>
              <w:ind w:right="284"/>
              <w:jc w:val="right"/>
            </w:pPr>
            <w:r w:rsidRPr="00BC0D1F">
              <w:t>635</w:t>
            </w:r>
          </w:p>
        </w:tc>
        <w:tc>
          <w:tcPr>
            <w:tcW w:w="4536" w:type="dxa"/>
            <w:tcBorders>
              <w:left w:val="nil"/>
            </w:tcBorders>
            <w:shd w:val="solid" w:color="FFFFFF" w:fill="auto"/>
          </w:tcPr>
          <w:p w14:paraId="1553AFE6" w14:textId="77777777" w:rsidR="00800915" w:rsidRPr="00BC0D1F" w:rsidRDefault="00800915" w:rsidP="00800915">
            <w:pPr>
              <w:pStyle w:val="TableText"/>
            </w:pPr>
            <w:r w:rsidRPr="00BC0D1F">
              <w:t>Service fees</w:t>
            </w:r>
          </w:p>
        </w:tc>
        <w:tc>
          <w:tcPr>
            <w:tcW w:w="1228" w:type="dxa"/>
            <w:shd w:val="clear" w:color="E3E3E3" w:fill="D9D9D9"/>
          </w:tcPr>
          <w:p w14:paraId="468FB869" w14:textId="77777777" w:rsidR="00800915" w:rsidRPr="00BC0D1F" w:rsidRDefault="00800915" w:rsidP="00800915">
            <w:pPr>
              <w:pStyle w:val="TableText"/>
              <w:ind w:right="113"/>
              <w:jc w:val="right"/>
            </w:pPr>
            <w:r w:rsidRPr="00BC0D1F">
              <w:t>315</w:t>
            </w:r>
          </w:p>
        </w:tc>
        <w:tc>
          <w:tcPr>
            <w:tcW w:w="1229" w:type="dxa"/>
          </w:tcPr>
          <w:p w14:paraId="12A27448" w14:textId="77777777" w:rsidR="00800915" w:rsidRPr="00BC0D1F" w:rsidRDefault="00800915" w:rsidP="00800915">
            <w:pPr>
              <w:pStyle w:val="TableText"/>
              <w:jc w:val="right"/>
            </w:pPr>
            <w:r w:rsidRPr="00BC0D1F">
              <w:t>600</w:t>
            </w:r>
          </w:p>
        </w:tc>
        <w:tc>
          <w:tcPr>
            <w:tcW w:w="1229" w:type="dxa"/>
          </w:tcPr>
          <w:p w14:paraId="7D53A35A" w14:textId="77777777" w:rsidR="00800915" w:rsidRPr="00BC0D1F" w:rsidRDefault="00800915" w:rsidP="00800915">
            <w:pPr>
              <w:pStyle w:val="TableText"/>
              <w:jc w:val="right"/>
            </w:pPr>
            <w:r w:rsidRPr="00BC0D1F">
              <w:t>600</w:t>
            </w:r>
          </w:p>
        </w:tc>
      </w:tr>
      <w:tr w:rsidR="00800915" w:rsidRPr="00BC0D1F" w14:paraId="3A7C39D5" w14:textId="77777777" w:rsidTr="00800915">
        <w:trPr>
          <w:cantSplit/>
        </w:trPr>
        <w:tc>
          <w:tcPr>
            <w:tcW w:w="1134" w:type="dxa"/>
            <w:tcBorders>
              <w:right w:val="nil"/>
            </w:tcBorders>
            <w:shd w:val="solid" w:color="FFFFFF" w:fill="auto"/>
          </w:tcPr>
          <w:p w14:paraId="250492A2" w14:textId="77777777" w:rsidR="00800915" w:rsidRPr="00BC0D1F" w:rsidRDefault="00800915" w:rsidP="00800915">
            <w:pPr>
              <w:pStyle w:val="TableText"/>
              <w:ind w:right="284"/>
              <w:jc w:val="right"/>
            </w:pPr>
            <w:r w:rsidRPr="00BC0D1F">
              <w:t>1,979</w:t>
            </w:r>
          </w:p>
        </w:tc>
        <w:tc>
          <w:tcPr>
            <w:tcW w:w="4536" w:type="dxa"/>
            <w:tcBorders>
              <w:left w:val="nil"/>
            </w:tcBorders>
            <w:shd w:val="solid" w:color="FFFFFF" w:fill="auto"/>
          </w:tcPr>
          <w:p w14:paraId="3B7A084D" w14:textId="77777777" w:rsidR="00800915" w:rsidRPr="00BC0D1F" w:rsidRDefault="00800915" w:rsidP="00800915">
            <w:pPr>
              <w:pStyle w:val="TableText"/>
            </w:pPr>
            <w:r w:rsidRPr="00BC0D1F">
              <w:t>Annual licence and registration fees</w:t>
            </w:r>
          </w:p>
        </w:tc>
        <w:tc>
          <w:tcPr>
            <w:tcW w:w="1228" w:type="dxa"/>
            <w:shd w:val="clear" w:color="E3E3E3" w:fill="D9D9D9"/>
          </w:tcPr>
          <w:p w14:paraId="539D3555" w14:textId="77777777" w:rsidR="00800915" w:rsidRPr="00BC0D1F" w:rsidRDefault="00800915" w:rsidP="00800915">
            <w:pPr>
              <w:pStyle w:val="TableText"/>
              <w:ind w:right="113"/>
              <w:jc w:val="right"/>
            </w:pPr>
            <w:r w:rsidRPr="00BC0D1F">
              <w:t>2,042</w:t>
            </w:r>
          </w:p>
        </w:tc>
        <w:tc>
          <w:tcPr>
            <w:tcW w:w="1229" w:type="dxa"/>
          </w:tcPr>
          <w:p w14:paraId="5113E308" w14:textId="77777777" w:rsidR="00800915" w:rsidRPr="00BC0D1F" w:rsidRDefault="00800915" w:rsidP="00800915">
            <w:pPr>
              <w:pStyle w:val="TableText"/>
              <w:jc w:val="right"/>
            </w:pPr>
            <w:r w:rsidRPr="00BC0D1F">
              <w:t>1,900</w:t>
            </w:r>
          </w:p>
        </w:tc>
        <w:tc>
          <w:tcPr>
            <w:tcW w:w="1229" w:type="dxa"/>
          </w:tcPr>
          <w:p w14:paraId="02F98BFE" w14:textId="77777777" w:rsidR="00800915" w:rsidRPr="00BC0D1F" w:rsidRDefault="00800915" w:rsidP="00800915">
            <w:pPr>
              <w:pStyle w:val="TableText"/>
              <w:jc w:val="right"/>
            </w:pPr>
            <w:r w:rsidRPr="00BC0D1F">
              <w:t>4,016</w:t>
            </w:r>
          </w:p>
        </w:tc>
      </w:tr>
      <w:tr w:rsidR="00800915" w:rsidRPr="00BC0D1F" w14:paraId="422E80E6" w14:textId="77777777" w:rsidTr="00800915">
        <w:trPr>
          <w:cantSplit/>
        </w:trPr>
        <w:tc>
          <w:tcPr>
            <w:tcW w:w="1134" w:type="dxa"/>
            <w:tcBorders>
              <w:right w:val="nil"/>
            </w:tcBorders>
          </w:tcPr>
          <w:p w14:paraId="4AC380D0" w14:textId="77777777" w:rsidR="00800915" w:rsidRPr="00BC0D1F" w:rsidRDefault="00800915" w:rsidP="00800915">
            <w:pPr>
              <w:pStyle w:val="TableText"/>
              <w:ind w:right="284"/>
              <w:jc w:val="right"/>
            </w:pPr>
            <w:r w:rsidRPr="00BC0D1F">
              <w:t>–</w:t>
            </w:r>
          </w:p>
        </w:tc>
        <w:tc>
          <w:tcPr>
            <w:tcW w:w="4536" w:type="dxa"/>
            <w:tcBorders>
              <w:left w:val="nil"/>
            </w:tcBorders>
            <w:shd w:val="solid" w:color="FFFFFF" w:fill="auto"/>
          </w:tcPr>
          <w:p w14:paraId="493193A3" w14:textId="77777777" w:rsidR="00800915" w:rsidRPr="00BC0D1F" w:rsidRDefault="00800915" w:rsidP="00800915">
            <w:pPr>
              <w:pStyle w:val="TableText"/>
            </w:pPr>
            <w:r w:rsidRPr="00BC0D1F">
              <w:t>Other government departmental revenue</w:t>
            </w:r>
          </w:p>
        </w:tc>
        <w:tc>
          <w:tcPr>
            <w:tcW w:w="1228" w:type="dxa"/>
            <w:shd w:val="clear" w:color="E3E3E3" w:fill="D9D9D9"/>
          </w:tcPr>
          <w:p w14:paraId="0DF9B985" w14:textId="77777777" w:rsidR="00800915" w:rsidRPr="00BC0D1F" w:rsidRDefault="00800915" w:rsidP="00800915">
            <w:pPr>
              <w:pStyle w:val="TableText"/>
              <w:ind w:right="113"/>
              <w:jc w:val="right"/>
            </w:pPr>
            <w:r w:rsidRPr="00BC0D1F">
              <w:t>–</w:t>
            </w:r>
          </w:p>
        </w:tc>
        <w:tc>
          <w:tcPr>
            <w:tcW w:w="1229" w:type="dxa"/>
          </w:tcPr>
          <w:p w14:paraId="404EECF9" w14:textId="77777777" w:rsidR="00800915" w:rsidRPr="00BC0D1F" w:rsidRDefault="00800915" w:rsidP="00800915">
            <w:pPr>
              <w:pStyle w:val="TableText"/>
              <w:jc w:val="right"/>
            </w:pPr>
            <w:r w:rsidRPr="00BC0D1F">
              <w:t>–</w:t>
            </w:r>
          </w:p>
        </w:tc>
        <w:tc>
          <w:tcPr>
            <w:tcW w:w="1229" w:type="dxa"/>
          </w:tcPr>
          <w:p w14:paraId="2EE5D524" w14:textId="77777777" w:rsidR="00800915" w:rsidRPr="00BC0D1F" w:rsidRDefault="00800915" w:rsidP="00800915">
            <w:pPr>
              <w:pStyle w:val="TableText"/>
              <w:jc w:val="right"/>
            </w:pPr>
            <w:r w:rsidRPr="00BC0D1F">
              <w:t>–</w:t>
            </w:r>
          </w:p>
        </w:tc>
      </w:tr>
      <w:tr w:rsidR="00800915" w:rsidRPr="00BC0D1F" w14:paraId="51D7D640" w14:textId="77777777" w:rsidTr="00800915">
        <w:trPr>
          <w:cantSplit/>
        </w:trPr>
        <w:tc>
          <w:tcPr>
            <w:tcW w:w="1134" w:type="dxa"/>
            <w:tcBorders>
              <w:bottom w:val="nil"/>
              <w:right w:val="nil"/>
            </w:tcBorders>
            <w:shd w:val="solid" w:color="FFFFFF" w:fill="auto"/>
          </w:tcPr>
          <w:p w14:paraId="0D13C196" w14:textId="77777777" w:rsidR="00800915" w:rsidRPr="00BC0D1F" w:rsidRDefault="00800915" w:rsidP="00800915">
            <w:pPr>
              <w:pStyle w:val="TableText"/>
              <w:ind w:right="284"/>
              <w:jc w:val="right"/>
            </w:pPr>
            <w:r w:rsidRPr="00BC0D1F">
              <w:t>802</w:t>
            </w:r>
          </w:p>
        </w:tc>
        <w:tc>
          <w:tcPr>
            <w:tcW w:w="4536" w:type="dxa"/>
            <w:tcBorders>
              <w:left w:val="nil"/>
              <w:bottom w:val="nil"/>
            </w:tcBorders>
            <w:shd w:val="solid" w:color="FFFFFF" w:fill="auto"/>
          </w:tcPr>
          <w:p w14:paraId="49F65CA7" w14:textId="77777777" w:rsidR="00800915" w:rsidRPr="00BC0D1F" w:rsidRDefault="00800915" w:rsidP="00800915">
            <w:pPr>
              <w:pStyle w:val="TableText"/>
            </w:pPr>
            <w:r w:rsidRPr="00BC0D1F">
              <w:t>Other revenue</w:t>
            </w:r>
          </w:p>
        </w:tc>
        <w:tc>
          <w:tcPr>
            <w:tcW w:w="1228" w:type="dxa"/>
            <w:tcBorders>
              <w:bottom w:val="nil"/>
            </w:tcBorders>
            <w:shd w:val="clear" w:color="E3E3E3" w:fill="D9D9D9"/>
          </w:tcPr>
          <w:p w14:paraId="0B4D3F40" w14:textId="77777777" w:rsidR="00800915" w:rsidRPr="00BC0D1F" w:rsidRDefault="00800915" w:rsidP="00800915">
            <w:pPr>
              <w:pStyle w:val="TableText"/>
              <w:ind w:right="113"/>
              <w:jc w:val="right"/>
            </w:pPr>
            <w:r w:rsidRPr="00BC0D1F">
              <w:t>543</w:t>
            </w:r>
          </w:p>
        </w:tc>
        <w:tc>
          <w:tcPr>
            <w:tcW w:w="1229" w:type="dxa"/>
            <w:tcBorders>
              <w:bottom w:val="nil"/>
            </w:tcBorders>
          </w:tcPr>
          <w:p w14:paraId="2D801FCA" w14:textId="77777777" w:rsidR="00800915" w:rsidRPr="00BC0D1F" w:rsidRDefault="00800915" w:rsidP="00800915">
            <w:pPr>
              <w:pStyle w:val="TableText"/>
              <w:jc w:val="right"/>
            </w:pPr>
            <w:r w:rsidRPr="00BC0D1F">
              <w:t>3,257</w:t>
            </w:r>
          </w:p>
        </w:tc>
        <w:tc>
          <w:tcPr>
            <w:tcW w:w="1229" w:type="dxa"/>
            <w:tcBorders>
              <w:bottom w:val="nil"/>
            </w:tcBorders>
          </w:tcPr>
          <w:p w14:paraId="2750624C" w14:textId="77777777" w:rsidR="00800915" w:rsidRPr="00BC0D1F" w:rsidRDefault="00800915" w:rsidP="00800915">
            <w:pPr>
              <w:pStyle w:val="TableText"/>
              <w:jc w:val="right"/>
            </w:pPr>
            <w:r w:rsidRPr="00BC0D1F">
              <w:t>–</w:t>
            </w:r>
          </w:p>
        </w:tc>
      </w:tr>
      <w:tr w:rsidR="00800915" w:rsidRPr="00BC0D1F" w14:paraId="6A678001" w14:textId="77777777" w:rsidTr="00800915">
        <w:trPr>
          <w:cantSplit/>
        </w:trPr>
        <w:tc>
          <w:tcPr>
            <w:tcW w:w="1134" w:type="dxa"/>
            <w:tcBorders>
              <w:top w:val="nil"/>
              <w:bottom w:val="single" w:sz="4" w:space="0" w:color="auto"/>
              <w:right w:val="nil"/>
            </w:tcBorders>
            <w:shd w:val="solid" w:color="FFFFFF" w:fill="auto"/>
          </w:tcPr>
          <w:p w14:paraId="60432A84" w14:textId="77777777" w:rsidR="00800915" w:rsidRPr="00BC0D1F" w:rsidRDefault="00800915" w:rsidP="00800915">
            <w:pPr>
              <w:pStyle w:val="TableText"/>
              <w:ind w:right="284"/>
              <w:jc w:val="right"/>
              <w:rPr>
                <w:b/>
                <w:bCs/>
              </w:rPr>
            </w:pPr>
            <w:r w:rsidRPr="00BC0D1F">
              <w:rPr>
                <w:b/>
                <w:bCs/>
              </w:rPr>
              <w:t>11,983</w:t>
            </w:r>
          </w:p>
        </w:tc>
        <w:tc>
          <w:tcPr>
            <w:tcW w:w="4536" w:type="dxa"/>
            <w:tcBorders>
              <w:top w:val="nil"/>
              <w:left w:val="nil"/>
              <w:bottom w:val="single" w:sz="4" w:space="0" w:color="auto"/>
            </w:tcBorders>
            <w:shd w:val="solid" w:color="FFFFFF" w:fill="auto"/>
          </w:tcPr>
          <w:p w14:paraId="0BC2FEEB" w14:textId="77777777" w:rsidR="00800915" w:rsidRPr="00BC0D1F" w:rsidRDefault="00800915" w:rsidP="00800915">
            <w:pPr>
              <w:pStyle w:val="TableText"/>
              <w:rPr>
                <w:b/>
                <w:bCs/>
              </w:rPr>
            </w:pPr>
            <w:r w:rsidRPr="00BC0D1F">
              <w:rPr>
                <w:b/>
                <w:bCs/>
              </w:rPr>
              <w:t>Total revenue other</w:t>
            </w:r>
          </w:p>
        </w:tc>
        <w:tc>
          <w:tcPr>
            <w:tcW w:w="1228" w:type="dxa"/>
            <w:tcBorders>
              <w:top w:val="nil"/>
              <w:bottom w:val="single" w:sz="4" w:space="0" w:color="auto"/>
            </w:tcBorders>
            <w:shd w:val="clear" w:color="E3E3E3" w:fill="D9D9D9"/>
          </w:tcPr>
          <w:p w14:paraId="52BA459A" w14:textId="77777777" w:rsidR="00800915" w:rsidRPr="00BC0D1F" w:rsidRDefault="00800915" w:rsidP="00800915">
            <w:pPr>
              <w:pStyle w:val="TableText"/>
              <w:ind w:right="113"/>
              <w:jc w:val="right"/>
              <w:rPr>
                <w:b/>
                <w:bCs/>
              </w:rPr>
            </w:pPr>
            <w:r w:rsidRPr="00BC0D1F">
              <w:rPr>
                <w:b/>
                <w:bCs/>
              </w:rPr>
              <w:t>10,688</w:t>
            </w:r>
          </w:p>
        </w:tc>
        <w:tc>
          <w:tcPr>
            <w:tcW w:w="1229" w:type="dxa"/>
            <w:tcBorders>
              <w:top w:val="nil"/>
              <w:bottom w:val="single" w:sz="4" w:space="0" w:color="auto"/>
            </w:tcBorders>
          </w:tcPr>
          <w:p w14:paraId="4F0D02AE" w14:textId="77777777" w:rsidR="00800915" w:rsidRPr="00BC0D1F" w:rsidRDefault="00800915" w:rsidP="00800915">
            <w:pPr>
              <w:pStyle w:val="TableText"/>
              <w:jc w:val="right"/>
              <w:rPr>
                <w:b/>
                <w:bCs/>
              </w:rPr>
            </w:pPr>
            <w:r w:rsidRPr="00BC0D1F">
              <w:rPr>
                <w:b/>
                <w:bCs/>
              </w:rPr>
              <w:t>14,157</w:t>
            </w:r>
          </w:p>
        </w:tc>
        <w:tc>
          <w:tcPr>
            <w:tcW w:w="1229" w:type="dxa"/>
            <w:tcBorders>
              <w:top w:val="nil"/>
              <w:bottom w:val="single" w:sz="4" w:space="0" w:color="auto"/>
            </w:tcBorders>
          </w:tcPr>
          <w:p w14:paraId="412CAFF7" w14:textId="77777777" w:rsidR="00800915" w:rsidRPr="00BC0D1F" w:rsidRDefault="00800915" w:rsidP="00800915">
            <w:pPr>
              <w:pStyle w:val="TableText"/>
              <w:jc w:val="right"/>
              <w:rPr>
                <w:b/>
                <w:bCs/>
              </w:rPr>
            </w:pPr>
            <w:r w:rsidRPr="00BC0D1F">
              <w:rPr>
                <w:b/>
                <w:bCs/>
              </w:rPr>
              <w:t>13,016</w:t>
            </w:r>
          </w:p>
        </w:tc>
      </w:tr>
    </w:tbl>
    <w:p w14:paraId="1FA68812" w14:textId="77777777" w:rsidR="006A557B" w:rsidRPr="00BC0D1F" w:rsidRDefault="006A557B" w:rsidP="00800915"/>
    <w:p w14:paraId="52BEEEFC" w14:textId="77777777" w:rsidR="006A557B" w:rsidRPr="00BC0D1F" w:rsidRDefault="006A557B" w:rsidP="00800915">
      <w:pPr>
        <w:pStyle w:val="Heading3"/>
      </w:pPr>
      <w:r w:rsidRPr="00BC0D1F">
        <w:t>Note 3: Personnel</w:t>
      </w:r>
    </w:p>
    <w:tbl>
      <w:tblPr>
        <w:tblW w:w="8127"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536"/>
        <w:gridCol w:w="1228"/>
        <w:gridCol w:w="1229"/>
      </w:tblGrid>
      <w:tr w:rsidR="00541B4E" w:rsidRPr="00BC0D1F" w14:paraId="153BF5B6" w14:textId="77777777" w:rsidTr="00541B4E">
        <w:trPr>
          <w:cantSplit/>
        </w:trPr>
        <w:tc>
          <w:tcPr>
            <w:tcW w:w="1134" w:type="dxa"/>
            <w:tcBorders>
              <w:top w:val="single" w:sz="4" w:space="0" w:color="auto"/>
              <w:bottom w:val="single" w:sz="4" w:space="0" w:color="auto"/>
              <w:right w:val="nil"/>
            </w:tcBorders>
            <w:shd w:val="solid" w:color="FFFFFF" w:fill="auto"/>
          </w:tcPr>
          <w:p w14:paraId="01E3083A" w14:textId="77777777" w:rsidR="00541B4E" w:rsidRPr="00BC0D1F" w:rsidRDefault="00541B4E" w:rsidP="00800915">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536" w:type="dxa"/>
            <w:tcBorders>
              <w:top w:val="single" w:sz="4" w:space="0" w:color="auto"/>
              <w:left w:val="nil"/>
              <w:bottom w:val="single" w:sz="4" w:space="0" w:color="auto"/>
            </w:tcBorders>
            <w:shd w:val="solid" w:color="FFFFFF" w:fill="auto"/>
          </w:tcPr>
          <w:p w14:paraId="7DBF41E7" w14:textId="77777777" w:rsidR="00541B4E" w:rsidRPr="00BC0D1F" w:rsidRDefault="00541B4E" w:rsidP="00800915">
            <w:pPr>
              <w:pStyle w:val="TableText"/>
              <w:rPr>
                <w:b/>
                <w:lang w:eastAsia="en-NZ"/>
              </w:rPr>
            </w:pPr>
          </w:p>
        </w:tc>
        <w:tc>
          <w:tcPr>
            <w:tcW w:w="1228" w:type="dxa"/>
            <w:tcBorders>
              <w:top w:val="single" w:sz="4" w:space="0" w:color="auto"/>
              <w:bottom w:val="single" w:sz="4" w:space="0" w:color="auto"/>
            </w:tcBorders>
            <w:shd w:val="clear" w:color="E3E3E3" w:fill="D9D9D9"/>
          </w:tcPr>
          <w:p w14:paraId="2D503AE6" w14:textId="77777777" w:rsidR="00541B4E" w:rsidRPr="00BC0D1F" w:rsidRDefault="00541B4E" w:rsidP="00800915">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79F05D65" w14:textId="681E0320" w:rsidR="00541B4E" w:rsidRPr="00BC0D1F" w:rsidRDefault="00541B4E" w:rsidP="00480D00">
            <w:pPr>
              <w:pStyle w:val="TableText"/>
              <w:jc w:val="right"/>
              <w:rPr>
                <w:b/>
                <w:lang w:eastAsia="en-NZ"/>
              </w:rPr>
            </w:pPr>
            <w:r w:rsidRPr="00BC0D1F">
              <w:rPr>
                <w:b/>
                <w:lang w:eastAsia="en-NZ"/>
              </w:rPr>
              <w:t xml:space="preserve">Unaudited </w:t>
            </w:r>
            <w:r w:rsidR="00C13BF2">
              <w:rPr>
                <w:b/>
                <w:lang w:eastAsia="en-NZ"/>
              </w:rPr>
              <w:t>forecas</w:t>
            </w:r>
            <w:r w:rsidRPr="00BC0D1F">
              <w:rPr>
                <w:b/>
                <w:lang w:eastAsia="en-NZ"/>
              </w:rPr>
              <w:t>t</w:t>
            </w:r>
            <w:r w:rsidRPr="00BC0D1F">
              <w:rPr>
                <w:b/>
                <w:lang w:eastAsia="en-NZ"/>
              </w:rPr>
              <w:br/>
              <w:t>2017</w:t>
            </w:r>
            <w:r w:rsidRPr="00BC0D1F">
              <w:rPr>
                <w:b/>
                <w:lang w:eastAsia="en-NZ"/>
              </w:rPr>
              <w:br/>
              <w:t>$000</w:t>
            </w:r>
          </w:p>
        </w:tc>
      </w:tr>
      <w:tr w:rsidR="00541B4E" w:rsidRPr="00BC0D1F" w14:paraId="1B4D6F7E" w14:textId="77777777" w:rsidTr="00541B4E">
        <w:trPr>
          <w:cantSplit/>
        </w:trPr>
        <w:tc>
          <w:tcPr>
            <w:tcW w:w="1134" w:type="dxa"/>
            <w:tcBorders>
              <w:top w:val="single" w:sz="4" w:space="0" w:color="auto"/>
              <w:right w:val="nil"/>
            </w:tcBorders>
            <w:shd w:val="solid" w:color="FFFFFF" w:fill="auto"/>
          </w:tcPr>
          <w:p w14:paraId="384E1112" w14:textId="77777777" w:rsidR="00541B4E" w:rsidRPr="00BC0D1F" w:rsidRDefault="00541B4E" w:rsidP="00800915">
            <w:pPr>
              <w:pStyle w:val="TableText"/>
              <w:ind w:right="284"/>
              <w:jc w:val="right"/>
            </w:pPr>
            <w:r w:rsidRPr="00BC0D1F">
              <w:t>105,318</w:t>
            </w:r>
          </w:p>
        </w:tc>
        <w:tc>
          <w:tcPr>
            <w:tcW w:w="4536" w:type="dxa"/>
            <w:tcBorders>
              <w:top w:val="single" w:sz="4" w:space="0" w:color="auto"/>
              <w:left w:val="nil"/>
            </w:tcBorders>
            <w:shd w:val="solid" w:color="FFFFFF" w:fill="auto"/>
          </w:tcPr>
          <w:p w14:paraId="25F1C418" w14:textId="77777777" w:rsidR="00541B4E" w:rsidRPr="00BC0D1F" w:rsidRDefault="00541B4E" w:rsidP="00800915">
            <w:pPr>
              <w:pStyle w:val="TableText"/>
              <w:rPr>
                <w:bCs/>
              </w:rPr>
            </w:pPr>
            <w:r w:rsidRPr="00BC0D1F">
              <w:t>Salaries and wages</w:t>
            </w:r>
          </w:p>
        </w:tc>
        <w:tc>
          <w:tcPr>
            <w:tcW w:w="1228" w:type="dxa"/>
            <w:tcBorders>
              <w:top w:val="single" w:sz="4" w:space="0" w:color="auto"/>
            </w:tcBorders>
            <w:shd w:val="clear" w:color="E3E3E3" w:fill="D9D9D9"/>
          </w:tcPr>
          <w:p w14:paraId="46FC9D6B" w14:textId="77777777" w:rsidR="00541B4E" w:rsidRPr="00BC0D1F" w:rsidRDefault="00541B4E" w:rsidP="00800915">
            <w:pPr>
              <w:pStyle w:val="TableText"/>
              <w:ind w:right="113"/>
              <w:jc w:val="right"/>
            </w:pPr>
            <w:r w:rsidRPr="00BC0D1F">
              <w:t>107,405</w:t>
            </w:r>
          </w:p>
        </w:tc>
        <w:tc>
          <w:tcPr>
            <w:tcW w:w="1229" w:type="dxa"/>
            <w:tcBorders>
              <w:top w:val="single" w:sz="4" w:space="0" w:color="auto"/>
            </w:tcBorders>
          </w:tcPr>
          <w:p w14:paraId="642FDD66" w14:textId="77777777" w:rsidR="00541B4E" w:rsidRPr="00BC0D1F" w:rsidRDefault="00541B4E" w:rsidP="00800915">
            <w:pPr>
              <w:pStyle w:val="TableText"/>
              <w:jc w:val="right"/>
            </w:pPr>
            <w:r w:rsidRPr="00BC0D1F">
              <w:t>107,000</w:t>
            </w:r>
          </w:p>
        </w:tc>
      </w:tr>
      <w:tr w:rsidR="00541B4E" w:rsidRPr="00BC0D1F" w14:paraId="0D178F85" w14:textId="77777777" w:rsidTr="00541B4E">
        <w:trPr>
          <w:cantSplit/>
        </w:trPr>
        <w:tc>
          <w:tcPr>
            <w:tcW w:w="1134" w:type="dxa"/>
            <w:tcBorders>
              <w:right w:val="nil"/>
            </w:tcBorders>
            <w:shd w:val="solid" w:color="FFFFFF" w:fill="auto"/>
          </w:tcPr>
          <w:p w14:paraId="04BAFBA9" w14:textId="77777777" w:rsidR="00541B4E" w:rsidRPr="00BC0D1F" w:rsidRDefault="00541B4E" w:rsidP="00800915">
            <w:pPr>
              <w:pStyle w:val="TableText"/>
              <w:ind w:right="284"/>
              <w:jc w:val="right"/>
            </w:pPr>
            <w:r w:rsidRPr="00BC0D1F">
              <w:t>3,338</w:t>
            </w:r>
          </w:p>
        </w:tc>
        <w:tc>
          <w:tcPr>
            <w:tcW w:w="4536" w:type="dxa"/>
            <w:tcBorders>
              <w:left w:val="nil"/>
            </w:tcBorders>
            <w:shd w:val="solid" w:color="FFFFFF" w:fill="auto"/>
          </w:tcPr>
          <w:p w14:paraId="14552F6E" w14:textId="77777777" w:rsidR="00541B4E" w:rsidRPr="00BC0D1F" w:rsidRDefault="00541B4E" w:rsidP="00800915">
            <w:pPr>
              <w:pStyle w:val="TableText"/>
            </w:pPr>
            <w:r w:rsidRPr="00BC0D1F">
              <w:t>Employer contributions to defined contribution plans</w:t>
            </w:r>
          </w:p>
        </w:tc>
        <w:tc>
          <w:tcPr>
            <w:tcW w:w="1228" w:type="dxa"/>
            <w:shd w:val="clear" w:color="E3E3E3" w:fill="D9D9D9"/>
          </w:tcPr>
          <w:p w14:paraId="230948CF" w14:textId="77777777" w:rsidR="00541B4E" w:rsidRPr="00BC0D1F" w:rsidRDefault="00541B4E" w:rsidP="00800915">
            <w:pPr>
              <w:pStyle w:val="TableText"/>
              <w:ind w:right="113"/>
              <w:jc w:val="right"/>
            </w:pPr>
            <w:r w:rsidRPr="00BC0D1F">
              <w:t>3,319</w:t>
            </w:r>
          </w:p>
        </w:tc>
        <w:tc>
          <w:tcPr>
            <w:tcW w:w="1229" w:type="dxa"/>
          </w:tcPr>
          <w:p w14:paraId="363AE95E" w14:textId="77777777" w:rsidR="00541B4E" w:rsidRPr="00BC0D1F" w:rsidRDefault="00541B4E" w:rsidP="00800915">
            <w:pPr>
              <w:pStyle w:val="TableText"/>
              <w:jc w:val="right"/>
            </w:pPr>
            <w:r w:rsidRPr="00BC0D1F">
              <w:t>3,400</w:t>
            </w:r>
          </w:p>
        </w:tc>
      </w:tr>
      <w:tr w:rsidR="00541B4E" w:rsidRPr="00BC0D1F" w14:paraId="29679B0F" w14:textId="77777777" w:rsidTr="00541B4E">
        <w:trPr>
          <w:cantSplit/>
        </w:trPr>
        <w:tc>
          <w:tcPr>
            <w:tcW w:w="1134" w:type="dxa"/>
            <w:tcBorders>
              <w:right w:val="nil"/>
            </w:tcBorders>
            <w:shd w:val="solid" w:color="FFFFFF" w:fill="auto"/>
          </w:tcPr>
          <w:p w14:paraId="5BE9A905" w14:textId="77777777" w:rsidR="00541B4E" w:rsidRPr="00BC0D1F" w:rsidRDefault="00541B4E" w:rsidP="00800915">
            <w:pPr>
              <w:pStyle w:val="TableText"/>
              <w:ind w:right="284"/>
              <w:jc w:val="right"/>
            </w:pPr>
            <w:r w:rsidRPr="00BC0D1F">
              <w:t>1,875</w:t>
            </w:r>
          </w:p>
        </w:tc>
        <w:tc>
          <w:tcPr>
            <w:tcW w:w="4536" w:type="dxa"/>
            <w:tcBorders>
              <w:left w:val="nil"/>
            </w:tcBorders>
            <w:shd w:val="solid" w:color="FFFFFF" w:fill="auto"/>
          </w:tcPr>
          <w:p w14:paraId="2E061E80" w14:textId="77777777" w:rsidR="00541B4E" w:rsidRPr="00BC0D1F" w:rsidRDefault="00541B4E" w:rsidP="00800915">
            <w:pPr>
              <w:pStyle w:val="TableText"/>
            </w:pPr>
            <w:r w:rsidRPr="00BC0D1F">
              <w:t>Increase / (decrease) in employee entitlements</w:t>
            </w:r>
          </w:p>
        </w:tc>
        <w:tc>
          <w:tcPr>
            <w:tcW w:w="1228" w:type="dxa"/>
            <w:shd w:val="clear" w:color="E3E3E3" w:fill="D9D9D9"/>
          </w:tcPr>
          <w:p w14:paraId="3BCCEDBD" w14:textId="77777777" w:rsidR="00541B4E" w:rsidRPr="00BC0D1F" w:rsidRDefault="00541B4E" w:rsidP="00800915">
            <w:pPr>
              <w:pStyle w:val="TableText"/>
              <w:ind w:right="113"/>
              <w:jc w:val="right"/>
            </w:pPr>
            <w:r w:rsidRPr="00BC0D1F">
              <w:t>(746)</w:t>
            </w:r>
          </w:p>
        </w:tc>
        <w:tc>
          <w:tcPr>
            <w:tcW w:w="1229" w:type="dxa"/>
          </w:tcPr>
          <w:p w14:paraId="3FC95250" w14:textId="77777777" w:rsidR="00541B4E" w:rsidRPr="00BC0D1F" w:rsidRDefault="00541B4E" w:rsidP="00800915">
            <w:pPr>
              <w:pStyle w:val="TableText"/>
              <w:jc w:val="right"/>
            </w:pPr>
            <w:r w:rsidRPr="00BC0D1F">
              <w:t>–</w:t>
            </w:r>
          </w:p>
        </w:tc>
      </w:tr>
      <w:tr w:rsidR="00541B4E" w:rsidRPr="00BC0D1F" w14:paraId="414F2C28" w14:textId="77777777" w:rsidTr="00541B4E">
        <w:trPr>
          <w:cantSplit/>
        </w:trPr>
        <w:tc>
          <w:tcPr>
            <w:tcW w:w="1134" w:type="dxa"/>
            <w:tcBorders>
              <w:bottom w:val="nil"/>
              <w:right w:val="nil"/>
            </w:tcBorders>
          </w:tcPr>
          <w:p w14:paraId="06B459AE" w14:textId="77777777" w:rsidR="00541B4E" w:rsidRPr="00BC0D1F" w:rsidRDefault="00541B4E" w:rsidP="00800915">
            <w:pPr>
              <w:pStyle w:val="TableText"/>
              <w:ind w:right="284"/>
              <w:jc w:val="right"/>
            </w:pPr>
            <w:r w:rsidRPr="00BC0D1F">
              <w:t>2,518</w:t>
            </w:r>
          </w:p>
        </w:tc>
        <w:tc>
          <w:tcPr>
            <w:tcW w:w="4536" w:type="dxa"/>
            <w:tcBorders>
              <w:left w:val="nil"/>
              <w:bottom w:val="nil"/>
            </w:tcBorders>
            <w:shd w:val="solid" w:color="FFFFFF" w:fill="auto"/>
          </w:tcPr>
          <w:p w14:paraId="4FE129C6" w14:textId="77777777" w:rsidR="00541B4E" w:rsidRPr="00BC0D1F" w:rsidRDefault="00541B4E" w:rsidP="00800915">
            <w:pPr>
              <w:pStyle w:val="TableText"/>
            </w:pPr>
            <w:r w:rsidRPr="00BC0D1F">
              <w:t>Other</w:t>
            </w:r>
          </w:p>
        </w:tc>
        <w:tc>
          <w:tcPr>
            <w:tcW w:w="1228" w:type="dxa"/>
            <w:tcBorders>
              <w:bottom w:val="nil"/>
            </w:tcBorders>
            <w:shd w:val="clear" w:color="E3E3E3" w:fill="D9D9D9"/>
          </w:tcPr>
          <w:p w14:paraId="0C0C684D" w14:textId="77777777" w:rsidR="00541B4E" w:rsidRPr="00BC0D1F" w:rsidRDefault="00541B4E" w:rsidP="00800915">
            <w:pPr>
              <w:pStyle w:val="TableText"/>
              <w:ind w:right="113"/>
              <w:jc w:val="right"/>
            </w:pPr>
            <w:r w:rsidRPr="00BC0D1F">
              <w:t>3,676</w:t>
            </w:r>
          </w:p>
        </w:tc>
        <w:tc>
          <w:tcPr>
            <w:tcW w:w="1229" w:type="dxa"/>
            <w:tcBorders>
              <w:bottom w:val="nil"/>
            </w:tcBorders>
          </w:tcPr>
          <w:p w14:paraId="5309FD81" w14:textId="77777777" w:rsidR="00541B4E" w:rsidRPr="00BC0D1F" w:rsidRDefault="00541B4E" w:rsidP="00800915">
            <w:pPr>
              <w:pStyle w:val="TableText"/>
              <w:jc w:val="right"/>
            </w:pPr>
            <w:r w:rsidRPr="00BC0D1F">
              <w:t>3,615</w:t>
            </w:r>
          </w:p>
        </w:tc>
      </w:tr>
      <w:tr w:rsidR="00541B4E" w:rsidRPr="00BC0D1F" w14:paraId="6E62701A" w14:textId="77777777" w:rsidTr="00541B4E">
        <w:trPr>
          <w:cantSplit/>
        </w:trPr>
        <w:tc>
          <w:tcPr>
            <w:tcW w:w="1134" w:type="dxa"/>
            <w:tcBorders>
              <w:top w:val="nil"/>
              <w:bottom w:val="single" w:sz="4" w:space="0" w:color="auto"/>
              <w:right w:val="nil"/>
            </w:tcBorders>
            <w:shd w:val="solid" w:color="FFFFFF" w:fill="auto"/>
          </w:tcPr>
          <w:p w14:paraId="155DE2C2" w14:textId="77777777" w:rsidR="00541B4E" w:rsidRPr="00BC0D1F" w:rsidRDefault="00541B4E" w:rsidP="00800915">
            <w:pPr>
              <w:pStyle w:val="TableText"/>
              <w:ind w:right="284"/>
              <w:jc w:val="right"/>
              <w:rPr>
                <w:b/>
                <w:bCs/>
              </w:rPr>
            </w:pPr>
            <w:r w:rsidRPr="00BC0D1F">
              <w:rPr>
                <w:b/>
                <w:bCs/>
              </w:rPr>
              <w:t>113,049</w:t>
            </w:r>
          </w:p>
        </w:tc>
        <w:tc>
          <w:tcPr>
            <w:tcW w:w="4536" w:type="dxa"/>
            <w:tcBorders>
              <w:top w:val="nil"/>
              <w:left w:val="nil"/>
              <w:bottom w:val="single" w:sz="4" w:space="0" w:color="auto"/>
            </w:tcBorders>
            <w:shd w:val="solid" w:color="FFFFFF" w:fill="auto"/>
          </w:tcPr>
          <w:p w14:paraId="4DD0F95A" w14:textId="77777777" w:rsidR="00541B4E" w:rsidRPr="00BC0D1F" w:rsidRDefault="00541B4E" w:rsidP="00800915">
            <w:pPr>
              <w:pStyle w:val="TableText"/>
              <w:rPr>
                <w:b/>
                <w:bCs/>
              </w:rPr>
            </w:pPr>
            <w:r w:rsidRPr="00BC0D1F">
              <w:rPr>
                <w:b/>
                <w:bCs/>
              </w:rPr>
              <w:t>Total personnel costs</w:t>
            </w:r>
          </w:p>
        </w:tc>
        <w:tc>
          <w:tcPr>
            <w:tcW w:w="1228" w:type="dxa"/>
            <w:tcBorders>
              <w:top w:val="nil"/>
              <w:bottom w:val="single" w:sz="4" w:space="0" w:color="auto"/>
            </w:tcBorders>
            <w:shd w:val="clear" w:color="E3E3E3" w:fill="D9D9D9"/>
          </w:tcPr>
          <w:p w14:paraId="64FAD978" w14:textId="77777777" w:rsidR="00541B4E" w:rsidRPr="00BC0D1F" w:rsidRDefault="00541B4E" w:rsidP="00800915">
            <w:pPr>
              <w:pStyle w:val="TableText"/>
              <w:ind w:right="113"/>
              <w:jc w:val="right"/>
              <w:rPr>
                <w:b/>
                <w:bCs/>
              </w:rPr>
            </w:pPr>
            <w:r w:rsidRPr="00BC0D1F">
              <w:rPr>
                <w:b/>
                <w:bCs/>
              </w:rPr>
              <w:t>113,654</w:t>
            </w:r>
          </w:p>
        </w:tc>
        <w:tc>
          <w:tcPr>
            <w:tcW w:w="1229" w:type="dxa"/>
            <w:tcBorders>
              <w:top w:val="nil"/>
              <w:bottom w:val="single" w:sz="4" w:space="0" w:color="auto"/>
            </w:tcBorders>
          </w:tcPr>
          <w:p w14:paraId="0675C064" w14:textId="77777777" w:rsidR="00541B4E" w:rsidRPr="00BC0D1F" w:rsidRDefault="00541B4E" w:rsidP="00800915">
            <w:pPr>
              <w:pStyle w:val="TableText"/>
              <w:jc w:val="right"/>
              <w:rPr>
                <w:b/>
                <w:bCs/>
              </w:rPr>
            </w:pPr>
            <w:r w:rsidRPr="00BC0D1F">
              <w:rPr>
                <w:b/>
                <w:bCs/>
              </w:rPr>
              <w:t>114,015</w:t>
            </w:r>
          </w:p>
        </w:tc>
      </w:tr>
    </w:tbl>
    <w:p w14:paraId="517382FD" w14:textId="77777777" w:rsidR="00800915" w:rsidRPr="00BC0D1F" w:rsidRDefault="00800915" w:rsidP="00800915"/>
    <w:p w14:paraId="57751354" w14:textId="77777777" w:rsidR="006A557B" w:rsidRPr="00BC0D1F" w:rsidRDefault="006A557B" w:rsidP="00541B4E">
      <w:pPr>
        <w:pStyle w:val="Heading3"/>
      </w:pPr>
      <w:r w:rsidRPr="00BC0D1F">
        <w:t>Note 4: Capital charge</w:t>
      </w:r>
    </w:p>
    <w:p w14:paraId="41735B2D" w14:textId="77777777" w:rsidR="006A557B" w:rsidRPr="00BC0D1F" w:rsidRDefault="006A557B" w:rsidP="00541B4E">
      <w:r w:rsidRPr="00BC0D1F">
        <w:t>The Ministry pays a capital charge to the Crown on its equity (adjusted for memorandum accounts) as at 30 June and 31 December each year. The capital charge rate for the year ended 30</w:t>
      </w:r>
      <w:r w:rsidR="00541B4E" w:rsidRPr="00BC0D1F">
        <w:t> </w:t>
      </w:r>
      <w:r w:rsidRPr="00BC0D1F">
        <w:t>June 2016 was 8.0% (2015: 8.0%).</w:t>
      </w:r>
    </w:p>
    <w:p w14:paraId="017DA924" w14:textId="77777777" w:rsidR="006A557B" w:rsidRPr="00BC0D1F" w:rsidRDefault="006A557B" w:rsidP="00541B4E"/>
    <w:p w14:paraId="4CCE6ABF" w14:textId="77777777" w:rsidR="006A557B" w:rsidRPr="00BC0D1F" w:rsidRDefault="006A557B" w:rsidP="00541B4E">
      <w:pPr>
        <w:pStyle w:val="Heading3"/>
      </w:pPr>
      <w:r w:rsidRPr="00BC0D1F">
        <w:t>Note 5: Other operating expenses</w:t>
      </w:r>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536"/>
        <w:gridCol w:w="1228"/>
        <w:gridCol w:w="1229"/>
        <w:gridCol w:w="1229"/>
      </w:tblGrid>
      <w:tr w:rsidR="00541B4E" w:rsidRPr="00BC0D1F" w14:paraId="1D8EFBCE" w14:textId="77777777" w:rsidTr="00D543B3">
        <w:trPr>
          <w:cantSplit/>
        </w:trPr>
        <w:tc>
          <w:tcPr>
            <w:tcW w:w="1134" w:type="dxa"/>
            <w:tcBorders>
              <w:top w:val="single" w:sz="4" w:space="0" w:color="auto"/>
              <w:bottom w:val="single" w:sz="4" w:space="0" w:color="auto"/>
              <w:right w:val="nil"/>
            </w:tcBorders>
            <w:shd w:val="solid" w:color="FFFFFF" w:fill="auto"/>
          </w:tcPr>
          <w:p w14:paraId="25E202B9" w14:textId="77777777" w:rsidR="00541B4E" w:rsidRPr="00BC0D1F" w:rsidRDefault="00541B4E"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536" w:type="dxa"/>
            <w:tcBorders>
              <w:top w:val="single" w:sz="4" w:space="0" w:color="auto"/>
              <w:left w:val="nil"/>
              <w:bottom w:val="single" w:sz="4" w:space="0" w:color="auto"/>
            </w:tcBorders>
            <w:shd w:val="solid" w:color="FFFFFF" w:fill="auto"/>
          </w:tcPr>
          <w:p w14:paraId="6A8F3045" w14:textId="77777777" w:rsidR="00541B4E" w:rsidRPr="00BC0D1F" w:rsidRDefault="00541B4E"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123BC8B2" w14:textId="77777777" w:rsidR="00541B4E" w:rsidRPr="00BC0D1F" w:rsidRDefault="00541B4E"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1A8F1149" w14:textId="77777777" w:rsidR="00541B4E" w:rsidRPr="00BC0D1F" w:rsidRDefault="00541B4E" w:rsidP="00D543B3">
            <w:pPr>
              <w:pStyle w:val="TableText"/>
              <w:jc w:val="right"/>
              <w:rPr>
                <w:b/>
                <w:lang w:eastAsia="en-NZ"/>
              </w:rPr>
            </w:pPr>
            <w:r w:rsidRPr="00BC0D1F">
              <w:rPr>
                <w:b/>
                <w:lang w:eastAsia="en-NZ"/>
              </w:rPr>
              <w:t>Unaudited budget</w:t>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7D96CEF8" w14:textId="77777777" w:rsidR="00541B4E" w:rsidRPr="00BC0D1F" w:rsidRDefault="00541B4E" w:rsidP="00D543B3">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541B4E" w:rsidRPr="00BC0D1F" w14:paraId="54537332" w14:textId="77777777" w:rsidTr="00D543B3">
        <w:trPr>
          <w:cantSplit/>
        </w:trPr>
        <w:tc>
          <w:tcPr>
            <w:tcW w:w="1134" w:type="dxa"/>
            <w:tcBorders>
              <w:top w:val="single" w:sz="4" w:space="0" w:color="auto"/>
              <w:right w:val="nil"/>
            </w:tcBorders>
            <w:shd w:val="solid" w:color="FFFFFF" w:fill="auto"/>
          </w:tcPr>
          <w:p w14:paraId="115EBD1E" w14:textId="77777777" w:rsidR="00541B4E" w:rsidRPr="00BC0D1F" w:rsidRDefault="00541B4E" w:rsidP="00541B4E">
            <w:pPr>
              <w:pStyle w:val="TableText"/>
              <w:ind w:right="284"/>
              <w:jc w:val="right"/>
            </w:pPr>
            <w:r w:rsidRPr="00BC0D1F">
              <w:t>366</w:t>
            </w:r>
          </w:p>
        </w:tc>
        <w:tc>
          <w:tcPr>
            <w:tcW w:w="4536" w:type="dxa"/>
            <w:tcBorders>
              <w:top w:val="single" w:sz="4" w:space="0" w:color="auto"/>
              <w:left w:val="nil"/>
            </w:tcBorders>
            <w:shd w:val="solid" w:color="FFFFFF" w:fill="auto"/>
          </w:tcPr>
          <w:p w14:paraId="7A89F2F9" w14:textId="77777777" w:rsidR="00541B4E" w:rsidRPr="00BC0D1F" w:rsidRDefault="00541B4E" w:rsidP="00D543B3">
            <w:pPr>
              <w:pStyle w:val="TableText"/>
            </w:pPr>
            <w:r w:rsidRPr="00BC0D1F">
              <w:t>Fees to Audit New Zealand for the audit of the financial statements</w:t>
            </w:r>
          </w:p>
        </w:tc>
        <w:tc>
          <w:tcPr>
            <w:tcW w:w="1228" w:type="dxa"/>
            <w:tcBorders>
              <w:top w:val="single" w:sz="4" w:space="0" w:color="auto"/>
            </w:tcBorders>
            <w:shd w:val="clear" w:color="E3E3E3" w:fill="D9D9D9"/>
          </w:tcPr>
          <w:p w14:paraId="193B3AD0" w14:textId="77777777" w:rsidR="00541B4E" w:rsidRPr="00BC0D1F" w:rsidRDefault="00541B4E" w:rsidP="00541B4E">
            <w:pPr>
              <w:pStyle w:val="TableText"/>
              <w:ind w:right="113"/>
              <w:jc w:val="right"/>
            </w:pPr>
            <w:r w:rsidRPr="00BC0D1F">
              <w:t>376</w:t>
            </w:r>
          </w:p>
        </w:tc>
        <w:tc>
          <w:tcPr>
            <w:tcW w:w="1229" w:type="dxa"/>
            <w:tcBorders>
              <w:top w:val="single" w:sz="4" w:space="0" w:color="auto"/>
            </w:tcBorders>
          </w:tcPr>
          <w:p w14:paraId="104BF6E3" w14:textId="77777777" w:rsidR="00541B4E" w:rsidRPr="00BC0D1F" w:rsidRDefault="00541B4E" w:rsidP="00541B4E">
            <w:pPr>
              <w:pStyle w:val="TableText"/>
              <w:jc w:val="right"/>
            </w:pPr>
            <w:r w:rsidRPr="00BC0D1F">
              <w:t>370</w:t>
            </w:r>
          </w:p>
        </w:tc>
        <w:tc>
          <w:tcPr>
            <w:tcW w:w="1229" w:type="dxa"/>
            <w:tcBorders>
              <w:top w:val="single" w:sz="4" w:space="0" w:color="auto"/>
            </w:tcBorders>
          </w:tcPr>
          <w:p w14:paraId="4D4B1437" w14:textId="77777777" w:rsidR="00541B4E" w:rsidRPr="00BC0D1F" w:rsidRDefault="00541B4E" w:rsidP="00541B4E">
            <w:pPr>
              <w:pStyle w:val="TableText"/>
              <w:jc w:val="right"/>
            </w:pPr>
            <w:r w:rsidRPr="00BC0D1F">
              <w:t>370</w:t>
            </w:r>
          </w:p>
        </w:tc>
      </w:tr>
      <w:tr w:rsidR="00541B4E" w:rsidRPr="00BC0D1F" w14:paraId="2FF5CFF2" w14:textId="77777777" w:rsidTr="00D543B3">
        <w:trPr>
          <w:cantSplit/>
        </w:trPr>
        <w:tc>
          <w:tcPr>
            <w:tcW w:w="1134" w:type="dxa"/>
            <w:tcBorders>
              <w:right w:val="nil"/>
            </w:tcBorders>
            <w:shd w:val="solid" w:color="FFFFFF" w:fill="auto"/>
          </w:tcPr>
          <w:p w14:paraId="2077309D" w14:textId="77777777" w:rsidR="00541B4E" w:rsidRPr="00BC0D1F" w:rsidRDefault="00541B4E" w:rsidP="00541B4E">
            <w:pPr>
              <w:pStyle w:val="TableText"/>
              <w:ind w:right="284"/>
              <w:jc w:val="right"/>
            </w:pPr>
            <w:r w:rsidRPr="00BC0D1F">
              <w:t>19,976</w:t>
            </w:r>
          </w:p>
        </w:tc>
        <w:tc>
          <w:tcPr>
            <w:tcW w:w="4536" w:type="dxa"/>
            <w:tcBorders>
              <w:left w:val="nil"/>
            </w:tcBorders>
            <w:shd w:val="solid" w:color="FFFFFF" w:fill="auto"/>
          </w:tcPr>
          <w:p w14:paraId="1790BCA5" w14:textId="77777777" w:rsidR="00541B4E" w:rsidRPr="00BC0D1F" w:rsidRDefault="00541B4E" w:rsidP="00D543B3">
            <w:pPr>
              <w:pStyle w:val="TableText"/>
              <w:rPr>
                <w:bCs/>
              </w:rPr>
            </w:pPr>
            <w:r w:rsidRPr="00BC0D1F">
              <w:t>Computer services</w:t>
            </w:r>
          </w:p>
        </w:tc>
        <w:tc>
          <w:tcPr>
            <w:tcW w:w="1228" w:type="dxa"/>
            <w:shd w:val="clear" w:color="E3E3E3" w:fill="D9D9D9"/>
          </w:tcPr>
          <w:p w14:paraId="26A1D5F7" w14:textId="77777777" w:rsidR="00541B4E" w:rsidRPr="00BC0D1F" w:rsidRDefault="00541B4E" w:rsidP="00541B4E">
            <w:pPr>
              <w:pStyle w:val="TableText"/>
              <w:ind w:right="113"/>
              <w:jc w:val="right"/>
            </w:pPr>
            <w:r w:rsidRPr="00BC0D1F">
              <w:t>19,599</w:t>
            </w:r>
          </w:p>
        </w:tc>
        <w:tc>
          <w:tcPr>
            <w:tcW w:w="1229" w:type="dxa"/>
          </w:tcPr>
          <w:p w14:paraId="299A3E45" w14:textId="77777777" w:rsidR="00541B4E" w:rsidRPr="00BC0D1F" w:rsidRDefault="00541B4E" w:rsidP="00541B4E">
            <w:pPr>
              <w:pStyle w:val="TableText"/>
              <w:jc w:val="right"/>
            </w:pPr>
            <w:r w:rsidRPr="00BC0D1F">
              <w:t>19,700</w:t>
            </w:r>
          </w:p>
        </w:tc>
        <w:tc>
          <w:tcPr>
            <w:tcW w:w="1229" w:type="dxa"/>
          </w:tcPr>
          <w:p w14:paraId="1D53B93B" w14:textId="77777777" w:rsidR="00541B4E" w:rsidRPr="00BC0D1F" w:rsidRDefault="00541B4E" w:rsidP="00541B4E">
            <w:pPr>
              <w:pStyle w:val="TableText"/>
              <w:jc w:val="right"/>
            </w:pPr>
            <w:r w:rsidRPr="00BC0D1F">
              <w:t>19,700</w:t>
            </w:r>
          </w:p>
        </w:tc>
      </w:tr>
      <w:tr w:rsidR="00541B4E" w:rsidRPr="00BC0D1F" w14:paraId="4A25B70E" w14:textId="77777777" w:rsidTr="00D543B3">
        <w:trPr>
          <w:cantSplit/>
        </w:trPr>
        <w:tc>
          <w:tcPr>
            <w:tcW w:w="1134" w:type="dxa"/>
            <w:tcBorders>
              <w:right w:val="nil"/>
            </w:tcBorders>
            <w:shd w:val="solid" w:color="FFFFFF" w:fill="auto"/>
          </w:tcPr>
          <w:p w14:paraId="043743A5" w14:textId="77777777" w:rsidR="00541B4E" w:rsidRPr="00BC0D1F" w:rsidRDefault="00541B4E" w:rsidP="00541B4E">
            <w:pPr>
              <w:pStyle w:val="TableText"/>
              <w:ind w:right="284"/>
              <w:jc w:val="right"/>
            </w:pPr>
            <w:r w:rsidRPr="00BC0D1F">
              <w:t>12,218</w:t>
            </w:r>
          </w:p>
        </w:tc>
        <w:tc>
          <w:tcPr>
            <w:tcW w:w="4536" w:type="dxa"/>
            <w:tcBorders>
              <w:left w:val="nil"/>
            </w:tcBorders>
            <w:shd w:val="solid" w:color="FFFFFF" w:fill="auto"/>
          </w:tcPr>
          <w:p w14:paraId="572AC46B" w14:textId="77777777" w:rsidR="00541B4E" w:rsidRPr="00BC0D1F" w:rsidRDefault="00541B4E" w:rsidP="00D543B3">
            <w:pPr>
              <w:pStyle w:val="TableText"/>
            </w:pPr>
            <w:r w:rsidRPr="00BC0D1F">
              <w:t>Contractors and consultants</w:t>
            </w:r>
          </w:p>
        </w:tc>
        <w:tc>
          <w:tcPr>
            <w:tcW w:w="1228" w:type="dxa"/>
            <w:shd w:val="clear" w:color="E3E3E3" w:fill="D9D9D9"/>
          </w:tcPr>
          <w:p w14:paraId="1EBE0E8C" w14:textId="77777777" w:rsidR="00541B4E" w:rsidRPr="00BC0D1F" w:rsidRDefault="00541B4E" w:rsidP="00541B4E">
            <w:pPr>
              <w:pStyle w:val="TableText"/>
              <w:ind w:right="113"/>
              <w:jc w:val="right"/>
            </w:pPr>
            <w:r w:rsidRPr="00BC0D1F">
              <w:t>14,071</w:t>
            </w:r>
          </w:p>
        </w:tc>
        <w:tc>
          <w:tcPr>
            <w:tcW w:w="1229" w:type="dxa"/>
          </w:tcPr>
          <w:p w14:paraId="7C40C3E2" w14:textId="77777777" w:rsidR="00541B4E" w:rsidRPr="00BC0D1F" w:rsidRDefault="00541B4E" w:rsidP="00541B4E">
            <w:pPr>
              <w:pStyle w:val="TableText"/>
              <w:jc w:val="right"/>
            </w:pPr>
            <w:r w:rsidRPr="00BC0D1F">
              <w:t>12,000</w:t>
            </w:r>
          </w:p>
        </w:tc>
        <w:tc>
          <w:tcPr>
            <w:tcW w:w="1229" w:type="dxa"/>
          </w:tcPr>
          <w:p w14:paraId="5BA7A9B0" w14:textId="77777777" w:rsidR="00541B4E" w:rsidRPr="00BC0D1F" w:rsidRDefault="00541B4E" w:rsidP="00541B4E">
            <w:pPr>
              <w:pStyle w:val="TableText"/>
              <w:jc w:val="right"/>
            </w:pPr>
            <w:r w:rsidRPr="00BC0D1F">
              <w:t>14,000</w:t>
            </w:r>
          </w:p>
        </w:tc>
      </w:tr>
      <w:tr w:rsidR="00541B4E" w:rsidRPr="00BC0D1F" w14:paraId="52276BB9" w14:textId="77777777" w:rsidTr="00D543B3">
        <w:trPr>
          <w:cantSplit/>
        </w:trPr>
        <w:tc>
          <w:tcPr>
            <w:tcW w:w="1134" w:type="dxa"/>
            <w:tcBorders>
              <w:right w:val="nil"/>
            </w:tcBorders>
          </w:tcPr>
          <w:p w14:paraId="23EC6011" w14:textId="77777777" w:rsidR="00541B4E" w:rsidRPr="00BC0D1F" w:rsidRDefault="00541B4E" w:rsidP="00541B4E">
            <w:pPr>
              <w:pStyle w:val="TableText"/>
              <w:ind w:right="284"/>
              <w:jc w:val="right"/>
            </w:pPr>
            <w:r w:rsidRPr="00BC0D1F">
              <w:t>8,022</w:t>
            </w:r>
          </w:p>
        </w:tc>
        <w:tc>
          <w:tcPr>
            <w:tcW w:w="4536" w:type="dxa"/>
            <w:tcBorders>
              <w:left w:val="nil"/>
            </w:tcBorders>
            <w:shd w:val="solid" w:color="FFFFFF" w:fill="auto"/>
          </w:tcPr>
          <w:p w14:paraId="3E2E26B2" w14:textId="77777777" w:rsidR="00541B4E" w:rsidRPr="00BC0D1F" w:rsidRDefault="00541B4E" w:rsidP="00D543B3">
            <w:pPr>
              <w:pStyle w:val="TableText"/>
            </w:pPr>
            <w:r w:rsidRPr="00BC0D1F">
              <w:t>Operating lease payments</w:t>
            </w:r>
          </w:p>
        </w:tc>
        <w:tc>
          <w:tcPr>
            <w:tcW w:w="1228" w:type="dxa"/>
            <w:shd w:val="clear" w:color="E3E3E3" w:fill="D9D9D9"/>
          </w:tcPr>
          <w:p w14:paraId="0B8F4F30" w14:textId="77777777" w:rsidR="00541B4E" w:rsidRPr="00BC0D1F" w:rsidRDefault="00541B4E" w:rsidP="00541B4E">
            <w:pPr>
              <w:pStyle w:val="TableText"/>
              <w:ind w:right="113"/>
              <w:jc w:val="right"/>
            </w:pPr>
            <w:r w:rsidRPr="00BC0D1F">
              <w:t>7,488</w:t>
            </w:r>
          </w:p>
        </w:tc>
        <w:tc>
          <w:tcPr>
            <w:tcW w:w="1229" w:type="dxa"/>
          </w:tcPr>
          <w:p w14:paraId="13DD93B8" w14:textId="77777777" w:rsidR="00541B4E" w:rsidRPr="00BC0D1F" w:rsidRDefault="00541B4E" w:rsidP="00541B4E">
            <w:pPr>
              <w:pStyle w:val="TableText"/>
              <w:jc w:val="right"/>
            </w:pPr>
            <w:r w:rsidRPr="00BC0D1F">
              <w:t>7,900</w:t>
            </w:r>
          </w:p>
        </w:tc>
        <w:tc>
          <w:tcPr>
            <w:tcW w:w="1229" w:type="dxa"/>
          </w:tcPr>
          <w:p w14:paraId="3678C4EC" w14:textId="77777777" w:rsidR="00541B4E" w:rsidRPr="00BC0D1F" w:rsidRDefault="00541B4E" w:rsidP="00541B4E">
            <w:pPr>
              <w:pStyle w:val="TableText"/>
              <w:jc w:val="right"/>
            </w:pPr>
            <w:r w:rsidRPr="00BC0D1F">
              <w:t>7,900</w:t>
            </w:r>
          </w:p>
        </w:tc>
      </w:tr>
      <w:tr w:rsidR="00541B4E" w:rsidRPr="00BC0D1F" w14:paraId="13294DB2" w14:textId="77777777" w:rsidTr="00D543B3">
        <w:trPr>
          <w:cantSplit/>
        </w:trPr>
        <w:tc>
          <w:tcPr>
            <w:tcW w:w="1134" w:type="dxa"/>
            <w:tcBorders>
              <w:bottom w:val="nil"/>
              <w:right w:val="nil"/>
            </w:tcBorders>
            <w:shd w:val="solid" w:color="FFFFFF" w:fill="auto"/>
          </w:tcPr>
          <w:p w14:paraId="4D5C77D1" w14:textId="77777777" w:rsidR="00541B4E" w:rsidRPr="00BC0D1F" w:rsidRDefault="00541B4E" w:rsidP="00541B4E">
            <w:pPr>
              <w:pStyle w:val="TableText"/>
              <w:ind w:right="284"/>
              <w:jc w:val="right"/>
            </w:pPr>
            <w:r w:rsidRPr="00BC0D1F">
              <w:t>4,663</w:t>
            </w:r>
          </w:p>
        </w:tc>
        <w:tc>
          <w:tcPr>
            <w:tcW w:w="4536" w:type="dxa"/>
            <w:tcBorders>
              <w:left w:val="nil"/>
              <w:bottom w:val="nil"/>
            </w:tcBorders>
            <w:shd w:val="solid" w:color="FFFFFF" w:fill="auto"/>
          </w:tcPr>
          <w:p w14:paraId="6F6D5E12" w14:textId="77777777" w:rsidR="00541B4E" w:rsidRPr="00BC0D1F" w:rsidRDefault="00541B4E" w:rsidP="00541B4E">
            <w:pPr>
              <w:pStyle w:val="TableText"/>
              <w:rPr>
                <w:bCs/>
              </w:rPr>
            </w:pPr>
            <w:r w:rsidRPr="00BC0D1F">
              <w:t>Domestic travel</w:t>
            </w:r>
          </w:p>
        </w:tc>
        <w:tc>
          <w:tcPr>
            <w:tcW w:w="1228" w:type="dxa"/>
            <w:tcBorders>
              <w:bottom w:val="nil"/>
            </w:tcBorders>
            <w:shd w:val="clear" w:color="E3E3E3" w:fill="D9D9D9"/>
          </w:tcPr>
          <w:p w14:paraId="51BECDE0" w14:textId="77777777" w:rsidR="00541B4E" w:rsidRPr="00BC0D1F" w:rsidRDefault="00541B4E" w:rsidP="00541B4E">
            <w:pPr>
              <w:pStyle w:val="TableText"/>
              <w:ind w:right="113"/>
              <w:jc w:val="right"/>
            </w:pPr>
            <w:r w:rsidRPr="00BC0D1F">
              <w:t>4,065</w:t>
            </w:r>
          </w:p>
        </w:tc>
        <w:tc>
          <w:tcPr>
            <w:tcW w:w="1229" w:type="dxa"/>
            <w:tcBorders>
              <w:bottom w:val="nil"/>
            </w:tcBorders>
          </w:tcPr>
          <w:p w14:paraId="1FECF59A" w14:textId="77777777" w:rsidR="00541B4E" w:rsidRPr="00BC0D1F" w:rsidRDefault="00541B4E" w:rsidP="00541B4E">
            <w:pPr>
              <w:pStyle w:val="TableText"/>
              <w:jc w:val="right"/>
            </w:pPr>
            <w:r w:rsidRPr="00BC0D1F">
              <w:t>4,600</w:t>
            </w:r>
          </w:p>
        </w:tc>
        <w:tc>
          <w:tcPr>
            <w:tcW w:w="1229" w:type="dxa"/>
            <w:tcBorders>
              <w:bottom w:val="nil"/>
            </w:tcBorders>
          </w:tcPr>
          <w:p w14:paraId="6096C5A6" w14:textId="77777777" w:rsidR="00541B4E" w:rsidRPr="00BC0D1F" w:rsidRDefault="00541B4E" w:rsidP="00541B4E">
            <w:pPr>
              <w:pStyle w:val="TableText"/>
              <w:jc w:val="right"/>
            </w:pPr>
            <w:r w:rsidRPr="00BC0D1F">
              <w:t>4,600</w:t>
            </w:r>
          </w:p>
        </w:tc>
      </w:tr>
      <w:tr w:rsidR="00541B4E" w:rsidRPr="00BC0D1F" w14:paraId="76E3F41B" w14:textId="77777777" w:rsidTr="00541B4E">
        <w:trPr>
          <w:cantSplit/>
        </w:trPr>
        <w:tc>
          <w:tcPr>
            <w:tcW w:w="1134" w:type="dxa"/>
            <w:tcBorders>
              <w:top w:val="nil"/>
              <w:bottom w:val="nil"/>
              <w:right w:val="nil"/>
            </w:tcBorders>
            <w:shd w:val="solid" w:color="FFFFFF" w:fill="auto"/>
          </w:tcPr>
          <w:p w14:paraId="329657B8" w14:textId="77777777" w:rsidR="00541B4E" w:rsidRPr="00BC0D1F" w:rsidRDefault="00541B4E" w:rsidP="00541B4E">
            <w:pPr>
              <w:pStyle w:val="TableText"/>
              <w:ind w:right="284"/>
              <w:jc w:val="right"/>
            </w:pPr>
            <w:r w:rsidRPr="00BC0D1F">
              <w:t>526</w:t>
            </w:r>
          </w:p>
        </w:tc>
        <w:tc>
          <w:tcPr>
            <w:tcW w:w="4536" w:type="dxa"/>
            <w:tcBorders>
              <w:top w:val="nil"/>
              <w:left w:val="nil"/>
              <w:bottom w:val="nil"/>
            </w:tcBorders>
            <w:shd w:val="solid" w:color="FFFFFF" w:fill="auto"/>
          </w:tcPr>
          <w:p w14:paraId="4CAFEE35" w14:textId="77777777" w:rsidR="00541B4E" w:rsidRPr="00BC0D1F" w:rsidRDefault="00541B4E" w:rsidP="00541B4E">
            <w:pPr>
              <w:pStyle w:val="TableText"/>
              <w:rPr>
                <w:bCs/>
              </w:rPr>
            </w:pPr>
            <w:r w:rsidRPr="00BC0D1F">
              <w:t>Overseas travel</w:t>
            </w:r>
          </w:p>
        </w:tc>
        <w:tc>
          <w:tcPr>
            <w:tcW w:w="1228" w:type="dxa"/>
            <w:tcBorders>
              <w:top w:val="nil"/>
              <w:bottom w:val="nil"/>
            </w:tcBorders>
            <w:shd w:val="clear" w:color="E3E3E3" w:fill="D9D9D9"/>
          </w:tcPr>
          <w:p w14:paraId="14524238" w14:textId="77777777" w:rsidR="00541B4E" w:rsidRPr="00BC0D1F" w:rsidRDefault="00541B4E" w:rsidP="00541B4E">
            <w:pPr>
              <w:pStyle w:val="TableText"/>
              <w:ind w:right="113"/>
              <w:jc w:val="right"/>
            </w:pPr>
            <w:r w:rsidRPr="00BC0D1F">
              <w:t>339</w:t>
            </w:r>
          </w:p>
        </w:tc>
        <w:tc>
          <w:tcPr>
            <w:tcW w:w="1229" w:type="dxa"/>
            <w:tcBorders>
              <w:top w:val="nil"/>
              <w:bottom w:val="nil"/>
            </w:tcBorders>
          </w:tcPr>
          <w:p w14:paraId="32C32574" w14:textId="77777777" w:rsidR="00541B4E" w:rsidRPr="00BC0D1F" w:rsidRDefault="00541B4E" w:rsidP="00541B4E">
            <w:pPr>
              <w:pStyle w:val="TableText"/>
              <w:jc w:val="right"/>
            </w:pPr>
            <w:r w:rsidRPr="00BC0D1F">
              <w:t>500</w:t>
            </w:r>
          </w:p>
        </w:tc>
        <w:tc>
          <w:tcPr>
            <w:tcW w:w="1229" w:type="dxa"/>
            <w:tcBorders>
              <w:top w:val="nil"/>
              <w:bottom w:val="nil"/>
            </w:tcBorders>
          </w:tcPr>
          <w:p w14:paraId="03809515" w14:textId="77777777" w:rsidR="00541B4E" w:rsidRPr="00BC0D1F" w:rsidRDefault="00541B4E" w:rsidP="00541B4E">
            <w:pPr>
              <w:pStyle w:val="TableText"/>
              <w:jc w:val="right"/>
            </w:pPr>
            <w:r w:rsidRPr="00BC0D1F">
              <w:t>500</w:t>
            </w:r>
          </w:p>
        </w:tc>
      </w:tr>
      <w:tr w:rsidR="00541B4E" w:rsidRPr="00BC0D1F" w14:paraId="0E190744" w14:textId="77777777" w:rsidTr="00541B4E">
        <w:trPr>
          <w:cantSplit/>
        </w:trPr>
        <w:tc>
          <w:tcPr>
            <w:tcW w:w="1134" w:type="dxa"/>
            <w:tcBorders>
              <w:top w:val="nil"/>
              <w:bottom w:val="nil"/>
              <w:right w:val="nil"/>
            </w:tcBorders>
            <w:shd w:val="solid" w:color="FFFFFF" w:fill="auto"/>
          </w:tcPr>
          <w:p w14:paraId="2218B9D4" w14:textId="77777777" w:rsidR="00541B4E" w:rsidRPr="00BC0D1F" w:rsidRDefault="00541B4E" w:rsidP="00541B4E">
            <w:pPr>
              <w:pStyle w:val="TableText"/>
              <w:ind w:right="284"/>
              <w:jc w:val="right"/>
            </w:pPr>
            <w:r w:rsidRPr="00BC0D1F">
              <w:t>21,770</w:t>
            </w:r>
          </w:p>
        </w:tc>
        <w:tc>
          <w:tcPr>
            <w:tcW w:w="4536" w:type="dxa"/>
            <w:tcBorders>
              <w:top w:val="nil"/>
              <w:left w:val="nil"/>
              <w:bottom w:val="nil"/>
            </w:tcBorders>
            <w:shd w:val="solid" w:color="FFFFFF" w:fill="auto"/>
          </w:tcPr>
          <w:p w14:paraId="299DC3F9" w14:textId="77777777" w:rsidR="00541B4E" w:rsidRPr="00BC0D1F" w:rsidRDefault="00541B4E" w:rsidP="00D543B3">
            <w:pPr>
              <w:pStyle w:val="TableText"/>
            </w:pPr>
            <w:r w:rsidRPr="00BC0D1F">
              <w:t>Other operating expenses</w:t>
            </w:r>
          </w:p>
        </w:tc>
        <w:tc>
          <w:tcPr>
            <w:tcW w:w="1228" w:type="dxa"/>
            <w:tcBorders>
              <w:top w:val="nil"/>
              <w:bottom w:val="nil"/>
            </w:tcBorders>
            <w:shd w:val="clear" w:color="E3E3E3" w:fill="D9D9D9"/>
          </w:tcPr>
          <w:p w14:paraId="2473E5A6" w14:textId="77777777" w:rsidR="00541B4E" w:rsidRPr="00BC0D1F" w:rsidRDefault="00541B4E" w:rsidP="00541B4E">
            <w:pPr>
              <w:pStyle w:val="TableText"/>
              <w:ind w:right="113"/>
              <w:jc w:val="right"/>
            </w:pPr>
            <w:r w:rsidRPr="00BC0D1F">
              <w:t>16,945</w:t>
            </w:r>
          </w:p>
        </w:tc>
        <w:tc>
          <w:tcPr>
            <w:tcW w:w="1229" w:type="dxa"/>
            <w:tcBorders>
              <w:top w:val="nil"/>
              <w:bottom w:val="nil"/>
            </w:tcBorders>
          </w:tcPr>
          <w:p w14:paraId="0D3DE202" w14:textId="77777777" w:rsidR="00541B4E" w:rsidRPr="00BC0D1F" w:rsidRDefault="00541B4E" w:rsidP="00541B4E">
            <w:pPr>
              <w:pStyle w:val="TableText"/>
              <w:jc w:val="right"/>
            </w:pPr>
            <w:r w:rsidRPr="00BC0D1F">
              <w:t>20,744</w:t>
            </w:r>
          </w:p>
        </w:tc>
        <w:tc>
          <w:tcPr>
            <w:tcW w:w="1229" w:type="dxa"/>
            <w:tcBorders>
              <w:top w:val="nil"/>
              <w:bottom w:val="nil"/>
            </w:tcBorders>
          </w:tcPr>
          <w:p w14:paraId="1A140BE5" w14:textId="77777777" w:rsidR="00541B4E" w:rsidRPr="00BC0D1F" w:rsidRDefault="00541B4E" w:rsidP="00541B4E">
            <w:pPr>
              <w:pStyle w:val="TableText"/>
              <w:jc w:val="right"/>
            </w:pPr>
            <w:r w:rsidRPr="00BC0D1F">
              <w:t>22,005</w:t>
            </w:r>
          </w:p>
        </w:tc>
      </w:tr>
      <w:tr w:rsidR="00541B4E" w:rsidRPr="00BC0D1F" w14:paraId="2246AB90" w14:textId="77777777" w:rsidTr="00541B4E">
        <w:trPr>
          <w:cantSplit/>
        </w:trPr>
        <w:tc>
          <w:tcPr>
            <w:tcW w:w="1134" w:type="dxa"/>
            <w:tcBorders>
              <w:top w:val="nil"/>
              <w:bottom w:val="single" w:sz="4" w:space="0" w:color="auto"/>
              <w:right w:val="nil"/>
            </w:tcBorders>
            <w:shd w:val="solid" w:color="FFFFFF" w:fill="auto"/>
          </w:tcPr>
          <w:p w14:paraId="71388295" w14:textId="77777777" w:rsidR="00541B4E" w:rsidRPr="00BC0D1F" w:rsidRDefault="00541B4E" w:rsidP="00541B4E">
            <w:pPr>
              <w:pStyle w:val="TableText"/>
              <w:ind w:right="284"/>
              <w:jc w:val="right"/>
              <w:rPr>
                <w:b/>
                <w:bCs/>
              </w:rPr>
            </w:pPr>
            <w:r w:rsidRPr="00BC0D1F">
              <w:rPr>
                <w:b/>
                <w:bCs/>
              </w:rPr>
              <w:t>67,541</w:t>
            </w:r>
          </w:p>
        </w:tc>
        <w:tc>
          <w:tcPr>
            <w:tcW w:w="4536" w:type="dxa"/>
            <w:tcBorders>
              <w:top w:val="nil"/>
              <w:left w:val="nil"/>
              <w:bottom w:val="single" w:sz="4" w:space="0" w:color="auto"/>
            </w:tcBorders>
            <w:shd w:val="solid" w:color="FFFFFF" w:fill="auto"/>
          </w:tcPr>
          <w:p w14:paraId="1FF687E4" w14:textId="77777777" w:rsidR="00541B4E" w:rsidRPr="00BC0D1F" w:rsidRDefault="00541B4E" w:rsidP="00D543B3">
            <w:pPr>
              <w:pStyle w:val="TableText"/>
              <w:rPr>
                <w:b/>
                <w:bCs/>
              </w:rPr>
            </w:pPr>
            <w:r w:rsidRPr="00BC0D1F">
              <w:rPr>
                <w:b/>
                <w:bCs/>
              </w:rPr>
              <w:t>Total other operating expenses</w:t>
            </w:r>
          </w:p>
        </w:tc>
        <w:tc>
          <w:tcPr>
            <w:tcW w:w="1228" w:type="dxa"/>
            <w:tcBorders>
              <w:top w:val="nil"/>
              <w:bottom w:val="single" w:sz="4" w:space="0" w:color="auto"/>
            </w:tcBorders>
            <w:shd w:val="clear" w:color="E3E3E3" w:fill="D9D9D9"/>
          </w:tcPr>
          <w:p w14:paraId="4FC7EFBF" w14:textId="77777777" w:rsidR="00541B4E" w:rsidRPr="00BC0D1F" w:rsidRDefault="00541B4E" w:rsidP="00541B4E">
            <w:pPr>
              <w:pStyle w:val="TableText"/>
              <w:ind w:right="113"/>
              <w:jc w:val="right"/>
              <w:rPr>
                <w:b/>
                <w:bCs/>
              </w:rPr>
            </w:pPr>
            <w:r w:rsidRPr="00BC0D1F">
              <w:rPr>
                <w:b/>
                <w:bCs/>
              </w:rPr>
              <w:t>62,883</w:t>
            </w:r>
          </w:p>
        </w:tc>
        <w:tc>
          <w:tcPr>
            <w:tcW w:w="1229" w:type="dxa"/>
            <w:tcBorders>
              <w:top w:val="nil"/>
              <w:bottom w:val="single" w:sz="4" w:space="0" w:color="auto"/>
            </w:tcBorders>
          </w:tcPr>
          <w:p w14:paraId="44455BE3" w14:textId="77777777" w:rsidR="00541B4E" w:rsidRPr="00BC0D1F" w:rsidRDefault="00541B4E" w:rsidP="00541B4E">
            <w:pPr>
              <w:pStyle w:val="TableText"/>
              <w:jc w:val="right"/>
              <w:rPr>
                <w:b/>
                <w:bCs/>
              </w:rPr>
            </w:pPr>
            <w:r w:rsidRPr="00BC0D1F">
              <w:rPr>
                <w:b/>
                <w:bCs/>
              </w:rPr>
              <w:t>65,814</w:t>
            </w:r>
          </w:p>
        </w:tc>
        <w:tc>
          <w:tcPr>
            <w:tcW w:w="1229" w:type="dxa"/>
            <w:tcBorders>
              <w:top w:val="nil"/>
              <w:bottom w:val="single" w:sz="4" w:space="0" w:color="auto"/>
            </w:tcBorders>
          </w:tcPr>
          <w:p w14:paraId="33E2E3B7" w14:textId="77777777" w:rsidR="00541B4E" w:rsidRPr="00BC0D1F" w:rsidRDefault="00541B4E" w:rsidP="00541B4E">
            <w:pPr>
              <w:pStyle w:val="TableText"/>
              <w:jc w:val="right"/>
              <w:rPr>
                <w:b/>
                <w:bCs/>
              </w:rPr>
            </w:pPr>
            <w:r w:rsidRPr="00BC0D1F">
              <w:rPr>
                <w:b/>
                <w:bCs/>
              </w:rPr>
              <w:t>69,075</w:t>
            </w:r>
          </w:p>
        </w:tc>
      </w:tr>
    </w:tbl>
    <w:p w14:paraId="0C30831D" w14:textId="77777777" w:rsidR="00541B4E" w:rsidRPr="00BC0D1F" w:rsidRDefault="00541B4E" w:rsidP="00541B4E"/>
    <w:p w14:paraId="3C22B42C" w14:textId="77777777" w:rsidR="006A557B" w:rsidRPr="00BC0D1F" w:rsidRDefault="006A557B" w:rsidP="00541B4E">
      <w:pPr>
        <w:pStyle w:val="Heading3"/>
      </w:pPr>
      <w:r w:rsidRPr="00BC0D1F">
        <w:lastRenderedPageBreak/>
        <w:t>Note 6: Plant, property and equipment</w:t>
      </w:r>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835"/>
        <w:gridCol w:w="851"/>
        <w:gridCol w:w="1417"/>
        <w:gridCol w:w="1276"/>
        <w:gridCol w:w="992"/>
        <w:gridCol w:w="1134"/>
        <w:gridCol w:w="851"/>
      </w:tblGrid>
      <w:tr w:rsidR="00541B4E" w:rsidRPr="00BC0D1F" w14:paraId="54233862" w14:textId="77777777" w:rsidTr="00541B4E">
        <w:trPr>
          <w:cantSplit/>
        </w:trPr>
        <w:tc>
          <w:tcPr>
            <w:tcW w:w="2835" w:type="dxa"/>
            <w:tcBorders>
              <w:top w:val="single" w:sz="4" w:space="0" w:color="auto"/>
              <w:left w:val="nil"/>
              <w:bottom w:val="single" w:sz="4" w:space="0" w:color="auto"/>
            </w:tcBorders>
            <w:shd w:val="solid" w:color="FFFFFF" w:fill="auto"/>
          </w:tcPr>
          <w:p w14:paraId="1A66BE26" w14:textId="77777777" w:rsidR="00541B4E" w:rsidRPr="00BC0D1F" w:rsidRDefault="00541B4E" w:rsidP="00D543B3">
            <w:pPr>
              <w:pStyle w:val="TableText"/>
              <w:rPr>
                <w:b/>
                <w:lang w:eastAsia="en-NZ"/>
              </w:rPr>
            </w:pPr>
          </w:p>
        </w:tc>
        <w:tc>
          <w:tcPr>
            <w:tcW w:w="851" w:type="dxa"/>
            <w:tcBorders>
              <w:top w:val="single" w:sz="4" w:space="0" w:color="auto"/>
              <w:bottom w:val="single" w:sz="4" w:space="0" w:color="auto"/>
            </w:tcBorders>
            <w:shd w:val="clear" w:color="E3E3E3" w:fill="auto"/>
          </w:tcPr>
          <w:p w14:paraId="72997A30" w14:textId="77777777" w:rsidR="00541B4E" w:rsidRPr="00BC0D1F" w:rsidRDefault="00541B4E" w:rsidP="00541B4E">
            <w:pPr>
              <w:pStyle w:val="TableText"/>
              <w:jc w:val="right"/>
              <w:rPr>
                <w:b/>
              </w:rPr>
            </w:pPr>
            <w:r w:rsidRPr="00BC0D1F">
              <w:rPr>
                <w:b/>
              </w:rPr>
              <w:t>Land</w:t>
            </w:r>
            <w:r w:rsidRPr="00BC0D1F">
              <w:rPr>
                <w:b/>
              </w:rPr>
              <w:br/>
            </w:r>
            <w:r w:rsidRPr="00BC0D1F">
              <w:rPr>
                <w:b/>
              </w:rPr>
              <w:br/>
            </w:r>
            <w:r w:rsidRPr="00BC0D1F">
              <w:rPr>
                <w:b/>
              </w:rPr>
              <w:br/>
              <w:t>$000</w:t>
            </w:r>
          </w:p>
        </w:tc>
        <w:tc>
          <w:tcPr>
            <w:tcW w:w="1417" w:type="dxa"/>
            <w:tcBorders>
              <w:top w:val="single" w:sz="4" w:space="0" w:color="auto"/>
              <w:bottom w:val="single" w:sz="4" w:space="0" w:color="auto"/>
            </w:tcBorders>
            <w:shd w:val="clear" w:color="E3E3E3" w:fill="auto"/>
          </w:tcPr>
          <w:p w14:paraId="04F18119" w14:textId="77777777" w:rsidR="00541B4E" w:rsidRPr="00BC0D1F" w:rsidRDefault="00541B4E" w:rsidP="00541B4E">
            <w:pPr>
              <w:pStyle w:val="TableText"/>
              <w:jc w:val="right"/>
              <w:rPr>
                <w:b/>
              </w:rPr>
            </w:pPr>
            <w:r w:rsidRPr="00BC0D1F">
              <w:rPr>
                <w:b/>
              </w:rPr>
              <w:t>Buildings/ leasehold improvements</w:t>
            </w:r>
            <w:r w:rsidRPr="00BC0D1F">
              <w:rPr>
                <w:b/>
              </w:rPr>
              <w:br/>
              <w:t>$000</w:t>
            </w:r>
          </w:p>
        </w:tc>
        <w:tc>
          <w:tcPr>
            <w:tcW w:w="1276" w:type="dxa"/>
            <w:tcBorders>
              <w:top w:val="single" w:sz="4" w:space="0" w:color="auto"/>
              <w:bottom w:val="single" w:sz="4" w:space="0" w:color="auto"/>
            </w:tcBorders>
            <w:shd w:val="clear" w:color="E3E3E3" w:fill="auto"/>
          </w:tcPr>
          <w:p w14:paraId="3FF240B9" w14:textId="77777777" w:rsidR="00541B4E" w:rsidRPr="00BC0D1F" w:rsidRDefault="00541B4E" w:rsidP="00541B4E">
            <w:pPr>
              <w:pStyle w:val="TableText"/>
              <w:jc w:val="right"/>
              <w:rPr>
                <w:b/>
              </w:rPr>
            </w:pPr>
            <w:r w:rsidRPr="00BC0D1F">
              <w:rPr>
                <w:b/>
              </w:rPr>
              <w:t>Furniture, plant and equipment</w:t>
            </w:r>
            <w:r w:rsidRPr="00BC0D1F">
              <w:rPr>
                <w:b/>
              </w:rPr>
              <w:br/>
              <w:t>$000</w:t>
            </w:r>
          </w:p>
        </w:tc>
        <w:tc>
          <w:tcPr>
            <w:tcW w:w="992" w:type="dxa"/>
            <w:tcBorders>
              <w:top w:val="single" w:sz="4" w:space="0" w:color="auto"/>
              <w:bottom w:val="single" w:sz="4" w:space="0" w:color="auto"/>
            </w:tcBorders>
            <w:shd w:val="solid" w:color="FFFFFF" w:fill="auto"/>
          </w:tcPr>
          <w:p w14:paraId="4BA9CC3A" w14:textId="77777777" w:rsidR="00541B4E" w:rsidRPr="00BC0D1F" w:rsidRDefault="00541B4E" w:rsidP="00541B4E">
            <w:pPr>
              <w:pStyle w:val="TableText"/>
              <w:jc w:val="right"/>
              <w:rPr>
                <w:b/>
              </w:rPr>
            </w:pPr>
            <w:r w:rsidRPr="00BC0D1F">
              <w:rPr>
                <w:b/>
              </w:rPr>
              <w:t>Motor vehicles</w:t>
            </w:r>
            <w:r w:rsidRPr="00BC0D1F">
              <w:rPr>
                <w:b/>
              </w:rPr>
              <w:br/>
            </w:r>
            <w:r w:rsidRPr="00BC0D1F">
              <w:rPr>
                <w:b/>
              </w:rPr>
              <w:br/>
              <w:t>$000</w:t>
            </w:r>
          </w:p>
        </w:tc>
        <w:tc>
          <w:tcPr>
            <w:tcW w:w="1134" w:type="dxa"/>
            <w:tcBorders>
              <w:top w:val="single" w:sz="4" w:space="0" w:color="auto"/>
              <w:bottom w:val="single" w:sz="4" w:space="0" w:color="auto"/>
            </w:tcBorders>
            <w:shd w:val="solid" w:color="FFFFFF" w:fill="auto"/>
          </w:tcPr>
          <w:p w14:paraId="4C0CB0CD" w14:textId="77777777" w:rsidR="00541B4E" w:rsidRPr="00BC0D1F" w:rsidRDefault="00541B4E" w:rsidP="00541B4E">
            <w:pPr>
              <w:pStyle w:val="TableText"/>
              <w:jc w:val="right"/>
              <w:rPr>
                <w:b/>
              </w:rPr>
            </w:pPr>
            <w:r w:rsidRPr="00BC0D1F">
              <w:rPr>
                <w:b/>
              </w:rPr>
              <w:t>Computer hardware</w:t>
            </w:r>
            <w:r w:rsidRPr="00BC0D1F">
              <w:rPr>
                <w:b/>
              </w:rPr>
              <w:br/>
            </w:r>
            <w:r w:rsidRPr="00BC0D1F">
              <w:rPr>
                <w:b/>
              </w:rPr>
              <w:br/>
              <w:t>$000</w:t>
            </w:r>
          </w:p>
        </w:tc>
        <w:tc>
          <w:tcPr>
            <w:tcW w:w="851" w:type="dxa"/>
            <w:tcBorders>
              <w:top w:val="single" w:sz="4" w:space="0" w:color="auto"/>
              <w:bottom w:val="single" w:sz="4" w:space="0" w:color="auto"/>
            </w:tcBorders>
            <w:shd w:val="solid" w:color="FFFFFF" w:fill="auto"/>
          </w:tcPr>
          <w:p w14:paraId="1DE7793F" w14:textId="77777777" w:rsidR="00541B4E" w:rsidRPr="00BC0D1F" w:rsidRDefault="00541B4E" w:rsidP="00541B4E">
            <w:pPr>
              <w:pStyle w:val="TableText"/>
              <w:jc w:val="right"/>
              <w:rPr>
                <w:b/>
              </w:rPr>
            </w:pPr>
            <w:r w:rsidRPr="00BC0D1F">
              <w:rPr>
                <w:b/>
              </w:rPr>
              <w:t>Total</w:t>
            </w:r>
            <w:r w:rsidRPr="00BC0D1F">
              <w:rPr>
                <w:b/>
              </w:rPr>
              <w:br/>
            </w:r>
            <w:r w:rsidRPr="00BC0D1F">
              <w:rPr>
                <w:b/>
              </w:rPr>
              <w:br/>
            </w:r>
            <w:r w:rsidRPr="00BC0D1F">
              <w:rPr>
                <w:b/>
              </w:rPr>
              <w:br/>
              <w:t>$000</w:t>
            </w:r>
          </w:p>
        </w:tc>
      </w:tr>
      <w:tr w:rsidR="00541B4E" w:rsidRPr="00BC0D1F" w14:paraId="7361206A" w14:textId="77777777" w:rsidTr="00541B4E">
        <w:trPr>
          <w:cantSplit/>
        </w:trPr>
        <w:tc>
          <w:tcPr>
            <w:tcW w:w="2835" w:type="dxa"/>
            <w:tcBorders>
              <w:top w:val="single" w:sz="4" w:space="0" w:color="auto"/>
              <w:left w:val="nil"/>
            </w:tcBorders>
            <w:shd w:val="solid" w:color="FFFFFF" w:fill="auto"/>
          </w:tcPr>
          <w:p w14:paraId="6636E0EA" w14:textId="77777777" w:rsidR="00541B4E" w:rsidRPr="00BC0D1F" w:rsidRDefault="00541B4E" w:rsidP="00D543B3">
            <w:pPr>
              <w:pStyle w:val="TableText"/>
              <w:rPr>
                <w:b/>
              </w:rPr>
            </w:pPr>
            <w:r w:rsidRPr="00BC0D1F">
              <w:rPr>
                <w:b/>
              </w:rPr>
              <w:t>Cost or valuation</w:t>
            </w:r>
          </w:p>
        </w:tc>
        <w:tc>
          <w:tcPr>
            <w:tcW w:w="851" w:type="dxa"/>
            <w:tcBorders>
              <w:top w:val="single" w:sz="4" w:space="0" w:color="auto"/>
            </w:tcBorders>
            <w:shd w:val="clear" w:color="E3E3E3" w:fill="auto"/>
          </w:tcPr>
          <w:p w14:paraId="625F5EA0" w14:textId="77777777" w:rsidR="00541B4E" w:rsidRPr="00BC0D1F" w:rsidRDefault="00541B4E" w:rsidP="00541B4E">
            <w:pPr>
              <w:pStyle w:val="TableText"/>
              <w:jc w:val="right"/>
              <w:rPr>
                <w:b/>
              </w:rPr>
            </w:pPr>
          </w:p>
        </w:tc>
        <w:tc>
          <w:tcPr>
            <w:tcW w:w="1417" w:type="dxa"/>
            <w:tcBorders>
              <w:top w:val="single" w:sz="4" w:space="0" w:color="auto"/>
            </w:tcBorders>
            <w:shd w:val="clear" w:color="E3E3E3" w:fill="auto"/>
          </w:tcPr>
          <w:p w14:paraId="7FBE165C" w14:textId="77777777" w:rsidR="00541B4E" w:rsidRPr="00BC0D1F" w:rsidRDefault="00541B4E" w:rsidP="00541B4E">
            <w:pPr>
              <w:pStyle w:val="TableText"/>
              <w:jc w:val="right"/>
              <w:rPr>
                <w:b/>
              </w:rPr>
            </w:pPr>
          </w:p>
        </w:tc>
        <w:tc>
          <w:tcPr>
            <w:tcW w:w="1276" w:type="dxa"/>
            <w:tcBorders>
              <w:top w:val="single" w:sz="4" w:space="0" w:color="auto"/>
            </w:tcBorders>
            <w:shd w:val="clear" w:color="E3E3E3" w:fill="auto"/>
          </w:tcPr>
          <w:p w14:paraId="3A6CB963" w14:textId="77777777" w:rsidR="00541B4E" w:rsidRPr="00BC0D1F" w:rsidRDefault="00541B4E" w:rsidP="00541B4E">
            <w:pPr>
              <w:pStyle w:val="TableText"/>
              <w:jc w:val="right"/>
              <w:rPr>
                <w:b/>
              </w:rPr>
            </w:pPr>
          </w:p>
        </w:tc>
        <w:tc>
          <w:tcPr>
            <w:tcW w:w="992" w:type="dxa"/>
            <w:tcBorders>
              <w:top w:val="single" w:sz="4" w:space="0" w:color="auto"/>
            </w:tcBorders>
          </w:tcPr>
          <w:p w14:paraId="7810EF71" w14:textId="77777777" w:rsidR="00541B4E" w:rsidRPr="00BC0D1F" w:rsidRDefault="00541B4E" w:rsidP="00541B4E">
            <w:pPr>
              <w:pStyle w:val="TableText"/>
              <w:jc w:val="right"/>
              <w:rPr>
                <w:b/>
              </w:rPr>
            </w:pPr>
          </w:p>
        </w:tc>
        <w:tc>
          <w:tcPr>
            <w:tcW w:w="1134" w:type="dxa"/>
            <w:tcBorders>
              <w:top w:val="single" w:sz="4" w:space="0" w:color="auto"/>
            </w:tcBorders>
          </w:tcPr>
          <w:p w14:paraId="3CBEB225" w14:textId="77777777" w:rsidR="00541B4E" w:rsidRPr="00BC0D1F" w:rsidRDefault="00541B4E" w:rsidP="00541B4E">
            <w:pPr>
              <w:pStyle w:val="TableText"/>
              <w:jc w:val="right"/>
              <w:rPr>
                <w:b/>
              </w:rPr>
            </w:pPr>
          </w:p>
        </w:tc>
        <w:tc>
          <w:tcPr>
            <w:tcW w:w="851" w:type="dxa"/>
            <w:tcBorders>
              <w:top w:val="single" w:sz="4" w:space="0" w:color="auto"/>
            </w:tcBorders>
          </w:tcPr>
          <w:p w14:paraId="7AC50516" w14:textId="77777777" w:rsidR="00541B4E" w:rsidRPr="00BC0D1F" w:rsidRDefault="00541B4E" w:rsidP="00541B4E">
            <w:pPr>
              <w:pStyle w:val="TableText"/>
              <w:jc w:val="right"/>
              <w:rPr>
                <w:b/>
              </w:rPr>
            </w:pPr>
          </w:p>
        </w:tc>
      </w:tr>
      <w:tr w:rsidR="00541B4E" w:rsidRPr="00BC0D1F" w14:paraId="14574716" w14:textId="77777777" w:rsidTr="00541B4E">
        <w:trPr>
          <w:cantSplit/>
        </w:trPr>
        <w:tc>
          <w:tcPr>
            <w:tcW w:w="2835" w:type="dxa"/>
            <w:tcBorders>
              <w:left w:val="nil"/>
            </w:tcBorders>
            <w:shd w:val="solid" w:color="FFFFFF" w:fill="auto"/>
          </w:tcPr>
          <w:p w14:paraId="7025736C" w14:textId="77777777" w:rsidR="00541B4E" w:rsidRPr="00BC0D1F" w:rsidRDefault="00541B4E" w:rsidP="00541B4E">
            <w:pPr>
              <w:pStyle w:val="TableText"/>
              <w:spacing w:before="240"/>
              <w:rPr>
                <w:b/>
              </w:rPr>
            </w:pPr>
            <w:r w:rsidRPr="00BC0D1F">
              <w:rPr>
                <w:b/>
              </w:rPr>
              <w:t>Balance as at 1 July 2014</w:t>
            </w:r>
          </w:p>
        </w:tc>
        <w:tc>
          <w:tcPr>
            <w:tcW w:w="851" w:type="dxa"/>
            <w:shd w:val="clear" w:color="E3E3E3" w:fill="auto"/>
          </w:tcPr>
          <w:p w14:paraId="67C9EC3F" w14:textId="77777777" w:rsidR="00541B4E" w:rsidRPr="00BC0D1F" w:rsidRDefault="00541B4E" w:rsidP="00541B4E">
            <w:pPr>
              <w:pStyle w:val="TableText"/>
              <w:spacing w:before="240"/>
              <w:jc w:val="right"/>
              <w:rPr>
                <w:b/>
              </w:rPr>
            </w:pPr>
            <w:r w:rsidRPr="00BC0D1F">
              <w:rPr>
                <w:b/>
              </w:rPr>
              <w:t>5,300</w:t>
            </w:r>
          </w:p>
        </w:tc>
        <w:tc>
          <w:tcPr>
            <w:tcW w:w="1417" w:type="dxa"/>
            <w:shd w:val="clear" w:color="E3E3E3" w:fill="auto"/>
          </w:tcPr>
          <w:p w14:paraId="48790A06" w14:textId="77777777" w:rsidR="00541B4E" w:rsidRPr="00BC0D1F" w:rsidRDefault="00541B4E" w:rsidP="00541B4E">
            <w:pPr>
              <w:pStyle w:val="TableText"/>
              <w:spacing w:before="240"/>
              <w:jc w:val="right"/>
              <w:rPr>
                <w:b/>
              </w:rPr>
            </w:pPr>
            <w:r w:rsidRPr="00BC0D1F">
              <w:rPr>
                <w:b/>
              </w:rPr>
              <w:t>9,109</w:t>
            </w:r>
          </w:p>
        </w:tc>
        <w:tc>
          <w:tcPr>
            <w:tcW w:w="1276" w:type="dxa"/>
            <w:shd w:val="clear" w:color="E3E3E3" w:fill="auto"/>
          </w:tcPr>
          <w:p w14:paraId="6682598D" w14:textId="77777777" w:rsidR="00541B4E" w:rsidRPr="00BC0D1F" w:rsidRDefault="00541B4E" w:rsidP="00541B4E">
            <w:pPr>
              <w:pStyle w:val="TableText"/>
              <w:spacing w:before="240"/>
              <w:jc w:val="right"/>
              <w:rPr>
                <w:b/>
              </w:rPr>
            </w:pPr>
            <w:r w:rsidRPr="00BC0D1F">
              <w:rPr>
                <w:b/>
              </w:rPr>
              <w:t>6,876</w:t>
            </w:r>
          </w:p>
        </w:tc>
        <w:tc>
          <w:tcPr>
            <w:tcW w:w="992" w:type="dxa"/>
          </w:tcPr>
          <w:p w14:paraId="31B25A1A" w14:textId="77777777" w:rsidR="00541B4E" w:rsidRPr="00BC0D1F" w:rsidRDefault="00541B4E" w:rsidP="00541B4E">
            <w:pPr>
              <w:pStyle w:val="TableText"/>
              <w:spacing w:before="240"/>
              <w:jc w:val="right"/>
              <w:rPr>
                <w:b/>
              </w:rPr>
            </w:pPr>
            <w:r w:rsidRPr="00BC0D1F">
              <w:rPr>
                <w:b/>
              </w:rPr>
              <w:t>373</w:t>
            </w:r>
          </w:p>
        </w:tc>
        <w:tc>
          <w:tcPr>
            <w:tcW w:w="1134" w:type="dxa"/>
          </w:tcPr>
          <w:p w14:paraId="22377628" w14:textId="77777777" w:rsidR="00541B4E" w:rsidRPr="00BC0D1F" w:rsidRDefault="00541B4E" w:rsidP="00541B4E">
            <w:pPr>
              <w:pStyle w:val="TableText"/>
              <w:spacing w:before="240"/>
              <w:jc w:val="right"/>
              <w:rPr>
                <w:b/>
              </w:rPr>
            </w:pPr>
            <w:r w:rsidRPr="00BC0D1F">
              <w:rPr>
                <w:b/>
              </w:rPr>
              <w:t>19,649</w:t>
            </w:r>
          </w:p>
        </w:tc>
        <w:tc>
          <w:tcPr>
            <w:tcW w:w="851" w:type="dxa"/>
          </w:tcPr>
          <w:p w14:paraId="44BCA6C9" w14:textId="77777777" w:rsidR="00541B4E" w:rsidRPr="00BC0D1F" w:rsidRDefault="00541B4E" w:rsidP="00541B4E">
            <w:pPr>
              <w:pStyle w:val="TableText"/>
              <w:spacing w:before="240"/>
              <w:jc w:val="right"/>
              <w:rPr>
                <w:b/>
              </w:rPr>
            </w:pPr>
            <w:r w:rsidRPr="00BC0D1F">
              <w:rPr>
                <w:b/>
              </w:rPr>
              <w:t>41,307</w:t>
            </w:r>
          </w:p>
        </w:tc>
      </w:tr>
      <w:tr w:rsidR="00541B4E" w:rsidRPr="00BC0D1F" w14:paraId="6C4AA62D" w14:textId="77777777" w:rsidTr="00541B4E">
        <w:trPr>
          <w:cantSplit/>
        </w:trPr>
        <w:tc>
          <w:tcPr>
            <w:tcW w:w="2835" w:type="dxa"/>
            <w:tcBorders>
              <w:left w:val="nil"/>
            </w:tcBorders>
            <w:shd w:val="solid" w:color="FFFFFF" w:fill="auto"/>
          </w:tcPr>
          <w:p w14:paraId="734ED734" w14:textId="77777777" w:rsidR="00541B4E" w:rsidRPr="00BC0D1F" w:rsidRDefault="00541B4E" w:rsidP="00D543B3">
            <w:pPr>
              <w:pStyle w:val="TableText"/>
            </w:pPr>
            <w:r w:rsidRPr="00BC0D1F">
              <w:t>Additions</w:t>
            </w:r>
          </w:p>
        </w:tc>
        <w:tc>
          <w:tcPr>
            <w:tcW w:w="851" w:type="dxa"/>
            <w:shd w:val="clear" w:color="E3E3E3" w:fill="auto"/>
          </w:tcPr>
          <w:p w14:paraId="32A2D948" w14:textId="77777777" w:rsidR="00541B4E" w:rsidRPr="00BC0D1F" w:rsidRDefault="00541B4E" w:rsidP="00541B4E">
            <w:pPr>
              <w:pStyle w:val="TableText"/>
              <w:jc w:val="right"/>
            </w:pPr>
            <w:r w:rsidRPr="00BC0D1F">
              <w:t>–</w:t>
            </w:r>
          </w:p>
        </w:tc>
        <w:tc>
          <w:tcPr>
            <w:tcW w:w="1417" w:type="dxa"/>
            <w:shd w:val="clear" w:color="E3E3E3" w:fill="auto"/>
          </w:tcPr>
          <w:p w14:paraId="2C766E82" w14:textId="77777777" w:rsidR="00541B4E" w:rsidRPr="00BC0D1F" w:rsidRDefault="00541B4E" w:rsidP="00541B4E">
            <w:pPr>
              <w:pStyle w:val="TableText"/>
              <w:jc w:val="right"/>
            </w:pPr>
            <w:r w:rsidRPr="00BC0D1F">
              <w:t>3,990</w:t>
            </w:r>
          </w:p>
        </w:tc>
        <w:tc>
          <w:tcPr>
            <w:tcW w:w="1276" w:type="dxa"/>
            <w:shd w:val="clear" w:color="E3E3E3" w:fill="auto"/>
          </w:tcPr>
          <w:p w14:paraId="567A326A" w14:textId="77777777" w:rsidR="00541B4E" w:rsidRPr="00BC0D1F" w:rsidRDefault="00541B4E" w:rsidP="00541B4E">
            <w:pPr>
              <w:pStyle w:val="TableText"/>
              <w:jc w:val="right"/>
            </w:pPr>
            <w:r w:rsidRPr="00BC0D1F">
              <w:t>1,871</w:t>
            </w:r>
          </w:p>
        </w:tc>
        <w:tc>
          <w:tcPr>
            <w:tcW w:w="992" w:type="dxa"/>
          </w:tcPr>
          <w:p w14:paraId="28ECE766" w14:textId="77777777" w:rsidR="00541B4E" w:rsidRPr="00BC0D1F" w:rsidRDefault="00541B4E" w:rsidP="00541B4E">
            <w:pPr>
              <w:pStyle w:val="TableText"/>
              <w:jc w:val="right"/>
            </w:pPr>
            <w:r w:rsidRPr="00BC0D1F">
              <w:t>–</w:t>
            </w:r>
          </w:p>
        </w:tc>
        <w:tc>
          <w:tcPr>
            <w:tcW w:w="1134" w:type="dxa"/>
          </w:tcPr>
          <w:p w14:paraId="2375F432" w14:textId="77777777" w:rsidR="00541B4E" w:rsidRPr="00BC0D1F" w:rsidRDefault="00541B4E" w:rsidP="00541B4E">
            <w:pPr>
              <w:pStyle w:val="TableText"/>
              <w:jc w:val="right"/>
            </w:pPr>
            <w:r w:rsidRPr="00BC0D1F">
              <w:t>227</w:t>
            </w:r>
          </w:p>
        </w:tc>
        <w:tc>
          <w:tcPr>
            <w:tcW w:w="851" w:type="dxa"/>
          </w:tcPr>
          <w:p w14:paraId="7F25E838" w14:textId="77777777" w:rsidR="00541B4E" w:rsidRPr="00BC0D1F" w:rsidRDefault="00541B4E" w:rsidP="00541B4E">
            <w:pPr>
              <w:pStyle w:val="TableText"/>
              <w:jc w:val="right"/>
            </w:pPr>
            <w:r w:rsidRPr="00BC0D1F">
              <w:t>6,088</w:t>
            </w:r>
          </w:p>
        </w:tc>
      </w:tr>
      <w:tr w:rsidR="00541B4E" w:rsidRPr="00BC0D1F" w14:paraId="759F35A7" w14:textId="77777777" w:rsidTr="00541B4E">
        <w:trPr>
          <w:cantSplit/>
        </w:trPr>
        <w:tc>
          <w:tcPr>
            <w:tcW w:w="2835" w:type="dxa"/>
            <w:tcBorders>
              <w:left w:val="nil"/>
            </w:tcBorders>
            <w:shd w:val="solid" w:color="FFFFFF" w:fill="auto"/>
          </w:tcPr>
          <w:p w14:paraId="06D5F3AD" w14:textId="77777777" w:rsidR="00541B4E" w:rsidRPr="00BC0D1F" w:rsidRDefault="00541B4E" w:rsidP="00D543B3">
            <w:pPr>
              <w:pStyle w:val="TableText"/>
            </w:pPr>
            <w:r w:rsidRPr="00BC0D1F">
              <w:t>Revaluation increase/(decrease)</w:t>
            </w:r>
          </w:p>
        </w:tc>
        <w:tc>
          <w:tcPr>
            <w:tcW w:w="851" w:type="dxa"/>
            <w:shd w:val="clear" w:color="E3E3E3" w:fill="auto"/>
          </w:tcPr>
          <w:p w14:paraId="58F1F9E8" w14:textId="77777777" w:rsidR="00541B4E" w:rsidRPr="00BC0D1F" w:rsidRDefault="00541B4E" w:rsidP="00541B4E">
            <w:pPr>
              <w:pStyle w:val="TableText"/>
              <w:jc w:val="right"/>
            </w:pPr>
            <w:r w:rsidRPr="00BC0D1F">
              <w:t>(500)</w:t>
            </w:r>
          </w:p>
        </w:tc>
        <w:tc>
          <w:tcPr>
            <w:tcW w:w="1417" w:type="dxa"/>
            <w:shd w:val="clear" w:color="E3E3E3" w:fill="auto"/>
          </w:tcPr>
          <w:p w14:paraId="560D0CC0" w14:textId="77777777" w:rsidR="00541B4E" w:rsidRPr="00BC0D1F" w:rsidRDefault="00541B4E" w:rsidP="00541B4E">
            <w:pPr>
              <w:pStyle w:val="TableText"/>
              <w:jc w:val="right"/>
            </w:pPr>
            <w:r w:rsidRPr="00BC0D1F">
              <w:t>–</w:t>
            </w:r>
          </w:p>
        </w:tc>
        <w:tc>
          <w:tcPr>
            <w:tcW w:w="1276" w:type="dxa"/>
            <w:shd w:val="clear" w:color="E3E3E3" w:fill="auto"/>
          </w:tcPr>
          <w:p w14:paraId="4DAF08ED" w14:textId="77777777" w:rsidR="00541B4E" w:rsidRPr="00BC0D1F" w:rsidRDefault="00541B4E" w:rsidP="00541B4E">
            <w:pPr>
              <w:pStyle w:val="TableText"/>
              <w:jc w:val="right"/>
            </w:pPr>
            <w:r w:rsidRPr="00BC0D1F">
              <w:t>–</w:t>
            </w:r>
          </w:p>
        </w:tc>
        <w:tc>
          <w:tcPr>
            <w:tcW w:w="992" w:type="dxa"/>
          </w:tcPr>
          <w:p w14:paraId="4EF64A82" w14:textId="77777777" w:rsidR="00541B4E" w:rsidRPr="00BC0D1F" w:rsidRDefault="00541B4E" w:rsidP="00541B4E">
            <w:pPr>
              <w:pStyle w:val="TableText"/>
              <w:jc w:val="right"/>
            </w:pPr>
            <w:r w:rsidRPr="00BC0D1F">
              <w:t>–</w:t>
            </w:r>
          </w:p>
        </w:tc>
        <w:tc>
          <w:tcPr>
            <w:tcW w:w="1134" w:type="dxa"/>
          </w:tcPr>
          <w:p w14:paraId="599531F8" w14:textId="77777777" w:rsidR="00541B4E" w:rsidRPr="00BC0D1F" w:rsidRDefault="00541B4E" w:rsidP="00541B4E">
            <w:pPr>
              <w:pStyle w:val="TableText"/>
              <w:jc w:val="right"/>
            </w:pPr>
            <w:r w:rsidRPr="00BC0D1F">
              <w:t>–</w:t>
            </w:r>
          </w:p>
        </w:tc>
        <w:tc>
          <w:tcPr>
            <w:tcW w:w="851" w:type="dxa"/>
          </w:tcPr>
          <w:p w14:paraId="4BAAE1A4" w14:textId="77777777" w:rsidR="00541B4E" w:rsidRPr="00BC0D1F" w:rsidRDefault="00541B4E" w:rsidP="00541B4E">
            <w:pPr>
              <w:pStyle w:val="TableText"/>
              <w:jc w:val="right"/>
            </w:pPr>
            <w:r w:rsidRPr="00BC0D1F">
              <w:t>(500)</w:t>
            </w:r>
          </w:p>
        </w:tc>
      </w:tr>
      <w:tr w:rsidR="00541B4E" w:rsidRPr="00BC0D1F" w14:paraId="75F6A24C" w14:textId="77777777" w:rsidTr="00541B4E">
        <w:trPr>
          <w:cantSplit/>
        </w:trPr>
        <w:tc>
          <w:tcPr>
            <w:tcW w:w="2835" w:type="dxa"/>
            <w:tcBorders>
              <w:left w:val="nil"/>
              <w:bottom w:val="nil"/>
            </w:tcBorders>
            <w:shd w:val="solid" w:color="FFFFFF" w:fill="auto"/>
          </w:tcPr>
          <w:p w14:paraId="77DA4924" w14:textId="77777777" w:rsidR="00541B4E" w:rsidRPr="00BC0D1F" w:rsidRDefault="00541B4E" w:rsidP="00D543B3">
            <w:pPr>
              <w:pStyle w:val="TableText"/>
            </w:pPr>
            <w:r w:rsidRPr="00BC0D1F">
              <w:t>Disposals</w:t>
            </w:r>
          </w:p>
        </w:tc>
        <w:tc>
          <w:tcPr>
            <w:tcW w:w="851" w:type="dxa"/>
            <w:tcBorders>
              <w:bottom w:val="nil"/>
            </w:tcBorders>
            <w:shd w:val="clear" w:color="E3E3E3" w:fill="auto"/>
          </w:tcPr>
          <w:p w14:paraId="0C34E57D" w14:textId="77777777" w:rsidR="00541B4E" w:rsidRPr="00BC0D1F" w:rsidRDefault="00541B4E" w:rsidP="00541B4E">
            <w:pPr>
              <w:pStyle w:val="TableText"/>
              <w:jc w:val="right"/>
            </w:pPr>
            <w:r w:rsidRPr="00BC0D1F">
              <w:t>–</w:t>
            </w:r>
          </w:p>
        </w:tc>
        <w:tc>
          <w:tcPr>
            <w:tcW w:w="1417" w:type="dxa"/>
            <w:tcBorders>
              <w:bottom w:val="nil"/>
            </w:tcBorders>
            <w:shd w:val="clear" w:color="E3E3E3" w:fill="auto"/>
          </w:tcPr>
          <w:p w14:paraId="6454A62E" w14:textId="77777777" w:rsidR="00541B4E" w:rsidRPr="00BC0D1F" w:rsidRDefault="00541B4E" w:rsidP="00541B4E">
            <w:pPr>
              <w:pStyle w:val="TableText"/>
              <w:jc w:val="right"/>
            </w:pPr>
            <w:r w:rsidRPr="00BC0D1F">
              <w:t>(2,390)</w:t>
            </w:r>
          </w:p>
        </w:tc>
        <w:tc>
          <w:tcPr>
            <w:tcW w:w="1276" w:type="dxa"/>
            <w:tcBorders>
              <w:bottom w:val="nil"/>
            </w:tcBorders>
            <w:shd w:val="clear" w:color="E3E3E3" w:fill="auto"/>
          </w:tcPr>
          <w:p w14:paraId="1E780E47" w14:textId="77777777" w:rsidR="00541B4E" w:rsidRPr="00BC0D1F" w:rsidRDefault="00541B4E" w:rsidP="00541B4E">
            <w:pPr>
              <w:pStyle w:val="TableText"/>
              <w:jc w:val="right"/>
            </w:pPr>
            <w:r w:rsidRPr="00BC0D1F">
              <w:t>(3,677)</w:t>
            </w:r>
          </w:p>
        </w:tc>
        <w:tc>
          <w:tcPr>
            <w:tcW w:w="992" w:type="dxa"/>
            <w:tcBorders>
              <w:bottom w:val="nil"/>
            </w:tcBorders>
          </w:tcPr>
          <w:p w14:paraId="7EC86BEB" w14:textId="77777777" w:rsidR="00541B4E" w:rsidRPr="00BC0D1F" w:rsidRDefault="00541B4E" w:rsidP="00541B4E">
            <w:pPr>
              <w:pStyle w:val="TableText"/>
              <w:jc w:val="right"/>
            </w:pPr>
            <w:r w:rsidRPr="00BC0D1F">
              <w:t>–</w:t>
            </w:r>
          </w:p>
        </w:tc>
        <w:tc>
          <w:tcPr>
            <w:tcW w:w="1134" w:type="dxa"/>
            <w:tcBorders>
              <w:bottom w:val="nil"/>
            </w:tcBorders>
          </w:tcPr>
          <w:p w14:paraId="69E10410" w14:textId="77777777" w:rsidR="00541B4E" w:rsidRPr="00BC0D1F" w:rsidRDefault="00541B4E" w:rsidP="00541B4E">
            <w:pPr>
              <w:pStyle w:val="TableText"/>
              <w:jc w:val="right"/>
            </w:pPr>
            <w:r w:rsidRPr="00BC0D1F">
              <w:t>(943)</w:t>
            </w:r>
          </w:p>
        </w:tc>
        <w:tc>
          <w:tcPr>
            <w:tcW w:w="851" w:type="dxa"/>
            <w:tcBorders>
              <w:bottom w:val="nil"/>
            </w:tcBorders>
          </w:tcPr>
          <w:p w14:paraId="7865D704" w14:textId="77777777" w:rsidR="00541B4E" w:rsidRPr="00BC0D1F" w:rsidRDefault="00541B4E" w:rsidP="00541B4E">
            <w:pPr>
              <w:pStyle w:val="TableText"/>
              <w:jc w:val="right"/>
            </w:pPr>
            <w:r w:rsidRPr="00BC0D1F">
              <w:t>(7,010)</w:t>
            </w:r>
          </w:p>
        </w:tc>
      </w:tr>
      <w:tr w:rsidR="00541B4E" w:rsidRPr="00BC0D1F" w14:paraId="2D572F7C" w14:textId="77777777" w:rsidTr="00541B4E">
        <w:trPr>
          <w:cantSplit/>
        </w:trPr>
        <w:tc>
          <w:tcPr>
            <w:tcW w:w="2835" w:type="dxa"/>
            <w:tcBorders>
              <w:top w:val="nil"/>
              <w:left w:val="nil"/>
              <w:bottom w:val="nil"/>
            </w:tcBorders>
            <w:shd w:val="solid" w:color="FFFFFF" w:fill="auto"/>
          </w:tcPr>
          <w:p w14:paraId="11BD228A" w14:textId="77777777" w:rsidR="00541B4E" w:rsidRPr="00BC0D1F" w:rsidRDefault="00541B4E" w:rsidP="00D543B3">
            <w:pPr>
              <w:pStyle w:val="TableText"/>
            </w:pPr>
            <w:r w:rsidRPr="00BC0D1F">
              <w:t>Transfers</w:t>
            </w:r>
          </w:p>
        </w:tc>
        <w:tc>
          <w:tcPr>
            <w:tcW w:w="851" w:type="dxa"/>
            <w:tcBorders>
              <w:top w:val="nil"/>
              <w:bottom w:val="nil"/>
            </w:tcBorders>
            <w:shd w:val="clear" w:color="E3E3E3" w:fill="auto"/>
          </w:tcPr>
          <w:p w14:paraId="1FE2D563" w14:textId="77777777" w:rsidR="00541B4E" w:rsidRPr="00BC0D1F" w:rsidRDefault="00541B4E" w:rsidP="00541B4E">
            <w:pPr>
              <w:pStyle w:val="TableText"/>
              <w:jc w:val="right"/>
            </w:pPr>
          </w:p>
        </w:tc>
        <w:tc>
          <w:tcPr>
            <w:tcW w:w="1417" w:type="dxa"/>
            <w:tcBorders>
              <w:top w:val="nil"/>
              <w:bottom w:val="nil"/>
            </w:tcBorders>
            <w:shd w:val="clear" w:color="E3E3E3" w:fill="auto"/>
          </w:tcPr>
          <w:p w14:paraId="5C20F4DB" w14:textId="77777777" w:rsidR="00541B4E" w:rsidRPr="00BC0D1F" w:rsidRDefault="00541B4E" w:rsidP="00541B4E">
            <w:pPr>
              <w:pStyle w:val="TableText"/>
              <w:jc w:val="right"/>
            </w:pPr>
          </w:p>
        </w:tc>
        <w:tc>
          <w:tcPr>
            <w:tcW w:w="1276" w:type="dxa"/>
            <w:tcBorders>
              <w:top w:val="nil"/>
              <w:bottom w:val="nil"/>
            </w:tcBorders>
            <w:shd w:val="clear" w:color="E3E3E3" w:fill="auto"/>
          </w:tcPr>
          <w:p w14:paraId="775E50BE" w14:textId="77777777" w:rsidR="00541B4E" w:rsidRPr="00BC0D1F" w:rsidRDefault="00541B4E" w:rsidP="00541B4E">
            <w:pPr>
              <w:pStyle w:val="TableText"/>
              <w:jc w:val="right"/>
            </w:pPr>
          </w:p>
        </w:tc>
        <w:tc>
          <w:tcPr>
            <w:tcW w:w="992" w:type="dxa"/>
            <w:tcBorders>
              <w:top w:val="nil"/>
              <w:bottom w:val="nil"/>
            </w:tcBorders>
          </w:tcPr>
          <w:p w14:paraId="784C8B65" w14:textId="77777777" w:rsidR="00541B4E" w:rsidRPr="00BC0D1F" w:rsidRDefault="00541B4E" w:rsidP="00541B4E">
            <w:pPr>
              <w:pStyle w:val="TableText"/>
              <w:jc w:val="right"/>
            </w:pPr>
          </w:p>
        </w:tc>
        <w:tc>
          <w:tcPr>
            <w:tcW w:w="1134" w:type="dxa"/>
            <w:tcBorders>
              <w:top w:val="nil"/>
              <w:bottom w:val="nil"/>
            </w:tcBorders>
          </w:tcPr>
          <w:p w14:paraId="2B8CA3FE" w14:textId="77777777" w:rsidR="00541B4E" w:rsidRPr="00BC0D1F" w:rsidRDefault="00541B4E" w:rsidP="00541B4E">
            <w:pPr>
              <w:pStyle w:val="TableText"/>
              <w:jc w:val="right"/>
            </w:pPr>
            <w:r w:rsidRPr="00BC0D1F">
              <w:t>1,376</w:t>
            </w:r>
          </w:p>
        </w:tc>
        <w:tc>
          <w:tcPr>
            <w:tcW w:w="851" w:type="dxa"/>
            <w:tcBorders>
              <w:top w:val="nil"/>
              <w:bottom w:val="nil"/>
            </w:tcBorders>
          </w:tcPr>
          <w:p w14:paraId="4D7C1C51" w14:textId="77777777" w:rsidR="00541B4E" w:rsidRPr="00BC0D1F" w:rsidRDefault="00541B4E" w:rsidP="00541B4E">
            <w:pPr>
              <w:pStyle w:val="TableText"/>
              <w:jc w:val="right"/>
            </w:pPr>
            <w:r w:rsidRPr="00BC0D1F">
              <w:t>1,376</w:t>
            </w:r>
          </w:p>
        </w:tc>
      </w:tr>
      <w:tr w:rsidR="00541B4E" w:rsidRPr="00BC0D1F" w14:paraId="776F997B" w14:textId="77777777" w:rsidTr="00541B4E">
        <w:trPr>
          <w:cantSplit/>
        </w:trPr>
        <w:tc>
          <w:tcPr>
            <w:tcW w:w="2835" w:type="dxa"/>
            <w:tcBorders>
              <w:top w:val="nil"/>
              <w:left w:val="nil"/>
              <w:bottom w:val="nil"/>
            </w:tcBorders>
            <w:shd w:val="solid" w:color="FFFFFF" w:fill="auto"/>
          </w:tcPr>
          <w:p w14:paraId="04C57CA5" w14:textId="77777777" w:rsidR="00541B4E" w:rsidRPr="00BC0D1F" w:rsidRDefault="00541B4E" w:rsidP="00D543B3">
            <w:pPr>
              <w:pStyle w:val="TableText"/>
              <w:rPr>
                <w:b/>
              </w:rPr>
            </w:pPr>
            <w:r w:rsidRPr="00BC0D1F">
              <w:rPr>
                <w:b/>
              </w:rPr>
              <w:t>Balance as at 30 June 2015</w:t>
            </w:r>
          </w:p>
        </w:tc>
        <w:tc>
          <w:tcPr>
            <w:tcW w:w="851" w:type="dxa"/>
            <w:tcBorders>
              <w:top w:val="nil"/>
              <w:bottom w:val="nil"/>
            </w:tcBorders>
            <w:shd w:val="clear" w:color="auto" w:fill="D9D9D9"/>
          </w:tcPr>
          <w:p w14:paraId="274B7C31" w14:textId="77777777" w:rsidR="00541B4E" w:rsidRPr="00BC0D1F" w:rsidRDefault="00541B4E" w:rsidP="00541B4E">
            <w:pPr>
              <w:pStyle w:val="TableText"/>
              <w:jc w:val="right"/>
              <w:rPr>
                <w:b/>
              </w:rPr>
            </w:pPr>
            <w:r w:rsidRPr="00BC0D1F">
              <w:rPr>
                <w:b/>
              </w:rPr>
              <w:t>4,800</w:t>
            </w:r>
          </w:p>
        </w:tc>
        <w:tc>
          <w:tcPr>
            <w:tcW w:w="1417" w:type="dxa"/>
            <w:tcBorders>
              <w:top w:val="nil"/>
              <w:bottom w:val="nil"/>
            </w:tcBorders>
            <w:shd w:val="clear" w:color="auto" w:fill="D9D9D9"/>
          </w:tcPr>
          <w:p w14:paraId="15E82AC3" w14:textId="77777777" w:rsidR="00541B4E" w:rsidRPr="00BC0D1F" w:rsidRDefault="00541B4E" w:rsidP="00541B4E">
            <w:pPr>
              <w:pStyle w:val="TableText"/>
              <w:jc w:val="right"/>
              <w:rPr>
                <w:b/>
              </w:rPr>
            </w:pPr>
            <w:r w:rsidRPr="00BC0D1F">
              <w:rPr>
                <w:b/>
              </w:rPr>
              <w:t>10,709</w:t>
            </w:r>
          </w:p>
        </w:tc>
        <w:tc>
          <w:tcPr>
            <w:tcW w:w="1276" w:type="dxa"/>
            <w:tcBorders>
              <w:top w:val="nil"/>
              <w:bottom w:val="nil"/>
            </w:tcBorders>
            <w:shd w:val="clear" w:color="auto" w:fill="D9D9D9"/>
          </w:tcPr>
          <w:p w14:paraId="06BD2ED8" w14:textId="77777777" w:rsidR="00541B4E" w:rsidRPr="00BC0D1F" w:rsidRDefault="00541B4E" w:rsidP="00541B4E">
            <w:pPr>
              <w:pStyle w:val="TableText"/>
              <w:jc w:val="right"/>
              <w:rPr>
                <w:b/>
              </w:rPr>
            </w:pPr>
            <w:r w:rsidRPr="00BC0D1F">
              <w:rPr>
                <w:b/>
              </w:rPr>
              <w:t>5,070</w:t>
            </w:r>
          </w:p>
        </w:tc>
        <w:tc>
          <w:tcPr>
            <w:tcW w:w="992" w:type="dxa"/>
            <w:tcBorders>
              <w:top w:val="nil"/>
              <w:bottom w:val="nil"/>
            </w:tcBorders>
            <w:shd w:val="clear" w:color="auto" w:fill="D9D9D9"/>
          </w:tcPr>
          <w:p w14:paraId="22BACA32" w14:textId="77777777" w:rsidR="00541B4E" w:rsidRPr="00BC0D1F" w:rsidRDefault="00541B4E" w:rsidP="00541B4E">
            <w:pPr>
              <w:pStyle w:val="TableText"/>
              <w:jc w:val="right"/>
              <w:rPr>
                <w:b/>
              </w:rPr>
            </w:pPr>
            <w:r w:rsidRPr="00BC0D1F">
              <w:rPr>
                <w:b/>
              </w:rPr>
              <w:t>373</w:t>
            </w:r>
          </w:p>
        </w:tc>
        <w:tc>
          <w:tcPr>
            <w:tcW w:w="1134" w:type="dxa"/>
            <w:tcBorders>
              <w:top w:val="nil"/>
              <w:bottom w:val="nil"/>
            </w:tcBorders>
            <w:shd w:val="clear" w:color="auto" w:fill="D9D9D9"/>
          </w:tcPr>
          <w:p w14:paraId="72EB9CB4" w14:textId="77777777" w:rsidR="00541B4E" w:rsidRPr="00BC0D1F" w:rsidRDefault="00541B4E" w:rsidP="00541B4E">
            <w:pPr>
              <w:pStyle w:val="TableText"/>
              <w:jc w:val="right"/>
              <w:rPr>
                <w:b/>
              </w:rPr>
            </w:pPr>
            <w:r w:rsidRPr="00BC0D1F">
              <w:rPr>
                <w:b/>
              </w:rPr>
              <w:t>20,309</w:t>
            </w:r>
          </w:p>
        </w:tc>
        <w:tc>
          <w:tcPr>
            <w:tcW w:w="851" w:type="dxa"/>
            <w:tcBorders>
              <w:top w:val="nil"/>
              <w:bottom w:val="nil"/>
            </w:tcBorders>
            <w:shd w:val="clear" w:color="auto" w:fill="D9D9D9"/>
          </w:tcPr>
          <w:p w14:paraId="53E79C9A" w14:textId="77777777" w:rsidR="00541B4E" w:rsidRPr="00BC0D1F" w:rsidRDefault="00541B4E" w:rsidP="00541B4E">
            <w:pPr>
              <w:pStyle w:val="TableText"/>
              <w:jc w:val="right"/>
              <w:rPr>
                <w:b/>
              </w:rPr>
            </w:pPr>
            <w:r w:rsidRPr="00BC0D1F">
              <w:rPr>
                <w:b/>
              </w:rPr>
              <w:t>41,261</w:t>
            </w:r>
          </w:p>
        </w:tc>
      </w:tr>
      <w:tr w:rsidR="00541B4E" w:rsidRPr="00BC0D1F" w14:paraId="2820FBE5" w14:textId="77777777" w:rsidTr="00541B4E">
        <w:trPr>
          <w:cantSplit/>
        </w:trPr>
        <w:tc>
          <w:tcPr>
            <w:tcW w:w="2835" w:type="dxa"/>
            <w:tcBorders>
              <w:top w:val="nil"/>
              <w:left w:val="nil"/>
              <w:bottom w:val="nil"/>
            </w:tcBorders>
            <w:shd w:val="solid" w:color="FFFFFF" w:fill="auto"/>
          </w:tcPr>
          <w:p w14:paraId="0F600636" w14:textId="77777777" w:rsidR="00541B4E" w:rsidRPr="00BC0D1F" w:rsidRDefault="00541B4E" w:rsidP="00541B4E">
            <w:pPr>
              <w:pStyle w:val="TableText"/>
              <w:spacing w:before="240"/>
              <w:rPr>
                <w:b/>
              </w:rPr>
            </w:pPr>
            <w:r w:rsidRPr="00BC0D1F">
              <w:rPr>
                <w:b/>
              </w:rPr>
              <w:t>Balance as at 1 July 2015</w:t>
            </w:r>
          </w:p>
        </w:tc>
        <w:tc>
          <w:tcPr>
            <w:tcW w:w="851" w:type="dxa"/>
            <w:tcBorders>
              <w:top w:val="nil"/>
              <w:bottom w:val="nil"/>
            </w:tcBorders>
            <w:shd w:val="clear" w:color="E3E3E3" w:fill="auto"/>
          </w:tcPr>
          <w:p w14:paraId="71DB0946" w14:textId="77777777" w:rsidR="00541B4E" w:rsidRPr="00BC0D1F" w:rsidRDefault="00541B4E" w:rsidP="00541B4E">
            <w:pPr>
              <w:pStyle w:val="TableText"/>
              <w:spacing w:before="240"/>
              <w:jc w:val="right"/>
              <w:rPr>
                <w:b/>
              </w:rPr>
            </w:pPr>
            <w:r w:rsidRPr="00BC0D1F">
              <w:rPr>
                <w:b/>
              </w:rPr>
              <w:t>4,800</w:t>
            </w:r>
          </w:p>
        </w:tc>
        <w:tc>
          <w:tcPr>
            <w:tcW w:w="1417" w:type="dxa"/>
            <w:tcBorders>
              <w:top w:val="nil"/>
              <w:bottom w:val="nil"/>
            </w:tcBorders>
            <w:shd w:val="clear" w:color="E3E3E3" w:fill="auto"/>
          </w:tcPr>
          <w:p w14:paraId="7AFFC374" w14:textId="77777777" w:rsidR="00541B4E" w:rsidRPr="00BC0D1F" w:rsidRDefault="00541B4E" w:rsidP="00541B4E">
            <w:pPr>
              <w:pStyle w:val="TableText"/>
              <w:spacing w:before="240"/>
              <w:jc w:val="right"/>
              <w:rPr>
                <w:b/>
              </w:rPr>
            </w:pPr>
            <w:r w:rsidRPr="00BC0D1F">
              <w:rPr>
                <w:b/>
              </w:rPr>
              <w:t>10,709</w:t>
            </w:r>
          </w:p>
        </w:tc>
        <w:tc>
          <w:tcPr>
            <w:tcW w:w="1276" w:type="dxa"/>
            <w:tcBorders>
              <w:top w:val="nil"/>
              <w:bottom w:val="nil"/>
            </w:tcBorders>
            <w:shd w:val="clear" w:color="E3E3E3" w:fill="auto"/>
          </w:tcPr>
          <w:p w14:paraId="40FA3140" w14:textId="77777777" w:rsidR="00541B4E" w:rsidRPr="00BC0D1F" w:rsidRDefault="00541B4E" w:rsidP="00541B4E">
            <w:pPr>
              <w:pStyle w:val="TableText"/>
              <w:spacing w:before="240"/>
              <w:jc w:val="right"/>
              <w:rPr>
                <w:b/>
              </w:rPr>
            </w:pPr>
            <w:r w:rsidRPr="00BC0D1F">
              <w:rPr>
                <w:b/>
              </w:rPr>
              <w:t>5,070</w:t>
            </w:r>
          </w:p>
        </w:tc>
        <w:tc>
          <w:tcPr>
            <w:tcW w:w="992" w:type="dxa"/>
            <w:tcBorders>
              <w:top w:val="nil"/>
              <w:bottom w:val="nil"/>
            </w:tcBorders>
          </w:tcPr>
          <w:p w14:paraId="594044AE" w14:textId="77777777" w:rsidR="00541B4E" w:rsidRPr="00BC0D1F" w:rsidRDefault="00541B4E" w:rsidP="00541B4E">
            <w:pPr>
              <w:pStyle w:val="TableText"/>
              <w:spacing w:before="240"/>
              <w:jc w:val="right"/>
              <w:rPr>
                <w:b/>
              </w:rPr>
            </w:pPr>
            <w:r w:rsidRPr="00BC0D1F">
              <w:rPr>
                <w:b/>
              </w:rPr>
              <w:t>373</w:t>
            </w:r>
          </w:p>
        </w:tc>
        <w:tc>
          <w:tcPr>
            <w:tcW w:w="1134" w:type="dxa"/>
            <w:tcBorders>
              <w:top w:val="nil"/>
              <w:bottom w:val="nil"/>
            </w:tcBorders>
          </w:tcPr>
          <w:p w14:paraId="1197BEA6" w14:textId="77777777" w:rsidR="00541B4E" w:rsidRPr="00BC0D1F" w:rsidRDefault="00541B4E" w:rsidP="00541B4E">
            <w:pPr>
              <w:pStyle w:val="TableText"/>
              <w:spacing w:before="240"/>
              <w:jc w:val="right"/>
              <w:rPr>
                <w:b/>
              </w:rPr>
            </w:pPr>
            <w:r w:rsidRPr="00BC0D1F">
              <w:rPr>
                <w:b/>
              </w:rPr>
              <w:t>20,309</w:t>
            </w:r>
          </w:p>
        </w:tc>
        <w:tc>
          <w:tcPr>
            <w:tcW w:w="851" w:type="dxa"/>
            <w:tcBorders>
              <w:top w:val="nil"/>
              <w:bottom w:val="nil"/>
            </w:tcBorders>
          </w:tcPr>
          <w:p w14:paraId="0579AE51" w14:textId="77777777" w:rsidR="00541B4E" w:rsidRPr="00BC0D1F" w:rsidRDefault="00541B4E" w:rsidP="00541B4E">
            <w:pPr>
              <w:pStyle w:val="TableText"/>
              <w:spacing w:before="240"/>
              <w:jc w:val="right"/>
              <w:rPr>
                <w:b/>
              </w:rPr>
            </w:pPr>
            <w:r w:rsidRPr="00BC0D1F">
              <w:rPr>
                <w:b/>
              </w:rPr>
              <w:t>41,261</w:t>
            </w:r>
          </w:p>
        </w:tc>
      </w:tr>
      <w:tr w:rsidR="00541B4E" w:rsidRPr="00BC0D1F" w14:paraId="68A61C98" w14:textId="77777777" w:rsidTr="00541B4E">
        <w:trPr>
          <w:cantSplit/>
        </w:trPr>
        <w:tc>
          <w:tcPr>
            <w:tcW w:w="2835" w:type="dxa"/>
            <w:tcBorders>
              <w:top w:val="nil"/>
              <w:left w:val="nil"/>
              <w:bottom w:val="nil"/>
            </w:tcBorders>
            <w:shd w:val="solid" w:color="FFFFFF" w:fill="auto"/>
          </w:tcPr>
          <w:p w14:paraId="146C48F3" w14:textId="77777777" w:rsidR="00541B4E" w:rsidRPr="00BC0D1F" w:rsidRDefault="00541B4E" w:rsidP="00D543B3">
            <w:pPr>
              <w:pStyle w:val="TableText"/>
            </w:pPr>
            <w:r w:rsidRPr="00BC0D1F">
              <w:t>Additions</w:t>
            </w:r>
          </w:p>
        </w:tc>
        <w:tc>
          <w:tcPr>
            <w:tcW w:w="851" w:type="dxa"/>
            <w:tcBorders>
              <w:top w:val="nil"/>
              <w:bottom w:val="nil"/>
            </w:tcBorders>
            <w:shd w:val="clear" w:color="E3E3E3" w:fill="auto"/>
          </w:tcPr>
          <w:p w14:paraId="19375411"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7AA0D615" w14:textId="77777777" w:rsidR="00541B4E" w:rsidRPr="00BC0D1F" w:rsidRDefault="00541B4E" w:rsidP="00541B4E">
            <w:pPr>
              <w:pStyle w:val="TableText"/>
              <w:jc w:val="right"/>
            </w:pPr>
            <w:r w:rsidRPr="00BC0D1F">
              <w:t>5,259</w:t>
            </w:r>
          </w:p>
        </w:tc>
        <w:tc>
          <w:tcPr>
            <w:tcW w:w="1276" w:type="dxa"/>
            <w:tcBorders>
              <w:top w:val="nil"/>
              <w:bottom w:val="nil"/>
            </w:tcBorders>
            <w:shd w:val="clear" w:color="E3E3E3" w:fill="auto"/>
          </w:tcPr>
          <w:p w14:paraId="0741CF88" w14:textId="77777777" w:rsidR="00541B4E" w:rsidRPr="00BC0D1F" w:rsidRDefault="00541B4E" w:rsidP="00541B4E">
            <w:pPr>
              <w:pStyle w:val="TableText"/>
              <w:jc w:val="right"/>
            </w:pPr>
            <w:r w:rsidRPr="00BC0D1F">
              <w:t>(73)</w:t>
            </w:r>
          </w:p>
        </w:tc>
        <w:tc>
          <w:tcPr>
            <w:tcW w:w="992" w:type="dxa"/>
            <w:tcBorders>
              <w:top w:val="nil"/>
              <w:bottom w:val="nil"/>
            </w:tcBorders>
          </w:tcPr>
          <w:p w14:paraId="02C3371A" w14:textId="77777777" w:rsidR="00541B4E" w:rsidRPr="00BC0D1F" w:rsidRDefault="00541B4E" w:rsidP="00541B4E">
            <w:pPr>
              <w:pStyle w:val="TableText"/>
              <w:jc w:val="right"/>
            </w:pPr>
            <w:r w:rsidRPr="00BC0D1F">
              <w:t>–</w:t>
            </w:r>
          </w:p>
        </w:tc>
        <w:tc>
          <w:tcPr>
            <w:tcW w:w="1134" w:type="dxa"/>
            <w:tcBorders>
              <w:top w:val="nil"/>
              <w:bottom w:val="nil"/>
            </w:tcBorders>
          </w:tcPr>
          <w:p w14:paraId="162597BF" w14:textId="77777777" w:rsidR="00541B4E" w:rsidRPr="00BC0D1F" w:rsidRDefault="00541B4E" w:rsidP="00541B4E">
            <w:pPr>
              <w:pStyle w:val="TableText"/>
              <w:jc w:val="right"/>
            </w:pPr>
            <w:r w:rsidRPr="00BC0D1F">
              <w:t>2</w:t>
            </w:r>
          </w:p>
        </w:tc>
        <w:tc>
          <w:tcPr>
            <w:tcW w:w="851" w:type="dxa"/>
            <w:tcBorders>
              <w:top w:val="nil"/>
              <w:bottom w:val="nil"/>
            </w:tcBorders>
          </w:tcPr>
          <w:p w14:paraId="3B3B2FD0" w14:textId="77777777" w:rsidR="00541B4E" w:rsidRPr="00BC0D1F" w:rsidRDefault="00541B4E" w:rsidP="00541B4E">
            <w:pPr>
              <w:pStyle w:val="TableText"/>
              <w:jc w:val="right"/>
            </w:pPr>
            <w:r w:rsidRPr="00BC0D1F">
              <w:t>5,188</w:t>
            </w:r>
          </w:p>
        </w:tc>
      </w:tr>
      <w:tr w:rsidR="00541B4E" w:rsidRPr="00BC0D1F" w14:paraId="2C3849E2" w14:textId="77777777" w:rsidTr="00541B4E">
        <w:trPr>
          <w:cantSplit/>
        </w:trPr>
        <w:tc>
          <w:tcPr>
            <w:tcW w:w="2835" w:type="dxa"/>
            <w:tcBorders>
              <w:top w:val="nil"/>
              <w:left w:val="nil"/>
              <w:bottom w:val="nil"/>
            </w:tcBorders>
            <w:shd w:val="solid" w:color="FFFFFF" w:fill="auto"/>
          </w:tcPr>
          <w:p w14:paraId="47A3F1D9" w14:textId="77777777" w:rsidR="00541B4E" w:rsidRPr="00BC0D1F" w:rsidRDefault="00541B4E" w:rsidP="00D543B3">
            <w:pPr>
              <w:pStyle w:val="TableText"/>
            </w:pPr>
            <w:r w:rsidRPr="00BC0D1F">
              <w:t>Revaluation increase/(decrease)</w:t>
            </w:r>
          </w:p>
        </w:tc>
        <w:tc>
          <w:tcPr>
            <w:tcW w:w="851" w:type="dxa"/>
            <w:tcBorders>
              <w:top w:val="nil"/>
              <w:bottom w:val="nil"/>
            </w:tcBorders>
            <w:shd w:val="clear" w:color="E3E3E3" w:fill="auto"/>
          </w:tcPr>
          <w:p w14:paraId="7781EA9E" w14:textId="77777777" w:rsidR="00541B4E" w:rsidRPr="00BC0D1F" w:rsidRDefault="00541B4E" w:rsidP="00541B4E">
            <w:pPr>
              <w:pStyle w:val="TableText"/>
              <w:jc w:val="right"/>
            </w:pPr>
            <w:r w:rsidRPr="00BC0D1F">
              <w:t>550</w:t>
            </w:r>
          </w:p>
        </w:tc>
        <w:tc>
          <w:tcPr>
            <w:tcW w:w="1417" w:type="dxa"/>
            <w:tcBorders>
              <w:top w:val="nil"/>
              <w:bottom w:val="nil"/>
            </w:tcBorders>
            <w:shd w:val="clear" w:color="E3E3E3" w:fill="auto"/>
          </w:tcPr>
          <w:p w14:paraId="4E12B8F7" w14:textId="77777777" w:rsidR="00541B4E" w:rsidRPr="00BC0D1F" w:rsidRDefault="00541B4E" w:rsidP="00541B4E">
            <w:pPr>
              <w:pStyle w:val="TableText"/>
              <w:jc w:val="right"/>
            </w:pPr>
            <w:r w:rsidRPr="00BC0D1F">
              <w:t>–</w:t>
            </w:r>
          </w:p>
        </w:tc>
        <w:tc>
          <w:tcPr>
            <w:tcW w:w="1276" w:type="dxa"/>
            <w:tcBorders>
              <w:top w:val="nil"/>
              <w:bottom w:val="nil"/>
            </w:tcBorders>
            <w:shd w:val="clear" w:color="E3E3E3" w:fill="auto"/>
          </w:tcPr>
          <w:p w14:paraId="3F4EC874" w14:textId="77777777" w:rsidR="00541B4E" w:rsidRPr="00BC0D1F" w:rsidRDefault="00541B4E" w:rsidP="00541B4E">
            <w:pPr>
              <w:pStyle w:val="TableText"/>
              <w:jc w:val="right"/>
            </w:pPr>
            <w:r w:rsidRPr="00BC0D1F">
              <w:t>–</w:t>
            </w:r>
          </w:p>
        </w:tc>
        <w:tc>
          <w:tcPr>
            <w:tcW w:w="992" w:type="dxa"/>
            <w:tcBorders>
              <w:top w:val="nil"/>
              <w:bottom w:val="nil"/>
            </w:tcBorders>
          </w:tcPr>
          <w:p w14:paraId="4C6CD31F" w14:textId="77777777" w:rsidR="00541B4E" w:rsidRPr="00BC0D1F" w:rsidRDefault="00541B4E" w:rsidP="00541B4E">
            <w:pPr>
              <w:pStyle w:val="TableText"/>
              <w:jc w:val="right"/>
            </w:pPr>
            <w:r w:rsidRPr="00BC0D1F">
              <w:t>–</w:t>
            </w:r>
          </w:p>
        </w:tc>
        <w:tc>
          <w:tcPr>
            <w:tcW w:w="1134" w:type="dxa"/>
            <w:tcBorders>
              <w:top w:val="nil"/>
              <w:bottom w:val="nil"/>
            </w:tcBorders>
          </w:tcPr>
          <w:p w14:paraId="05EC22F5" w14:textId="77777777" w:rsidR="00541B4E" w:rsidRPr="00BC0D1F" w:rsidRDefault="00541B4E" w:rsidP="00541B4E">
            <w:pPr>
              <w:pStyle w:val="TableText"/>
              <w:jc w:val="right"/>
            </w:pPr>
            <w:r w:rsidRPr="00BC0D1F">
              <w:t>–</w:t>
            </w:r>
          </w:p>
        </w:tc>
        <w:tc>
          <w:tcPr>
            <w:tcW w:w="851" w:type="dxa"/>
            <w:tcBorders>
              <w:top w:val="nil"/>
              <w:bottom w:val="nil"/>
            </w:tcBorders>
          </w:tcPr>
          <w:p w14:paraId="4F05CA8C" w14:textId="77777777" w:rsidR="00541B4E" w:rsidRPr="00BC0D1F" w:rsidRDefault="00541B4E" w:rsidP="00541B4E">
            <w:pPr>
              <w:pStyle w:val="TableText"/>
              <w:jc w:val="right"/>
            </w:pPr>
            <w:r w:rsidRPr="00BC0D1F">
              <w:t>550</w:t>
            </w:r>
          </w:p>
        </w:tc>
      </w:tr>
      <w:tr w:rsidR="00541B4E" w:rsidRPr="00BC0D1F" w14:paraId="1639D307" w14:textId="77777777" w:rsidTr="00541B4E">
        <w:trPr>
          <w:cantSplit/>
        </w:trPr>
        <w:tc>
          <w:tcPr>
            <w:tcW w:w="2835" w:type="dxa"/>
            <w:tcBorders>
              <w:top w:val="nil"/>
              <w:left w:val="nil"/>
              <w:bottom w:val="nil"/>
            </w:tcBorders>
            <w:shd w:val="solid" w:color="FFFFFF" w:fill="auto"/>
          </w:tcPr>
          <w:p w14:paraId="06772198" w14:textId="77777777" w:rsidR="00541B4E" w:rsidRPr="00BC0D1F" w:rsidRDefault="00541B4E" w:rsidP="00D543B3">
            <w:pPr>
              <w:pStyle w:val="TableText"/>
            </w:pPr>
            <w:r w:rsidRPr="00BC0D1F">
              <w:t>Disposals</w:t>
            </w:r>
          </w:p>
        </w:tc>
        <w:tc>
          <w:tcPr>
            <w:tcW w:w="851" w:type="dxa"/>
            <w:tcBorders>
              <w:top w:val="nil"/>
              <w:bottom w:val="nil"/>
            </w:tcBorders>
            <w:shd w:val="clear" w:color="E3E3E3" w:fill="auto"/>
          </w:tcPr>
          <w:p w14:paraId="23508A6E"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63DB5901" w14:textId="77777777" w:rsidR="00541B4E" w:rsidRPr="00BC0D1F" w:rsidRDefault="00541B4E" w:rsidP="00541B4E">
            <w:pPr>
              <w:pStyle w:val="TableText"/>
              <w:jc w:val="right"/>
            </w:pPr>
            <w:r w:rsidRPr="00BC0D1F">
              <w:t>–</w:t>
            </w:r>
          </w:p>
        </w:tc>
        <w:tc>
          <w:tcPr>
            <w:tcW w:w="1276" w:type="dxa"/>
            <w:tcBorders>
              <w:top w:val="nil"/>
              <w:bottom w:val="nil"/>
            </w:tcBorders>
            <w:shd w:val="clear" w:color="E3E3E3" w:fill="auto"/>
          </w:tcPr>
          <w:p w14:paraId="70F25A4B" w14:textId="77777777" w:rsidR="00541B4E" w:rsidRPr="00BC0D1F" w:rsidRDefault="00541B4E" w:rsidP="00541B4E">
            <w:pPr>
              <w:pStyle w:val="TableText"/>
              <w:jc w:val="right"/>
            </w:pPr>
            <w:r w:rsidRPr="00BC0D1F">
              <w:t>(1,808)</w:t>
            </w:r>
          </w:p>
        </w:tc>
        <w:tc>
          <w:tcPr>
            <w:tcW w:w="992" w:type="dxa"/>
            <w:tcBorders>
              <w:top w:val="nil"/>
              <w:bottom w:val="nil"/>
            </w:tcBorders>
          </w:tcPr>
          <w:p w14:paraId="1C7EF4C5" w14:textId="77777777" w:rsidR="00541B4E" w:rsidRPr="00BC0D1F" w:rsidRDefault="00541B4E" w:rsidP="00541B4E">
            <w:pPr>
              <w:pStyle w:val="TableText"/>
              <w:jc w:val="right"/>
            </w:pPr>
            <w:r w:rsidRPr="00BC0D1F">
              <w:t>–</w:t>
            </w:r>
          </w:p>
        </w:tc>
        <w:tc>
          <w:tcPr>
            <w:tcW w:w="1134" w:type="dxa"/>
            <w:tcBorders>
              <w:top w:val="nil"/>
              <w:bottom w:val="nil"/>
            </w:tcBorders>
          </w:tcPr>
          <w:p w14:paraId="4D80F76B" w14:textId="77777777" w:rsidR="00541B4E" w:rsidRPr="00BC0D1F" w:rsidRDefault="00541B4E" w:rsidP="00541B4E">
            <w:pPr>
              <w:pStyle w:val="TableText"/>
              <w:jc w:val="right"/>
            </w:pPr>
            <w:r w:rsidRPr="00BC0D1F">
              <w:t>(540)</w:t>
            </w:r>
          </w:p>
        </w:tc>
        <w:tc>
          <w:tcPr>
            <w:tcW w:w="851" w:type="dxa"/>
            <w:tcBorders>
              <w:top w:val="nil"/>
              <w:bottom w:val="nil"/>
            </w:tcBorders>
          </w:tcPr>
          <w:p w14:paraId="67A09325" w14:textId="77777777" w:rsidR="00541B4E" w:rsidRPr="00BC0D1F" w:rsidRDefault="00541B4E" w:rsidP="00541B4E">
            <w:pPr>
              <w:pStyle w:val="TableText"/>
              <w:jc w:val="right"/>
            </w:pPr>
            <w:r w:rsidRPr="00BC0D1F">
              <w:t>(2,348)</w:t>
            </w:r>
          </w:p>
        </w:tc>
      </w:tr>
      <w:tr w:rsidR="00541B4E" w:rsidRPr="00BC0D1F" w14:paraId="7A74A761" w14:textId="77777777" w:rsidTr="00541B4E">
        <w:trPr>
          <w:cantSplit/>
        </w:trPr>
        <w:tc>
          <w:tcPr>
            <w:tcW w:w="2835" w:type="dxa"/>
            <w:tcBorders>
              <w:top w:val="nil"/>
              <w:left w:val="nil"/>
              <w:bottom w:val="nil"/>
            </w:tcBorders>
            <w:shd w:val="solid" w:color="FFFFFF" w:fill="auto"/>
          </w:tcPr>
          <w:p w14:paraId="43616C30" w14:textId="77777777" w:rsidR="00541B4E" w:rsidRPr="00BC0D1F" w:rsidRDefault="00541B4E" w:rsidP="00D543B3">
            <w:pPr>
              <w:pStyle w:val="TableText"/>
            </w:pPr>
            <w:r w:rsidRPr="00BC0D1F">
              <w:t>Transfers</w:t>
            </w:r>
          </w:p>
        </w:tc>
        <w:tc>
          <w:tcPr>
            <w:tcW w:w="851" w:type="dxa"/>
            <w:tcBorders>
              <w:top w:val="nil"/>
              <w:bottom w:val="nil"/>
            </w:tcBorders>
            <w:shd w:val="clear" w:color="E3E3E3" w:fill="auto"/>
          </w:tcPr>
          <w:p w14:paraId="0B805391"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5512AB41" w14:textId="77777777" w:rsidR="00541B4E" w:rsidRPr="00BC0D1F" w:rsidRDefault="00541B4E" w:rsidP="00541B4E">
            <w:pPr>
              <w:pStyle w:val="TableText"/>
              <w:jc w:val="right"/>
            </w:pPr>
            <w:r w:rsidRPr="00BC0D1F">
              <w:t>(630)</w:t>
            </w:r>
          </w:p>
        </w:tc>
        <w:tc>
          <w:tcPr>
            <w:tcW w:w="1276" w:type="dxa"/>
            <w:tcBorders>
              <w:top w:val="nil"/>
              <w:bottom w:val="nil"/>
            </w:tcBorders>
            <w:shd w:val="clear" w:color="E3E3E3" w:fill="auto"/>
          </w:tcPr>
          <w:p w14:paraId="4840C4B0" w14:textId="77777777" w:rsidR="00541B4E" w:rsidRPr="00BC0D1F" w:rsidRDefault="00541B4E" w:rsidP="00541B4E">
            <w:pPr>
              <w:pStyle w:val="TableText"/>
              <w:jc w:val="right"/>
            </w:pPr>
            <w:r w:rsidRPr="00BC0D1F">
              <w:t>–</w:t>
            </w:r>
          </w:p>
        </w:tc>
        <w:tc>
          <w:tcPr>
            <w:tcW w:w="992" w:type="dxa"/>
            <w:tcBorders>
              <w:top w:val="nil"/>
              <w:bottom w:val="nil"/>
            </w:tcBorders>
          </w:tcPr>
          <w:p w14:paraId="77C6793D" w14:textId="77777777" w:rsidR="00541B4E" w:rsidRPr="00BC0D1F" w:rsidRDefault="00541B4E" w:rsidP="00541B4E">
            <w:pPr>
              <w:pStyle w:val="TableText"/>
              <w:jc w:val="right"/>
            </w:pPr>
            <w:r w:rsidRPr="00BC0D1F">
              <w:t>–</w:t>
            </w:r>
          </w:p>
        </w:tc>
        <w:tc>
          <w:tcPr>
            <w:tcW w:w="1134" w:type="dxa"/>
            <w:tcBorders>
              <w:top w:val="nil"/>
              <w:bottom w:val="nil"/>
            </w:tcBorders>
          </w:tcPr>
          <w:p w14:paraId="1426092E" w14:textId="77777777" w:rsidR="00541B4E" w:rsidRPr="00BC0D1F" w:rsidRDefault="00541B4E" w:rsidP="00541B4E">
            <w:pPr>
              <w:pStyle w:val="TableText"/>
              <w:jc w:val="right"/>
            </w:pPr>
            <w:r w:rsidRPr="00BC0D1F">
              <w:t>630</w:t>
            </w:r>
          </w:p>
        </w:tc>
        <w:tc>
          <w:tcPr>
            <w:tcW w:w="851" w:type="dxa"/>
            <w:tcBorders>
              <w:top w:val="nil"/>
              <w:bottom w:val="nil"/>
            </w:tcBorders>
          </w:tcPr>
          <w:p w14:paraId="123AF278" w14:textId="77777777" w:rsidR="00541B4E" w:rsidRPr="00BC0D1F" w:rsidRDefault="00541B4E" w:rsidP="00541B4E">
            <w:pPr>
              <w:pStyle w:val="TableText"/>
              <w:jc w:val="right"/>
            </w:pPr>
            <w:r w:rsidRPr="00BC0D1F">
              <w:t>–</w:t>
            </w:r>
          </w:p>
        </w:tc>
      </w:tr>
      <w:tr w:rsidR="00541B4E" w:rsidRPr="00BC0D1F" w14:paraId="602F4C27" w14:textId="77777777" w:rsidTr="00541B4E">
        <w:trPr>
          <w:cantSplit/>
        </w:trPr>
        <w:tc>
          <w:tcPr>
            <w:tcW w:w="2835" w:type="dxa"/>
            <w:tcBorders>
              <w:top w:val="nil"/>
              <w:left w:val="nil"/>
              <w:bottom w:val="nil"/>
            </w:tcBorders>
            <w:shd w:val="solid" w:color="FFFFFF" w:fill="auto"/>
          </w:tcPr>
          <w:p w14:paraId="68462082" w14:textId="77777777" w:rsidR="00541B4E" w:rsidRPr="00BC0D1F" w:rsidRDefault="00541B4E" w:rsidP="00D543B3">
            <w:pPr>
              <w:pStyle w:val="TableText"/>
              <w:rPr>
                <w:b/>
              </w:rPr>
            </w:pPr>
            <w:r w:rsidRPr="00BC0D1F">
              <w:rPr>
                <w:b/>
              </w:rPr>
              <w:t>Balance as at 30 June 2016</w:t>
            </w:r>
          </w:p>
        </w:tc>
        <w:tc>
          <w:tcPr>
            <w:tcW w:w="851" w:type="dxa"/>
            <w:tcBorders>
              <w:top w:val="nil"/>
              <w:bottom w:val="nil"/>
            </w:tcBorders>
            <w:shd w:val="clear" w:color="auto" w:fill="D9D9D9"/>
          </w:tcPr>
          <w:p w14:paraId="655A0732" w14:textId="77777777" w:rsidR="00541B4E" w:rsidRPr="00BC0D1F" w:rsidRDefault="00541B4E" w:rsidP="00541B4E">
            <w:pPr>
              <w:pStyle w:val="TableText"/>
              <w:jc w:val="right"/>
              <w:rPr>
                <w:b/>
              </w:rPr>
            </w:pPr>
            <w:r w:rsidRPr="00BC0D1F">
              <w:rPr>
                <w:b/>
              </w:rPr>
              <w:t>5,350</w:t>
            </w:r>
          </w:p>
        </w:tc>
        <w:tc>
          <w:tcPr>
            <w:tcW w:w="1417" w:type="dxa"/>
            <w:tcBorders>
              <w:top w:val="nil"/>
              <w:bottom w:val="nil"/>
            </w:tcBorders>
            <w:shd w:val="clear" w:color="auto" w:fill="D9D9D9"/>
          </w:tcPr>
          <w:p w14:paraId="49D2FF8D" w14:textId="77777777" w:rsidR="00541B4E" w:rsidRPr="00BC0D1F" w:rsidRDefault="00541B4E" w:rsidP="00541B4E">
            <w:pPr>
              <w:pStyle w:val="TableText"/>
              <w:jc w:val="right"/>
              <w:rPr>
                <w:b/>
              </w:rPr>
            </w:pPr>
            <w:r w:rsidRPr="00BC0D1F">
              <w:rPr>
                <w:b/>
              </w:rPr>
              <w:t>15,338</w:t>
            </w:r>
          </w:p>
        </w:tc>
        <w:tc>
          <w:tcPr>
            <w:tcW w:w="1276" w:type="dxa"/>
            <w:tcBorders>
              <w:top w:val="nil"/>
              <w:bottom w:val="nil"/>
            </w:tcBorders>
            <w:shd w:val="clear" w:color="auto" w:fill="D9D9D9"/>
          </w:tcPr>
          <w:p w14:paraId="3EA29DC3" w14:textId="77777777" w:rsidR="00541B4E" w:rsidRPr="00BC0D1F" w:rsidRDefault="00541B4E" w:rsidP="00541B4E">
            <w:pPr>
              <w:pStyle w:val="TableText"/>
              <w:jc w:val="right"/>
              <w:rPr>
                <w:b/>
              </w:rPr>
            </w:pPr>
            <w:r w:rsidRPr="00BC0D1F">
              <w:rPr>
                <w:b/>
              </w:rPr>
              <w:t>3,189</w:t>
            </w:r>
          </w:p>
        </w:tc>
        <w:tc>
          <w:tcPr>
            <w:tcW w:w="992" w:type="dxa"/>
            <w:tcBorders>
              <w:top w:val="nil"/>
              <w:bottom w:val="nil"/>
            </w:tcBorders>
            <w:shd w:val="clear" w:color="auto" w:fill="D9D9D9"/>
          </w:tcPr>
          <w:p w14:paraId="7F8B1E00" w14:textId="77777777" w:rsidR="00541B4E" w:rsidRPr="00BC0D1F" w:rsidRDefault="00541B4E" w:rsidP="00541B4E">
            <w:pPr>
              <w:pStyle w:val="TableText"/>
              <w:jc w:val="right"/>
              <w:rPr>
                <w:b/>
              </w:rPr>
            </w:pPr>
            <w:r w:rsidRPr="00BC0D1F">
              <w:rPr>
                <w:b/>
              </w:rPr>
              <w:t>373</w:t>
            </w:r>
          </w:p>
        </w:tc>
        <w:tc>
          <w:tcPr>
            <w:tcW w:w="1134" w:type="dxa"/>
            <w:tcBorders>
              <w:top w:val="nil"/>
              <w:bottom w:val="nil"/>
            </w:tcBorders>
            <w:shd w:val="clear" w:color="auto" w:fill="D9D9D9"/>
          </w:tcPr>
          <w:p w14:paraId="170ACFE0" w14:textId="77777777" w:rsidR="00541B4E" w:rsidRPr="00BC0D1F" w:rsidRDefault="00541B4E" w:rsidP="00541B4E">
            <w:pPr>
              <w:pStyle w:val="TableText"/>
              <w:jc w:val="right"/>
              <w:rPr>
                <w:b/>
              </w:rPr>
            </w:pPr>
            <w:r w:rsidRPr="00BC0D1F">
              <w:rPr>
                <w:b/>
              </w:rPr>
              <w:t>20,401</w:t>
            </w:r>
          </w:p>
        </w:tc>
        <w:tc>
          <w:tcPr>
            <w:tcW w:w="851" w:type="dxa"/>
            <w:tcBorders>
              <w:top w:val="nil"/>
              <w:bottom w:val="nil"/>
            </w:tcBorders>
            <w:shd w:val="clear" w:color="auto" w:fill="D9D9D9"/>
          </w:tcPr>
          <w:p w14:paraId="14D5912E" w14:textId="77777777" w:rsidR="00541B4E" w:rsidRPr="00BC0D1F" w:rsidRDefault="00541B4E" w:rsidP="00541B4E">
            <w:pPr>
              <w:pStyle w:val="TableText"/>
              <w:jc w:val="right"/>
              <w:rPr>
                <w:b/>
              </w:rPr>
            </w:pPr>
            <w:r w:rsidRPr="00BC0D1F">
              <w:rPr>
                <w:b/>
              </w:rPr>
              <w:t>44,651</w:t>
            </w:r>
          </w:p>
        </w:tc>
      </w:tr>
      <w:tr w:rsidR="00541B4E" w:rsidRPr="00BC0D1F" w14:paraId="059542D0" w14:textId="77777777" w:rsidTr="00541B4E">
        <w:trPr>
          <w:cantSplit/>
        </w:trPr>
        <w:tc>
          <w:tcPr>
            <w:tcW w:w="2835" w:type="dxa"/>
            <w:tcBorders>
              <w:top w:val="nil"/>
              <w:left w:val="nil"/>
              <w:bottom w:val="nil"/>
            </w:tcBorders>
            <w:shd w:val="solid" w:color="FFFFFF" w:fill="auto"/>
          </w:tcPr>
          <w:p w14:paraId="11896816" w14:textId="77777777" w:rsidR="00541B4E" w:rsidRPr="00BC0D1F" w:rsidRDefault="00541B4E" w:rsidP="00541B4E">
            <w:pPr>
              <w:pStyle w:val="TableText"/>
              <w:spacing w:before="240"/>
              <w:rPr>
                <w:b/>
              </w:rPr>
            </w:pPr>
            <w:r w:rsidRPr="00BC0D1F">
              <w:rPr>
                <w:b/>
              </w:rPr>
              <w:t>Accumulated depreciation and impairment losses</w:t>
            </w:r>
          </w:p>
        </w:tc>
        <w:tc>
          <w:tcPr>
            <w:tcW w:w="851" w:type="dxa"/>
            <w:tcBorders>
              <w:top w:val="nil"/>
              <w:bottom w:val="nil"/>
            </w:tcBorders>
            <w:shd w:val="clear" w:color="E3E3E3" w:fill="auto"/>
          </w:tcPr>
          <w:p w14:paraId="5F6AC764" w14:textId="77777777" w:rsidR="00541B4E" w:rsidRPr="00BC0D1F" w:rsidRDefault="00541B4E" w:rsidP="00541B4E">
            <w:pPr>
              <w:pStyle w:val="TableText"/>
              <w:spacing w:before="240"/>
              <w:jc w:val="right"/>
              <w:rPr>
                <w:b/>
              </w:rPr>
            </w:pPr>
          </w:p>
        </w:tc>
        <w:tc>
          <w:tcPr>
            <w:tcW w:w="1417" w:type="dxa"/>
            <w:tcBorders>
              <w:top w:val="nil"/>
              <w:bottom w:val="nil"/>
            </w:tcBorders>
            <w:shd w:val="clear" w:color="E3E3E3" w:fill="auto"/>
          </w:tcPr>
          <w:p w14:paraId="1E703866" w14:textId="77777777" w:rsidR="00541B4E" w:rsidRPr="00BC0D1F" w:rsidRDefault="00541B4E" w:rsidP="00541B4E">
            <w:pPr>
              <w:pStyle w:val="TableText"/>
              <w:spacing w:before="240"/>
              <w:jc w:val="right"/>
              <w:rPr>
                <w:b/>
              </w:rPr>
            </w:pPr>
          </w:p>
        </w:tc>
        <w:tc>
          <w:tcPr>
            <w:tcW w:w="1276" w:type="dxa"/>
            <w:tcBorders>
              <w:top w:val="nil"/>
              <w:bottom w:val="nil"/>
            </w:tcBorders>
            <w:shd w:val="clear" w:color="E3E3E3" w:fill="auto"/>
          </w:tcPr>
          <w:p w14:paraId="52305833" w14:textId="77777777" w:rsidR="00541B4E" w:rsidRPr="00BC0D1F" w:rsidRDefault="00541B4E" w:rsidP="00541B4E">
            <w:pPr>
              <w:pStyle w:val="TableText"/>
              <w:spacing w:before="240"/>
              <w:jc w:val="right"/>
              <w:rPr>
                <w:b/>
              </w:rPr>
            </w:pPr>
          </w:p>
        </w:tc>
        <w:tc>
          <w:tcPr>
            <w:tcW w:w="992" w:type="dxa"/>
            <w:tcBorders>
              <w:top w:val="nil"/>
              <w:bottom w:val="nil"/>
            </w:tcBorders>
          </w:tcPr>
          <w:p w14:paraId="23B490BE" w14:textId="77777777" w:rsidR="00541B4E" w:rsidRPr="00BC0D1F" w:rsidRDefault="00541B4E" w:rsidP="00541B4E">
            <w:pPr>
              <w:pStyle w:val="TableText"/>
              <w:spacing w:before="240"/>
              <w:jc w:val="right"/>
              <w:rPr>
                <w:b/>
              </w:rPr>
            </w:pPr>
          </w:p>
        </w:tc>
        <w:tc>
          <w:tcPr>
            <w:tcW w:w="1134" w:type="dxa"/>
            <w:tcBorders>
              <w:top w:val="nil"/>
              <w:bottom w:val="nil"/>
            </w:tcBorders>
          </w:tcPr>
          <w:p w14:paraId="6121984C" w14:textId="77777777" w:rsidR="00541B4E" w:rsidRPr="00BC0D1F" w:rsidRDefault="00541B4E" w:rsidP="00541B4E">
            <w:pPr>
              <w:pStyle w:val="TableText"/>
              <w:spacing w:before="240"/>
              <w:jc w:val="right"/>
              <w:rPr>
                <w:b/>
              </w:rPr>
            </w:pPr>
          </w:p>
        </w:tc>
        <w:tc>
          <w:tcPr>
            <w:tcW w:w="851" w:type="dxa"/>
            <w:tcBorders>
              <w:top w:val="nil"/>
              <w:bottom w:val="nil"/>
            </w:tcBorders>
          </w:tcPr>
          <w:p w14:paraId="60DC7C31" w14:textId="77777777" w:rsidR="00541B4E" w:rsidRPr="00BC0D1F" w:rsidRDefault="00541B4E" w:rsidP="00541B4E">
            <w:pPr>
              <w:pStyle w:val="TableText"/>
              <w:spacing w:before="240"/>
              <w:jc w:val="right"/>
              <w:rPr>
                <w:b/>
              </w:rPr>
            </w:pPr>
          </w:p>
        </w:tc>
      </w:tr>
      <w:tr w:rsidR="00541B4E" w:rsidRPr="00BC0D1F" w14:paraId="263D4282" w14:textId="77777777" w:rsidTr="00541B4E">
        <w:trPr>
          <w:cantSplit/>
        </w:trPr>
        <w:tc>
          <w:tcPr>
            <w:tcW w:w="2835" w:type="dxa"/>
            <w:tcBorders>
              <w:top w:val="nil"/>
              <w:left w:val="nil"/>
              <w:bottom w:val="nil"/>
            </w:tcBorders>
            <w:shd w:val="solid" w:color="FFFFFF" w:fill="auto"/>
          </w:tcPr>
          <w:p w14:paraId="4A30E554" w14:textId="77777777" w:rsidR="00541B4E" w:rsidRPr="00BC0D1F" w:rsidRDefault="00541B4E" w:rsidP="00D543B3">
            <w:pPr>
              <w:pStyle w:val="TableText"/>
              <w:rPr>
                <w:b/>
              </w:rPr>
            </w:pPr>
            <w:r w:rsidRPr="00BC0D1F">
              <w:rPr>
                <w:b/>
              </w:rPr>
              <w:t>Balance as at 1 July 2014</w:t>
            </w:r>
          </w:p>
        </w:tc>
        <w:tc>
          <w:tcPr>
            <w:tcW w:w="851" w:type="dxa"/>
            <w:tcBorders>
              <w:top w:val="nil"/>
              <w:bottom w:val="nil"/>
            </w:tcBorders>
            <w:shd w:val="clear" w:color="E3E3E3" w:fill="auto"/>
          </w:tcPr>
          <w:p w14:paraId="50DA9118" w14:textId="77777777" w:rsidR="00541B4E" w:rsidRPr="00BC0D1F" w:rsidRDefault="00541B4E" w:rsidP="00541B4E">
            <w:pPr>
              <w:pStyle w:val="TableText"/>
              <w:jc w:val="right"/>
              <w:rPr>
                <w:b/>
              </w:rPr>
            </w:pPr>
            <w:r w:rsidRPr="00BC0D1F">
              <w:rPr>
                <w:b/>
              </w:rPr>
              <w:t>–</w:t>
            </w:r>
          </w:p>
        </w:tc>
        <w:tc>
          <w:tcPr>
            <w:tcW w:w="1417" w:type="dxa"/>
            <w:tcBorders>
              <w:top w:val="nil"/>
              <w:bottom w:val="nil"/>
            </w:tcBorders>
            <w:shd w:val="clear" w:color="E3E3E3" w:fill="auto"/>
          </w:tcPr>
          <w:p w14:paraId="6BFD2DCB" w14:textId="77777777" w:rsidR="00541B4E" w:rsidRPr="00BC0D1F" w:rsidRDefault="00541B4E" w:rsidP="00541B4E">
            <w:pPr>
              <w:pStyle w:val="TableText"/>
              <w:jc w:val="right"/>
              <w:rPr>
                <w:b/>
              </w:rPr>
            </w:pPr>
            <w:r w:rsidRPr="00BC0D1F">
              <w:rPr>
                <w:b/>
              </w:rPr>
              <w:t>5,747</w:t>
            </w:r>
          </w:p>
        </w:tc>
        <w:tc>
          <w:tcPr>
            <w:tcW w:w="1276" w:type="dxa"/>
            <w:tcBorders>
              <w:top w:val="nil"/>
              <w:bottom w:val="nil"/>
            </w:tcBorders>
            <w:shd w:val="clear" w:color="E3E3E3" w:fill="auto"/>
          </w:tcPr>
          <w:p w14:paraId="6AD2AA0C" w14:textId="77777777" w:rsidR="00541B4E" w:rsidRPr="00BC0D1F" w:rsidRDefault="00541B4E" w:rsidP="00541B4E">
            <w:pPr>
              <w:pStyle w:val="TableText"/>
              <w:jc w:val="right"/>
              <w:rPr>
                <w:b/>
              </w:rPr>
            </w:pPr>
            <w:r w:rsidRPr="00BC0D1F">
              <w:rPr>
                <w:b/>
              </w:rPr>
              <w:t>5,048</w:t>
            </w:r>
          </w:p>
        </w:tc>
        <w:tc>
          <w:tcPr>
            <w:tcW w:w="992" w:type="dxa"/>
            <w:tcBorders>
              <w:top w:val="nil"/>
              <w:bottom w:val="nil"/>
            </w:tcBorders>
          </w:tcPr>
          <w:p w14:paraId="2ED27E61" w14:textId="77777777" w:rsidR="00541B4E" w:rsidRPr="00BC0D1F" w:rsidRDefault="00541B4E" w:rsidP="00541B4E">
            <w:pPr>
              <w:pStyle w:val="TableText"/>
              <w:jc w:val="right"/>
              <w:rPr>
                <w:b/>
              </w:rPr>
            </w:pPr>
            <w:r w:rsidRPr="00BC0D1F">
              <w:rPr>
                <w:b/>
              </w:rPr>
              <w:t>211</w:t>
            </w:r>
          </w:p>
        </w:tc>
        <w:tc>
          <w:tcPr>
            <w:tcW w:w="1134" w:type="dxa"/>
            <w:tcBorders>
              <w:top w:val="nil"/>
              <w:bottom w:val="nil"/>
            </w:tcBorders>
          </w:tcPr>
          <w:p w14:paraId="5C4717FE" w14:textId="77777777" w:rsidR="00541B4E" w:rsidRPr="00BC0D1F" w:rsidRDefault="00541B4E" w:rsidP="00541B4E">
            <w:pPr>
              <w:pStyle w:val="TableText"/>
              <w:jc w:val="right"/>
              <w:rPr>
                <w:b/>
              </w:rPr>
            </w:pPr>
            <w:r w:rsidRPr="00BC0D1F">
              <w:rPr>
                <w:b/>
              </w:rPr>
              <w:t>17,817</w:t>
            </w:r>
          </w:p>
        </w:tc>
        <w:tc>
          <w:tcPr>
            <w:tcW w:w="851" w:type="dxa"/>
            <w:tcBorders>
              <w:top w:val="nil"/>
              <w:bottom w:val="nil"/>
            </w:tcBorders>
          </w:tcPr>
          <w:p w14:paraId="2E70536D" w14:textId="77777777" w:rsidR="00541B4E" w:rsidRPr="00BC0D1F" w:rsidRDefault="00541B4E" w:rsidP="00541B4E">
            <w:pPr>
              <w:pStyle w:val="TableText"/>
              <w:jc w:val="right"/>
              <w:rPr>
                <w:b/>
              </w:rPr>
            </w:pPr>
            <w:r w:rsidRPr="00BC0D1F">
              <w:rPr>
                <w:b/>
              </w:rPr>
              <w:t>28,823</w:t>
            </w:r>
          </w:p>
        </w:tc>
      </w:tr>
      <w:tr w:rsidR="00541B4E" w:rsidRPr="00BC0D1F" w14:paraId="07F5DAA5" w14:textId="77777777" w:rsidTr="00541B4E">
        <w:trPr>
          <w:cantSplit/>
        </w:trPr>
        <w:tc>
          <w:tcPr>
            <w:tcW w:w="2835" w:type="dxa"/>
            <w:tcBorders>
              <w:top w:val="nil"/>
              <w:left w:val="nil"/>
              <w:bottom w:val="nil"/>
            </w:tcBorders>
            <w:shd w:val="solid" w:color="FFFFFF" w:fill="auto"/>
          </w:tcPr>
          <w:p w14:paraId="172D3AC3" w14:textId="77777777" w:rsidR="00541B4E" w:rsidRPr="00BC0D1F" w:rsidRDefault="00541B4E" w:rsidP="00D543B3">
            <w:pPr>
              <w:pStyle w:val="TableText"/>
            </w:pPr>
            <w:r w:rsidRPr="00BC0D1F">
              <w:t>Depreciation expense</w:t>
            </w:r>
          </w:p>
        </w:tc>
        <w:tc>
          <w:tcPr>
            <w:tcW w:w="851" w:type="dxa"/>
            <w:tcBorders>
              <w:top w:val="nil"/>
              <w:bottom w:val="nil"/>
            </w:tcBorders>
            <w:shd w:val="clear" w:color="E3E3E3" w:fill="auto"/>
          </w:tcPr>
          <w:p w14:paraId="3D3413E5"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11EC15DB" w14:textId="77777777" w:rsidR="00541B4E" w:rsidRPr="00BC0D1F" w:rsidRDefault="00541B4E" w:rsidP="00541B4E">
            <w:pPr>
              <w:pStyle w:val="TableText"/>
              <w:jc w:val="right"/>
            </w:pPr>
            <w:r w:rsidRPr="00BC0D1F">
              <w:t>1,517</w:t>
            </w:r>
          </w:p>
        </w:tc>
        <w:tc>
          <w:tcPr>
            <w:tcW w:w="1276" w:type="dxa"/>
            <w:tcBorders>
              <w:top w:val="nil"/>
              <w:bottom w:val="nil"/>
            </w:tcBorders>
            <w:shd w:val="clear" w:color="E3E3E3" w:fill="auto"/>
          </w:tcPr>
          <w:p w14:paraId="290F27FC" w14:textId="77777777" w:rsidR="00541B4E" w:rsidRPr="00BC0D1F" w:rsidRDefault="00541B4E" w:rsidP="00541B4E">
            <w:pPr>
              <w:pStyle w:val="TableText"/>
              <w:jc w:val="right"/>
            </w:pPr>
            <w:r w:rsidRPr="00BC0D1F">
              <w:t>512</w:t>
            </w:r>
          </w:p>
        </w:tc>
        <w:tc>
          <w:tcPr>
            <w:tcW w:w="992" w:type="dxa"/>
            <w:tcBorders>
              <w:top w:val="nil"/>
              <w:bottom w:val="nil"/>
            </w:tcBorders>
          </w:tcPr>
          <w:p w14:paraId="457DB594" w14:textId="77777777" w:rsidR="00541B4E" w:rsidRPr="00BC0D1F" w:rsidRDefault="00541B4E" w:rsidP="00541B4E">
            <w:pPr>
              <w:pStyle w:val="TableText"/>
              <w:jc w:val="right"/>
            </w:pPr>
            <w:r w:rsidRPr="00BC0D1F">
              <w:t>28</w:t>
            </w:r>
          </w:p>
        </w:tc>
        <w:tc>
          <w:tcPr>
            <w:tcW w:w="1134" w:type="dxa"/>
            <w:tcBorders>
              <w:top w:val="nil"/>
              <w:bottom w:val="nil"/>
            </w:tcBorders>
          </w:tcPr>
          <w:p w14:paraId="02ABD01A" w14:textId="77777777" w:rsidR="00541B4E" w:rsidRPr="00BC0D1F" w:rsidRDefault="00541B4E" w:rsidP="00541B4E">
            <w:pPr>
              <w:pStyle w:val="TableText"/>
              <w:jc w:val="right"/>
            </w:pPr>
            <w:r w:rsidRPr="00BC0D1F">
              <w:t>1,114</w:t>
            </w:r>
          </w:p>
        </w:tc>
        <w:tc>
          <w:tcPr>
            <w:tcW w:w="851" w:type="dxa"/>
            <w:tcBorders>
              <w:top w:val="nil"/>
              <w:bottom w:val="nil"/>
            </w:tcBorders>
          </w:tcPr>
          <w:p w14:paraId="145B270D" w14:textId="77777777" w:rsidR="00541B4E" w:rsidRPr="00BC0D1F" w:rsidRDefault="00541B4E" w:rsidP="00541B4E">
            <w:pPr>
              <w:pStyle w:val="TableText"/>
              <w:jc w:val="right"/>
            </w:pPr>
            <w:r w:rsidRPr="00BC0D1F">
              <w:t>3,171</w:t>
            </w:r>
          </w:p>
        </w:tc>
      </w:tr>
      <w:tr w:rsidR="00541B4E" w:rsidRPr="00BC0D1F" w14:paraId="58D43499" w14:textId="77777777" w:rsidTr="00541B4E">
        <w:trPr>
          <w:cantSplit/>
        </w:trPr>
        <w:tc>
          <w:tcPr>
            <w:tcW w:w="2835" w:type="dxa"/>
            <w:tcBorders>
              <w:top w:val="nil"/>
              <w:left w:val="nil"/>
              <w:bottom w:val="nil"/>
            </w:tcBorders>
            <w:shd w:val="solid" w:color="FFFFFF" w:fill="auto"/>
          </w:tcPr>
          <w:p w14:paraId="7DD1A9E7" w14:textId="77777777" w:rsidR="00541B4E" w:rsidRPr="00BC0D1F" w:rsidRDefault="00541B4E" w:rsidP="00D543B3">
            <w:pPr>
              <w:pStyle w:val="TableText"/>
            </w:pPr>
            <w:r w:rsidRPr="00BC0D1F">
              <w:t>Eliminate on disposals</w:t>
            </w:r>
          </w:p>
        </w:tc>
        <w:tc>
          <w:tcPr>
            <w:tcW w:w="851" w:type="dxa"/>
            <w:tcBorders>
              <w:top w:val="nil"/>
              <w:bottom w:val="nil"/>
            </w:tcBorders>
            <w:shd w:val="clear" w:color="E3E3E3" w:fill="auto"/>
          </w:tcPr>
          <w:p w14:paraId="6F700B6F"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38739FBB" w14:textId="77777777" w:rsidR="00541B4E" w:rsidRPr="00BC0D1F" w:rsidRDefault="00541B4E" w:rsidP="00541B4E">
            <w:pPr>
              <w:pStyle w:val="TableText"/>
              <w:jc w:val="right"/>
            </w:pPr>
            <w:r w:rsidRPr="00BC0D1F">
              <w:t>(2,072)</w:t>
            </w:r>
          </w:p>
        </w:tc>
        <w:tc>
          <w:tcPr>
            <w:tcW w:w="1276" w:type="dxa"/>
            <w:tcBorders>
              <w:top w:val="nil"/>
              <w:bottom w:val="nil"/>
            </w:tcBorders>
            <w:shd w:val="clear" w:color="E3E3E3" w:fill="auto"/>
          </w:tcPr>
          <w:p w14:paraId="46C38CE5" w14:textId="77777777" w:rsidR="00541B4E" w:rsidRPr="00BC0D1F" w:rsidRDefault="00541B4E" w:rsidP="00541B4E">
            <w:pPr>
              <w:pStyle w:val="TableText"/>
              <w:jc w:val="right"/>
            </w:pPr>
            <w:r w:rsidRPr="00BC0D1F">
              <w:t>(3,392)</w:t>
            </w:r>
          </w:p>
        </w:tc>
        <w:tc>
          <w:tcPr>
            <w:tcW w:w="992" w:type="dxa"/>
            <w:tcBorders>
              <w:top w:val="nil"/>
              <w:bottom w:val="nil"/>
            </w:tcBorders>
          </w:tcPr>
          <w:p w14:paraId="5700FD5D" w14:textId="77777777" w:rsidR="00541B4E" w:rsidRPr="00BC0D1F" w:rsidRDefault="00541B4E" w:rsidP="00541B4E">
            <w:pPr>
              <w:pStyle w:val="TableText"/>
              <w:jc w:val="right"/>
            </w:pPr>
            <w:r w:rsidRPr="00BC0D1F">
              <w:t>–</w:t>
            </w:r>
          </w:p>
        </w:tc>
        <w:tc>
          <w:tcPr>
            <w:tcW w:w="1134" w:type="dxa"/>
            <w:tcBorders>
              <w:top w:val="nil"/>
              <w:bottom w:val="nil"/>
            </w:tcBorders>
          </w:tcPr>
          <w:p w14:paraId="5C04C042" w14:textId="77777777" w:rsidR="00541B4E" w:rsidRPr="00BC0D1F" w:rsidRDefault="00541B4E" w:rsidP="00541B4E">
            <w:pPr>
              <w:pStyle w:val="TableText"/>
              <w:jc w:val="right"/>
            </w:pPr>
            <w:r w:rsidRPr="00BC0D1F">
              <w:t>(943)</w:t>
            </w:r>
          </w:p>
        </w:tc>
        <w:tc>
          <w:tcPr>
            <w:tcW w:w="851" w:type="dxa"/>
            <w:tcBorders>
              <w:top w:val="nil"/>
              <w:bottom w:val="nil"/>
            </w:tcBorders>
          </w:tcPr>
          <w:p w14:paraId="3D509E43" w14:textId="77777777" w:rsidR="00541B4E" w:rsidRPr="00BC0D1F" w:rsidRDefault="00541B4E" w:rsidP="00541B4E">
            <w:pPr>
              <w:pStyle w:val="TableText"/>
              <w:jc w:val="right"/>
            </w:pPr>
            <w:r w:rsidRPr="00BC0D1F">
              <w:t>(6,407)</w:t>
            </w:r>
          </w:p>
        </w:tc>
      </w:tr>
      <w:tr w:rsidR="00541B4E" w:rsidRPr="00BC0D1F" w14:paraId="1C10B204" w14:textId="77777777" w:rsidTr="00541B4E">
        <w:trPr>
          <w:cantSplit/>
        </w:trPr>
        <w:tc>
          <w:tcPr>
            <w:tcW w:w="2835" w:type="dxa"/>
            <w:tcBorders>
              <w:top w:val="nil"/>
              <w:left w:val="nil"/>
              <w:bottom w:val="nil"/>
            </w:tcBorders>
            <w:shd w:val="solid" w:color="FFFFFF" w:fill="auto"/>
          </w:tcPr>
          <w:p w14:paraId="5FF2BDA1" w14:textId="77777777" w:rsidR="00541B4E" w:rsidRPr="00BC0D1F" w:rsidRDefault="00541B4E" w:rsidP="00D543B3">
            <w:pPr>
              <w:pStyle w:val="TableText"/>
            </w:pPr>
            <w:r w:rsidRPr="00BC0D1F">
              <w:t>Transfers</w:t>
            </w:r>
          </w:p>
        </w:tc>
        <w:tc>
          <w:tcPr>
            <w:tcW w:w="851" w:type="dxa"/>
            <w:tcBorders>
              <w:top w:val="nil"/>
              <w:bottom w:val="nil"/>
            </w:tcBorders>
            <w:shd w:val="clear" w:color="E3E3E3" w:fill="auto"/>
          </w:tcPr>
          <w:p w14:paraId="7E61A07A"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0256641B" w14:textId="77777777" w:rsidR="00541B4E" w:rsidRPr="00BC0D1F" w:rsidRDefault="00541B4E" w:rsidP="00541B4E">
            <w:pPr>
              <w:pStyle w:val="TableText"/>
              <w:jc w:val="right"/>
            </w:pPr>
            <w:r w:rsidRPr="00BC0D1F">
              <w:t>–</w:t>
            </w:r>
          </w:p>
        </w:tc>
        <w:tc>
          <w:tcPr>
            <w:tcW w:w="1276" w:type="dxa"/>
            <w:tcBorders>
              <w:top w:val="nil"/>
              <w:bottom w:val="nil"/>
            </w:tcBorders>
            <w:shd w:val="clear" w:color="E3E3E3" w:fill="auto"/>
          </w:tcPr>
          <w:p w14:paraId="474B15FB" w14:textId="77777777" w:rsidR="00541B4E" w:rsidRPr="00BC0D1F" w:rsidRDefault="00541B4E" w:rsidP="00541B4E">
            <w:pPr>
              <w:pStyle w:val="TableText"/>
              <w:jc w:val="right"/>
            </w:pPr>
            <w:r w:rsidRPr="00BC0D1F">
              <w:t>–</w:t>
            </w:r>
          </w:p>
        </w:tc>
        <w:tc>
          <w:tcPr>
            <w:tcW w:w="992" w:type="dxa"/>
            <w:tcBorders>
              <w:top w:val="nil"/>
              <w:bottom w:val="nil"/>
            </w:tcBorders>
          </w:tcPr>
          <w:p w14:paraId="2697248A" w14:textId="77777777" w:rsidR="00541B4E" w:rsidRPr="00BC0D1F" w:rsidRDefault="00541B4E" w:rsidP="00541B4E">
            <w:pPr>
              <w:pStyle w:val="TableText"/>
              <w:jc w:val="right"/>
            </w:pPr>
            <w:r w:rsidRPr="00BC0D1F">
              <w:t>–</w:t>
            </w:r>
          </w:p>
        </w:tc>
        <w:tc>
          <w:tcPr>
            <w:tcW w:w="1134" w:type="dxa"/>
            <w:tcBorders>
              <w:top w:val="nil"/>
              <w:bottom w:val="nil"/>
            </w:tcBorders>
          </w:tcPr>
          <w:p w14:paraId="0F619143" w14:textId="77777777" w:rsidR="00541B4E" w:rsidRPr="00BC0D1F" w:rsidRDefault="00541B4E" w:rsidP="00541B4E">
            <w:pPr>
              <w:pStyle w:val="TableText"/>
              <w:jc w:val="right"/>
            </w:pPr>
            <w:r w:rsidRPr="00BC0D1F">
              <w:t>1,166</w:t>
            </w:r>
          </w:p>
        </w:tc>
        <w:tc>
          <w:tcPr>
            <w:tcW w:w="851" w:type="dxa"/>
            <w:tcBorders>
              <w:top w:val="nil"/>
              <w:bottom w:val="nil"/>
            </w:tcBorders>
          </w:tcPr>
          <w:p w14:paraId="2D0E63A0" w14:textId="77777777" w:rsidR="00541B4E" w:rsidRPr="00BC0D1F" w:rsidRDefault="00541B4E" w:rsidP="00541B4E">
            <w:pPr>
              <w:pStyle w:val="TableText"/>
              <w:jc w:val="right"/>
            </w:pPr>
            <w:r w:rsidRPr="00BC0D1F">
              <w:t>1,166</w:t>
            </w:r>
          </w:p>
        </w:tc>
      </w:tr>
      <w:tr w:rsidR="00541B4E" w:rsidRPr="00BC0D1F" w14:paraId="07E2E717" w14:textId="77777777" w:rsidTr="00541B4E">
        <w:trPr>
          <w:cantSplit/>
        </w:trPr>
        <w:tc>
          <w:tcPr>
            <w:tcW w:w="2835" w:type="dxa"/>
            <w:tcBorders>
              <w:top w:val="nil"/>
              <w:left w:val="nil"/>
              <w:bottom w:val="nil"/>
            </w:tcBorders>
            <w:shd w:val="solid" w:color="FFFFFF" w:fill="auto"/>
          </w:tcPr>
          <w:p w14:paraId="478A0278" w14:textId="77777777" w:rsidR="00541B4E" w:rsidRPr="00BC0D1F" w:rsidRDefault="00541B4E" w:rsidP="00D543B3">
            <w:pPr>
              <w:pStyle w:val="TableText"/>
              <w:rPr>
                <w:b/>
              </w:rPr>
            </w:pPr>
            <w:r w:rsidRPr="00BC0D1F">
              <w:rPr>
                <w:b/>
              </w:rPr>
              <w:t>Balance as at 30 June 2015</w:t>
            </w:r>
          </w:p>
        </w:tc>
        <w:tc>
          <w:tcPr>
            <w:tcW w:w="851" w:type="dxa"/>
            <w:tcBorders>
              <w:top w:val="nil"/>
              <w:bottom w:val="nil"/>
            </w:tcBorders>
            <w:shd w:val="clear" w:color="auto" w:fill="D9D9D9"/>
          </w:tcPr>
          <w:p w14:paraId="148D8638" w14:textId="77777777" w:rsidR="00541B4E" w:rsidRPr="00BC0D1F" w:rsidRDefault="00541B4E" w:rsidP="00541B4E">
            <w:pPr>
              <w:pStyle w:val="TableText"/>
              <w:jc w:val="right"/>
              <w:rPr>
                <w:b/>
              </w:rPr>
            </w:pPr>
            <w:r w:rsidRPr="00BC0D1F">
              <w:rPr>
                <w:b/>
              </w:rPr>
              <w:t>–</w:t>
            </w:r>
          </w:p>
        </w:tc>
        <w:tc>
          <w:tcPr>
            <w:tcW w:w="1417" w:type="dxa"/>
            <w:tcBorders>
              <w:top w:val="nil"/>
              <w:bottom w:val="nil"/>
            </w:tcBorders>
            <w:shd w:val="clear" w:color="auto" w:fill="D9D9D9"/>
          </w:tcPr>
          <w:p w14:paraId="1462D6E8" w14:textId="77777777" w:rsidR="00541B4E" w:rsidRPr="00BC0D1F" w:rsidRDefault="00541B4E" w:rsidP="00541B4E">
            <w:pPr>
              <w:pStyle w:val="TableText"/>
              <w:jc w:val="right"/>
              <w:rPr>
                <w:b/>
              </w:rPr>
            </w:pPr>
            <w:r w:rsidRPr="00BC0D1F">
              <w:rPr>
                <w:b/>
              </w:rPr>
              <w:t>5,192</w:t>
            </w:r>
          </w:p>
        </w:tc>
        <w:tc>
          <w:tcPr>
            <w:tcW w:w="1276" w:type="dxa"/>
            <w:tcBorders>
              <w:top w:val="nil"/>
              <w:bottom w:val="nil"/>
            </w:tcBorders>
            <w:shd w:val="clear" w:color="auto" w:fill="D9D9D9"/>
          </w:tcPr>
          <w:p w14:paraId="2EDB3D7A" w14:textId="77777777" w:rsidR="00541B4E" w:rsidRPr="00BC0D1F" w:rsidRDefault="00541B4E" w:rsidP="00541B4E">
            <w:pPr>
              <w:pStyle w:val="TableText"/>
              <w:jc w:val="right"/>
              <w:rPr>
                <w:b/>
              </w:rPr>
            </w:pPr>
            <w:r w:rsidRPr="00BC0D1F">
              <w:rPr>
                <w:b/>
              </w:rPr>
              <w:t>2,168</w:t>
            </w:r>
          </w:p>
        </w:tc>
        <w:tc>
          <w:tcPr>
            <w:tcW w:w="992" w:type="dxa"/>
            <w:tcBorders>
              <w:top w:val="nil"/>
              <w:bottom w:val="nil"/>
            </w:tcBorders>
            <w:shd w:val="clear" w:color="auto" w:fill="D9D9D9"/>
          </w:tcPr>
          <w:p w14:paraId="2BD237D4" w14:textId="77777777" w:rsidR="00541B4E" w:rsidRPr="00BC0D1F" w:rsidRDefault="00541B4E" w:rsidP="00541B4E">
            <w:pPr>
              <w:pStyle w:val="TableText"/>
              <w:jc w:val="right"/>
              <w:rPr>
                <w:b/>
              </w:rPr>
            </w:pPr>
            <w:r w:rsidRPr="00BC0D1F">
              <w:rPr>
                <w:b/>
              </w:rPr>
              <w:t>239</w:t>
            </w:r>
          </w:p>
        </w:tc>
        <w:tc>
          <w:tcPr>
            <w:tcW w:w="1134" w:type="dxa"/>
            <w:tcBorders>
              <w:top w:val="nil"/>
              <w:bottom w:val="nil"/>
            </w:tcBorders>
            <w:shd w:val="clear" w:color="auto" w:fill="D9D9D9"/>
          </w:tcPr>
          <w:p w14:paraId="3AB496EF" w14:textId="77777777" w:rsidR="00541B4E" w:rsidRPr="00BC0D1F" w:rsidRDefault="00541B4E" w:rsidP="00541B4E">
            <w:pPr>
              <w:pStyle w:val="TableText"/>
              <w:jc w:val="right"/>
              <w:rPr>
                <w:b/>
              </w:rPr>
            </w:pPr>
            <w:r w:rsidRPr="00BC0D1F">
              <w:rPr>
                <w:b/>
              </w:rPr>
              <w:t>19,154</w:t>
            </w:r>
          </w:p>
        </w:tc>
        <w:tc>
          <w:tcPr>
            <w:tcW w:w="851" w:type="dxa"/>
            <w:tcBorders>
              <w:top w:val="nil"/>
              <w:bottom w:val="nil"/>
            </w:tcBorders>
            <w:shd w:val="clear" w:color="auto" w:fill="D9D9D9"/>
          </w:tcPr>
          <w:p w14:paraId="3D0F1D46" w14:textId="77777777" w:rsidR="00541B4E" w:rsidRPr="00BC0D1F" w:rsidRDefault="00541B4E" w:rsidP="00541B4E">
            <w:pPr>
              <w:pStyle w:val="TableText"/>
              <w:jc w:val="right"/>
              <w:rPr>
                <w:b/>
              </w:rPr>
            </w:pPr>
            <w:r w:rsidRPr="00BC0D1F">
              <w:rPr>
                <w:b/>
              </w:rPr>
              <w:t>26,753</w:t>
            </w:r>
          </w:p>
        </w:tc>
      </w:tr>
      <w:tr w:rsidR="00541B4E" w:rsidRPr="00BC0D1F" w14:paraId="53951791" w14:textId="77777777" w:rsidTr="00541B4E">
        <w:trPr>
          <w:cantSplit/>
        </w:trPr>
        <w:tc>
          <w:tcPr>
            <w:tcW w:w="2835" w:type="dxa"/>
            <w:tcBorders>
              <w:top w:val="nil"/>
              <w:left w:val="nil"/>
              <w:bottom w:val="nil"/>
            </w:tcBorders>
            <w:shd w:val="solid" w:color="FFFFFF" w:fill="auto"/>
          </w:tcPr>
          <w:p w14:paraId="26C81CF9" w14:textId="77777777" w:rsidR="00541B4E" w:rsidRPr="00BC0D1F" w:rsidRDefault="00541B4E" w:rsidP="00541B4E">
            <w:pPr>
              <w:pStyle w:val="TableText"/>
              <w:spacing w:before="240"/>
              <w:rPr>
                <w:b/>
              </w:rPr>
            </w:pPr>
            <w:r w:rsidRPr="00BC0D1F">
              <w:rPr>
                <w:b/>
              </w:rPr>
              <w:t>Balance as at 1 July 2015</w:t>
            </w:r>
          </w:p>
        </w:tc>
        <w:tc>
          <w:tcPr>
            <w:tcW w:w="851" w:type="dxa"/>
            <w:tcBorders>
              <w:top w:val="nil"/>
              <w:bottom w:val="nil"/>
            </w:tcBorders>
            <w:shd w:val="clear" w:color="E3E3E3" w:fill="auto"/>
          </w:tcPr>
          <w:p w14:paraId="660C3819" w14:textId="77777777" w:rsidR="00541B4E" w:rsidRPr="00BC0D1F" w:rsidRDefault="00541B4E" w:rsidP="00541B4E">
            <w:pPr>
              <w:pStyle w:val="TableText"/>
              <w:spacing w:before="240"/>
              <w:jc w:val="right"/>
              <w:rPr>
                <w:b/>
              </w:rPr>
            </w:pPr>
            <w:r w:rsidRPr="00BC0D1F">
              <w:rPr>
                <w:b/>
              </w:rPr>
              <w:t>–</w:t>
            </w:r>
          </w:p>
        </w:tc>
        <w:tc>
          <w:tcPr>
            <w:tcW w:w="1417" w:type="dxa"/>
            <w:tcBorders>
              <w:top w:val="nil"/>
              <w:bottom w:val="nil"/>
            </w:tcBorders>
            <w:shd w:val="clear" w:color="E3E3E3" w:fill="auto"/>
          </w:tcPr>
          <w:p w14:paraId="7DD10765" w14:textId="77777777" w:rsidR="00541B4E" w:rsidRPr="00BC0D1F" w:rsidRDefault="00541B4E" w:rsidP="00541B4E">
            <w:pPr>
              <w:pStyle w:val="TableText"/>
              <w:spacing w:before="240"/>
              <w:jc w:val="right"/>
              <w:rPr>
                <w:b/>
              </w:rPr>
            </w:pPr>
            <w:r w:rsidRPr="00BC0D1F">
              <w:rPr>
                <w:b/>
              </w:rPr>
              <w:t>5,192</w:t>
            </w:r>
          </w:p>
        </w:tc>
        <w:tc>
          <w:tcPr>
            <w:tcW w:w="1276" w:type="dxa"/>
            <w:tcBorders>
              <w:top w:val="nil"/>
              <w:bottom w:val="nil"/>
            </w:tcBorders>
            <w:shd w:val="clear" w:color="E3E3E3" w:fill="auto"/>
          </w:tcPr>
          <w:p w14:paraId="5715B89B" w14:textId="77777777" w:rsidR="00541B4E" w:rsidRPr="00BC0D1F" w:rsidRDefault="00541B4E" w:rsidP="00541B4E">
            <w:pPr>
              <w:pStyle w:val="TableText"/>
              <w:spacing w:before="240"/>
              <w:jc w:val="right"/>
              <w:rPr>
                <w:b/>
              </w:rPr>
            </w:pPr>
            <w:r w:rsidRPr="00BC0D1F">
              <w:rPr>
                <w:b/>
              </w:rPr>
              <w:t>2,168</w:t>
            </w:r>
          </w:p>
        </w:tc>
        <w:tc>
          <w:tcPr>
            <w:tcW w:w="992" w:type="dxa"/>
            <w:tcBorders>
              <w:top w:val="nil"/>
              <w:bottom w:val="nil"/>
            </w:tcBorders>
          </w:tcPr>
          <w:p w14:paraId="77580984" w14:textId="77777777" w:rsidR="00541B4E" w:rsidRPr="00BC0D1F" w:rsidRDefault="00541B4E" w:rsidP="00541B4E">
            <w:pPr>
              <w:pStyle w:val="TableText"/>
              <w:spacing w:before="240"/>
              <w:jc w:val="right"/>
              <w:rPr>
                <w:b/>
              </w:rPr>
            </w:pPr>
            <w:r w:rsidRPr="00BC0D1F">
              <w:rPr>
                <w:b/>
              </w:rPr>
              <w:t>239</w:t>
            </w:r>
          </w:p>
        </w:tc>
        <w:tc>
          <w:tcPr>
            <w:tcW w:w="1134" w:type="dxa"/>
            <w:tcBorders>
              <w:top w:val="nil"/>
              <w:bottom w:val="nil"/>
            </w:tcBorders>
          </w:tcPr>
          <w:p w14:paraId="07720CC9" w14:textId="77777777" w:rsidR="00541B4E" w:rsidRPr="00BC0D1F" w:rsidRDefault="00541B4E" w:rsidP="00541B4E">
            <w:pPr>
              <w:pStyle w:val="TableText"/>
              <w:spacing w:before="240"/>
              <w:jc w:val="right"/>
              <w:rPr>
                <w:b/>
              </w:rPr>
            </w:pPr>
            <w:r w:rsidRPr="00BC0D1F">
              <w:rPr>
                <w:b/>
              </w:rPr>
              <w:t>19,154</w:t>
            </w:r>
          </w:p>
        </w:tc>
        <w:tc>
          <w:tcPr>
            <w:tcW w:w="851" w:type="dxa"/>
            <w:tcBorders>
              <w:top w:val="nil"/>
              <w:bottom w:val="nil"/>
            </w:tcBorders>
          </w:tcPr>
          <w:p w14:paraId="3D612A00" w14:textId="77777777" w:rsidR="00541B4E" w:rsidRPr="00BC0D1F" w:rsidRDefault="00541B4E" w:rsidP="00541B4E">
            <w:pPr>
              <w:pStyle w:val="TableText"/>
              <w:spacing w:before="240"/>
              <w:jc w:val="right"/>
              <w:rPr>
                <w:b/>
              </w:rPr>
            </w:pPr>
            <w:r w:rsidRPr="00BC0D1F">
              <w:rPr>
                <w:b/>
              </w:rPr>
              <w:t>26,753</w:t>
            </w:r>
          </w:p>
        </w:tc>
      </w:tr>
      <w:tr w:rsidR="00541B4E" w:rsidRPr="00BC0D1F" w14:paraId="7B8C2F4F" w14:textId="77777777" w:rsidTr="00541B4E">
        <w:trPr>
          <w:cantSplit/>
        </w:trPr>
        <w:tc>
          <w:tcPr>
            <w:tcW w:w="2835" w:type="dxa"/>
            <w:tcBorders>
              <w:top w:val="nil"/>
              <w:left w:val="nil"/>
              <w:bottom w:val="nil"/>
            </w:tcBorders>
            <w:shd w:val="solid" w:color="FFFFFF" w:fill="auto"/>
          </w:tcPr>
          <w:p w14:paraId="19B60027" w14:textId="77777777" w:rsidR="00541B4E" w:rsidRPr="00BC0D1F" w:rsidRDefault="00541B4E" w:rsidP="00D543B3">
            <w:pPr>
              <w:pStyle w:val="TableText"/>
            </w:pPr>
            <w:r w:rsidRPr="00BC0D1F">
              <w:t>Depreciation expense</w:t>
            </w:r>
          </w:p>
        </w:tc>
        <w:tc>
          <w:tcPr>
            <w:tcW w:w="851" w:type="dxa"/>
            <w:tcBorders>
              <w:top w:val="nil"/>
              <w:bottom w:val="nil"/>
            </w:tcBorders>
            <w:shd w:val="clear" w:color="E3E3E3" w:fill="auto"/>
          </w:tcPr>
          <w:p w14:paraId="76308FE9"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400DE33E" w14:textId="77777777" w:rsidR="00541B4E" w:rsidRPr="00BC0D1F" w:rsidRDefault="00541B4E" w:rsidP="00541B4E">
            <w:pPr>
              <w:pStyle w:val="TableText"/>
              <w:jc w:val="right"/>
            </w:pPr>
            <w:r w:rsidRPr="00BC0D1F">
              <w:t>2,435</w:t>
            </w:r>
          </w:p>
        </w:tc>
        <w:tc>
          <w:tcPr>
            <w:tcW w:w="1276" w:type="dxa"/>
            <w:tcBorders>
              <w:top w:val="nil"/>
              <w:bottom w:val="nil"/>
            </w:tcBorders>
            <w:shd w:val="clear" w:color="E3E3E3" w:fill="auto"/>
          </w:tcPr>
          <w:p w14:paraId="6FD39644" w14:textId="77777777" w:rsidR="00541B4E" w:rsidRPr="00BC0D1F" w:rsidRDefault="00541B4E" w:rsidP="00541B4E">
            <w:pPr>
              <w:pStyle w:val="TableText"/>
              <w:jc w:val="right"/>
            </w:pPr>
            <w:r w:rsidRPr="00BC0D1F">
              <w:t>445</w:t>
            </w:r>
          </w:p>
        </w:tc>
        <w:tc>
          <w:tcPr>
            <w:tcW w:w="992" w:type="dxa"/>
            <w:tcBorders>
              <w:top w:val="nil"/>
              <w:bottom w:val="nil"/>
            </w:tcBorders>
          </w:tcPr>
          <w:p w14:paraId="23389941" w14:textId="77777777" w:rsidR="00541B4E" w:rsidRPr="00BC0D1F" w:rsidRDefault="00541B4E" w:rsidP="00541B4E">
            <w:pPr>
              <w:pStyle w:val="TableText"/>
              <w:jc w:val="right"/>
            </w:pPr>
            <w:r w:rsidRPr="00BC0D1F">
              <w:t>24</w:t>
            </w:r>
          </w:p>
        </w:tc>
        <w:tc>
          <w:tcPr>
            <w:tcW w:w="1134" w:type="dxa"/>
            <w:tcBorders>
              <w:top w:val="nil"/>
              <w:bottom w:val="nil"/>
            </w:tcBorders>
          </w:tcPr>
          <w:p w14:paraId="4D5C117A" w14:textId="77777777" w:rsidR="00541B4E" w:rsidRPr="00BC0D1F" w:rsidRDefault="00541B4E" w:rsidP="00541B4E">
            <w:pPr>
              <w:pStyle w:val="TableText"/>
              <w:jc w:val="right"/>
            </w:pPr>
            <w:r w:rsidRPr="00BC0D1F">
              <w:t>853</w:t>
            </w:r>
          </w:p>
        </w:tc>
        <w:tc>
          <w:tcPr>
            <w:tcW w:w="851" w:type="dxa"/>
            <w:tcBorders>
              <w:top w:val="nil"/>
              <w:bottom w:val="nil"/>
            </w:tcBorders>
          </w:tcPr>
          <w:p w14:paraId="60175E5E" w14:textId="77777777" w:rsidR="00541B4E" w:rsidRPr="00BC0D1F" w:rsidRDefault="00541B4E" w:rsidP="00541B4E">
            <w:pPr>
              <w:pStyle w:val="TableText"/>
              <w:jc w:val="right"/>
            </w:pPr>
            <w:r w:rsidRPr="00BC0D1F">
              <w:t>3,757</w:t>
            </w:r>
          </w:p>
        </w:tc>
      </w:tr>
      <w:tr w:rsidR="00541B4E" w:rsidRPr="00BC0D1F" w14:paraId="464E7834" w14:textId="77777777" w:rsidTr="00541B4E">
        <w:trPr>
          <w:cantSplit/>
        </w:trPr>
        <w:tc>
          <w:tcPr>
            <w:tcW w:w="2835" w:type="dxa"/>
            <w:tcBorders>
              <w:top w:val="nil"/>
              <w:left w:val="nil"/>
              <w:bottom w:val="nil"/>
            </w:tcBorders>
            <w:shd w:val="solid" w:color="FFFFFF" w:fill="auto"/>
          </w:tcPr>
          <w:p w14:paraId="4BFFF0DF" w14:textId="77777777" w:rsidR="00541B4E" w:rsidRPr="00BC0D1F" w:rsidRDefault="00541B4E" w:rsidP="00D543B3">
            <w:pPr>
              <w:pStyle w:val="TableText"/>
            </w:pPr>
            <w:r w:rsidRPr="00BC0D1F">
              <w:t>Eliminate on disposals</w:t>
            </w:r>
          </w:p>
        </w:tc>
        <w:tc>
          <w:tcPr>
            <w:tcW w:w="851" w:type="dxa"/>
            <w:tcBorders>
              <w:top w:val="nil"/>
              <w:bottom w:val="nil"/>
            </w:tcBorders>
            <w:shd w:val="clear" w:color="E3E3E3" w:fill="auto"/>
          </w:tcPr>
          <w:p w14:paraId="34C86890"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07603615" w14:textId="77777777" w:rsidR="00541B4E" w:rsidRPr="00BC0D1F" w:rsidRDefault="00541B4E" w:rsidP="00541B4E">
            <w:pPr>
              <w:pStyle w:val="TableText"/>
              <w:jc w:val="right"/>
            </w:pPr>
            <w:r w:rsidRPr="00BC0D1F">
              <w:t>–</w:t>
            </w:r>
          </w:p>
        </w:tc>
        <w:tc>
          <w:tcPr>
            <w:tcW w:w="1276" w:type="dxa"/>
            <w:tcBorders>
              <w:top w:val="nil"/>
              <w:bottom w:val="nil"/>
            </w:tcBorders>
            <w:shd w:val="clear" w:color="E3E3E3" w:fill="auto"/>
          </w:tcPr>
          <w:p w14:paraId="110767F9" w14:textId="77777777" w:rsidR="00541B4E" w:rsidRPr="00BC0D1F" w:rsidRDefault="00541B4E" w:rsidP="00541B4E">
            <w:pPr>
              <w:pStyle w:val="TableText"/>
              <w:jc w:val="right"/>
            </w:pPr>
            <w:r w:rsidRPr="00BC0D1F">
              <w:t>(208)</w:t>
            </w:r>
          </w:p>
        </w:tc>
        <w:tc>
          <w:tcPr>
            <w:tcW w:w="992" w:type="dxa"/>
            <w:tcBorders>
              <w:top w:val="nil"/>
              <w:bottom w:val="nil"/>
            </w:tcBorders>
          </w:tcPr>
          <w:p w14:paraId="642C729A" w14:textId="77777777" w:rsidR="00541B4E" w:rsidRPr="00BC0D1F" w:rsidRDefault="00541B4E" w:rsidP="00541B4E">
            <w:pPr>
              <w:pStyle w:val="TableText"/>
              <w:jc w:val="right"/>
            </w:pPr>
            <w:r w:rsidRPr="00BC0D1F">
              <w:t>–</w:t>
            </w:r>
          </w:p>
        </w:tc>
        <w:tc>
          <w:tcPr>
            <w:tcW w:w="1134" w:type="dxa"/>
            <w:tcBorders>
              <w:top w:val="nil"/>
              <w:bottom w:val="nil"/>
            </w:tcBorders>
          </w:tcPr>
          <w:p w14:paraId="18357229" w14:textId="77777777" w:rsidR="00541B4E" w:rsidRPr="00BC0D1F" w:rsidRDefault="00541B4E" w:rsidP="00541B4E">
            <w:pPr>
              <w:pStyle w:val="TableText"/>
              <w:jc w:val="right"/>
            </w:pPr>
            <w:r w:rsidRPr="00BC0D1F">
              <w:t>(537)</w:t>
            </w:r>
          </w:p>
        </w:tc>
        <w:tc>
          <w:tcPr>
            <w:tcW w:w="851" w:type="dxa"/>
            <w:tcBorders>
              <w:top w:val="nil"/>
              <w:bottom w:val="nil"/>
            </w:tcBorders>
          </w:tcPr>
          <w:p w14:paraId="55695E2B" w14:textId="77777777" w:rsidR="00541B4E" w:rsidRPr="00BC0D1F" w:rsidRDefault="00541B4E" w:rsidP="00541B4E">
            <w:pPr>
              <w:pStyle w:val="TableText"/>
              <w:jc w:val="right"/>
            </w:pPr>
            <w:r w:rsidRPr="00BC0D1F">
              <w:t>(745)</w:t>
            </w:r>
          </w:p>
        </w:tc>
      </w:tr>
      <w:tr w:rsidR="00541B4E" w:rsidRPr="00BC0D1F" w14:paraId="21CA7971" w14:textId="77777777" w:rsidTr="00541B4E">
        <w:trPr>
          <w:cantSplit/>
        </w:trPr>
        <w:tc>
          <w:tcPr>
            <w:tcW w:w="2835" w:type="dxa"/>
            <w:tcBorders>
              <w:top w:val="nil"/>
              <w:left w:val="nil"/>
              <w:bottom w:val="nil"/>
            </w:tcBorders>
            <w:shd w:val="solid" w:color="FFFFFF" w:fill="auto"/>
          </w:tcPr>
          <w:p w14:paraId="4B6641E6" w14:textId="77777777" w:rsidR="00541B4E" w:rsidRPr="00BC0D1F" w:rsidRDefault="00541B4E" w:rsidP="00D543B3">
            <w:pPr>
              <w:pStyle w:val="TableText"/>
            </w:pPr>
            <w:r w:rsidRPr="00BC0D1F">
              <w:t>Transfers</w:t>
            </w:r>
          </w:p>
        </w:tc>
        <w:tc>
          <w:tcPr>
            <w:tcW w:w="851" w:type="dxa"/>
            <w:tcBorders>
              <w:top w:val="nil"/>
              <w:bottom w:val="nil"/>
            </w:tcBorders>
            <w:shd w:val="clear" w:color="E3E3E3" w:fill="auto"/>
          </w:tcPr>
          <w:p w14:paraId="2CFAFAAF"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336FD528" w14:textId="77777777" w:rsidR="00541B4E" w:rsidRPr="00BC0D1F" w:rsidRDefault="00541B4E" w:rsidP="00541B4E">
            <w:pPr>
              <w:pStyle w:val="TableText"/>
              <w:jc w:val="right"/>
            </w:pPr>
            <w:r w:rsidRPr="00BC0D1F">
              <w:t>(600)</w:t>
            </w:r>
          </w:p>
        </w:tc>
        <w:tc>
          <w:tcPr>
            <w:tcW w:w="1276" w:type="dxa"/>
            <w:tcBorders>
              <w:top w:val="nil"/>
              <w:bottom w:val="nil"/>
            </w:tcBorders>
            <w:shd w:val="clear" w:color="E3E3E3" w:fill="auto"/>
          </w:tcPr>
          <w:p w14:paraId="6451213E" w14:textId="77777777" w:rsidR="00541B4E" w:rsidRPr="00BC0D1F" w:rsidRDefault="00541B4E" w:rsidP="00541B4E">
            <w:pPr>
              <w:pStyle w:val="TableText"/>
              <w:jc w:val="right"/>
            </w:pPr>
            <w:r w:rsidRPr="00BC0D1F">
              <w:t>–</w:t>
            </w:r>
          </w:p>
        </w:tc>
        <w:tc>
          <w:tcPr>
            <w:tcW w:w="992" w:type="dxa"/>
            <w:tcBorders>
              <w:top w:val="nil"/>
              <w:bottom w:val="nil"/>
            </w:tcBorders>
          </w:tcPr>
          <w:p w14:paraId="17752CD4" w14:textId="77777777" w:rsidR="00541B4E" w:rsidRPr="00BC0D1F" w:rsidRDefault="00541B4E" w:rsidP="00541B4E">
            <w:pPr>
              <w:pStyle w:val="TableText"/>
              <w:jc w:val="right"/>
            </w:pPr>
            <w:r w:rsidRPr="00BC0D1F">
              <w:t>–</w:t>
            </w:r>
          </w:p>
        </w:tc>
        <w:tc>
          <w:tcPr>
            <w:tcW w:w="1134" w:type="dxa"/>
            <w:tcBorders>
              <w:top w:val="nil"/>
              <w:bottom w:val="nil"/>
            </w:tcBorders>
          </w:tcPr>
          <w:p w14:paraId="05458AAD" w14:textId="77777777" w:rsidR="00541B4E" w:rsidRPr="00BC0D1F" w:rsidRDefault="00541B4E" w:rsidP="00541B4E">
            <w:pPr>
              <w:pStyle w:val="TableText"/>
              <w:jc w:val="right"/>
            </w:pPr>
            <w:r w:rsidRPr="00BC0D1F">
              <w:t>600</w:t>
            </w:r>
          </w:p>
        </w:tc>
        <w:tc>
          <w:tcPr>
            <w:tcW w:w="851" w:type="dxa"/>
            <w:tcBorders>
              <w:top w:val="nil"/>
              <w:bottom w:val="nil"/>
            </w:tcBorders>
          </w:tcPr>
          <w:p w14:paraId="57E5B12A" w14:textId="77777777" w:rsidR="00541B4E" w:rsidRPr="00BC0D1F" w:rsidRDefault="00541B4E" w:rsidP="00541B4E">
            <w:pPr>
              <w:pStyle w:val="TableText"/>
              <w:jc w:val="right"/>
            </w:pPr>
            <w:r w:rsidRPr="00BC0D1F">
              <w:t>–</w:t>
            </w:r>
          </w:p>
        </w:tc>
      </w:tr>
      <w:tr w:rsidR="00541B4E" w:rsidRPr="00BC0D1F" w14:paraId="4C48D93D" w14:textId="77777777" w:rsidTr="00541B4E">
        <w:trPr>
          <w:cantSplit/>
        </w:trPr>
        <w:tc>
          <w:tcPr>
            <w:tcW w:w="2835" w:type="dxa"/>
            <w:tcBorders>
              <w:top w:val="nil"/>
              <w:left w:val="nil"/>
              <w:bottom w:val="nil"/>
            </w:tcBorders>
            <w:shd w:val="solid" w:color="FFFFFF" w:fill="auto"/>
          </w:tcPr>
          <w:p w14:paraId="6FA1AE14" w14:textId="77777777" w:rsidR="00541B4E" w:rsidRPr="00BC0D1F" w:rsidRDefault="00541B4E" w:rsidP="00D543B3">
            <w:pPr>
              <w:pStyle w:val="TableText"/>
              <w:rPr>
                <w:b/>
              </w:rPr>
            </w:pPr>
            <w:r w:rsidRPr="00BC0D1F">
              <w:rPr>
                <w:b/>
              </w:rPr>
              <w:t>Balance as at 30 June 2016</w:t>
            </w:r>
          </w:p>
        </w:tc>
        <w:tc>
          <w:tcPr>
            <w:tcW w:w="851" w:type="dxa"/>
            <w:tcBorders>
              <w:top w:val="nil"/>
              <w:bottom w:val="nil"/>
            </w:tcBorders>
            <w:shd w:val="clear" w:color="auto" w:fill="D9D9D9"/>
          </w:tcPr>
          <w:p w14:paraId="28A020CA" w14:textId="77777777" w:rsidR="00541B4E" w:rsidRPr="00BC0D1F" w:rsidRDefault="00541B4E" w:rsidP="00541B4E">
            <w:pPr>
              <w:pStyle w:val="TableText"/>
              <w:jc w:val="right"/>
              <w:rPr>
                <w:b/>
              </w:rPr>
            </w:pPr>
            <w:r w:rsidRPr="00BC0D1F">
              <w:rPr>
                <w:b/>
              </w:rPr>
              <w:t>–</w:t>
            </w:r>
          </w:p>
        </w:tc>
        <w:tc>
          <w:tcPr>
            <w:tcW w:w="1417" w:type="dxa"/>
            <w:tcBorders>
              <w:top w:val="nil"/>
              <w:bottom w:val="nil"/>
            </w:tcBorders>
            <w:shd w:val="clear" w:color="auto" w:fill="D9D9D9"/>
          </w:tcPr>
          <w:p w14:paraId="2216B209" w14:textId="77777777" w:rsidR="00541B4E" w:rsidRPr="00BC0D1F" w:rsidRDefault="00541B4E" w:rsidP="00541B4E">
            <w:pPr>
              <w:pStyle w:val="TableText"/>
              <w:jc w:val="right"/>
              <w:rPr>
                <w:b/>
              </w:rPr>
            </w:pPr>
            <w:r w:rsidRPr="00BC0D1F">
              <w:rPr>
                <w:b/>
              </w:rPr>
              <w:t>7,027</w:t>
            </w:r>
          </w:p>
        </w:tc>
        <w:tc>
          <w:tcPr>
            <w:tcW w:w="1276" w:type="dxa"/>
            <w:tcBorders>
              <w:top w:val="nil"/>
              <w:bottom w:val="nil"/>
            </w:tcBorders>
            <w:shd w:val="clear" w:color="auto" w:fill="D9D9D9"/>
          </w:tcPr>
          <w:p w14:paraId="5BB8D624" w14:textId="77777777" w:rsidR="00541B4E" w:rsidRPr="00BC0D1F" w:rsidRDefault="00541B4E" w:rsidP="00541B4E">
            <w:pPr>
              <w:pStyle w:val="TableText"/>
              <w:jc w:val="right"/>
              <w:rPr>
                <w:b/>
              </w:rPr>
            </w:pPr>
            <w:r w:rsidRPr="00BC0D1F">
              <w:rPr>
                <w:b/>
              </w:rPr>
              <w:t>2,405</w:t>
            </w:r>
          </w:p>
        </w:tc>
        <w:tc>
          <w:tcPr>
            <w:tcW w:w="992" w:type="dxa"/>
            <w:tcBorders>
              <w:top w:val="nil"/>
              <w:bottom w:val="nil"/>
            </w:tcBorders>
            <w:shd w:val="clear" w:color="auto" w:fill="D9D9D9"/>
          </w:tcPr>
          <w:p w14:paraId="5CFBF8DF" w14:textId="77777777" w:rsidR="00541B4E" w:rsidRPr="00BC0D1F" w:rsidRDefault="00541B4E" w:rsidP="00541B4E">
            <w:pPr>
              <w:pStyle w:val="TableText"/>
              <w:jc w:val="right"/>
              <w:rPr>
                <w:b/>
              </w:rPr>
            </w:pPr>
            <w:r w:rsidRPr="00BC0D1F">
              <w:rPr>
                <w:b/>
              </w:rPr>
              <w:t>263</w:t>
            </w:r>
          </w:p>
        </w:tc>
        <w:tc>
          <w:tcPr>
            <w:tcW w:w="1134" w:type="dxa"/>
            <w:tcBorders>
              <w:top w:val="nil"/>
              <w:bottom w:val="nil"/>
            </w:tcBorders>
            <w:shd w:val="clear" w:color="auto" w:fill="D9D9D9"/>
          </w:tcPr>
          <w:p w14:paraId="49875C07" w14:textId="77777777" w:rsidR="00541B4E" w:rsidRPr="00BC0D1F" w:rsidRDefault="00541B4E" w:rsidP="00541B4E">
            <w:pPr>
              <w:pStyle w:val="TableText"/>
              <w:jc w:val="right"/>
              <w:rPr>
                <w:b/>
              </w:rPr>
            </w:pPr>
            <w:r w:rsidRPr="00BC0D1F">
              <w:rPr>
                <w:b/>
              </w:rPr>
              <w:t>20,070</w:t>
            </w:r>
          </w:p>
        </w:tc>
        <w:tc>
          <w:tcPr>
            <w:tcW w:w="851" w:type="dxa"/>
            <w:tcBorders>
              <w:top w:val="nil"/>
              <w:bottom w:val="nil"/>
            </w:tcBorders>
            <w:shd w:val="clear" w:color="auto" w:fill="D9D9D9"/>
          </w:tcPr>
          <w:p w14:paraId="68E24A4A" w14:textId="77777777" w:rsidR="00541B4E" w:rsidRPr="00BC0D1F" w:rsidRDefault="00541B4E" w:rsidP="00541B4E">
            <w:pPr>
              <w:pStyle w:val="TableText"/>
              <w:jc w:val="right"/>
              <w:rPr>
                <w:b/>
              </w:rPr>
            </w:pPr>
            <w:r w:rsidRPr="00BC0D1F">
              <w:rPr>
                <w:b/>
              </w:rPr>
              <w:t>29,765</w:t>
            </w:r>
          </w:p>
        </w:tc>
      </w:tr>
      <w:tr w:rsidR="00541B4E" w:rsidRPr="00BC0D1F" w14:paraId="4C3E4765" w14:textId="77777777" w:rsidTr="00541B4E">
        <w:trPr>
          <w:cantSplit/>
        </w:trPr>
        <w:tc>
          <w:tcPr>
            <w:tcW w:w="2835" w:type="dxa"/>
            <w:tcBorders>
              <w:top w:val="nil"/>
              <w:left w:val="nil"/>
              <w:bottom w:val="nil"/>
            </w:tcBorders>
            <w:shd w:val="solid" w:color="FFFFFF" w:fill="auto"/>
          </w:tcPr>
          <w:p w14:paraId="21C2E9A1" w14:textId="77777777" w:rsidR="00541B4E" w:rsidRPr="00BC0D1F" w:rsidRDefault="00541B4E" w:rsidP="00541B4E">
            <w:pPr>
              <w:pStyle w:val="TableText"/>
              <w:spacing w:before="240"/>
              <w:rPr>
                <w:b/>
              </w:rPr>
            </w:pPr>
            <w:r w:rsidRPr="00BC0D1F">
              <w:rPr>
                <w:b/>
              </w:rPr>
              <w:t>Carrying amounts (includes work in progress)</w:t>
            </w:r>
          </w:p>
        </w:tc>
        <w:tc>
          <w:tcPr>
            <w:tcW w:w="851" w:type="dxa"/>
            <w:tcBorders>
              <w:top w:val="nil"/>
              <w:bottom w:val="nil"/>
            </w:tcBorders>
            <w:shd w:val="clear" w:color="E3E3E3" w:fill="auto"/>
          </w:tcPr>
          <w:p w14:paraId="4D89919D" w14:textId="77777777" w:rsidR="00541B4E" w:rsidRPr="00BC0D1F" w:rsidRDefault="00541B4E" w:rsidP="00541B4E">
            <w:pPr>
              <w:pStyle w:val="TableText"/>
              <w:spacing w:before="240"/>
              <w:jc w:val="right"/>
              <w:rPr>
                <w:b/>
              </w:rPr>
            </w:pPr>
          </w:p>
        </w:tc>
        <w:tc>
          <w:tcPr>
            <w:tcW w:w="1417" w:type="dxa"/>
            <w:tcBorders>
              <w:top w:val="nil"/>
              <w:bottom w:val="nil"/>
            </w:tcBorders>
            <w:shd w:val="clear" w:color="E3E3E3" w:fill="auto"/>
          </w:tcPr>
          <w:p w14:paraId="31A422DB" w14:textId="77777777" w:rsidR="00541B4E" w:rsidRPr="00BC0D1F" w:rsidRDefault="00541B4E" w:rsidP="00541B4E">
            <w:pPr>
              <w:pStyle w:val="TableText"/>
              <w:spacing w:before="240"/>
              <w:jc w:val="right"/>
              <w:rPr>
                <w:b/>
              </w:rPr>
            </w:pPr>
          </w:p>
        </w:tc>
        <w:tc>
          <w:tcPr>
            <w:tcW w:w="1276" w:type="dxa"/>
            <w:tcBorders>
              <w:top w:val="nil"/>
              <w:bottom w:val="nil"/>
            </w:tcBorders>
            <w:shd w:val="clear" w:color="E3E3E3" w:fill="auto"/>
          </w:tcPr>
          <w:p w14:paraId="00D9F7D7" w14:textId="77777777" w:rsidR="00541B4E" w:rsidRPr="00BC0D1F" w:rsidRDefault="00541B4E" w:rsidP="00541B4E">
            <w:pPr>
              <w:pStyle w:val="TableText"/>
              <w:spacing w:before="240"/>
              <w:jc w:val="right"/>
              <w:rPr>
                <w:b/>
              </w:rPr>
            </w:pPr>
          </w:p>
        </w:tc>
        <w:tc>
          <w:tcPr>
            <w:tcW w:w="992" w:type="dxa"/>
            <w:tcBorders>
              <w:top w:val="nil"/>
              <w:bottom w:val="nil"/>
            </w:tcBorders>
          </w:tcPr>
          <w:p w14:paraId="4505A322" w14:textId="77777777" w:rsidR="00541B4E" w:rsidRPr="00BC0D1F" w:rsidRDefault="00541B4E" w:rsidP="00541B4E">
            <w:pPr>
              <w:pStyle w:val="TableText"/>
              <w:spacing w:before="240"/>
              <w:jc w:val="right"/>
              <w:rPr>
                <w:b/>
              </w:rPr>
            </w:pPr>
          </w:p>
        </w:tc>
        <w:tc>
          <w:tcPr>
            <w:tcW w:w="1134" w:type="dxa"/>
            <w:tcBorders>
              <w:top w:val="nil"/>
              <w:bottom w:val="nil"/>
            </w:tcBorders>
          </w:tcPr>
          <w:p w14:paraId="045039C1" w14:textId="77777777" w:rsidR="00541B4E" w:rsidRPr="00BC0D1F" w:rsidRDefault="00541B4E" w:rsidP="00541B4E">
            <w:pPr>
              <w:pStyle w:val="TableText"/>
              <w:spacing w:before="240"/>
              <w:jc w:val="right"/>
              <w:rPr>
                <w:b/>
              </w:rPr>
            </w:pPr>
          </w:p>
        </w:tc>
        <w:tc>
          <w:tcPr>
            <w:tcW w:w="851" w:type="dxa"/>
            <w:tcBorders>
              <w:top w:val="nil"/>
              <w:bottom w:val="nil"/>
            </w:tcBorders>
          </w:tcPr>
          <w:p w14:paraId="14C45D5C" w14:textId="77777777" w:rsidR="00541B4E" w:rsidRPr="00BC0D1F" w:rsidRDefault="00541B4E" w:rsidP="00541B4E">
            <w:pPr>
              <w:pStyle w:val="TableText"/>
              <w:spacing w:before="240"/>
              <w:jc w:val="right"/>
              <w:rPr>
                <w:b/>
              </w:rPr>
            </w:pPr>
          </w:p>
        </w:tc>
      </w:tr>
      <w:tr w:rsidR="00541B4E" w:rsidRPr="00BC0D1F" w14:paraId="7A66BE07" w14:textId="77777777" w:rsidTr="00541B4E">
        <w:trPr>
          <w:cantSplit/>
        </w:trPr>
        <w:tc>
          <w:tcPr>
            <w:tcW w:w="2835" w:type="dxa"/>
            <w:tcBorders>
              <w:top w:val="nil"/>
              <w:left w:val="nil"/>
              <w:bottom w:val="nil"/>
            </w:tcBorders>
            <w:shd w:val="solid" w:color="FFFFFF" w:fill="auto"/>
          </w:tcPr>
          <w:p w14:paraId="0C45D7A5" w14:textId="77777777" w:rsidR="00541B4E" w:rsidRPr="00BC0D1F" w:rsidRDefault="00541B4E" w:rsidP="00D543B3">
            <w:pPr>
              <w:pStyle w:val="TableText"/>
            </w:pPr>
            <w:r w:rsidRPr="00BC0D1F">
              <w:t>At 30 June 2014</w:t>
            </w:r>
          </w:p>
        </w:tc>
        <w:tc>
          <w:tcPr>
            <w:tcW w:w="851" w:type="dxa"/>
            <w:tcBorders>
              <w:top w:val="nil"/>
              <w:bottom w:val="nil"/>
            </w:tcBorders>
            <w:shd w:val="clear" w:color="E3E3E3" w:fill="auto"/>
          </w:tcPr>
          <w:p w14:paraId="6E6E8245" w14:textId="77777777" w:rsidR="00541B4E" w:rsidRPr="00BC0D1F" w:rsidRDefault="00541B4E" w:rsidP="00541B4E">
            <w:pPr>
              <w:pStyle w:val="TableText"/>
              <w:jc w:val="right"/>
            </w:pPr>
            <w:r w:rsidRPr="00BC0D1F">
              <w:t>5,300</w:t>
            </w:r>
          </w:p>
        </w:tc>
        <w:tc>
          <w:tcPr>
            <w:tcW w:w="1417" w:type="dxa"/>
            <w:tcBorders>
              <w:top w:val="nil"/>
              <w:bottom w:val="nil"/>
            </w:tcBorders>
            <w:shd w:val="clear" w:color="E3E3E3" w:fill="auto"/>
          </w:tcPr>
          <w:p w14:paraId="20888D26" w14:textId="77777777" w:rsidR="00541B4E" w:rsidRPr="00BC0D1F" w:rsidRDefault="00541B4E" w:rsidP="00541B4E">
            <w:pPr>
              <w:pStyle w:val="TableText"/>
              <w:jc w:val="right"/>
            </w:pPr>
            <w:r w:rsidRPr="00BC0D1F">
              <w:t>3,362</w:t>
            </w:r>
          </w:p>
        </w:tc>
        <w:tc>
          <w:tcPr>
            <w:tcW w:w="1276" w:type="dxa"/>
            <w:tcBorders>
              <w:top w:val="nil"/>
              <w:bottom w:val="nil"/>
            </w:tcBorders>
            <w:shd w:val="clear" w:color="E3E3E3" w:fill="auto"/>
          </w:tcPr>
          <w:p w14:paraId="319BBCDA" w14:textId="77777777" w:rsidR="00541B4E" w:rsidRPr="00BC0D1F" w:rsidRDefault="00541B4E" w:rsidP="00541B4E">
            <w:pPr>
              <w:pStyle w:val="TableText"/>
              <w:jc w:val="right"/>
            </w:pPr>
            <w:r w:rsidRPr="00BC0D1F">
              <w:t>1,828</w:t>
            </w:r>
          </w:p>
        </w:tc>
        <w:tc>
          <w:tcPr>
            <w:tcW w:w="992" w:type="dxa"/>
            <w:tcBorders>
              <w:top w:val="nil"/>
              <w:bottom w:val="nil"/>
            </w:tcBorders>
          </w:tcPr>
          <w:p w14:paraId="3EA8CD10" w14:textId="77777777" w:rsidR="00541B4E" w:rsidRPr="00BC0D1F" w:rsidRDefault="00541B4E" w:rsidP="00541B4E">
            <w:pPr>
              <w:pStyle w:val="TableText"/>
              <w:jc w:val="right"/>
            </w:pPr>
            <w:r w:rsidRPr="00BC0D1F">
              <w:t>162</w:t>
            </w:r>
          </w:p>
        </w:tc>
        <w:tc>
          <w:tcPr>
            <w:tcW w:w="1134" w:type="dxa"/>
            <w:tcBorders>
              <w:top w:val="nil"/>
              <w:bottom w:val="nil"/>
            </w:tcBorders>
          </w:tcPr>
          <w:p w14:paraId="6CCFBECB" w14:textId="77777777" w:rsidR="00541B4E" w:rsidRPr="00BC0D1F" w:rsidRDefault="00541B4E" w:rsidP="00541B4E">
            <w:pPr>
              <w:pStyle w:val="TableText"/>
              <w:jc w:val="right"/>
            </w:pPr>
            <w:r w:rsidRPr="00BC0D1F">
              <w:t>1,832</w:t>
            </w:r>
          </w:p>
        </w:tc>
        <w:tc>
          <w:tcPr>
            <w:tcW w:w="851" w:type="dxa"/>
            <w:tcBorders>
              <w:top w:val="nil"/>
              <w:bottom w:val="nil"/>
            </w:tcBorders>
          </w:tcPr>
          <w:p w14:paraId="78D765BB" w14:textId="77777777" w:rsidR="00541B4E" w:rsidRPr="00BC0D1F" w:rsidRDefault="00541B4E" w:rsidP="00541B4E">
            <w:pPr>
              <w:pStyle w:val="TableText"/>
              <w:jc w:val="right"/>
            </w:pPr>
            <w:r w:rsidRPr="00BC0D1F">
              <w:t>12,484</w:t>
            </w:r>
          </w:p>
        </w:tc>
      </w:tr>
      <w:tr w:rsidR="00541B4E" w:rsidRPr="00BC0D1F" w14:paraId="02DB7BEB" w14:textId="77777777" w:rsidTr="00541B4E">
        <w:trPr>
          <w:cantSplit/>
        </w:trPr>
        <w:tc>
          <w:tcPr>
            <w:tcW w:w="2835" w:type="dxa"/>
            <w:tcBorders>
              <w:top w:val="nil"/>
              <w:left w:val="nil"/>
              <w:bottom w:val="nil"/>
            </w:tcBorders>
            <w:shd w:val="solid" w:color="FFFFFF" w:fill="auto"/>
          </w:tcPr>
          <w:p w14:paraId="5294FF90" w14:textId="77777777" w:rsidR="00541B4E" w:rsidRPr="00BC0D1F" w:rsidRDefault="00541B4E" w:rsidP="00D543B3">
            <w:pPr>
              <w:pStyle w:val="TableText"/>
            </w:pPr>
            <w:r w:rsidRPr="00BC0D1F">
              <w:t>At 30 June 2015</w:t>
            </w:r>
          </w:p>
        </w:tc>
        <w:tc>
          <w:tcPr>
            <w:tcW w:w="851" w:type="dxa"/>
            <w:tcBorders>
              <w:top w:val="nil"/>
              <w:bottom w:val="nil"/>
            </w:tcBorders>
            <w:shd w:val="clear" w:color="E3E3E3" w:fill="auto"/>
          </w:tcPr>
          <w:p w14:paraId="391D1C3E" w14:textId="77777777" w:rsidR="00541B4E" w:rsidRPr="00BC0D1F" w:rsidRDefault="00541B4E" w:rsidP="00541B4E">
            <w:pPr>
              <w:pStyle w:val="TableText"/>
              <w:jc w:val="right"/>
            </w:pPr>
            <w:r w:rsidRPr="00BC0D1F">
              <w:t>4,800</w:t>
            </w:r>
          </w:p>
        </w:tc>
        <w:tc>
          <w:tcPr>
            <w:tcW w:w="1417" w:type="dxa"/>
            <w:tcBorders>
              <w:top w:val="nil"/>
              <w:bottom w:val="nil"/>
            </w:tcBorders>
            <w:shd w:val="clear" w:color="E3E3E3" w:fill="auto"/>
          </w:tcPr>
          <w:p w14:paraId="2CD143B3" w14:textId="77777777" w:rsidR="00541B4E" w:rsidRPr="00BC0D1F" w:rsidRDefault="00541B4E" w:rsidP="00541B4E">
            <w:pPr>
              <w:pStyle w:val="TableText"/>
              <w:jc w:val="right"/>
            </w:pPr>
            <w:r w:rsidRPr="00BC0D1F">
              <w:t>5,517</w:t>
            </w:r>
          </w:p>
        </w:tc>
        <w:tc>
          <w:tcPr>
            <w:tcW w:w="1276" w:type="dxa"/>
            <w:tcBorders>
              <w:top w:val="nil"/>
              <w:bottom w:val="nil"/>
            </w:tcBorders>
            <w:shd w:val="clear" w:color="E3E3E3" w:fill="auto"/>
          </w:tcPr>
          <w:p w14:paraId="731F074F" w14:textId="77777777" w:rsidR="00541B4E" w:rsidRPr="00BC0D1F" w:rsidRDefault="00541B4E" w:rsidP="00541B4E">
            <w:pPr>
              <w:pStyle w:val="TableText"/>
              <w:jc w:val="right"/>
            </w:pPr>
            <w:r w:rsidRPr="00BC0D1F">
              <w:t>2,902</w:t>
            </w:r>
          </w:p>
        </w:tc>
        <w:tc>
          <w:tcPr>
            <w:tcW w:w="992" w:type="dxa"/>
            <w:tcBorders>
              <w:top w:val="nil"/>
              <w:bottom w:val="nil"/>
            </w:tcBorders>
          </w:tcPr>
          <w:p w14:paraId="08686760" w14:textId="77777777" w:rsidR="00541B4E" w:rsidRPr="00BC0D1F" w:rsidRDefault="00541B4E" w:rsidP="00541B4E">
            <w:pPr>
              <w:pStyle w:val="TableText"/>
              <w:jc w:val="right"/>
            </w:pPr>
            <w:r w:rsidRPr="00BC0D1F">
              <w:t>134</w:t>
            </w:r>
          </w:p>
        </w:tc>
        <w:tc>
          <w:tcPr>
            <w:tcW w:w="1134" w:type="dxa"/>
            <w:tcBorders>
              <w:top w:val="nil"/>
              <w:bottom w:val="nil"/>
            </w:tcBorders>
          </w:tcPr>
          <w:p w14:paraId="28528327" w14:textId="77777777" w:rsidR="00541B4E" w:rsidRPr="00BC0D1F" w:rsidRDefault="00541B4E" w:rsidP="00541B4E">
            <w:pPr>
              <w:pStyle w:val="TableText"/>
              <w:jc w:val="right"/>
            </w:pPr>
            <w:r w:rsidRPr="00BC0D1F">
              <w:t>1,155</w:t>
            </w:r>
          </w:p>
        </w:tc>
        <w:tc>
          <w:tcPr>
            <w:tcW w:w="851" w:type="dxa"/>
            <w:tcBorders>
              <w:top w:val="nil"/>
              <w:bottom w:val="nil"/>
            </w:tcBorders>
          </w:tcPr>
          <w:p w14:paraId="007E2844" w14:textId="77777777" w:rsidR="00541B4E" w:rsidRPr="00BC0D1F" w:rsidRDefault="00541B4E" w:rsidP="00541B4E">
            <w:pPr>
              <w:pStyle w:val="TableText"/>
              <w:jc w:val="right"/>
            </w:pPr>
            <w:r w:rsidRPr="00BC0D1F">
              <w:t>14,508</w:t>
            </w:r>
          </w:p>
        </w:tc>
      </w:tr>
      <w:tr w:rsidR="00541B4E" w:rsidRPr="00BC0D1F" w14:paraId="26053BC9" w14:textId="77777777" w:rsidTr="00541B4E">
        <w:trPr>
          <w:cantSplit/>
        </w:trPr>
        <w:tc>
          <w:tcPr>
            <w:tcW w:w="2835" w:type="dxa"/>
            <w:tcBorders>
              <w:top w:val="nil"/>
              <w:left w:val="nil"/>
              <w:bottom w:val="nil"/>
            </w:tcBorders>
            <w:shd w:val="solid" w:color="FFFFFF" w:fill="auto"/>
          </w:tcPr>
          <w:p w14:paraId="392D973A" w14:textId="77777777" w:rsidR="00541B4E" w:rsidRPr="00BC0D1F" w:rsidRDefault="00541B4E" w:rsidP="00D543B3">
            <w:pPr>
              <w:pStyle w:val="TableText"/>
              <w:rPr>
                <w:b/>
              </w:rPr>
            </w:pPr>
            <w:r w:rsidRPr="00BC0D1F">
              <w:rPr>
                <w:b/>
              </w:rPr>
              <w:t>At 30 June 2016</w:t>
            </w:r>
          </w:p>
        </w:tc>
        <w:tc>
          <w:tcPr>
            <w:tcW w:w="851" w:type="dxa"/>
            <w:tcBorders>
              <w:top w:val="nil"/>
              <w:bottom w:val="nil"/>
            </w:tcBorders>
            <w:shd w:val="clear" w:color="auto" w:fill="D9D9D9"/>
          </w:tcPr>
          <w:p w14:paraId="250F5B88" w14:textId="77777777" w:rsidR="00541B4E" w:rsidRPr="00BC0D1F" w:rsidRDefault="00541B4E" w:rsidP="00541B4E">
            <w:pPr>
              <w:pStyle w:val="TableText"/>
              <w:jc w:val="right"/>
              <w:rPr>
                <w:b/>
              </w:rPr>
            </w:pPr>
            <w:r w:rsidRPr="00BC0D1F">
              <w:rPr>
                <w:b/>
              </w:rPr>
              <w:t>5,350</w:t>
            </w:r>
          </w:p>
        </w:tc>
        <w:tc>
          <w:tcPr>
            <w:tcW w:w="1417" w:type="dxa"/>
            <w:tcBorders>
              <w:top w:val="nil"/>
              <w:bottom w:val="nil"/>
            </w:tcBorders>
            <w:shd w:val="clear" w:color="auto" w:fill="D9D9D9"/>
          </w:tcPr>
          <w:p w14:paraId="59373843" w14:textId="77777777" w:rsidR="00541B4E" w:rsidRPr="00BC0D1F" w:rsidRDefault="00541B4E" w:rsidP="00541B4E">
            <w:pPr>
              <w:pStyle w:val="TableText"/>
              <w:jc w:val="right"/>
              <w:rPr>
                <w:b/>
              </w:rPr>
            </w:pPr>
            <w:r w:rsidRPr="00BC0D1F">
              <w:rPr>
                <w:b/>
              </w:rPr>
              <w:t>8,311</w:t>
            </w:r>
          </w:p>
        </w:tc>
        <w:tc>
          <w:tcPr>
            <w:tcW w:w="1276" w:type="dxa"/>
            <w:tcBorders>
              <w:top w:val="nil"/>
              <w:bottom w:val="nil"/>
            </w:tcBorders>
            <w:shd w:val="clear" w:color="auto" w:fill="D9D9D9"/>
          </w:tcPr>
          <w:p w14:paraId="36764399" w14:textId="77777777" w:rsidR="00541B4E" w:rsidRPr="00BC0D1F" w:rsidRDefault="00541B4E" w:rsidP="00541B4E">
            <w:pPr>
              <w:pStyle w:val="TableText"/>
              <w:jc w:val="right"/>
              <w:rPr>
                <w:b/>
              </w:rPr>
            </w:pPr>
            <w:r w:rsidRPr="00BC0D1F">
              <w:rPr>
                <w:b/>
              </w:rPr>
              <w:t>784</w:t>
            </w:r>
          </w:p>
        </w:tc>
        <w:tc>
          <w:tcPr>
            <w:tcW w:w="992" w:type="dxa"/>
            <w:tcBorders>
              <w:top w:val="nil"/>
              <w:bottom w:val="nil"/>
            </w:tcBorders>
            <w:shd w:val="clear" w:color="auto" w:fill="D9D9D9"/>
          </w:tcPr>
          <w:p w14:paraId="720C1594" w14:textId="77777777" w:rsidR="00541B4E" w:rsidRPr="00BC0D1F" w:rsidRDefault="00541B4E" w:rsidP="00541B4E">
            <w:pPr>
              <w:pStyle w:val="TableText"/>
              <w:jc w:val="right"/>
              <w:rPr>
                <w:b/>
              </w:rPr>
            </w:pPr>
            <w:r w:rsidRPr="00BC0D1F">
              <w:rPr>
                <w:b/>
              </w:rPr>
              <w:t>110</w:t>
            </w:r>
          </w:p>
        </w:tc>
        <w:tc>
          <w:tcPr>
            <w:tcW w:w="1134" w:type="dxa"/>
            <w:tcBorders>
              <w:top w:val="nil"/>
              <w:bottom w:val="nil"/>
            </w:tcBorders>
            <w:shd w:val="clear" w:color="auto" w:fill="D9D9D9"/>
          </w:tcPr>
          <w:p w14:paraId="54A4B62A" w14:textId="77777777" w:rsidR="00541B4E" w:rsidRPr="00BC0D1F" w:rsidRDefault="00541B4E" w:rsidP="00541B4E">
            <w:pPr>
              <w:pStyle w:val="TableText"/>
              <w:jc w:val="right"/>
              <w:rPr>
                <w:b/>
              </w:rPr>
            </w:pPr>
            <w:r w:rsidRPr="00BC0D1F">
              <w:rPr>
                <w:b/>
              </w:rPr>
              <w:t>331</w:t>
            </w:r>
          </w:p>
        </w:tc>
        <w:tc>
          <w:tcPr>
            <w:tcW w:w="851" w:type="dxa"/>
            <w:tcBorders>
              <w:top w:val="nil"/>
              <w:bottom w:val="nil"/>
            </w:tcBorders>
            <w:shd w:val="clear" w:color="auto" w:fill="D9D9D9"/>
          </w:tcPr>
          <w:p w14:paraId="4DED5C92" w14:textId="77777777" w:rsidR="00541B4E" w:rsidRPr="00BC0D1F" w:rsidRDefault="00541B4E" w:rsidP="00541B4E">
            <w:pPr>
              <w:pStyle w:val="TableText"/>
              <w:jc w:val="right"/>
              <w:rPr>
                <w:b/>
              </w:rPr>
            </w:pPr>
            <w:r w:rsidRPr="00BC0D1F">
              <w:rPr>
                <w:b/>
              </w:rPr>
              <w:t>14,886</w:t>
            </w:r>
          </w:p>
        </w:tc>
      </w:tr>
      <w:tr w:rsidR="00541B4E" w:rsidRPr="00BC0D1F" w14:paraId="008D8187" w14:textId="77777777" w:rsidTr="00541B4E">
        <w:trPr>
          <w:cantSplit/>
        </w:trPr>
        <w:tc>
          <w:tcPr>
            <w:tcW w:w="2835" w:type="dxa"/>
            <w:tcBorders>
              <w:top w:val="nil"/>
              <w:left w:val="nil"/>
              <w:bottom w:val="nil"/>
            </w:tcBorders>
            <w:shd w:val="solid" w:color="FFFFFF" w:fill="auto"/>
          </w:tcPr>
          <w:p w14:paraId="31D35354" w14:textId="77777777" w:rsidR="00541B4E" w:rsidRPr="00BC0D1F" w:rsidRDefault="00541B4E" w:rsidP="00541B4E">
            <w:pPr>
              <w:pStyle w:val="TableText"/>
              <w:spacing w:before="240"/>
              <w:rPr>
                <w:b/>
              </w:rPr>
            </w:pPr>
            <w:r w:rsidRPr="00BC0D1F">
              <w:rPr>
                <w:b/>
              </w:rPr>
              <w:t>Work in progress</w:t>
            </w:r>
          </w:p>
        </w:tc>
        <w:tc>
          <w:tcPr>
            <w:tcW w:w="851" w:type="dxa"/>
            <w:tcBorders>
              <w:top w:val="nil"/>
              <w:bottom w:val="nil"/>
            </w:tcBorders>
            <w:shd w:val="clear" w:color="E3E3E3" w:fill="auto"/>
          </w:tcPr>
          <w:p w14:paraId="13309808" w14:textId="77777777" w:rsidR="00541B4E" w:rsidRPr="00BC0D1F" w:rsidRDefault="00541B4E" w:rsidP="00541B4E">
            <w:pPr>
              <w:pStyle w:val="TableText"/>
              <w:spacing w:before="240"/>
              <w:jc w:val="right"/>
              <w:rPr>
                <w:b/>
              </w:rPr>
            </w:pPr>
          </w:p>
        </w:tc>
        <w:tc>
          <w:tcPr>
            <w:tcW w:w="1417" w:type="dxa"/>
            <w:tcBorders>
              <w:top w:val="nil"/>
              <w:bottom w:val="nil"/>
            </w:tcBorders>
            <w:shd w:val="clear" w:color="E3E3E3" w:fill="auto"/>
          </w:tcPr>
          <w:p w14:paraId="4A452E91" w14:textId="77777777" w:rsidR="00541B4E" w:rsidRPr="00BC0D1F" w:rsidRDefault="00541B4E" w:rsidP="00541B4E">
            <w:pPr>
              <w:pStyle w:val="TableText"/>
              <w:spacing w:before="240"/>
              <w:jc w:val="right"/>
              <w:rPr>
                <w:b/>
              </w:rPr>
            </w:pPr>
          </w:p>
        </w:tc>
        <w:tc>
          <w:tcPr>
            <w:tcW w:w="1276" w:type="dxa"/>
            <w:tcBorders>
              <w:top w:val="nil"/>
              <w:bottom w:val="nil"/>
            </w:tcBorders>
            <w:shd w:val="clear" w:color="E3E3E3" w:fill="auto"/>
          </w:tcPr>
          <w:p w14:paraId="5B184B56" w14:textId="77777777" w:rsidR="00541B4E" w:rsidRPr="00BC0D1F" w:rsidRDefault="00541B4E" w:rsidP="00541B4E">
            <w:pPr>
              <w:pStyle w:val="TableText"/>
              <w:spacing w:before="240"/>
              <w:jc w:val="right"/>
              <w:rPr>
                <w:b/>
              </w:rPr>
            </w:pPr>
          </w:p>
        </w:tc>
        <w:tc>
          <w:tcPr>
            <w:tcW w:w="992" w:type="dxa"/>
            <w:tcBorders>
              <w:top w:val="nil"/>
              <w:bottom w:val="nil"/>
            </w:tcBorders>
          </w:tcPr>
          <w:p w14:paraId="4E0F1A34" w14:textId="77777777" w:rsidR="00541B4E" w:rsidRPr="00BC0D1F" w:rsidRDefault="00541B4E" w:rsidP="00541B4E">
            <w:pPr>
              <w:pStyle w:val="TableText"/>
              <w:spacing w:before="240"/>
              <w:jc w:val="right"/>
              <w:rPr>
                <w:b/>
              </w:rPr>
            </w:pPr>
          </w:p>
        </w:tc>
        <w:tc>
          <w:tcPr>
            <w:tcW w:w="1134" w:type="dxa"/>
            <w:tcBorders>
              <w:top w:val="nil"/>
              <w:bottom w:val="nil"/>
            </w:tcBorders>
          </w:tcPr>
          <w:p w14:paraId="346D0F50" w14:textId="77777777" w:rsidR="00541B4E" w:rsidRPr="00BC0D1F" w:rsidRDefault="00541B4E" w:rsidP="00541B4E">
            <w:pPr>
              <w:pStyle w:val="TableText"/>
              <w:spacing w:before="240"/>
              <w:jc w:val="right"/>
              <w:rPr>
                <w:b/>
              </w:rPr>
            </w:pPr>
          </w:p>
        </w:tc>
        <w:tc>
          <w:tcPr>
            <w:tcW w:w="851" w:type="dxa"/>
            <w:tcBorders>
              <w:top w:val="nil"/>
              <w:bottom w:val="nil"/>
            </w:tcBorders>
          </w:tcPr>
          <w:p w14:paraId="56F14268" w14:textId="77777777" w:rsidR="00541B4E" w:rsidRPr="00BC0D1F" w:rsidRDefault="00541B4E" w:rsidP="00541B4E">
            <w:pPr>
              <w:pStyle w:val="TableText"/>
              <w:spacing w:before="240"/>
              <w:jc w:val="right"/>
              <w:rPr>
                <w:b/>
              </w:rPr>
            </w:pPr>
          </w:p>
        </w:tc>
      </w:tr>
      <w:tr w:rsidR="00541B4E" w:rsidRPr="00BC0D1F" w14:paraId="358C16CF" w14:textId="77777777" w:rsidTr="00541B4E">
        <w:trPr>
          <w:cantSplit/>
        </w:trPr>
        <w:tc>
          <w:tcPr>
            <w:tcW w:w="2835" w:type="dxa"/>
            <w:tcBorders>
              <w:top w:val="nil"/>
              <w:left w:val="nil"/>
              <w:bottom w:val="nil"/>
            </w:tcBorders>
            <w:shd w:val="solid" w:color="FFFFFF" w:fill="auto"/>
          </w:tcPr>
          <w:p w14:paraId="4FAEC12E" w14:textId="77777777" w:rsidR="00541B4E" w:rsidRPr="00BC0D1F" w:rsidRDefault="00541B4E" w:rsidP="00D543B3">
            <w:pPr>
              <w:pStyle w:val="TableText"/>
            </w:pPr>
            <w:r w:rsidRPr="00BC0D1F">
              <w:t>At 30 June 2014</w:t>
            </w:r>
          </w:p>
        </w:tc>
        <w:tc>
          <w:tcPr>
            <w:tcW w:w="851" w:type="dxa"/>
            <w:tcBorders>
              <w:top w:val="nil"/>
              <w:bottom w:val="nil"/>
            </w:tcBorders>
            <w:shd w:val="clear" w:color="E3E3E3" w:fill="auto"/>
          </w:tcPr>
          <w:p w14:paraId="7E35D0D5"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71997FD9" w14:textId="77777777" w:rsidR="00541B4E" w:rsidRPr="00BC0D1F" w:rsidRDefault="00541B4E" w:rsidP="00541B4E">
            <w:pPr>
              <w:pStyle w:val="TableText"/>
              <w:jc w:val="right"/>
            </w:pPr>
            <w:r w:rsidRPr="00BC0D1F">
              <w:t>–</w:t>
            </w:r>
          </w:p>
        </w:tc>
        <w:tc>
          <w:tcPr>
            <w:tcW w:w="1276" w:type="dxa"/>
            <w:tcBorders>
              <w:top w:val="nil"/>
              <w:bottom w:val="nil"/>
            </w:tcBorders>
            <w:shd w:val="clear" w:color="E3E3E3" w:fill="auto"/>
          </w:tcPr>
          <w:p w14:paraId="28CAAD6E" w14:textId="77777777" w:rsidR="00541B4E" w:rsidRPr="00BC0D1F" w:rsidRDefault="00541B4E" w:rsidP="00541B4E">
            <w:pPr>
              <w:pStyle w:val="TableText"/>
              <w:jc w:val="right"/>
            </w:pPr>
            <w:r w:rsidRPr="00BC0D1F">
              <w:t>16</w:t>
            </w:r>
          </w:p>
        </w:tc>
        <w:tc>
          <w:tcPr>
            <w:tcW w:w="992" w:type="dxa"/>
            <w:tcBorders>
              <w:top w:val="nil"/>
              <w:bottom w:val="nil"/>
            </w:tcBorders>
          </w:tcPr>
          <w:p w14:paraId="026C29B5" w14:textId="77777777" w:rsidR="00541B4E" w:rsidRPr="00BC0D1F" w:rsidRDefault="00541B4E" w:rsidP="00541B4E">
            <w:pPr>
              <w:pStyle w:val="TableText"/>
              <w:jc w:val="right"/>
            </w:pPr>
            <w:r w:rsidRPr="00BC0D1F">
              <w:t>–</w:t>
            </w:r>
          </w:p>
        </w:tc>
        <w:tc>
          <w:tcPr>
            <w:tcW w:w="1134" w:type="dxa"/>
            <w:tcBorders>
              <w:top w:val="nil"/>
              <w:bottom w:val="nil"/>
            </w:tcBorders>
          </w:tcPr>
          <w:p w14:paraId="0A88C8F1" w14:textId="77777777" w:rsidR="00541B4E" w:rsidRPr="00BC0D1F" w:rsidRDefault="00541B4E" w:rsidP="00541B4E">
            <w:pPr>
              <w:pStyle w:val="TableText"/>
              <w:jc w:val="right"/>
            </w:pPr>
            <w:r w:rsidRPr="00BC0D1F">
              <w:t>6</w:t>
            </w:r>
          </w:p>
        </w:tc>
        <w:tc>
          <w:tcPr>
            <w:tcW w:w="851" w:type="dxa"/>
            <w:tcBorders>
              <w:top w:val="nil"/>
              <w:bottom w:val="nil"/>
            </w:tcBorders>
          </w:tcPr>
          <w:p w14:paraId="3C918445" w14:textId="77777777" w:rsidR="00541B4E" w:rsidRPr="00BC0D1F" w:rsidRDefault="00541B4E" w:rsidP="00541B4E">
            <w:pPr>
              <w:pStyle w:val="TableText"/>
              <w:jc w:val="right"/>
            </w:pPr>
            <w:r w:rsidRPr="00BC0D1F">
              <w:t>22</w:t>
            </w:r>
          </w:p>
        </w:tc>
      </w:tr>
      <w:tr w:rsidR="00541B4E" w:rsidRPr="00BC0D1F" w14:paraId="538F7AC4" w14:textId="77777777" w:rsidTr="00541B4E">
        <w:trPr>
          <w:cantSplit/>
        </w:trPr>
        <w:tc>
          <w:tcPr>
            <w:tcW w:w="2835" w:type="dxa"/>
            <w:tcBorders>
              <w:top w:val="nil"/>
              <w:left w:val="nil"/>
              <w:bottom w:val="nil"/>
            </w:tcBorders>
            <w:shd w:val="solid" w:color="FFFFFF" w:fill="auto"/>
          </w:tcPr>
          <w:p w14:paraId="5A53E641" w14:textId="77777777" w:rsidR="00541B4E" w:rsidRPr="00BC0D1F" w:rsidRDefault="00541B4E" w:rsidP="00D543B3">
            <w:pPr>
              <w:pStyle w:val="TableText"/>
            </w:pPr>
            <w:r w:rsidRPr="00BC0D1F">
              <w:t>At 30 June 2015</w:t>
            </w:r>
          </w:p>
        </w:tc>
        <w:tc>
          <w:tcPr>
            <w:tcW w:w="851" w:type="dxa"/>
            <w:tcBorders>
              <w:top w:val="nil"/>
              <w:bottom w:val="nil"/>
            </w:tcBorders>
            <w:shd w:val="clear" w:color="E3E3E3" w:fill="auto"/>
          </w:tcPr>
          <w:p w14:paraId="5FB52A65" w14:textId="77777777" w:rsidR="00541B4E" w:rsidRPr="00BC0D1F" w:rsidRDefault="00541B4E" w:rsidP="00541B4E">
            <w:pPr>
              <w:pStyle w:val="TableText"/>
              <w:jc w:val="right"/>
            </w:pPr>
            <w:r w:rsidRPr="00BC0D1F">
              <w:t>–</w:t>
            </w:r>
          </w:p>
        </w:tc>
        <w:tc>
          <w:tcPr>
            <w:tcW w:w="1417" w:type="dxa"/>
            <w:tcBorders>
              <w:top w:val="nil"/>
              <w:bottom w:val="nil"/>
            </w:tcBorders>
            <w:shd w:val="clear" w:color="E3E3E3" w:fill="auto"/>
          </w:tcPr>
          <w:p w14:paraId="44285C47" w14:textId="77777777" w:rsidR="00541B4E" w:rsidRPr="00BC0D1F" w:rsidRDefault="00541B4E" w:rsidP="00541B4E">
            <w:pPr>
              <w:pStyle w:val="TableText"/>
              <w:jc w:val="right"/>
            </w:pPr>
            <w:r w:rsidRPr="00BC0D1F">
              <w:t>1,029</w:t>
            </w:r>
          </w:p>
        </w:tc>
        <w:tc>
          <w:tcPr>
            <w:tcW w:w="1276" w:type="dxa"/>
            <w:tcBorders>
              <w:top w:val="nil"/>
              <w:bottom w:val="nil"/>
            </w:tcBorders>
            <w:shd w:val="clear" w:color="E3E3E3" w:fill="auto"/>
          </w:tcPr>
          <w:p w14:paraId="5B68E5BC" w14:textId="77777777" w:rsidR="00541B4E" w:rsidRPr="00BC0D1F" w:rsidRDefault="00541B4E" w:rsidP="00541B4E">
            <w:pPr>
              <w:pStyle w:val="TableText"/>
              <w:jc w:val="right"/>
            </w:pPr>
            <w:r w:rsidRPr="00BC0D1F">
              <w:t>89</w:t>
            </w:r>
          </w:p>
        </w:tc>
        <w:tc>
          <w:tcPr>
            <w:tcW w:w="992" w:type="dxa"/>
            <w:tcBorders>
              <w:top w:val="nil"/>
              <w:bottom w:val="nil"/>
            </w:tcBorders>
          </w:tcPr>
          <w:p w14:paraId="6242443F" w14:textId="77777777" w:rsidR="00541B4E" w:rsidRPr="00BC0D1F" w:rsidRDefault="00541B4E" w:rsidP="00541B4E">
            <w:pPr>
              <w:pStyle w:val="TableText"/>
              <w:jc w:val="right"/>
            </w:pPr>
            <w:r w:rsidRPr="00BC0D1F">
              <w:t>–</w:t>
            </w:r>
          </w:p>
        </w:tc>
        <w:tc>
          <w:tcPr>
            <w:tcW w:w="1134" w:type="dxa"/>
            <w:tcBorders>
              <w:top w:val="nil"/>
              <w:bottom w:val="nil"/>
            </w:tcBorders>
          </w:tcPr>
          <w:p w14:paraId="234114C2" w14:textId="77777777" w:rsidR="00541B4E" w:rsidRPr="00BC0D1F" w:rsidRDefault="00541B4E" w:rsidP="00541B4E">
            <w:pPr>
              <w:pStyle w:val="TableText"/>
              <w:jc w:val="right"/>
            </w:pPr>
            <w:r w:rsidRPr="00BC0D1F">
              <w:t>64</w:t>
            </w:r>
          </w:p>
        </w:tc>
        <w:tc>
          <w:tcPr>
            <w:tcW w:w="851" w:type="dxa"/>
            <w:tcBorders>
              <w:top w:val="nil"/>
              <w:bottom w:val="nil"/>
            </w:tcBorders>
          </w:tcPr>
          <w:p w14:paraId="12C61139" w14:textId="77777777" w:rsidR="00541B4E" w:rsidRPr="00BC0D1F" w:rsidRDefault="00541B4E" w:rsidP="00541B4E">
            <w:pPr>
              <w:pStyle w:val="TableText"/>
              <w:jc w:val="right"/>
            </w:pPr>
            <w:r w:rsidRPr="00BC0D1F">
              <w:t>1,182</w:t>
            </w:r>
          </w:p>
        </w:tc>
      </w:tr>
      <w:tr w:rsidR="00541B4E" w:rsidRPr="00BC0D1F" w14:paraId="3D7E8AEF" w14:textId="77777777" w:rsidTr="00541B4E">
        <w:trPr>
          <w:cantSplit/>
        </w:trPr>
        <w:tc>
          <w:tcPr>
            <w:tcW w:w="2835" w:type="dxa"/>
            <w:tcBorders>
              <w:top w:val="nil"/>
              <w:left w:val="nil"/>
              <w:bottom w:val="single" w:sz="4" w:space="0" w:color="auto"/>
            </w:tcBorders>
            <w:shd w:val="solid" w:color="FFFFFF" w:fill="auto"/>
          </w:tcPr>
          <w:p w14:paraId="4265A0D9" w14:textId="77777777" w:rsidR="00541B4E" w:rsidRPr="00BC0D1F" w:rsidRDefault="00541B4E" w:rsidP="00D543B3">
            <w:pPr>
              <w:pStyle w:val="TableText"/>
              <w:rPr>
                <w:b/>
              </w:rPr>
            </w:pPr>
            <w:r w:rsidRPr="00BC0D1F">
              <w:rPr>
                <w:b/>
              </w:rPr>
              <w:t>At 30 June 2016</w:t>
            </w:r>
          </w:p>
        </w:tc>
        <w:tc>
          <w:tcPr>
            <w:tcW w:w="851" w:type="dxa"/>
            <w:tcBorders>
              <w:top w:val="nil"/>
              <w:bottom w:val="single" w:sz="4" w:space="0" w:color="auto"/>
            </w:tcBorders>
            <w:shd w:val="clear" w:color="auto" w:fill="D9D9D9"/>
          </w:tcPr>
          <w:p w14:paraId="4FD87109" w14:textId="77777777" w:rsidR="00541B4E" w:rsidRPr="00BC0D1F" w:rsidRDefault="00541B4E" w:rsidP="00541B4E">
            <w:pPr>
              <w:pStyle w:val="TableText"/>
              <w:jc w:val="right"/>
              <w:rPr>
                <w:b/>
              </w:rPr>
            </w:pPr>
            <w:r w:rsidRPr="00BC0D1F">
              <w:rPr>
                <w:b/>
              </w:rPr>
              <w:t>–</w:t>
            </w:r>
          </w:p>
        </w:tc>
        <w:tc>
          <w:tcPr>
            <w:tcW w:w="1417" w:type="dxa"/>
            <w:tcBorders>
              <w:top w:val="nil"/>
              <w:bottom w:val="single" w:sz="4" w:space="0" w:color="auto"/>
            </w:tcBorders>
            <w:shd w:val="clear" w:color="auto" w:fill="D9D9D9"/>
          </w:tcPr>
          <w:p w14:paraId="3D7535B2" w14:textId="77777777" w:rsidR="00541B4E" w:rsidRPr="00BC0D1F" w:rsidRDefault="00541B4E" w:rsidP="00541B4E">
            <w:pPr>
              <w:pStyle w:val="TableText"/>
              <w:jc w:val="right"/>
              <w:rPr>
                <w:b/>
              </w:rPr>
            </w:pPr>
            <w:r w:rsidRPr="00BC0D1F">
              <w:rPr>
                <w:b/>
              </w:rPr>
              <w:t>6,148</w:t>
            </w:r>
          </w:p>
        </w:tc>
        <w:tc>
          <w:tcPr>
            <w:tcW w:w="1276" w:type="dxa"/>
            <w:tcBorders>
              <w:top w:val="nil"/>
              <w:bottom w:val="single" w:sz="4" w:space="0" w:color="auto"/>
            </w:tcBorders>
            <w:shd w:val="clear" w:color="auto" w:fill="D9D9D9"/>
          </w:tcPr>
          <w:p w14:paraId="5499B5D2" w14:textId="77777777" w:rsidR="00541B4E" w:rsidRPr="00BC0D1F" w:rsidRDefault="00541B4E" w:rsidP="00541B4E">
            <w:pPr>
              <w:pStyle w:val="TableText"/>
              <w:jc w:val="right"/>
              <w:rPr>
                <w:b/>
              </w:rPr>
            </w:pPr>
            <w:r w:rsidRPr="00BC0D1F">
              <w:rPr>
                <w:b/>
              </w:rPr>
              <w:t>11</w:t>
            </w:r>
          </w:p>
        </w:tc>
        <w:tc>
          <w:tcPr>
            <w:tcW w:w="992" w:type="dxa"/>
            <w:tcBorders>
              <w:top w:val="nil"/>
              <w:bottom w:val="single" w:sz="4" w:space="0" w:color="auto"/>
            </w:tcBorders>
            <w:shd w:val="clear" w:color="auto" w:fill="D9D9D9"/>
          </w:tcPr>
          <w:p w14:paraId="27E1100F" w14:textId="77777777" w:rsidR="00541B4E" w:rsidRPr="00BC0D1F" w:rsidRDefault="00541B4E" w:rsidP="00541B4E">
            <w:pPr>
              <w:pStyle w:val="TableText"/>
              <w:jc w:val="right"/>
              <w:rPr>
                <w:b/>
              </w:rPr>
            </w:pPr>
            <w:r w:rsidRPr="00BC0D1F">
              <w:rPr>
                <w:b/>
              </w:rPr>
              <w:t>–</w:t>
            </w:r>
          </w:p>
        </w:tc>
        <w:tc>
          <w:tcPr>
            <w:tcW w:w="1134" w:type="dxa"/>
            <w:tcBorders>
              <w:top w:val="nil"/>
              <w:bottom w:val="single" w:sz="4" w:space="0" w:color="auto"/>
            </w:tcBorders>
            <w:shd w:val="clear" w:color="auto" w:fill="D9D9D9"/>
          </w:tcPr>
          <w:p w14:paraId="0031CFF7" w14:textId="77777777" w:rsidR="00541B4E" w:rsidRPr="00BC0D1F" w:rsidRDefault="00541B4E" w:rsidP="00541B4E">
            <w:pPr>
              <w:pStyle w:val="TableText"/>
              <w:jc w:val="right"/>
              <w:rPr>
                <w:b/>
              </w:rPr>
            </w:pPr>
            <w:r w:rsidRPr="00BC0D1F">
              <w:rPr>
                <w:b/>
              </w:rPr>
              <w:t>6</w:t>
            </w:r>
          </w:p>
        </w:tc>
        <w:tc>
          <w:tcPr>
            <w:tcW w:w="851" w:type="dxa"/>
            <w:tcBorders>
              <w:top w:val="nil"/>
              <w:bottom w:val="single" w:sz="4" w:space="0" w:color="auto"/>
            </w:tcBorders>
            <w:shd w:val="clear" w:color="auto" w:fill="D9D9D9"/>
          </w:tcPr>
          <w:p w14:paraId="1203F945" w14:textId="77777777" w:rsidR="00541B4E" w:rsidRPr="00BC0D1F" w:rsidRDefault="00541B4E" w:rsidP="00541B4E">
            <w:pPr>
              <w:pStyle w:val="TableText"/>
              <w:jc w:val="right"/>
              <w:rPr>
                <w:b/>
              </w:rPr>
            </w:pPr>
            <w:r w:rsidRPr="00BC0D1F">
              <w:rPr>
                <w:b/>
              </w:rPr>
              <w:t>6,165</w:t>
            </w:r>
          </w:p>
        </w:tc>
      </w:tr>
    </w:tbl>
    <w:p w14:paraId="3AA4C3E1" w14:textId="77777777" w:rsidR="006A557B" w:rsidRPr="00BC0D1F" w:rsidRDefault="006A557B" w:rsidP="00541B4E"/>
    <w:p w14:paraId="5DFB5E9C" w14:textId="1CCD00C9" w:rsidR="006A557B" w:rsidRPr="00BC0D1F" w:rsidRDefault="006A557B" w:rsidP="00541B4E">
      <w:r w:rsidRPr="00BC0D1F">
        <w:t>The land at 108 Victoria Street</w:t>
      </w:r>
      <w:r w:rsidR="00541B4E" w:rsidRPr="00BC0D1F">
        <w:t>,</w:t>
      </w:r>
      <w:r w:rsidRPr="00BC0D1F">
        <w:t xml:space="preserve"> Christchurch was valued by Knight Frank, an independent </w:t>
      </w:r>
      <w:proofErr w:type="spellStart"/>
      <w:r w:rsidRPr="00BC0D1F">
        <w:t>valuer</w:t>
      </w:r>
      <w:proofErr w:type="spellEnd"/>
      <w:r w:rsidRPr="00BC0D1F">
        <w:t>. The effective date of the evaluation is 30 June 2016. There has been an increase of $550k to the value of this land.</w:t>
      </w:r>
    </w:p>
    <w:p w14:paraId="0F6978A4" w14:textId="77777777" w:rsidR="00541B4E" w:rsidRPr="00BC0D1F" w:rsidRDefault="00541B4E" w:rsidP="00541B4E"/>
    <w:p w14:paraId="5C45E99E" w14:textId="77777777" w:rsidR="006A557B" w:rsidRPr="00BC0D1F" w:rsidRDefault="006A557B" w:rsidP="00541B4E">
      <w:r w:rsidRPr="00BC0D1F">
        <w:lastRenderedPageBreak/>
        <w:t>There are no restrictions over the title of the Ministry’s PPE.</w:t>
      </w:r>
    </w:p>
    <w:p w14:paraId="01203B87" w14:textId="77777777" w:rsidR="006A557B" w:rsidRPr="00BC0D1F" w:rsidRDefault="006A557B" w:rsidP="00716D48"/>
    <w:p w14:paraId="4C985773" w14:textId="77777777" w:rsidR="006A557B" w:rsidRPr="00BC0D1F" w:rsidRDefault="006A557B" w:rsidP="00541B4E">
      <w:pPr>
        <w:pStyle w:val="Heading3"/>
      </w:pPr>
      <w:r w:rsidRPr="00BC0D1F">
        <w:t>Note 7: Intangible assets</w:t>
      </w:r>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5245"/>
        <w:gridCol w:w="1370"/>
        <w:gridCol w:w="1370"/>
        <w:gridCol w:w="1371"/>
      </w:tblGrid>
      <w:tr w:rsidR="00716D48" w:rsidRPr="00BC0D1F" w14:paraId="10BEF8BD" w14:textId="77777777" w:rsidTr="00716D48">
        <w:trPr>
          <w:cantSplit/>
        </w:trPr>
        <w:tc>
          <w:tcPr>
            <w:tcW w:w="5245" w:type="dxa"/>
            <w:tcBorders>
              <w:top w:val="single" w:sz="4" w:space="0" w:color="auto"/>
              <w:left w:val="nil"/>
              <w:bottom w:val="single" w:sz="4" w:space="0" w:color="auto"/>
            </w:tcBorders>
            <w:shd w:val="solid" w:color="FFFFFF" w:fill="auto"/>
          </w:tcPr>
          <w:p w14:paraId="0B5FB378" w14:textId="77777777" w:rsidR="00716D48" w:rsidRPr="00BC0D1F" w:rsidRDefault="00716D48" w:rsidP="00D543B3">
            <w:pPr>
              <w:pStyle w:val="TableText"/>
            </w:pPr>
          </w:p>
        </w:tc>
        <w:tc>
          <w:tcPr>
            <w:tcW w:w="1370" w:type="dxa"/>
            <w:tcBorders>
              <w:top w:val="single" w:sz="4" w:space="0" w:color="auto"/>
              <w:bottom w:val="single" w:sz="4" w:space="0" w:color="auto"/>
            </w:tcBorders>
            <w:shd w:val="solid" w:color="FFFFFF" w:fill="auto"/>
          </w:tcPr>
          <w:p w14:paraId="7174B59E" w14:textId="77777777" w:rsidR="00716D48" w:rsidRPr="00BC0D1F" w:rsidRDefault="00716D48" w:rsidP="00716D48">
            <w:pPr>
              <w:pStyle w:val="TableText"/>
              <w:jc w:val="right"/>
              <w:rPr>
                <w:b/>
                <w:bCs/>
              </w:rPr>
            </w:pPr>
            <w:r w:rsidRPr="00BC0D1F">
              <w:rPr>
                <w:b/>
                <w:bCs/>
              </w:rPr>
              <w:t>Acquired software</w:t>
            </w:r>
            <w:r w:rsidRPr="00BC0D1F">
              <w:rPr>
                <w:b/>
                <w:bCs/>
              </w:rPr>
              <w:br/>
            </w:r>
            <w:r w:rsidRPr="00BC0D1F">
              <w:rPr>
                <w:b/>
                <w:bCs/>
              </w:rPr>
              <w:br/>
              <w:t>$000</w:t>
            </w:r>
          </w:p>
        </w:tc>
        <w:tc>
          <w:tcPr>
            <w:tcW w:w="1370" w:type="dxa"/>
            <w:tcBorders>
              <w:top w:val="single" w:sz="4" w:space="0" w:color="auto"/>
              <w:bottom w:val="single" w:sz="4" w:space="0" w:color="auto"/>
            </w:tcBorders>
            <w:shd w:val="solid" w:color="FFFFFF" w:fill="auto"/>
          </w:tcPr>
          <w:p w14:paraId="256862FD" w14:textId="77777777" w:rsidR="00716D48" w:rsidRPr="00BC0D1F" w:rsidRDefault="00716D48" w:rsidP="00716D48">
            <w:pPr>
              <w:pStyle w:val="TableText"/>
              <w:jc w:val="right"/>
              <w:rPr>
                <w:b/>
                <w:bCs/>
              </w:rPr>
            </w:pPr>
            <w:r w:rsidRPr="00BC0D1F">
              <w:rPr>
                <w:b/>
                <w:bCs/>
              </w:rPr>
              <w:t>Internally</w:t>
            </w:r>
            <w:r w:rsidRPr="00BC0D1F">
              <w:rPr>
                <w:b/>
                <w:bCs/>
              </w:rPr>
              <w:br/>
              <w:t>generated</w:t>
            </w:r>
            <w:r w:rsidRPr="00BC0D1F">
              <w:rPr>
                <w:b/>
                <w:bCs/>
              </w:rPr>
              <w:br/>
              <w:t>software</w:t>
            </w:r>
            <w:r w:rsidRPr="00BC0D1F">
              <w:rPr>
                <w:b/>
                <w:bCs/>
              </w:rPr>
              <w:br/>
              <w:t>$000</w:t>
            </w:r>
          </w:p>
        </w:tc>
        <w:tc>
          <w:tcPr>
            <w:tcW w:w="1371" w:type="dxa"/>
            <w:tcBorders>
              <w:top w:val="single" w:sz="4" w:space="0" w:color="auto"/>
              <w:bottom w:val="single" w:sz="4" w:space="0" w:color="auto"/>
            </w:tcBorders>
            <w:shd w:val="solid" w:color="FFFFFF" w:fill="auto"/>
          </w:tcPr>
          <w:p w14:paraId="30AA4FAA" w14:textId="77777777" w:rsidR="00716D48" w:rsidRPr="00BC0D1F" w:rsidRDefault="00716D48" w:rsidP="00716D48">
            <w:pPr>
              <w:pStyle w:val="TableText"/>
              <w:jc w:val="right"/>
              <w:rPr>
                <w:b/>
                <w:bCs/>
              </w:rPr>
            </w:pPr>
            <w:r w:rsidRPr="00BC0D1F">
              <w:rPr>
                <w:b/>
                <w:bCs/>
              </w:rPr>
              <w:t>Total</w:t>
            </w:r>
            <w:r w:rsidRPr="00BC0D1F">
              <w:rPr>
                <w:b/>
                <w:bCs/>
              </w:rPr>
              <w:br/>
            </w:r>
            <w:r w:rsidRPr="00BC0D1F">
              <w:rPr>
                <w:b/>
                <w:bCs/>
              </w:rPr>
              <w:br/>
            </w:r>
            <w:r w:rsidRPr="00BC0D1F">
              <w:rPr>
                <w:b/>
                <w:bCs/>
              </w:rPr>
              <w:br/>
              <w:t>$000</w:t>
            </w:r>
          </w:p>
        </w:tc>
      </w:tr>
      <w:tr w:rsidR="00716D48" w:rsidRPr="00BC0D1F" w14:paraId="2A2512F6" w14:textId="77777777" w:rsidTr="00716D48">
        <w:trPr>
          <w:cantSplit/>
        </w:trPr>
        <w:tc>
          <w:tcPr>
            <w:tcW w:w="5245" w:type="dxa"/>
            <w:tcBorders>
              <w:top w:val="single" w:sz="4" w:space="0" w:color="auto"/>
              <w:left w:val="nil"/>
            </w:tcBorders>
            <w:shd w:val="solid" w:color="FFFFFF" w:fill="auto"/>
          </w:tcPr>
          <w:p w14:paraId="0959252F" w14:textId="77777777" w:rsidR="00716D48" w:rsidRPr="00BC0D1F" w:rsidRDefault="00716D48" w:rsidP="00D543B3">
            <w:pPr>
              <w:pStyle w:val="TableText"/>
              <w:rPr>
                <w:b/>
              </w:rPr>
            </w:pPr>
            <w:r w:rsidRPr="00BC0D1F">
              <w:rPr>
                <w:b/>
              </w:rPr>
              <w:t>Cost</w:t>
            </w:r>
          </w:p>
        </w:tc>
        <w:tc>
          <w:tcPr>
            <w:tcW w:w="1370" w:type="dxa"/>
            <w:tcBorders>
              <w:top w:val="single" w:sz="4" w:space="0" w:color="auto"/>
            </w:tcBorders>
          </w:tcPr>
          <w:p w14:paraId="3BF42A3B" w14:textId="77777777" w:rsidR="00716D48" w:rsidRPr="00BC0D1F" w:rsidRDefault="00716D48" w:rsidP="00716D48">
            <w:pPr>
              <w:pStyle w:val="TableText"/>
              <w:jc w:val="right"/>
              <w:rPr>
                <w:b/>
              </w:rPr>
            </w:pPr>
          </w:p>
        </w:tc>
        <w:tc>
          <w:tcPr>
            <w:tcW w:w="1370" w:type="dxa"/>
            <w:tcBorders>
              <w:top w:val="single" w:sz="4" w:space="0" w:color="auto"/>
            </w:tcBorders>
          </w:tcPr>
          <w:p w14:paraId="2104EF14" w14:textId="77777777" w:rsidR="00716D48" w:rsidRPr="00BC0D1F" w:rsidRDefault="00716D48" w:rsidP="00716D48">
            <w:pPr>
              <w:pStyle w:val="TableText"/>
              <w:jc w:val="right"/>
              <w:rPr>
                <w:b/>
              </w:rPr>
            </w:pPr>
          </w:p>
        </w:tc>
        <w:tc>
          <w:tcPr>
            <w:tcW w:w="1371" w:type="dxa"/>
            <w:tcBorders>
              <w:top w:val="single" w:sz="4" w:space="0" w:color="auto"/>
            </w:tcBorders>
          </w:tcPr>
          <w:p w14:paraId="55549D58" w14:textId="77777777" w:rsidR="00716D48" w:rsidRPr="00BC0D1F" w:rsidRDefault="00716D48" w:rsidP="00716D48">
            <w:pPr>
              <w:pStyle w:val="TableText"/>
              <w:jc w:val="right"/>
              <w:rPr>
                <w:b/>
              </w:rPr>
            </w:pPr>
          </w:p>
        </w:tc>
      </w:tr>
      <w:tr w:rsidR="00716D48" w:rsidRPr="00BC0D1F" w14:paraId="72435258" w14:textId="77777777" w:rsidTr="00716D48">
        <w:trPr>
          <w:cantSplit/>
        </w:trPr>
        <w:tc>
          <w:tcPr>
            <w:tcW w:w="5245" w:type="dxa"/>
            <w:tcBorders>
              <w:left w:val="nil"/>
            </w:tcBorders>
            <w:shd w:val="solid" w:color="FFFFFF" w:fill="auto"/>
          </w:tcPr>
          <w:p w14:paraId="6B55209C" w14:textId="77777777" w:rsidR="00716D48" w:rsidRPr="00BC0D1F" w:rsidRDefault="00716D48" w:rsidP="00D543B3">
            <w:pPr>
              <w:pStyle w:val="TableText"/>
              <w:rPr>
                <w:b/>
              </w:rPr>
            </w:pPr>
            <w:r w:rsidRPr="00BC0D1F">
              <w:rPr>
                <w:b/>
              </w:rPr>
              <w:t>Balance as at 1 July 2014</w:t>
            </w:r>
          </w:p>
        </w:tc>
        <w:tc>
          <w:tcPr>
            <w:tcW w:w="1370" w:type="dxa"/>
          </w:tcPr>
          <w:p w14:paraId="3BD0F82F" w14:textId="77777777" w:rsidR="00716D48" w:rsidRPr="00BC0D1F" w:rsidRDefault="00716D48" w:rsidP="00716D48">
            <w:pPr>
              <w:pStyle w:val="TableText"/>
              <w:jc w:val="right"/>
              <w:rPr>
                <w:b/>
              </w:rPr>
            </w:pPr>
            <w:r w:rsidRPr="00BC0D1F">
              <w:rPr>
                <w:b/>
              </w:rPr>
              <w:t>18,938</w:t>
            </w:r>
          </w:p>
        </w:tc>
        <w:tc>
          <w:tcPr>
            <w:tcW w:w="1370" w:type="dxa"/>
          </w:tcPr>
          <w:p w14:paraId="5ACDF21F" w14:textId="77777777" w:rsidR="00716D48" w:rsidRPr="00BC0D1F" w:rsidRDefault="00716D48" w:rsidP="00716D48">
            <w:pPr>
              <w:pStyle w:val="TableText"/>
              <w:jc w:val="right"/>
              <w:rPr>
                <w:b/>
              </w:rPr>
            </w:pPr>
            <w:r w:rsidRPr="00BC0D1F">
              <w:rPr>
                <w:b/>
              </w:rPr>
              <w:t>63,121</w:t>
            </w:r>
          </w:p>
        </w:tc>
        <w:tc>
          <w:tcPr>
            <w:tcW w:w="1371" w:type="dxa"/>
          </w:tcPr>
          <w:p w14:paraId="29CE814E" w14:textId="77777777" w:rsidR="00716D48" w:rsidRPr="00BC0D1F" w:rsidRDefault="00716D48" w:rsidP="00716D48">
            <w:pPr>
              <w:pStyle w:val="TableText"/>
              <w:jc w:val="right"/>
              <w:rPr>
                <w:b/>
              </w:rPr>
            </w:pPr>
            <w:r w:rsidRPr="00BC0D1F">
              <w:rPr>
                <w:b/>
              </w:rPr>
              <w:t>82,059</w:t>
            </w:r>
          </w:p>
        </w:tc>
      </w:tr>
      <w:tr w:rsidR="00716D48" w:rsidRPr="00BC0D1F" w14:paraId="14169D6B" w14:textId="77777777" w:rsidTr="00716D48">
        <w:trPr>
          <w:cantSplit/>
        </w:trPr>
        <w:tc>
          <w:tcPr>
            <w:tcW w:w="5245" w:type="dxa"/>
            <w:tcBorders>
              <w:left w:val="nil"/>
            </w:tcBorders>
            <w:shd w:val="solid" w:color="FFFFFF" w:fill="auto"/>
          </w:tcPr>
          <w:p w14:paraId="1BBADEFA" w14:textId="77777777" w:rsidR="00716D48" w:rsidRPr="00BC0D1F" w:rsidRDefault="00716D48" w:rsidP="00D543B3">
            <w:pPr>
              <w:pStyle w:val="TableText"/>
            </w:pPr>
            <w:r w:rsidRPr="00BC0D1F">
              <w:t>Additions</w:t>
            </w:r>
          </w:p>
        </w:tc>
        <w:tc>
          <w:tcPr>
            <w:tcW w:w="1370" w:type="dxa"/>
          </w:tcPr>
          <w:p w14:paraId="6B08CA99" w14:textId="77777777" w:rsidR="00716D48" w:rsidRPr="00BC0D1F" w:rsidRDefault="00716D48" w:rsidP="00716D48">
            <w:pPr>
              <w:pStyle w:val="TableText"/>
              <w:jc w:val="right"/>
            </w:pPr>
            <w:r w:rsidRPr="00BC0D1F">
              <w:t>–</w:t>
            </w:r>
          </w:p>
        </w:tc>
        <w:tc>
          <w:tcPr>
            <w:tcW w:w="1370" w:type="dxa"/>
          </w:tcPr>
          <w:p w14:paraId="4B514F1C" w14:textId="77777777" w:rsidR="00716D48" w:rsidRPr="00BC0D1F" w:rsidRDefault="00716D48" w:rsidP="00716D48">
            <w:pPr>
              <w:pStyle w:val="TableText"/>
              <w:jc w:val="right"/>
            </w:pPr>
            <w:r w:rsidRPr="00BC0D1F">
              <w:t>6,665</w:t>
            </w:r>
          </w:p>
        </w:tc>
        <w:tc>
          <w:tcPr>
            <w:tcW w:w="1371" w:type="dxa"/>
          </w:tcPr>
          <w:p w14:paraId="0954C502" w14:textId="77777777" w:rsidR="00716D48" w:rsidRPr="00BC0D1F" w:rsidRDefault="00716D48" w:rsidP="00716D48">
            <w:pPr>
              <w:pStyle w:val="TableText"/>
              <w:jc w:val="right"/>
            </w:pPr>
            <w:r w:rsidRPr="00BC0D1F">
              <w:t>6,665</w:t>
            </w:r>
          </w:p>
        </w:tc>
      </w:tr>
      <w:tr w:rsidR="00716D48" w:rsidRPr="00BC0D1F" w14:paraId="07572BE6" w14:textId="77777777" w:rsidTr="00716D48">
        <w:trPr>
          <w:cantSplit/>
        </w:trPr>
        <w:tc>
          <w:tcPr>
            <w:tcW w:w="5245" w:type="dxa"/>
            <w:tcBorders>
              <w:left w:val="nil"/>
            </w:tcBorders>
            <w:shd w:val="solid" w:color="FFFFFF" w:fill="auto"/>
          </w:tcPr>
          <w:p w14:paraId="42A1D47C" w14:textId="77777777" w:rsidR="00716D48" w:rsidRPr="00BC0D1F" w:rsidRDefault="00716D48" w:rsidP="00D543B3">
            <w:pPr>
              <w:pStyle w:val="TableText"/>
            </w:pPr>
            <w:r w:rsidRPr="00BC0D1F">
              <w:t>Disposals</w:t>
            </w:r>
          </w:p>
        </w:tc>
        <w:tc>
          <w:tcPr>
            <w:tcW w:w="1370" w:type="dxa"/>
          </w:tcPr>
          <w:p w14:paraId="55615EE1" w14:textId="77777777" w:rsidR="00716D48" w:rsidRPr="00BC0D1F" w:rsidRDefault="00716D48" w:rsidP="00716D48">
            <w:pPr>
              <w:pStyle w:val="TableText"/>
              <w:jc w:val="right"/>
            </w:pPr>
            <w:r w:rsidRPr="00BC0D1F">
              <w:t>–</w:t>
            </w:r>
          </w:p>
        </w:tc>
        <w:tc>
          <w:tcPr>
            <w:tcW w:w="1370" w:type="dxa"/>
          </w:tcPr>
          <w:p w14:paraId="1381C2AB" w14:textId="77777777" w:rsidR="00716D48" w:rsidRPr="00BC0D1F" w:rsidRDefault="00716D48" w:rsidP="00716D48">
            <w:pPr>
              <w:pStyle w:val="TableText"/>
              <w:jc w:val="right"/>
            </w:pPr>
            <w:r w:rsidRPr="00BC0D1F">
              <w:t>(3)</w:t>
            </w:r>
          </w:p>
        </w:tc>
        <w:tc>
          <w:tcPr>
            <w:tcW w:w="1371" w:type="dxa"/>
          </w:tcPr>
          <w:p w14:paraId="7415E74B" w14:textId="77777777" w:rsidR="00716D48" w:rsidRPr="00BC0D1F" w:rsidRDefault="00716D48" w:rsidP="00716D48">
            <w:pPr>
              <w:pStyle w:val="TableText"/>
              <w:jc w:val="right"/>
            </w:pPr>
            <w:r w:rsidRPr="00BC0D1F">
              <w:t>(3)</w:t>
            </w:r>
          </w:p>
        </w:tc>
      </w:tr>
      <w:tr w:rsidR="00716D48" w:rsidRPr="00BC0D1F" w14:paraId="64EBB888" w14:textId="77777777" w:rsidTr="00716D48">
        <w:trPr>
          <w:cantSplit/>
        </w:trPr>
        <w:tc>
          <w:tcPr>
            <w:tcW w:w="5245" w:type="dxa"/>
            <w:tcBorders>
              <w:left w:val="nil"/>
              <w:bottom w:val="nil"/>
            </w:tcBorders>
            <w:shd w:val="solid" w:color="FFFFFF" w:fill="auto"/>
          </w:tcPr>
          <w:p w14:paraId="363BCF93" w14:textId="77777777" w:rsidR="00716D48" w:rsidRPr="00BC0D1F" w:rsidRDefault="00716D48" w:rsidP="00D543B3">
            <w:pPr>
              <w:pStyle w:val="TableText"/>
            </w:pPr>
            <w:r w:rsidRPr="00BC0D1F">
              <w:t>Transfers</w:t>
            </w:r>
          </w:p>
        </w:tc>
        <w:tc>
          <w:tcPr>
            <w:tcW w:w="1370" w:type="dxa"/>
            <w:tcBorders>
              <w:bottom w:val="nil"/>
            </w:tcBorders>
          </w:tcPr>
          <w:p w14:paraId="2F971D02" w14:textId="77777777" w:rsidR="00716D48" w:rsidRPr="00BC0D1F" w:rsidRDefault="00716D48" w:rsidP="00716D48">
            <w:pPr>
              <w:pStyle w:val="TableText"/>
              <w:jc w:val="right"/>
            </w:pPr>
            <w:r w:rsidRPr="00BC0D1F">
              <w:t>–</w:t>
            </w:r>
          </w:p>
        </w:tc>
        <w:tc>
          <w:tcPr>
            <w:tcW w:w="1370" w:type="dxa"/>
            <w:tcBorders>
              <w:bottom w:val="nil"/>
            </w:tcBorders>
          </w:tcPr>
          <w:p w14:paraId="5340B110" w14:textId="77777777" w:rsidR="00716D48" w:rsidRPr="00BC0D1F" w:rsidRDefault="00716D48" w:rsidP="00716D48">
            <w:pPr>
              <w:pStyle w:val="TableText"/>
              <w:jc w:val="right"/>
            </w:pPr>
            <w:r w:rsidRPr="00BC0D1F">
              <w:t>(1,376)</w:t>
            </w:r>
          </w:p>
        </w:tc>
        <w:tc>
          <w:tcPr>
            <w:tcW w:w="1371" w:type="dxa"/>
            <w:tcBorders>
              <w:bottom w:val="nil"/>
            </w:tcBorders>
          </w:tcPr>
          <w:p w14:paraId="73D59CC2" w14:textId="77777777" w:rsidR="00716D48" w:rsidRPr="00BC0D1F" w:rsidRDefault="00716D48" w:rsidP="00716D48">
            <w:pPr>
              <w:pStyle w:val="TableText"/>
              <w:jc w:val="right"/>
            </w:pPr>
            <w:r w:rsidRPr="00BC0D1F">
              <w:t>(1,376)</w:t>
            </w:r>
          </w:p>
        </w:tc>
      </w:tr>
      <w:tr w:rsidR="00716D48" w:rsidRPr="00BC0D1F" w14:paraId="09C98D01" w14:textId="77777777" w:rsidTr="00716D48">
        <w:trPr>
          <w:cantSplit/>
        </w:trPr>
        <w:tc>
          <w:tcPr>
            <w:tcW w:w="5245" w:type="dxa"/>
            <w:tcBorders>
              <w:top w:val="nil"/>
              <w:left w:val="nil"/>
              <w:bottom w:val="nil"/>
            </w:tcBorders>
            <w:shd w:val="solid" w:color="FFFFFF" w:fill="auto"/>
          </w:tcPr>
          <w:p w14:paraId="42133590" w14:textId="77777777" w:rsidR="00716D48" w:rsidRPr="00BC0D1F" w:rsidRDefault="00716D48" w:rsidP="00D543B3">
            <w:pPr>
              <w:pStyle w:val="TableText"/>
              <w:rPr>
                <w:b/>
              </w:rPr>
            </w:pPr>
            <w:r w:rsidRPr="00BC0D1F">
              <w:rPr>
                <w:b/>
              </w:rPr>
              <w:t>Balance as at 30 June 2015</w:t>
            </w:r>
          </w:p>
        </w:tc>
        <w:tc>
          <w:tcPr>
            <w:tcW w:w="1370" w:type="dxa"/>
            <w:tcBorders>
              <w:top w:val="nil"/>
              <w:bottom w:val="nil"/>
            </w:tcBorders>
            <w:shd w:val="clear" w:color="auto" w:fill="D9D9D9"/>
          </w:tcPr>
          <w:p w14:paraId="75FAAE53" w14:textId="77777777" w:rsidR="00716D48" w:rsidRPr="00BC0D1F" w:rsidRDefault="00716D48" w:rsidP="00716D48">
            <w:pPr>
              <w:pStyle w:val="TableText"/>
              <w:jc w:val="right"/>
              <w:rPr>
                <w:b/>
              </w:rPr>
            </w:pPr>
            <w:r w:rsidRPr="00BC0D1F">
              <w:rPr>
                <w:b/>
              </w:rPr>
              <w:t>18,938</w:t>
            </w:r>
          </w:p>
        </w:tc>
        <w:tc>
          <w:tcPr>
            <w:tcW w:w="1370" w:type="dxa"/>
            <w:tcBorders>
              <w:top w:val="nil"/>
              <w:bottom w:val="nil"/>
            </w:tcBorders>
            <w:shd w:val="clear" w:color="auto" w:fill="D9D9D9"/>
          </w:tcPr>
          <w:p w14:paraId="2CFE9E44" w14:textId="77777777" w:rsidR="00716D48" w:rsidRPr="00BC0D1F" w:rsidRDefault="00716D48" w:rsidP="00716D48">
            <w:pPr>
              <w:pStyle w:val="TableText"/>
              <w:jc w:val="right"/>
              <w:rPr>
                <w:b/>
              </w:rPr>
            </w:pPr>
            <w:r w:rsidRPr="00BC0D1F">
              <w:rPr>
                <w:b/>
              </w:rPr>
              <w:t>68,407</w:t>
            </w:r>
          </w:p>
        </w:tc>
        <w:tc>
          <w:tcPr>
            <w:tcW w:w="1371" w:type="dxa"/>
            <w:tcBorders>
              <w:top w:val="nil"/>
              <w:bottom w:val="nil"/>
            </w:tcBorders>
            <w:shd w:val="clear" w:color="auto" w:fill="D9D9D9"/>
          </w:tcPr>
          <w:p w14:paraId="3F0A50C6" w14:textId="77777777" w:rsidR="00716D48" w:rsidRPr="00BC0D1F" w:rsidRDefault="00716D48" w:rsidP="00716D48">
            <w:pPr>
              <w:pStyle w:val="TableText"/>
              <w:jc w:val="right"/>
              <w:rPr>
                <w:b/>
              </w:rPr>
            </w:pPr>
            <w:r w:rsidRPr="00BC0D1F">
              <w:rPr>
                <w:b/>
              </w:rPr>
              <w:t>87,345</w:t>
            </w:r>
          </w:p>
        </w:tc>
      </w:tr>
      <w:tr w:rsidR="00716D48" w:rsidRPr="00BC0D1F" w14:paraId="3121B455" w14:textId="77777777" w:rsidTr="00716D48">
        <w:trPr>
          <w:cantSplit/>
        </w:trPr>
        <w:tc>
          <w:tcPr>
            <w:tcW w:w="5245" w:type="dxa"/>
            <w:tcBorders>
              <w:top w:val="nil"/>
              <w:left w:val="nil"/>
              <w:bottom w:val="nil"/>
            </w:tcBorders>
            <w:shd w:val="solid" w:color="FFFFFF" w:fill="auto"/>
          </w:tcPr>
          <w:p w14:paraId="1433275F" w14:textId="77777777" w:rsidR="00716D48" w:rsidRPr="00BC0D1F" w:rsidRDefault="00716D48" w:rsidP="00716D48">
            <w:pPr>
              <w:pStyle w:val="TableText"/>
              <w:spacing w:before="240"/>
              <w:rPr>
                <w:b/>
              </w:rPr>
            </w:pPr>
            <w:r w:rsidRPr="00BC0D1F">
              <w:rPr>
                <w:b/>
              </w:rPr>
              <w:t>Balance as at 1 July 2015</w:t>
            </w:r>
          </w:p>
        </w:tc>
        <w:tc>
          <w:tcPr>
            <w:tcW w:w="1370" w:type="dxa"/>
            <w:tcBorders>
              <w:top w:val="nil"/>
              <w:bottom w:val="nil"/>
            </w:tcBorders>
            <w:shd w:val="clear" w:color="auto" w:fill="auto"/>
          </w:tcPr>
          <w:p w14:paraId="097A3058" w14:textId="77777777" w:rsidR="00716D48" w:rsidRPr="00BC0D1F" w:rsidRDefault="00716D48" w:rsidP="00716D48">
            <w:pPr>
              <w:pStyle w:val="TableText"/>
              <w:spacing w:before="240"/>
              <w:jc w:val="right"/>
              <w:rPr>
                <w:b/>
              </w:rPr>
            </w:pPr>
            <w:r w:rsidRPr="00BC0D1F">
              <w:rPr>
                <w:b/>
              </w:rPr>
              <w:t>18,938</w:t>
            </w:r>
          </w:p>
        </w:tc>
        <w:tc>
          <w:tcPr>
            <w:tcW w:w="1370" w:type="dxa"/>
            <w:tcBorders>
              <w:top w:val="nil"/>
              <w:bottom w:val="nil"/>
            </w:tcBorders>
            <w:shd w:val="clear" w:color="auto" w:fill="auto"/>
          </w:tcPr>
          <w:p w14:paraId="2F9D68BA" w14:textId="77777777" w:rsidR="00716D48" w:rsidRPr="00BC0D1F" w:rsidRDefault="00716D48" w:rsidP="00716D48">
            <w:pPr>
              <w:pStyle w:val="TableText"/>
              <w:spacing w:before="240"/>
              <w:jc w:val="right"/>
              <w:rPr>
                <w:b/>
              </w:rPr>
            </w:pPr>
            <w:r w:rsidRPr="00BC0D1F">
              <w:rPr>
                <w:b/>
              </w:rPr>
              <w:t>68,407</w:t>
            </w:r>
          </w:p>
        </w:tc>
        <w:tc>
          <w:tcPr>
            <w:tcW w:w="1371" w:type="dxa"/>
            <w:tcBorders>
              <w:top w:val="nil"/>
              <w:bottom w:val="nil"/>
            </w:tcBorders>
            <w:shd w:val="clear" w:color="auto" w:fill="auto"/>
          </w:tcPr>
          <w:p w14:paraId="44C7695B" w14:textId="77777777" w:rsidR="00716D48" w:rsidRPr="00BC0D1F" w:rsidRDefault="00716D48" w:rsidP="00716D48">
            <w:pPr>
              <w:pStyle w:val="TableText"/>
              <w:spacing w:before="240"/>
              <w:jc w:val="right"/>
              <w:rPr>
                <w:b/>
              </w:rPr>
            </w:pPr>
            <w:r w:rsidRPr="00BC0D1F">
              <w:rPr>
                <w:b/>
              </w:rPr>
              <w:t>87,345</w:t>
            </w:r>
          </w:p>
        </w:tc>
      </w:tr>
      <w:tr w:rsidR="00716D48" w:rsidRPr="00BC0D1F" w14:paraId="7D4553C0" w14:textId="77777777" w:rsidTr="00716D48">
        <w:trPr>
          <w:cantSplit/>
        </w:trPr>
        <w:tc>
          <w:tcPr>
            <w:tcW w:w="5245" w:type="dxa"/>
            <w:tcBorders>
              <w:top w:val="nil"/>
              <w:left w:val="nil"/>
              <w:bottom w:val="nil"/>
            </w:tcBorders>
            <w:shd w:val="solid" w:color="FFFFFF" w:fill="auto"/>
          </w:tcPr>
          <w:p w14:paraId="750FE669" w14:textId="77777777" w:rsidR="00716D48" w:rsidRPr="00BC0D1F" w:rsidRDefault="00716D48" w:rsidP="00D543B3">
            <w:pPr>
              <w:pStyle w:val="TableText"/>
            </w:pPr>
            <w:r w:rsidRPr="00BC0D1F">
              <w:t>Additions</w:t>
            </w:r>
          </w:p>
        </w:tc>
        <w:tc>
          <w:tcPr>
            <w:tcW w:w="1370" w:type="dxa"/>
            <w:tcBorders>
              <w:top w:val="nil"/>
              <w:bottom w:val="nil"/>
            </w:tcBorders>
          </w:tcPr>
          <w:p w14:paraId="7E07398F" w14:textId="77777777" w:rsidR="00716D48" w:rsidRPr="00BC0D1F" w:rsidRDefault="00716D48" w:rsidP="00716D48">
            <w:pPr>
              <w:pStyle w:val="TableText"/>
              <w:jc w:val="right"/>
            </w:pPr>
            <w:r w:rsidRPr="00BC0D1F">
              <w:t>129</w:t>
            </w:r>
          </w:p>
        </w:tc>
        <w:tc>
          <w:tcPr>
            <w:tcW w:w="1370" w:type="dxa"/>
            <w:tcBorders>
              <w:top w:val="nil"/>
              <w:bottom w:val="nil"/>
            </w:tcBorders>
          </w:tcPr>
          <w:p w14:paraId="7638270B" w14:textId="77777777" w:rsidR="00716D48" w:rsidRPr="00BC0D1F" w:rsidRDefault="00716D48" w:rsidP="00716D48">
            <w:pPr>
              <w:pStyle w:val="TableText"/>
              <w:jc w:val="right"/>
            </w:pPr>
            <w:r w:rsidRPr="00BC0D1F">
              <w:t>6,218</w:t>
            </w:r>
          </w:p>
        </w:tc>
        <w:tc>
          <w:tcPr>
            <w:tcW w:w="1371" w:type="dxa"/>
            <w:tcBorders>
              <w:top w:val="nil"/>
              <w:bottom w:val="nil"/>
            </w:tcBorders>
          </w:tcPr>
          <w:p w14:paraId="633EDA30" w14:textId="77777777" w:rsidR="00716D48" w:rsidRPr="00BC0D1F" w:rsidRDefault="00716D48" w:rsidP="00716D48">
            <w:pPr>
              <w:pStyle w:val="TableText"/>
              <w:jc w:val="right"/>
            </w:pPr>
            <w:r w:rsidRPr="00BC0D1F">
              <w:t>6,347</w:t>
            </w:r>
          </w:p>
        </w:tc>
      </w:tr>
      <w:tr w:rsidR="00716D48" w:rsidRPr="00BC0D1F" w14:paraId="3B26DC13" w14:textId="77777777" w:rsidTr="00716D48">
        <w:trPr>
          <w:cantSplit/>
        </w:trPr>
        <w:tc>
          <w:tcPr>
            <w:tcW w:w="5245" w:type="dxa"/>
            <w:tcBorders>
              <w:top w:val="nil"/>
              <w:left w:val="nil"/>
              <w:bottom w:val="nil"/>
            </w:tcBorders>
            <w:shd w:val="solid" w:color="FFFFFF" w:fill="auto"/>
          </w:tcPr>
          <w:p w14:paraId="67AAF7AA" w14:textId="77777777" w:rsidR="00716D48" w:rsidRPr="00BC0D1F" w:rsidRDefault="00716D48" w:rsidP="00D543B3">
            <w:pPr>
              <w:pStyle w:val="TableText"/>
            </w:pPr>
            <w:r w:rsidRPr="00BC0D1F">
              <w:t>Disposals</w:t>
            </w:r>
          </w:p>
        </w:tc>
        <w:tc>
          <w:tcPr>
            <w:tcW w:w="1370" w:type="dxa"/>
            <w:tcBorders>
              <w:top w:val="nil"/>
              <w:bottom w:val="nil"/>
            </w:tcBorders>
          </w:tcPr>
          <w:p w14:paraId="24EC2BF8" w14:textId="77777777" w:rsidR="00716D48" w:rsidRPr="00BC0D1F" w:rsidRDefault="00716D48" w:rsidP="00716D48">
            <w:pPr>
              <w:pStyle w:val="TableText"/>
              <w:jc w:val="right"/>
            </w:pPr>
            <w:r w:rsidRPr="00BC0D1F">
              <w:t>–</w:t>
            </w:r>
          </w:p>
        </w:tc>
        <w:tc>
          <w:tcPr>
            <w:tcW w:w="1370" w:type="dxa"/>
            <w:tcBorders>
              <w:top w:val="nil"/>
              <w:bottom w:val="nil"/>
            </w:tcBorders>
          </w:tcPr>
          <w:p w14:paraId="135FA290" w14:textId="77777777" w:rsidR="00716D48" w:rsidRPr="00BC0D1F" w:rsidRDefault="00716D48" w:rsidP="00716D48">
            <w:pPr>
              <w:pStyle w:val="TableText"/>
              <w:jc w:val="right"/>
            </w:pPr>
            <w:r w:rsidRPr="00BC0D1F">
              <w:t>(490)</w:t>
            </w:r>
          </w:p>
        </w:tc>
        <w:tc>
          <w:tcPr>
            <w:tcW w:w="1371" w:type="dxa"/>
            <w:tcBorders>
              <w:top w:val="nil"/>
              <w:bottom w:val="nil"/>
            </w:tcBorders>
          </w:tcPr>
          <w:p w14:paraId="56EC1D24" w14:textId="77777777" w:rsidR="00716D48" w:rsidRPr="00BC0D1F" w:rsidRDefault="00716D48" w:rsidP="00716D48">
            <w:pPr>
              <w:pStyle w:val="TableText"/>
              <w:jc w:val="right"/>
            </w:pPr>
            <w:r w:rsidRPr="00BC0D1F">
              <w:t>(490)</w:t>
            </w:r>
          </w:p>
        </w:tc>
      </w:tr>
      <w:tr w:rsidR="00716D48" w:rsidRPr="00BC0D1F" w14:paraId="3B41EB65" w14:textId="77777777" w:rsidTr="00716D48">
        <w:trPr>
          <w:cantSplit/>
        </w:trPr>
        <w:tc>
          <w:tcPr>
            <w:tcW w:w="5245" w:type="dxa"/>
            <w:tcBorders>
              <w:top w:val="nil"/>
              <w:left w:val="nil"/>
              <w:bottom w:val="nil"/>
            </w:tcBorders>
            <w:shd w:val="solid" w:color="FFFFFF" w:fill="auto"/>
          </w:tcPr>
          <w:p w14:paraId="5CD59141" w14:textId="77777777" w:rsidR="00716D48" w:rsidRPr="00BC0D1F" w:rsidRDefault="00716D48" w:rsidP="00D543B3">
            <w:pPr>
              <w:pStyle w:val="TableText"/>
            </w:pPr>
            <w:r w:rsidRPr="00BC0D1F">
              <w:t>Transfers</w:t>
            </w:r>
          </w:p>
        </w:tc>
        <w:tc>
          <w:tcPr>
            <w:tcW w:w="1370" w:type="dxa"/>
            <w:tcBorders>
              <w:top w:val="nil"/>
              <w:bottom w:val="nil"/>
            </w:tcBorders>
          </w:tcPr>
          <w:p w14:paraId="083247FA" w14:textId="77777777" w:rsidR="00716D48" w:rsidRPr="00BC0D1F" w:rsidRDefault="00716D48" w:rsidP="00716D48">
            <w:pPr>
              <w:pStyle w:val="TableText"/>
              <w:jc w:val="right"/>
            </w:pPr>
            <w:r w:rsidRPr="00BC0D1F">
              <w:t>–</w:t>
            </w:r>
          </w:p>
        </w:tc>
        <w:tc>
          <w:tcPr>
            <w:tcW w:w="1370" w:type="dxa"/>
            <w:tcBorders>
              <w:top w:val="nil"/>
              <w:bottom w:val="nil"/>
            </w:tcBorders>
          </w:tcPr>
          <w:p w14:paraId="0C0001BD" w14:textId="77777777" w:rsidR="00716D48" w:rsidRPr="00BC0D1F" w:rsidRDefault="00716D48" w:rsidP="00716D48">
            <w:pPr>
              <w:pStyle w:val="TableText"/>
              <w:jc w:val="right"/>
            </w:pPr>
            <w:r w:rsidRPr="00BC0D1F">
              <w:t>–</w:t>
            </w:r>
          </w:p>
        </w:tc>
        <w:tc>
          <w:tcPr>
            <w:tcW w:w="1371" w:type="dxa"/>
            <w:tcBorders>
              <w:top w:val="nil"/>
              <w:bottom w:val="nil"/>
            </w:tcBorders>
          </w:tcPr>
          <w:p w14:paraId="774F60CF" w14:textId="77777777" w:rsidR="00716D48" w:rsidRPr="00BC0D1F" w:rsidRDefault="00716D48" w:rsidP="00716D48">
            <w:pPr>
              <w:pStyle w:val="TableText"/>
              <w:jc w:val="right"/>
            </w:pPr>
            <w:r w:rsidRPr="00BC0D1F">
              <w:t>–</w:t>
            </w:r>
          </w:p>
        </w:tc>
      </w:tr>
      <w:tr w:rsidR="00716D48" w:rsidRPr="00BC0D1F" w14:paraId="33F98D07" w14:textId="77777777" w:rsidTr="00716D48">
        <w:trPr>
          <w:cantSplit/>
        </w:trPr>
        <w:tc>
          <w:tcPr>
            <w:tcW w:w="5245" w:type="dxa"/>
            <w:tcBorders>
              <w:top w:val="nil"/>
              <w:left w:val="nil"/>
              <w:bottom w:val="nil"/>
            </w:tcBorders>
            <w:shd w:val="solid" w:color="FFFFFF" w:fill="auto"/>
          </w:tcPr>
          <w:p w14:paraId="6AF067D1" w14:textId="77777777" w:rsidR="00716D48" w:rsidRPr="00BC0D1F" w:rsidRDefault="00716D48" w:rsidP="00D543B3">
            <w:pPr>
              <w:pStyle w:val="TableText"/>
              <w:rPr>
                <w:b/>
              </w:rPr>
            </w:pPr>
            <w:r w:rsidRPr="00BC0D1F">
              <w:rPr>
                <w:b/>
              </w:rPr>
              <w:t>Balance as at 30 June 2016</w:t>
            </w:r>
          </w:p>
        </w:tc>
        <w:tc>
          <w:tcPr>
            <w:tcW w:w="1370" w:type="dxa"/>
            <w:tcBorders>
              <w:top w:val="nil"/>
              <w:bottom w:val="nil"/>
            </w:tcBorders>
            <w:shd w:val="clear" w:color="auto" w:fill="D9D9D9"/>
          </w:tcPr>
          <w:p w14:paraId="23CBACDF" w14:textId="77777777" w:rsidR="00716D48" w:rsidRPr="00BC0D1F" w:rsidRDefault="00716D48" w:rsidP="00716D48">
            <w:pPr>
              <w:pStyle w:val="TableText"/>
              <w:jc w:val="right"/>
              <w:rPr>
                <w:b/>
              </w:rPr>
            </w:pPr>
            <w:r w:rsidRPr="00BC0D1F">
              <w:rPr>
                <w:b/>
              </w:rPr>
              <w:t>19,067</w:t>
            </w:r>
          </w:p>
        </w:tc>
        <w:tc>
          <w:tcPr>
            <w:tcW w:w="1370" w:type="dxa"/>
            <w:tcBorders>
              <w:top w:val="nil"/>
              <w:bottom w:val="nil"/>
            </w:tcBorders>
            <w:shd w:val="clear" w:color="auto" w:fill="D9D9D9"/>
          </w:tcPr>
          <w:p w14:paraId="57B3A8DF" w14:textId="77777777" w:rsidR="00716D48" w:rsidRPr="00BC0D1F" w:rsidRDefault="00716D48" w:rsidP="00716D48">
            <w:pPr>
              <w:pStyle w:val="TableText"/>
              <w:jc w:val="right"/>
              <w:rPr>
                <w:b/>
              </w:rPr>
            </w:pPr>
            <w:r w:rsidRPr="00BC0D1F">
              <w:rPr>
                <w:b/>
              </w:rPr>
              <w:t>74,135</w:t>
            </w:r>
          </w:p>
        </w:tc>
        <w:tc>
          <w:tcPr>
            <w:tcW w:w="1371" w:type="dxa"/>
            <w:tcBorders>
              <w:top w:val="nil"/>
              <w:bottom w:val="nil"/>
            </w:tcBorders>
            <w:shd w:val="clear" w:color="auto" w:fill="D9D9D9"/>
          </w:tcPr>
          <w:p w14:paraId="22626641" w14:textId="77777777" w:rsidR="00716D48" w:rsidRPr="00BC0D1F" w:rsidRDefault="00716D48" w:rsidP="00716D48">
            <w:pPr>
              <w:pStyle w:val="TableText"/>
              <w:jc w:val="right"/>
              <w:rPr>
                <w:b/>
              </w:rPr>
            </w:pPr>
            <w:r w:rsidRPr="00BC0D1F">
              <w:rPr>
                <w:b/>
              </w:rPr>
              <w:t>93,202</w:t>
            </w:r>
          </w:p>
        </w:tc>
      </w:tr>
      <w:tr w:rsidR="00716D48" w:rsidRPr="00BC0D1F" w14:paraId="079A1DF9" w14:textId="77777777" w:rsidTr="00716D48">
        <w:trPr>
          <w:cantSplit/>
        </w:trPr>
        <w:tc>
          <w:tcPr>
            <w:tcW w:w="5245" w:type="dxa"/>
            <w:tcBorders>
              <w:top w:val="nil"/>
              <w:left w:val="nil"/>
              <w:bottom w:val="nil"/>
            </w:tcBorders>
            <w:shd w:val="solid" w:color="FFFFFF" w:fill="auto"/>
          </w:tcPr>
          <w:p w14:paraId="07A40EFA" w14:textId="77777777" w:rsidR="00716D48" w:rsidRPr="00BC0D1F" w:rsidRDefault="00716D48" w:rsidP="00716D48">
            <w:pPr>
              <w:pStyle w:val="TableText"/>
              <w:spacing w:before="240"/>
              <w:rPr>
                <w:b/>
              </w:rPr>
            </w:pPr>
            <w:r w:rsidRPr="00BC0D1F">
              <w:rPr>
                <w:b/>
              </w:rPr>
              <w:t>Accumulated amortisation and impairment losses</w:t>
            </w:r>
          </w:p>
        </w:tc>
        <w:tc>
          <w:tcPr>
            <w:tcW w:w="1370" w:type="dxa"/>
            <w:tcBorders>
              <w:top w:val="nil"/>
              <w:bottom w:val="nil"/>
            </w:tcBorders>
          </w:tcPr>
          <w:p w14:paraId="3BDF4099" w14:textId="77777777" w:rsidR="00716D48" w:rsidRPr="00BC0D1F" w:rsidRDefault="00716D48" w:rsidP="00716D48">
            <w:pPr>
              <w:pStyle w:val="TableText"/>
              <w:spacing w:before="240"/>
              <w:jc w:val="right"/>
              <w:rPr>
                <w:b/>
              </w:rPr>
            </w:pPr>
          </w:p>
        </w:tc>
        <w:tc>
          <w:tcPr>
            <w:tcW w:w="1370" w:type="dxa"/>
            <w:tcBorders>
              <w:top w:val="nil"/>
              <w:bottom w:val="nil"/>
            </w:tcBorders>
          </w:tcPr>
          <w:p w14:paraId="7EBDF4C3" w14:textId="77777777" w:rsidR="00716D48" w:rsidRPr="00BC0D1F" w:rsidRDefault="00716D48" w:rsidP="00716D48">
            <w:pPr>
              <w:pStyle w:val="TableText"/>
              <w:spacing w:before="240"/>
              <w:jc w:val="right"/>
              <w:rPr>
                <w:b/>
              </w:rPr>
            </w:pPr>
          </w:p>
        </w:tc>
        <w:tc>
          <w:tcPr>
            <w:tcW w:w="1371" w:type="dxa"/>
            <w:tcBorders>
              <w:top w:val="nil"/>
              <w:bottom w:val="nil"/>
            </w:tcBorders>
          </w:tcPr>
          <w:p w14:paraId="5863CC1B" w14:textId="77777777" w:rsidR="00716D48" w:rsidRPr="00BC0D1F" w:rsidRDefault="00716D48" w:rsidP="00716D48">
            <w:pPr>
              <w:pStyle w:val="TableText"/>
              <w:spacing w:before="240"/>
              <w:jc w:val="right"/>
              <w:rPr>
                <w:b/>
              </w:rPr>
            </w:pPr>
          </w:p>
        </w:tc>
      </w:tr>
      <w:tr w:rsidR="00716D48" w:rsidRPr="00BC0D1F" w14:paraId="2BF82E52" w14:textId="77777777" w:rsidTr="00716D48">
        <w:trPr>
          <w:cantSplit/>
        </w:trPr>
        <w:tc>
          <w:tcPr>
            <w:tcW w:w="5245" w:type="dxa"/>
            <w:tcBorders>
              <w:top w:val="nil"/>
              <w:left w:val="nil"/>
              <w:bottom w:val="nil"/>
            </w:tcBorders>
            <w:shd w:val="solid" w:color="FFFFFF" w:fill="auto"/>
          </w:tcPr>
          <w:p w14:paraId="3E7C9E17" w14:textId="77777777" w:rsidR="00716D48" w:rsidRPr="00BC0D1F" w:rsidRDefault="00716D48" w:rsidP="00D543B3">
            <w:pPr>
              <w:pStyle w:val="TableText"/>
              <w:rPr>
                <w:b/>
              </w:rPr>
            </w:pPr>
            <w:r w:rsidRPr="00BC0D1F">
              <w:rPr>
                <w:b/>
              </w:rPr>
              <w:t>Balance as at 1 July 2014</w:t>
            </w:r>
          </w:p>
        </w:tc>
        <w:tc>
          <w:tcPr>
            <w:tcW w:w="1370" w:type="dxa"/>
            <w:tcBorders>
              <w:top w:val="nil"/>
              <w:bottom w:val="nil"/>
            </w:tcBorders>
            <w:shd w:val="clear" w:color="auto" w:fill="auto"/>
          </w:tcPr>
          <w:p w14:paraId="4DC9C0E1" w14:textId="77777777" w:rsidR="00716D48" w:rsidRPr="00BC0D1F" w:rsidRDefault="00716D48" w:rsidP="00716D48">
            <w:pPr>
              <w:pStyle w:val="TableText"/>
              <w:jc w:val="right"/>
              <w:rPr>
                <w:b/>
              </w:rPr>
            </w:pPr>
            <w:r w:rsidRPr="00BC0D1F">
              <w:rPr>
                <w:b/>
              </w:rPr>
              <w:t>15,555</w:t>
            </w:r>
          </w:p>
        </w:tc>
        <w:tc>
          <w:tcPr>
            <w:tcW w:w="1370" w:type="dxa"/>
            <w:tcBorders>
              <w:top w:val="nil"/>
              <w:bottom w:val="nil"/>
            </w:tcBorders>
            <w:shd w:val="clear" w:color="auto" w:fill="auto"/>
          </w:tcPr>
          <w:p w14:paraId="4FF9607D" w14:textId="77777777" w:rsidR="00716D48" w:rsidRPr="00BC0D1F" w:rsidRDefault="00716D48" w:rsidP="00716D48">
            <w:pPr>
              <w:pStyle w:val="TableText"/>
              <w:jc w:val="right"/>
              <w:rPr>
                <w:b/>
              </w:rPr>
            </w:pPr>
            <w:r w:rsidRPr="00BC0D1F">
              <w:rPr>
                <w:b/>
              </w:rPr>
              <w:t>30,841</w:t>
            </w:r>
          </w:p>
        </w:tc>
        <w:tc>
          <w:tcPr>
            <w:tcW w:w="1371" w:type="dxa"/>
            <w:tcBorders>
              <w:top w:val="nil"/>
              <w:bottom w:val="nil"/>
            </w:tcBorders>
            <w:shd w:val="clear" w:color="auto" w:fill="auto"/>
          </w:tcPr>
          <w:p w14:paraId="2CF772B4" w14:textId="77777777" w:rsidR="00716D48" w:rsidRPr="00BC0D1F" w:rsidRDefault="00716D48" w:rsidP="00716D48">
            <w:pPr>
              <w:pStyle w:val="TableText"/>
              <w:jc w:val="right"/>
              <w:rPr>
                <w:b/>
              </w:rPr>
            </w:pPr>
            <w:r w:rsidRPr="00BC0D1F">
              <w:rPr>
                <w:b/>
              </w:rPr>
              <w:t>46,396</w:t>
            </w:r>
          </w:p>
        </w:tc>
      </w:tr>
      <w:tr w:rsidR="00716D48" w:rsidRPr="00BC0D1F" w14:paraId="0D4CCA07" w14:textId="77777777" w:rsidTr="00716D48">
        <w:trPr>
          <w:cantSplit/>
        </w:trPr>
        <w:tc>
          <w:tcPr>
            <w:tcW w:w="5245" w:type="dxa"/>
            <w:tcBorders>
              <w:top w:val="nil"/>
              <w:left w:val="nil"/>
              <w:bottom w:val="nil"/>
            </w:tcBorders>
            <w:shd w:val="solid" w:color="FFFFFF" w:fill="auto"/>
          </w:tcPr>
          <w:p w14:paraId="6B15CBD7" w14:textId="77777777" w:rsidR="00716D48" w:rsidRPr="00BC0D1F" w:rsidRDefault="00716D48" w:rsidP="00D543B3">
            <w:pPr>
              <w:pStyle w:val="TableText"/>
            </w:pPr>
            <w:r w:rsidRPr="00BC0D1F">
              <w:t>Amortisation expense</w:t>
            </w:r>
          </w:p>
        </w:tc>
        <w:tc>
          <w:tcPr>
            <w:tcW w:w="1370" w:type="dxa"/>
            <w:tcBorders>
              <w:top w:val="nil"/>
              <w:bottom w:val="nil"/>
            </w:tcBorders>
            <w:shd w:val="clear" w:color="auto" w:fill="auto"/>
          </w:tcPr>
          <w:p w14:paraId="3E39DEF5" w14:textId="77777777" w:rsidR="00716D48" w:rsidRPr="00BC0D1F" w:rsidRDefault="00716D48" w:rsidP="00716D48">
            <w:pPr>
              <w:pStyle w:val="TableText"/>
              <w:jc w:val="right"/>
            </w:pPr>
            <w:r w:rsidRPr="00BC0D1F">
              <w:t>1,665</w:t>
            </w:r>
          </w:p>
        </w:tc>
        <w:tc>
          <w:tcPr>
            <w:tcW w:w="1370" w:type="dxa"/>
            <w:tcBorders>
              <w:top w:val="nil"/>
              <w:bottom w:val="nil"/>
            </w:tcBorders>
            <w:shd w:val="clear" w:color="auto" w:fill="auto"/>
          </w:tcPr>
          <w:p w14:paraId="4D2B2D8D" w14:textId="77777777" w:rsidR="00716D48" w:rsidRPr="00BC0D1F" w:rsidRDefault="00716D48" w:rsidP="00716D48">
            <w:pPr>
              <w:pStyle w:val="TableText"/>
              <w:jc w:val="right"/>
            </w:pPr>
            <w:r w:rsidRPr="00BC0D1F">
              <w:t>5,128</w:t>
            </w:r>
          </w:p>
        </w:tc>
        <w:tc>
          <w:tcPr>
            <w:tcW w:w="1371" w:type="dxa"/>
            <w:tcBorders>
              <w:top w:val="nil"/>
              <w:bottom w:val="nil"/>
            </w:tcBorders>
            <w:shd w:val="clear" w:color="auto" w:fill="auto"/>
          </w:tcPr>
          <w:p w14:paraId="0C7F5E2E" w14:textId="77777777" w:rsidR="00716D48" w:rsidRPr="00BC0D1F" w:rsidRDefault="00716D48" w:rsidP="00716D48">
            <w:pPr>
              <w:pStyle w:val="TableText"/>
              <w:jc w:val="right"/>
            </w:pPr>
            <w:r w:rsidRPr="00BC0D1F">
              <w:t>6,793</w:t>
            </w:r>
          </w:p>
        </w:tc>
      </w:tr>
      <w:tr w:rsidR="00716D48" w:rsidRPr="00BC0D1F" w14:paraId="2CD092A9" w14:textId="77777777" w:rsidTr="00716D48">
        <w:trPr>
          <w:cantSplit/>
        </w:trPr>
        <w:tc>
          <w:tcPr>
            <w:tcW w:w="5245" w:type="dxa"/>
            <w:tcBorders>
              <w:top w:val="nil"/>
              <w:left w:val="nil"/>
              <w:bottom w:val="nil"/>
            </w:tcBorders>
            <w:shd w:val="solid" w:color="FFFFFF" w:fill="auto"/>
          </w:tcPr>
          <w:p w14:paraId="55EF34AD" w14:textId="77777777" w:rsidR="00716D48" w:rsidRPr="00BC0D1F" w:rsidRDefault="00716D48" w:rsidP="00D543B3">
            <w:pPr>
              <w:pStyle w:val="TableText"/>
            </w:pPr>
            <w:r w:rsidRPr="00BC0D1F">
              <w:t>Disposals</w:t>
            </w:r>
          </w:p>
        </w:tc>
        <w:tc>
          <w:tcPr>
            <w:tcW w:w="1370" w:type="dxa"/>
            <w:tcBorders>
              <w:top w:val="nil"/>
              <w:bottom w:val="nil"/>
            </w:tcBorders>
            <w:shd w:val="clear" w:color="auto" w:fill="auto"/>
          </w:tcPr>
          <w:p w14:paraId="54C4AB49" w14:textId="77777777" w:rsidR="00716D48" w:rsidRPr="00BC0D1F" w:rsidRDefault="00716D48" w:rsidP="00716D48">
            <w:pPr>
              <w:pStyle w:val="TableText"/>
              <w:jc w:val="right"/>
            </w:pPr>
            <w:r w:rsidRPr="00BC0D1F">
              <w:t>–</w:t>
            </w:r>
          </w:p>
        </w:tc>
        <w:tc>
          <w:tcPr>
            <w:tcW w:w="1370" w:type="dxa"/>
            <w:tcBorders>
              <w:top w:val="nil"/>
              <w:bottom w:val="nil"/>
            </w:tcBorders>
            <w:shd w:val="clear" w:color="auto" w:fill="auto"/>
          </w:tcPr>
          <w:p w14:paraId="17EBF294" w14:textId="77777777" w:rsidR="00716D48" w:rsidRPr="00BC0D1F" w:rsidRDefault="00716D48" w:rsidP="00716D48">
            <w:pPr>
              <w:pStyle w:val="TableText"/>
              <w:jc w:val="right"/>
            </w:pPr>
            <w:r w:rsidRPr="00BC0D1F">
              <w:t>(3)</w:t>
            </w:r>
          </w:p>
        </w:tc>
        <w:tc>
          <w:tcPr>
            <w:tcW w:w="1371" w:type="dxa"/>
            <w:tcBorders>
              <w:top w:val="nil"/>
              <w:bottom w:val="nil"/>
            </w:tcBorders>
            <w:shd w:val="clear" w:color="auto" w:fill="auto"/>
          </w:tcPr>
          <w:p w14:paraId="51C5D030" w14:textId="77777777" w:rsidR="00716D48" w:rsidRPr="00BC0D1F" w:rsidRDefault="00716D48" w:rsidP="00716D48">
            <w:pPr>
              <w:pStyle w:val="TableText"/>
              <w:jc w:val="right"/>
            </w:pPr>
            <w:r w:rsidRPr="00BC0D1F">
              <w:t>(3)</w:t>
            </w:r>
          </w:p>
        </w:tc>
      </w:tr>
      <w:tr w:rsidR="00716D48" w:rsidRPr="00BC0D1F" w14:paraId="17D5CB7F" w14:textId="77777777" w:rsidTr="00716D48">
        <w:trPr>
          <w:cantSplit/>
        </w:trPr>
        <w:tc>
          <w:tcPr>
            <w:tcW w:w="5245" w:type="dxa"/>
            <w:tcBorders>
              <w:top w:val="nil"/>
              <w:left w:val="nil"/>
              <w:bottom w:val="nil"/>
            </w:tcBorders>
            <w:shd w:val="solid" w:color="FFFFFF" w:fill="auto"/>
          </w:tcPr>
          <w:p w14:paraId="58973356" w14:textId="77777777" w:rsidR="00716D48" w:rsidRPr="00BC0D1F" w:rsidRDefault="00716D48" w:rsidP="00D543B3">
            <w:pPr>
              <w:pStyle w:val="TableText"/>
            </w:pPr>
            <w:r w:rsidRPr="00BC0D1F">
              <w:t>Transfers</w:t>
            </w:r>
          </w:p>
        </w:tc>
        <w:tc>
          <w:tcPr>
            <w:tcW w:w="1370" w:type="dxa"/>
            <w:tcBorders>
              <w:top w:val="nil"/>
              <w:bottom w:val="nil"/>
            </w:tcBorders>
            <w:shd w:val="clear" w:color="auto" w:fill="auto"/>
          </w:tcPr>
          <w:p w14:paraId="3B995132" w14:textId="77777777" w:rsidR="00716D48" w:rsidRPr="00BC0D1F" w:rsidRDefault="00716D48" w:rsidP="00716D48">
            <w:pPr>
              <w:pStyle w:val="TableText"/>
              <w:jc w:val="right"/>
            </w:pPr>
            <w:r w:rsidRPr="00BC0D1F">
              <w:t>–</w:t>
            </w:r>
          </w:p>
        </w:tc>
        <w:tc>
          <w:tcPr>
            <w:tcW w:w="1370" w:type="dxa"/>
            <w:tcBorders>
              <w:top w:val="nil"/>
              <w:bottom w:val="nil"/>
            </w:tcBorders>
            <w:shd w:val="clear" w:color="auto" w:fill="auto"/>
          </w:tcPr>
          <w:p w14:paraId="03CCB4AC" w14:textId="77777777" w:rsidR="00716D48" w:rsidRPr="00BC0D1F" w:rsidRDefault="00716D48" w:rsidP="00716D48">
            <w:pPr>
              <w:pStyle w:val="TableText"/>
              <w:jc w:val="right"/>
            </w:pPr>
            <w:r w:rsidRPr="00BC0D1F">
              <w:t>(1,166)</w:t>
            </w:r>
          </w:p>
        </w:tc>
        <w:tc>
          <w:tcPr>
            <w:tcW w:w="1371" w:type="dxa"/>
            <w:tcBorders>
              <w:top w:val="nil"/>
              <w:bottom w:val="nil"/>
            </w:tcBorders>
            <w:shd w:val="clear" w:color="auto" w:fill="auto"/>
          </w:tcPr>
          <w:p w14:paraId="5F3BE53A" w14:textId="77777777" w:rsidR="00716D48" w:rsidRPr="00BC0D1F" w:rsidRDefault="00716D48" w:rsidP="00716D48">
            <w:pPr>
              <w:pStyle w:val="TableText"/>
              <w:jc w:val="right"/>
            </w:pPr>
            <w:r w:rsidRPr="00BC0D1F">
              <w:t>(1,166)</w:t>
            </w:r>
          </w:p>
        </w:tc>
      </w:tr>
      <w:tr w:rsidR="00716D48" w:rsidRPr="00BC0D1F" w14:paraId="06F4CE25" w14:textId="77777777" w:rsidTr="00716D48">
        <w:trPr>
          <w:cantSplit/>
        </w:trPr>
        <w:tc>
          <w:tcPr>
            <w:tcW w:w="5245" w:type="dxa"/>
            <w:tcBorders>
              <w:top w:val="nil"/>
              <w:left w:val="nil"/>
              <w:bottom w:val="nil"/>
            </w:tcBorders>
            <w:shd w:val="solid" w:color="FFFFFF" w:fill="auto"/>
          </w:tcPr>
          <w:p w14:paraId="7FEC906A" w14:textId="77777777" w:rsidR="00716D48" w:rsidRPr="00BC0D1F" w:rsidRDefault="00716D48" w:rsidP="00D543B3">
            <w:pPr>
              <w:pStyle w:val="TableText"/>
              <w:rPr>
                <w:b/>
              </w:rPr>
            </w:pPr>
            <w:r w:rsidRPr="00BC0D1F">
              <w:rPr>
                <w:b/>
              </w:rPr>
              <w:t>Balance as at 30 June 2015</w:t>
            </w:r>
          </w:p>
        </w:tc>
        <w:tc>
          <w:tcPr>
            <w:tcW w:w="1370" w:type="dxa"/>
            <w:tcBorders>
              <w:top w:val="nil"/>
              <w:bottom w:val="nil"/>
            </w:tcBorders>
            <w:shd w:val="clear" w:color="auto" w:fill="D9D9D9"/>
          </w:tcPr>
          <w:p w14:paraId="316D2513" w14:textId="77777777" w:rsidR="00716D48" w:rsidRPr="00BC0D1F" w:rsidRDefault="00716D48" w:rsidP="00716D48">
            <w:pPr>
              <w:pStyle w:val="TableText"/>
              <w:jc w:val="right"/>
              <w:rPr>
                <w:b/>
              </w:rPr>
            </w:pPr>
            <w:r w:rsidRPr="00BC0D1F">
              <w:rPr>
                <w:b/>
              </w:rPr>
              <w:t>17,220</w:t>
            </w:r>
          </w:p>
        </w:tc>
        <w:tc>
          <w:tcPr>
            <w:tcW w:w="1370" w:type="dxa"/>
            <w:tcBorders>
              <w:top w:val="nil"/>
              <w:bottom w:val="nil"/>
            </w:tcBorders>
            <w:shd w:val="clear" w:color="auto" w:fill="D9D9D9"/>
          </w:tcPr>
          <w:p w14:paraId="43341967" w14:textId="77777777" w:rsidR="00716D48" w:rsidRPr="00BC0D1F" w:rsidRDefault="00716D48" w:rsidP="00716D48">
            <w:pPr>
              <w:pStyle w:val="TableText"/>
              <w:jc w:val="right"/>
              <w:rPr>
                <w:b/>
              </w:rPr>
            </w:pPr>
            <w:r w:rsidRPr="00BC0D1F">
              <w:rPr>
                <w:b/>
              </w:rPr>
              <w:t>34,800</w:t>
            </w:r>
          </w:p>
        </w:tc>
        <w:tc>
          <w:tcPr>
            <w:tcW w:w="1371" w:type="dxa"/>
            <w:tcBorders>
              <w:top w:val="nil"/>
              <w:bottom w:val="nil"/>
            </w:tcBorders>
            <w:shd w:val="clear" w:color="auto" w:fill="D9D9D9"/>
          </w:tcPr>
          <w:p w14:paraId="40BF538B" w14:textId="77777777" w:rsidR="00716D48" w:rsidRPr="00BC0D1F" w:rsidRDefault="00716D48" w:rsidP="00716D48">
            <w:pPr>
              <w:pStyle w:val="TableText"/>
              <w:jc w:val="right"/>
              <w:rPr>
                <w:b/>
              </w:rPr>
            </w:pPr>
            <w:r w:rsidRPr="00BC0D1F">
              <w:rPr>
                <w:b/>
              </w:rPr>
              <w:t>52,020</w:t>
            </w:r>
          </w:p>
        </w:tc>
      </w:tr>
      <w:tr w:rsidR="00716D48" w:rsidRPr="00BC0D1F" w14:paraId="3911F07F" w14:textId="77777777" w:rsidTr="00716D48">
        <w:trPr>
          <w:cantSplit/>
        </w:trPr>
        <w:tc>
          <w:tcPr>
            <w:tcW w:w="5245" w:type="dxa"/>
            <w:tcBorders>
              <w:top w:val="nil"/>
              <w:left w:val="nil"/>
              <w:bottom w:val="nil"/>
            </w:tcBorders>
            <w:shd w:val="solid" w:color="FFFFFF" w:fill="auto"/>
          </w:tcPr>
          <w:p w14:paraId="78952254" w14:textId="77777777" w:rsidR="00716D48" w:rsidRPr="00BC0D1F" w:rsidRDefault="00716D48" w:rsidP="00716D48">
            <w:pPr>
              <w:pStyle w:val="TableText"/>
              <w:spacing w:before="240"/>
              <w:rPr>
                <w:b/>
              </w:rPr>
            </w:pPr>
            <w:r w:rsidRPr="00BC0D1F">
              <w:rPr>
                <w:b/>
              </w:rPr>
              <w:t>Balance as at 1 July 2015</w:t>
            </w:r>
          </w:p>
        </w:tc>
        <w:tc>
          <w:tcPr>
            <w:tcW w:w="1370" w:type="dxa"/>
            <w:tcBorders>
              <w:top w:val="nil"/>
              <w:bottom w:val="nil"/>
            </w:tcBorders>
            <w:shd w:val="clear" w:color="auto" w:fill="auto"/>
          </w:tcPr>
          <w:p w14:paraId="0C52D5E6" w14:textId="77777777" w:rsidR="00716D48" w:rsidRPr="00BC0D1F" w:rsidRDefault="00716D48" w:rsidP="00716D48">
            <w:pPr>
              <w:pStyle w:val="TableText"/>
              <w:spacing w:before="240"/>
              <w:jc w:val="right"/>
              <w:rPr>
                <w:b/>
              </w:rPr>
            </w:pPr>
            <w:r w:rsidRPr="00BC0D1F">
              <w:rPr>
                <w:b/>
              </w:rPr>
              <w:t>17,220</w:t>
            </w:r>
          </w:p>
        </w:tc>
        <w:tc>
          <w:tcPr>
            <w:tcW w:w="1370" w:type="dxa"/>
            <w:tcBorders>
              <w:top w:val="nil"/>
              <w:bottom w:val="nil"/>
            </w:tcBorders>
            <w:shd w:val="clear" w:color="auto" w:fill="auto"/>
          </w:tcPr>
          <w:p w14:paraId="60E482E3" w14:textId="77777777" w:rsidR="00716D48" w:rsidRPr="00BC0D1F" w:rsidRDefault="00716D48" w:rsidP="00716D48">
            <w:pPr>
              <w:pStyle w:val="TableText"/>
              <w:spacing w:before="240"/>
              <w:jc w:val="right"/>
              <w:rPr>
                <w:b/>
              </w:rPr>
            </w:pPr>
            <w:r w:rsidRPr="00BC0D1F">
              <w:rPr>
                <w:b/>
              </w:rPr>
              <w:t>34,800</w:t>
            </w:r>
          </w:p>
        </w:tc>
        <w:tc>
          <w:tcPr>
            <w:tcW w:w="1371" w:type="dxa"/>
            <w:tcBorders>
              <w:top w:val="nil"/>
              <w:bottom w:val="nil"/>
            </w:tcBorders>
            <w:shd w:val="clear" w:color="auto" w:fill="auto"/>
          </w:tcPr>
          <w:p w14:paraId="397E305B" w14:textId="77777777" w:rsidR="00716D48" w:rsidRPr="00BC0D1F" w:rsidRDefault="00716D48" w:rsidP="00716D48">
            <w:pPr>
              <w:pStyle w:val="TableText"/>
              <w:spacing w:before="240"/>
              <w:jc w:val="right"/>
              <w:rPr>
                <w:b/>
              </w:rPr>
            </w:pPr>
            <w:r w:rsidRPr="00BC0D1F">
              <w:rPr>
                <w:b/>
              </w:rPr>
              <w:t>52,020</w:t>
            </w:r>
          </w:p>
        </w:tc>
      </w:tr>
      <w:tr w:rsidR="00716D48" w:rsidRPr="00BC0D1F" w14:paraId="5C95A09D" w14:textId="77777777" w:rsidTr="00716D48">
        <w:trPr>
          <w:cantSplit/>
        </w:trPr>
        <w:tc>
          <w:tcPr>
            <w:tcW w:w="5245" w:type="dxa"/>
            <w:tcBorders>
              <w:top w:val="nil"/>
              <w:left w:val="nil"/>
              <w:bottom w:val="nil"/>
            </w:tcBorders>
            <w:shd w:val="solid" w:color="FFFFFF" w:fill="auto"/>
          </w:tcPr>
          <w:p w14:paraId="0043FF06" w14:textId="77777777" w:rsidR="00716D48" w:rsidRPr="00BC0D1F" w:rsidRDefault="00716D48" w:rsidP="00D543B3">
            <w:pPr>
              <w:pStyle w:val="TableText"/>
            </w:pPr>
            <w:r w:rsidRPr="00BC0D1F">
              <w:t>Amortisation expense</w:t>
            </w:r>
          </w:p>
        </w:tc>
        <w:tc>
          <w:tcPr>
            <w:tcW w:w="1370" w:type="dxa"/>
            <w:tcBorders>
              <w:top w:val="nil"/>
              <w:bottom w:val="nil"/>
            </w:tcBorders>
            <w:shd w:val="clear" w:color="auto" w:fill="auto"/>
          </w:tcPr>
          <w:p w14:paraId="4B9B3636" w14:textId="77777777" w:rsidR="00716D48" w:rsidRPr="00BC0D1F" w:rsidRDefault="00716D48" w:rsidP="00716D48">
            <w:pPr>
              <w:pStyle w:val="TableText"/>
              <w:jc w:val="right"/>
            </w:pPr>
            <w:r w:rsidRPr="00BC0D1F">
              <w:t>1,492</w:t>
            </w:r>
          </w:p>
        </w:tc>
        <w:tc>
          <w:tcPr>
            <w:tcW w:w="1370" w:type="dxa"/>
            <w:tcBorders>
              <w:top w:val="nil"/>
              <w:bottom w:val="nil"/>
            </w:tcBorders>
            <w:shd w:val="clear" w:color="auto" w:fill="auto"/>
          </w:tcPr>
          <w:p w14:paraId="1C7B95D4" w14:textId="77777777" w:rsidR="00716D48" w:rsidRPr="00BC0D1F" w:rsidRDefault="00716D48" w:rsidP="00716D48">
            <w:pPr>
              <w:pStyle w:val="TableText"/>
              <w:jc w:val="right"/>
            </w:pPr>
            <w:r w:rsidRPr="00BC0D1F">
              <w:t>5,941</w:t>
            </w:r>
          </w:p>
        </w:tc>
        <w:tc>
          <w:tcPr>
            <w:tcW w:w="1371" w:type="dxa"/>
            <w:tcBorders>
              <w:top w:val="nil"/>
              <w:bottom w:val="nil"/>
            </w:tcBorders>
            <w:shd w:val="clear" w:color="auto" w:fill="auto"/>
          </w:tcPr>
          <w:p w14:paraId="4C2FB092" w14:textId="77777777" w:rsidR="00716D48" w:rsidRPr="00BC0D1F" w:rsidRDefault="00716D48" w:rsidP="00716D48">
            <w:pPr>
              <w:pStyle w:val="TableText"/>
              <w:jc w:val="right"/>
            </w:pPr>
            <w:r w:rsidRPr="00BC0D1F">
              <w:t>7,433</w:t>
            </w:r>
          </w:p>
        </w:tc>
      </w:tr>
      <w:tr w:rsidR="00716D48" w:rsidRPr="00BC0D1F" w14:paraId="049C9521" w14:textId="77777777" w:rsidTr="00716D48">
        <w:trPr>
          <w:cantSplit/>
        </w:trPr>
        <w:tc>
          <w:tcPr>
            <w:tcW w:w="5245" w:type="dxa"/>
            <w:tcBorders>
              <w:top w:val="nil"/>
              <w:left w:val="nil"/>
              <w:bottom w:val="nil"/>
            </w:tcBorders>
            <w:shd w:val="solid" w:color="FFFFFF" w:fill="auto"/>
          </w:tcPr>
          <w:p w14:paraId="733F7D20" w14:textId="77777777" w:rsidR="00716D48" w:rsidRPr="00BC0D1F" w:rsidRDefault="00716D48" w:rsidP="00D543B3">
            <w:pPr>
              <w:pStyle w:val="TableText"/>
            </w:pPr>
            <w:r w:rsidRPr="00BC0D1F">
              <w:t>Disposals</w:t>
            </w:r>
          </w:p>
        </w:tc>
        <w:tc>
          <w:tcPr>
            <w:tcW w:w="1370" w:type="dxa"/>
            <w:tcBorders>
              <w:top w:val="nil"/>
              <w:bottom w:val="nil"/>
            </w:tcBorders>
            <w:shd w:val="clear" w:color="auto" w:fill="auto"/>
          </w:tcPr>
          <w:p w14:paraId="65B02983" w14:textId="77777777" w:rsidR="00716D48" w:rsidRPr="00BC0D1F" w:rsidRDefault="00716D48" w:rsidP="00716D48">
            <w:pPr>
              <w:pStyle w:val="TableText"/>
              <w:jc w:val="right"/>
            </w:pPr>
            <w:r w:rsidRPr="00BC0D1F">
              <w:t>–</w:t>
            </w:r>
          </w:p>
        </w:tc>
        <w:tc>
          <w:tcPr>
            <w:tcW w:w="1370" w:type="dxa"/>
            <w:tcBorders>
              <w:top w:val="nil"/>
              <w:bottom w:val="nil"/>
            </w:tcBorders>
            <w:shd w:val="clear" w:color="auto" w:fill="auto"/>
          </w:tcPr>
          <w:p w14:paraId="32356E38" w14:textId="77777777" w:rsidR="00716D48" w:rsidRPr="00BC0D1F" w:rsidRDefault="00716D48" w:rsidP="00716D48">
            <w:pPr>
              <w:pStyle w:val="TableText"/>
              <w:jc w:val="right"/>
            </w:pPr>
            <w:r w:rsidRPr="00BC0D1F">
              <w:t>(490)</w:t>
            </w:r>
          </w:p>
        </w:tc>
        <w:tc>
          <w:tcPr>
            <w:tcW w:w="1371" w:type="dxa"/>
            <w:tcBorders>
              <w:top w:val="nil"/>
              <w:bottom w:val="nil"/>
            </w:tcBorders>
            <w:shd w:val="clear" w:color="auto" w:fill="auto"/>
          </w:tcPr>
          <w:p w14:paraId="46D215D6" w14:textId="77777777" w:rsidR="00716D48" w:rsidRPr="00BC0D1F" w:rsidRDefault="00716D48" w:rsidP="00716D48">
            <w:pPr>
              <w:pStyle w:val="TableText"/>
              <w:jc w:val="right"/>
            </w:pPr>
            <w:r w:rsidRPr="00BC0D1F">
              <w:t>(490)</w:t>
            </w:r>
          </w:p>
        </w:tc>
      </w:tr>
      <w:tr w:rsidR="00716D48" w:rsidRPr="00BC0D1F" w14:paraId="395D1206" w14:textId="77777777" w:rsidTr="00716D48">
        <w:trPr>
          <w:cantSplit/>
        </w:trPr>
        <w:tc>
          <w:tcPr>
            <w:tcW w:w="5245" w:type="dxa"/>
            <w:tcBorders>
              <w:top w:val="nil"/>
              <w:left w:val="nil"/>
              <w:bottom w:val="nil"/>
            </w:tcBorders>
            <w:shd w:val="solid" w:color="FFFFFF" w:fill="auto"/>
          </w:tcPr>
          <w:p w14:paraId="0611B310" w14:textId="77777777" w:rsidR="00716D48" w:rsidRPr="00BC0D1F" w:rsidRDefault="00716D48" w:rsidP="00D543B3">
            <w:pPr>
              <w:pStyle w:val="TableText"/>
            </w:pPr>
            <w:r w:rsidRPr="00BC0D1F">
              <w:t>Transfers</w:t>
            </w:r>
          </w:p>
        </w:tc>
        <w:tc>
          <w:tcPr>
            <w:tcW w:w="1370" w:type="dxa"/>
            <w:tcBorders>
              <w:top w:val="nil"/>
              <w:bottom w:val="nil"/>
            </w:tcBorders>
            <w:shd w:val="clear" w:color="auto" w:fill="auto"/>
          </w:tcPr>
          <w:p w14:paraId="700F1665" w14:textId="77777777" w:rsidR="00716D48" w:rsidRPr="00BC0D1F" w:rsidRDefault="00716D48" w:rsidP="00716D48">
            <w:pPr>
              <w:pStyle w:val="TableText"/>
              <w:jc w:val="right"/>
            </w:pPr>
            <w:r w:rsidRPr="00BC0D1F">
              <w:t>–</w:t>
            </w:r>
          </w:p>
        </w:tc>
        <w:tc>
          <w:tcPr>
            <w:tcW w:w="1370" w:type="dxa"/>
            <w:tcBorders>
              <w:top w:val="nil"/>
              <w:bottom w:val="nil"/>
            </w:tcBorders>
            <w:shd w:val="clear" w:color="auto" w:fill="auto"/>
          </w:tcPr>
          <w:p w14:paraId="0DDB19A1" w14:textId="77777777" w:rsidR="00716D48" w:rsidRPr="00BC0D1F" w:rsidRDefault="00716D48" w:rsidP="00716D48">
            <w:pPr>
              <w:pStyle w:val="TableText"/>
              <w:jc w:val="right"/>
            </w:pPr>
            <w:r w:rsidRPr="00BC0D1F">
              <w:t>–</w:t>
            </w:r>
          </w:p>
        </w:tc>
        <w:tc>
          <w:tcPr>
            <w:tcW w:w="1371" w:type="dxa"/>
            <w:tcBorders>
              <w:top w:val="nil"/>
              <w:bottom w:val="nil"/>
            </w:tcBorders>
            <w:shd w:val="clear" w:color="auto" w:fill="auto"/>
          </w:tcPr>
          <w:p w14:paraId="2972EF8F" w14:textId="77777777" w:rsidR="00716D48" w:rsidRPr="00BC0D1F" w:rsidRDefault="00716D48" w:rsidP="00716D48">
            <w:pPr>
              <w:pStyle w:val="TableText"/>
              <w:jc w:val="right"/>
            </w:pPr>
            <w:r w:rsidRPr="00BC0D1F">
              <w:t>–</w:t>
            </w:r>
          </w:p>
        </w:tc>
      </w:tr>
      <w:tr w:rsidR="00716D48" w:rsidRPr="00BC0D1F" w14:paraId="40C985F6" w14:textId="77777777" w:rsidTr="00716D48">
        <w:trPr>
          <w:cantSplit/>
        </w:trPr>
        <w:tc>
          <w:tcPr>
            <w:tcW w:w="5245" w:type="dxa"/>
            <w:tcBorders>
              <w:top w:val="nil"/>
              <w:left w:val="nil"/>
              <w:bottom w:val="nil"/>
            </w:tcBorders>
            <w:shd w:val="solid" w:color="FFFFFF" w:fill="auto"/>
          </w:tcPr>
          <w:p w14:paraId="42893830" w14:textId="77777777" w:rsidR="00716D48" w:rsidRPr="00BC0D1F" w:rsidRDefault="00716D48" w:rsidP="00D543B3">
            <w:pPr>
              <w:pStyle w:val="TableText"/>
              <w:rPr>
                <w:b/>
              </w:rPr>
            </w:pPr>
            <w:r w:rsidRPr="00BC0D1F">
              <w:rPr>
                <w:b/>
              </w:rPr>
              <w:t>Balance as at 30 June 2016</w:t>
            </w:r>
          </w:p>
        </w:tc>
        <w:tc>
          <w:tcPr>
            <w:tcW w:w="1370" w:type="dxa"/>
            <w:tcBorders>
              <w:top w:val="nil"/>
              <w:bottom w:val="nil"/>
            </w:tcBorders>
            <w:shd w:val="clear" w:color="auto" w:fill="D9D9D9"/>
          </w:tcPr>
          <w:p w14:paraId="253D5245" w14:textId="77777777" w:rsidR="00716D48" w:rsidRPr="00BC0D1F" w:rsidRDefault="00716D48" w:rsidP="00716D48">
            <w:pPr>
              <w:pStyle w:val="TableText"/>
              <w:jc w:val="right"/>
              <w:rPr>
                <w:b/>
              </w:rPr>
            </w:pPr>
            <w:r w:rsidRPr="00BC0D1F">
              <w:rPr>
                <w:b/>
              </w:rPr>
              <w:t>18,712</w:t>
            </w:r>
          </w:p>
        </w:tc>
        <w:tc>
          <w:tcPr>
            <w:tcW w:w="1370" w:type="dxa"/>
            <w:tcBorders>
              <w:top w:val="nil"/>
              <w:bottom w:val="nil"/>
            </w:tcBorders>
            <w:shd w:val="clear" w:color="auto" w:fill="D9D9D9"/>
          </w:tcPr>
          <w:p w14:paraId="3C89E9D3" w14:textId="77777777" w:rsidR="00716D48" w:rsidRPr="00BC0D1F" w:rsidRDefault="00716D48" w:rsidP="00716D48">
            <w:pPr>
              <w:pStyle w:val="TableText"/>
              <w:jc w:val="right"/>
              <w:rPr>
                <w:b/>
              </w:rPr>
            </w:pPr>
            <w:r w:rsidRPr="00BC0D1F">
              <w:rPr>
                <w:b/>
              </w:rPr>
              <w:t>40,251</w:t>
            </w:r>
          </w:p>
        </w:tc>
        <w:tc>
          <w:tcPr>
            <w:tcW w:w="1371" w:type="dxa"/>
            <w:tcBorders>
              <w:top w:val="nil"/>
              <w:bottom w:val="nil"/>
            </w:tcBorders>
            <w:shd w:val="clear" w:color="auto" w:fill="D9D9D9"/>
          </w:tcPr>
          <w:p w14:paraId="11DC0571" w14:textId="77777777" w:rsidR="00716D48" w:rsidRPr="00BC0D1F" w:rsidRDefault="00716D48" w:rsidP="00716D48">
            <w:pPr>
              <w:pStyle w:val="TableText"/>
              <w:jc w:val="right"/>
              <w:rPr>
                <w:b/>
              </w:rPr>
            </w:pPr>
            <w:r w:rsidRPr="00BC0D1F">
              <w:rPr>
                <w:b/>
              </w:rPr>
              <w:t>58,963</w:t>
            </w:r>
          </w:p>
        </w:tc>
      </w:tr>
      <w:tr w:rsidR="00716D48" w:rsidRPr="00BC0D1F" w14:paraId="27B957F9" w14:textId="77777777" w:rsidTr="00716D48">
        <w:trPr>
          <w:cantSplit/>
        </w:trPr>
        <w:tc>
          <w:tcPr>
            <w:tcW w:w="5245" w:type="dxa"/>
            <w:tcBorders>
              <w:top w:val="nil"/>
              <w:left w:val="nil"/>
              <w:bottom w:val="nil"/>
            </w:tcBorders>
            <w:shd w:val="solid" w:color="FFFFFF" w:fill="auto"/>
          </w:tcPr>
          <w:p w14:paraId="0E24F3E7" w14:textId="77777777" w:rsidR="00716D48" w:rsidRPr="00BC0D1F" w:rsidRDefault="00716D48" w:rsidP="00716D48">
            <w:pPr>
              <w:pStyle w:val="TableText"/>
              <w:spacing w:before="240"/>
              <w:rPr>
                <w:b/>
              </w:rPr>
            </w:pPr>
            <w:r w:rsidRPr="00BC0D1F">
              <w:rPr>
                <w:b/>
              </w:rPr>
              <w:t>Carrying amounts (includes work in progress)</w:t>
            </w:r>
          </w:p>
        </w:tc>
        <w:tc>
          <w:tcPr>
            <w:tcW w:w="1370" w:type="dxa"/>
            <w:tcBorders>
              <w:top w:val="nil"/>
              <w:bottom w:val="nil"/>
            </w:tcBorders>
            <w:shd w:val="clear" w:color="auto" w:fill="auto"/>
          </w:tcPr>
          <w:p w14:paraId="3AADADF9" w14:textId="77777777" w:rsidR="00716D48" w:rsidRPr="00BC0D1F" w:rsidRDefault="00716D48" w:rsidP="00716D48">
            <w:pPr>
              <w:pStyle w:val="TableText"/>
              <w:spacing w:before="240"/>
              <w:jc w:val="right"/>
              <w:rPr>
                <w:b/>
              </w:rPr>
            </w:pPr>
          </w:p>
        </w:tc>
        <w:tc>
          <w:tcPr>
            <w:tcW w:w="1370" w:type="dxa"/>
            <w:tcBorders>
              <w:top w:val="nil"/>
              <w:bottom w:val="nil"/>
            </w:tcBorders>
            <w:shd w:val="clear" w:color="auto" w:fill="auto"/>
          </w:tcPr>
          <w:p w14:paraId="33F8071E" w14:textId="77777777" w:rsidR="00716D48" w:rsidRPr="00BC0D1F" w:rsidRDefault="00716D48" w:rsidP="00716D48">
            <w:pPr>
              <w:pStyle w:val="TableText"/>
              <w:spacing w:before="240"/>
              <w:jc w:val="right"/>
              <w:rPr>
                <w:b/>
              </w:rPr>
            </w:pPr>
          </w:p>
        </w:tc>
        <w:tc>
          <w:tcPr>
            <w:tcW w:w="1371" w:type="dxa"/>
            <w:tcBorders>
              <w:top w:val="nil"/>
              <w:bottom w:val="nil"/>
            </w:tcBorders>
            <w:shd w:val="clear" w:color="auto" w:fill="auto"/>
          </w:tcPr>
          <w:p w14:paraId="4D35E5AF" w14:textId="77777777" w:rsidR="00716D48" w:rsidRPr="00BC0D1F" w:rsidRDefault="00716D48" w:rsidP="00716D48">
            <w:pPr>
              <w:pStyle w:val="TableText"/>
              <w:spacing w:before="240"/>
              <w:jc w:val="right"/>
              <w:rPr>
                <w:b/>
              </w:rPr>
            </w:pPr>
          </w:p>
        </w:tc>
      </w:tr>
      <w:tr w:rsidR="00716D48" w:rsidRPr="00BC0D1F" w14:paraId="6C6C59B7" w14:textId="77777777" w:rsidTr="00716D48">
        <w:trPr>
          <w:cantSplit/>
        </w:trPr>
        <w:tc>
          <w:tcPr>
            <w:tcW w:w="5245" w:type="dxa"/>
            <w:tcBorders>
              <w:top w:val="nil"/>
              <w:left w:val="nil"/>
              <w:bottom w:val="nil"/>
            </w:tcBorders>
            <w:shd w:val="solid" w:color="FFFFFF" w:fill="auto"/>
          </w:tcPr>
          <w:p w14:paraId="0C70A66E" w14:textId="77777777" w:rsidR="00716D48" w:rsidRPr="00BC0D1F" w:rsidRDefault="00716D48" w:rsidP="00D543B3">
            <w:pPr>
              <w:pStyle w:val="TableText"/>
            </w:pPr>
            <w:r w:rsidRPr="00BC0D1F">
              <w:t>At 30 June 2014</w:t>
            </w:r>
          </w:p>
        </w:tc>
        <w:tc>
          <w:tcPr>
            <w:tcW w:w="1370" w:type="dxa"/>
            <w:tcBorders>
              <w:top w:val="nil"/>
              <w:bottom w:val="nil"/>
            </w:tcBorders>
            <w:shd w:val="clear" w:color="auto" w:fill="auto"/>
          </w:tcPr>
          <w:p w14:paraId="58AD7B90" w14:textId="77777777" w:rsidR="00716D48" w:rsidRPr="00BC0D1F" w:rsidRDefault="00716D48" w:rsidP="00716D48">
            <w:pPr>
              <w:pStyle w:val="TableText"/>
              <w:jc w:val="right"/>
            </w:pPr>
            <w:r w:rsidRPr="00BC0D1F">
              <w:t>3,383</w:t>
            </w:r>
          </w:p>
        </w:tc>
        <w:tc>
          <w:tcPr>
            <w:tcW w:w="1370" w:type="dxa"/>
            <w:tcBorders>
              <w:top w:val="nil"/>
              <w:bottom w:val="nil"/>
            </w:tcBorders>
            <w:shd w:val="clear" w:color="auto" w:fill="auto"/>
          </w:tcPr>
          <w:p w14:paraId="126A2698" w14:textId="77777777" w:rsidR="00716D48" w:rsidRPr="00BC0D1F" w:rsidRDefault="00716D48" w:rsidP="00716D48">
            <w:pPr>
              <w:pStyle w:val="TableText"/>
              <w:jc w:val="right"/>
            </w:pPr>
            <w:r w:rsidRPr="00BC0D1F">
              <w:t>32,280</w:t>
            </w:r>
          </w:p>
        </w:tc>
        <w:tc>
          <w:tcPr>
            <w:tcW w:w="1371" w:type="dxa"/>
            <w:tcBorders>
              <w:top w:val="nil"/>
              <w:bottom w:val="nil"/>
            </w:tcBorders>
            <w:shd w:val="clear" w:color="auto" w:fill="auto"/>
          </w:tcPr>
          <w:p w14:paraId="0D57628C" w14:textId="77777777" w:rsidR="00716D48" w:rsidRPr="00BC0D1F" w:rsidRDefault="00716D48" w:rsidP="00716D48">
            <w:pPr>
              <w:pStyle w:val="TableText"/>
              <w:jc w:val="right"/>
            </w:pPr>
            <w:r w:rsidRPr="00BC0D1F">
              <w:t>35,663</w:t>
            </w:r>
          </w:p>
        </w:tc>
      </w:tr>
      <w:tr w:rsidR="00716D48" w:rsidRPr="00BC0D1F" w14:paraId="66791710" w14:textId="77777777" w:rsidTr="00716D48">
        <w:trPr>
          <w:cantSplit/>
        </w:trPr>
        <w:tc>
          <w:tcPr>
            <w:tcW w:w="5245" w:type="dxa"/>
            <w:tcBorders>
              <w:top w:val="nil"/>
              <w:left w:val="nil"/>
              <w:bottom w:val="nil"/>
            </w:tcBorders>
            <w:shd w:val="solid" w:color="FFFFFF" w:fill="auto"/>
          </w:tcPr>
          <w:p w14:paraId="13BABEEA" w14:textId="77777777" w:rsidR="00716D48" w:rsidRPr="00BC0D1F" w:rsidRDefault="00716D48" w:rsidP="00D543B3">
            <w:pPr>
              <w:pStyle w:val="TableText"/>
            </w:pPr>
            <w:r w:rsidRPr="00BC0D1F">
              <w:t>At 30 June 2015</w:t>
            </w:r>
          </w:p>
        </w:tc>
        <w:tc>
          <w:tcPr>
            <w:tcW w:w="1370" w:type="dxa"/>
            <w:tcBorders>
              <w:top w:val="nil"/>
              <w:bottom w:val="nil"/>
            </w:tcBorders>
          </w:tcPr>
          <w:p w14:paraId="7E3ACD2D" w14:textId="77777777" w:rsidR="00716D48" w:rsidRPr="00BC0D1F" w:rsidRDefault="00716D48" w:rsidP="00716D48">
            <w:pPr>
              <w:pStyle w:val="TableText"/>
              <w:jc w:val="right"/>
            </w:pPr>
            <w:r w:rsidRPr="00BC0D1F">
              <w:t>1,718</w:t>
            </w:r>
          </w:p>
        </w:tc>
        <w:tc>
          <w:tcPr>
            <w:tcW w:w="1370" w:type="dxa"/>
            <w:tcBorders>
              <w:top w:val="nil"/>
              <w:bottom w:val="nil"/>
            </w:tcBorders>
          </w:tcPr>
          <w:p w14:paraId="30DE4410" w14:textId="77777777" w:rsidR="00716D48" w:rsidRPr="00BC0D1F" w:rsidRDefault="00716D48" w:rsidP="00716D48">
            <w:pPr>
              <w:pStyle w:val="TableText"/>
              <w:jc w:val="right"/>
            </w:pPr>
            <w:r w:rsidRPr="00BC0D1F">
              <w:t>33,607</w:t>
            </w:r>
          </w:p>
        </w:tc>
        <w:tc>
          <w:tcPr>
            <w:tcW w:w="1371" w:type="dxa"/>
            <w:tcBorders>
              <w:top w:val="nil"/>
              <w:bottom w:val="nil"/>
            </w:tcBorders>
          </w:tcPr>
          <w:p w14:paraId="59E5F872" w14:textId="77777777" w:rsidR="00716D48" w:rsidRPr="00BC0D1F" w:rsidRDefault="00716D48" w:rsidP="00716D48">
            <w:pPr>
              <w:pStyle w:val="TableText"/>
              <w:jc w:val="right"/>
            </w:pPr>
            <w:r w:rsidRPr="00BC0D1F">
              <w:t>35,325</w:t>
            </w:r>
          </w:p>
        </w:tc>
      </w:tr>
      <w:tr w:rsidR="00716D48" w:rsidRPr="00BC0D1F" w14:paraId="38328D71" w14:textId="77777777" w:rsidTr="00716D48">
        <w:trPr>
          <w:cantSplit/>
        </w:trPr>
        <w:tc>
          <w:tcPr>
            <w:tcW w:w="5245" w:type="dxa"/>
            <w:tcBorders>
              <w:top w:val="nil"/>
              <w:left w:val="nil"/>
              <w:bottom w:val="nil"/>
            </w:tcBorders>
            <w:shd w:val="solid" w:color="FFFFFF" w:fill="auto"/>
          </w:tcPr>
          <w:p w14:paraId="4E769EFF" w14:textId="77777777" w:rsidR="00716D48" w:rsidRPr="00BC0D1F" w:rsidRDefault="00716D48" w:rsidP="00D543B3">
            <w:pPr>
              <w:pStyle w:val="TableText"/>
            </w:pPr>
            <w:r w:rsidRPr="00BC0D1F">
              <w:t>At 30 June 2016</w:t>
            </w:r>
          </w:p>
        </w:tc>
        <w:tc>
          <w:tcPr>
            <w:tcW w:w="1370" w:type="dxa"/>
            <w:tcBorders>
              <w:top w:val="nil"/>
              <w:bottom w:val="nil"/>
            </w:tcBorders>
            <w:shd w:val="clear" w:color="auto" w:fill="D9D9D9"/>
          </w:tcPr>
          <w:p w14:paraId="37BE82D7" w14:textId="77777777" w:rsidR="00716D48" w:rsidRPr="00BC0D1F" w:rsidRDefault="00716D48" w:rsidP="00716D48">
            <w:pPr>
              <w:pStyle w:val="TableText"/>
              <w:jc w:val="right"/>
              <w:rPr>
                <w:b/>
              </w:rPr>
            </w:pPr>
            <w:r w:rsidRPr="00BC0D1F">
              <w:rPr>
                <w:b/>
              </w:rPr>
              <w:t>355</w:t>
            </w:r>
          </w:p>
        </w:tc>
        <w:tc>
          <w:tcPr>
            <w:tcW w:w="1370" w:type="dxa"/>
            <w:tcBorders>
              <w:top w:val="nil"/>
              <w:bottom w:val="nil"/>
            </w:tcBorders>
            <w:shd w:val="clear" w:color="auto" w:fill="D9D9D9"/>
          </w:tcPr>
          <w:p w14:paraId="22AE42A8" w14:textId="77777777" w:rsidR="00716D48" w:rsidRPr="00BC0D1F" w:rsidRDefault="00716D48" w:rsidP="00716D48">
            <w:pPr>
              <w:pStyle w:val="TableText"/>
              <w:jc w:val="right"/>
              <w:rPr>
                <w:b/>
              </w:rPr>
            </w:pPr>
            <w:r w:rsidRPr="00BC0D1F">
              <w:rPr>
                <w:b/>
              </w:rPr>
              <w:t>33,884</w:t>
            </w:r>
          </w:p>
        </w:tc>
        <w:tc>
          <w:tcPr>
            <w:tcW w:w="1371" w:type="dxa"/>
            <w:tcBorders>
              <w:top w:val="nil"/>
              <w:bottom w:val="nil"/>
            </w:tcBorders>
            <w:shd w:val="clear" w:color="auto" w:fill="D9D9D9"/>
          </w:tcPr>
          <w:p w14:paraId="123FE4A0" w14:textId="77777777" w:rsidR="00716D48" w:rsidRPr="00BC0D1F" w:rsidRDefault="00716D48" w:rsidP="00716D48">
            <w:pPr>
              <w:pStyle w:val="TableText"/>
              <w:jc w:val="right"/>
              <w:rPr>
                <w:b/>
              </w:rPr>
            </w:pPr>
            <w:r w:rsidRPr="00BC0D1F">
              <w:rPr>
                <w:b/>
              </w:rPr>
              <w:t>34,239</w:t>
            </w:r>
          </w:p>
        </w:tc>
      </w:tr>
      <w:tr w:rsidR="00716D48" w:rsidRPr="00BC0D1F" w14:paraId="5B146ACB" w14:textId="77777777" w:rsidTr="00716D48">
        <w:trPr>
          <w:cantSplit/>
        </w:trPr>
        <w:tc>
          <w:tcPr>
            <w:tcW w:w="5245" w:type="dxa"/>
            <w:tcBorders>
              <w:top w:val="nil"/>
              <w:left w:val="nil"/>
              <w:bottom w:val="nil"/>
            </w:tcBorders>
            <w:shd w:val="solid" w:color="FFFFFF" w:fill="auto"/>
          </w:tcPr>
          <w:p w14:paraId="0668EE30" w14:textId="77777777" w:rsidR="00716D48" w:rsidRPr="00BC0D1F" w:rsidRDefault="00716D48" w:rsidP="00716D48">
            <w:pPr>
              <w:pStyle w:val="TableText"/>
              <w:spacing w:before="240"/>
              <w:rPr>
                <w:b/>
              </w:rPr>
            </w:pPr>
            <w:r w:rsidRPr="00BC0D1F">
              <w:rPr>
                <w:b/>
              </w:rPr>
              <w:t>Work in progress</w:t>
            </w:r>
          </w:p>
        </w:tc>
        <w:tc>
          <w:tcPr>
            <w:tcW w:w="1370" w:type="dxa"/>
            <w:tcBorders>
              <w:top w:val="nil"/>
              <w:bottom w:val="nil"/>
            </w:tcBorders>
          </w:tcPr>
          <w:p w14:paraId="02865B84" w14:textId="77777777" w:rsidR="00716D48" w:rsidRPr="00BC0D1F" w:rsidRDefault="00716D48" w:rsidP="00716D48">
            <w:pPr>
              <w:pStyle w:val="TableText"/>
              <w:spacing w:before="240"/>
              <w:jc w:val="right"/>
              <w:rPr>
                <w:b/>
              </w:rPr>
            </w:pPr>
          </w:p>
        </w:tc>
        <w:tc>
          <w:tcPr>
            <w:tcW w:w="1370" w:type="dxa"/>
            <w:tcBorders>
              <w:top w:val="nil"/>
              <w:bottom w:val="nil"/>
            </w:tcBorders>
          </w:tcPr>
          <w:p w14:paraId="777193A4" w14:textId="77777777" w:rsidR="00716D48" w:rsidRPr="00BC0D1F" w:rsidRDefault="00716D48" w:rsidP="00716D48">
            <w:pPr>
              <w:pStyle w:val="TableText"/>
              <w:spacing w:before="240"/>
              <w:jc w:val="right"/>
              <w:rPr>
                <w:b/>
              </w:rPr>
            </w:pPr>
          </w:p>
        </w:tc>
        <w:tc>
          <w:tcPr>
            <w:tcW w:w="1371" w:type="dxa"/>
            <w:tcBorders>
              <w:top w:val="nil"/>
              <w:bottom w:val="nil"/>
            </w:tcBorders>
          </w:tcPr>
          <w:p w14:paraId="5B39FFBA" w14:textId="77777777" w:rsidR="00716D48" w:rsidRPr="00BC0D1F" w:rsidRDefault="00716D48" w:rsidP="00716D48">
            <w:pPr>
              <w:pStyle w:val="TableText"/>
              <w:spacing w:before="240"/>
              <w:jc w:val="right"/>
              <w:rPr>
                <w:b/>
              </w:rPr>
            </w:pPr>
          </w:p>
        </w:tc>
      </w:tr>
      <w:tr w:rsidR="00716D48" w:rsidRPr="00BC0D1F" w14:paraId="6822CC3F" w14:textId="77777777" w:rsidTr="00716D48">
        <w:trPr>
          <w:cantSplit/>
        </w:trPr>
        <w:tc>
          <w:tcPr>
            <w:tcW w:w="5245" w:type="dxa"/>
            <w:tcBorders>
              <w:top w:val="nil"/>
              <w:left w:val="nil"/>
              <w:bottom w:val="nil"/>
            </w:tcBorders>
            <w:shd w:val="solid" w:color="FFFFFF" w:fill="auto"/>
          </w:tcPr>
          <w:p w14:paraId="3951E0FD" w14:textId="77777777" w:rsidR="00716D48" w:rsidRPr="00BC0D1F" w:rsidRDefault="00716D48" w:rsidP="00D543B3">
            <w:pPr>
              <w:pStyle w:val="TableText"/>
            </w:pPr>
            <w:r w:rsidRPr="00BC0D1F">
              <w:t>At 30 June 2014</w:t>
            </w:r>
          </w:p>
        </w:tc>
        <w:tc>
          <w:tcPr>
            <w:tcW w:w="1370" w:type="dxa"/>
            <w:tcBorders>
              <w:top w:val="nil"/>
              <w:bottom w:val="nil"/>
            </w:tcBorders>
            <w:shd w:val="clear" w:color="auto" w:fill="auto"/>
          </w:tcPr>
          <w:p w14:paraId="15310B53" w14:textId="77777777" w:rsidR="00716D48" w:rsidRPr="00BC0D1F" w:rsidRDefault="00716D48" w:rsidP="00716D48">
            <w:pPr>
              <w:pStyle w:val="TableText"/>
              <w:jc w:val="right"/>
            </w:pPr>
            <w:r w:rsidRPr="00BC0D1F">
              <w:t>–</w:t>
            </w:r>
          </w:p>
        </w:tc>
        <w:tc>
          <w:tcPr>
            <w:tcW w:w="1370" w:type="dxa"/>
            <w:tcBorders>
              <w:top w:val="nil"/>
              <w:bottom w:val="nil"/>
            </w:tcBorders>
            <w:shd w:val="clear" w:color="auto" w:fill="auto"/>
          </w:tcPr>
          <w:p w14:paraId="158C3896" w14:textId="77777777" w:rsidR="00716D48" w:rsidRPr="00BC0D1F" w:rsidRDefault="00716D48" w:rsidP="00716D48">
            <w:pPr>
              <w:pStyle w:val="TableText"/>
              <w:jc w:val="right"/>
            </w:pPr>
            <w:r w:rsidRPr="00BC0D1F">
              <w:t>11,344</w:t>
            </w:r>
          </w:p>
        </w:tc>
        <w:tc>
          <w:tcPr>
            <w:tcW w:w="1371" w:type="dxa"/>
            <w:tcBorders>
              <w:top w:val="nil"/>
              <w:bottom w:val="nil"/>
            </w:tcBorders>
            <w:shd w:val="clear" w:color="auto" w:fill="auto"/>
          </w:tcPr>
          <w:p w14:paraId="3F638645" w14:textId="77777777" w:rsidR="00716D48" w:rsidRPr="00BC0D1F" w:rsidRDefault="00716D48" w:rsidP="00716D48">
            <w:pPr>
              <w:pStyle w:val="TableText"/>
              <w:jc w:val="right"/>
            </w:pPr>
            <w:r w:rsidRPr="00BC0D1F">
              <w:t>11,344</w:t>
            </w:r>
          </w:p>
        </w:tc>
      </w:tr>
      <w:tr w:rsidR="00716D48" w:rsidRPr="00BC0D1F" w14:paraId="5F927DF4" w14:textId="77777777" w:rsidTr="00716D48">
        <w:trPr>
          <w:cantSplit/>
        </w:trPr>
        <w:tc>
          <w:tcPr>
            <w:tcW w:w="5245" w:type="dxa"/>
            <w:tcBorders>
              <w:top w:val="nil"/>
              <w:left w:val="nil"/>
              <w:bottom w:val="nil"/>
            </w:tcBorders>
            <w:shd w:val="solid" w:color="FFFFFF" w:fill="auto"/>
          </w:tcPr>
          <w:p w14:paraId="1A027C28" w14:textId="77777777" w:rsidR="00716D48" w:rsidRPr="00BC0D1F" w:rsidRDefault="00716D48" w:rsidP="00D543B3">
            <w:pPr>
              <w:pStyle w:val="TableText"/>
            </w:pPr>
            <w:r w:rsidRPr="00BC0D1F">
              <w:t>At 30 June 2015</w:t>
            </w:r>
          </w:p>
        </w:tc>
        <w:tc>
          <w:tcPr>
            <w:tcW w:w="1370" w:type="dxa"/>
            <w:tcBorders>
              <w:top w:val="nil"/>
              <w:bottom w:val="nil"/>
            </w:tcBorders>
          </w:tcPr>
          <w:p w14:paraId="6C61DA41" w14:textId="77777777" w:rsidR="00716D48" w:rsidRPr="00BC0D1F" w:rsidRDefault="00716D48" w:rsidP="00716D48">
            <w:pPr>
              <w:pStyle w:val="TableText"/>
              <w:jc w:val="right"/>
            </w:pPr>
            <w:r w:rsidRPr="00BC0D1F">
              <w:t>–</w:t>
            </w:r>
          </w:p>
        </w:tc>
        <w:tc>
          <w:tcPr>
            <w:tcW w:w="1370" w:type="dxa"/>
            <w:tcBorders>
              <w:top w:val="nil"/>
              <w:bottom w:val="nil"/>
            </w:tcBorders>
          </w:tcPr>
          <w:p w14:paraId="00FED3A6" w14:textId="77777777" w:rsidR="00716D48" w:rsidRPr="00BC0D1F" w:rsidRDefault="00716D48" w:rsidP="00716D48">
            <w:pPr>
              <w:pStyle w:val="TableText"/>
              <w:jc w:val="right"/>
            </w:pPr>
            <w:r w:rsidRPr="00BC0D1F">
              <w:t>10,998</w:t>
            </w:r>
          </w:p>
        </w:tc>
        <w:tc>
          <w:tcPr>
            <w:tcW w:w="1371" w:type="dxa"/>
            <w:tcBorders>
              <w:top w:val="nil"/>
              <w:bottom w:val="nil"/>
            </w:tcBorders>
          </w:tcPr>
          <w:p w14:paraId="4B0A274C" w14:textId="77777777" w:rsidR="00716D48" w:rsidRPr="00BC0D1F" w:rsidRDefault="00716D48" w:rsidP="00716D48">
            <w:pPr>
              <w:pStyle w:val="TableText"/>
              <w:jc w:val="right"/>
            </w:pPr>
            <w:r w:rsidRPr="00BC0D1F">
              <w:t>10,998</w:t>
            </w:r>
          </w:p>
        </w:tc>
      </w:tr>
      <w:tr w:rsidR="00716D48" w:rsidRPr="00BC0D1F" w14:paraId="2E8AD513" w14:textId="77777777" w:rsidTr="00716D48">
        <w:trPr>
          <w:cantSplit/>
        </w:trPr>
        <w:tc>
          <w:tcPr>
            <w:tcW w:w="5245" w:type="dxa"/>
            <w:tcBorders>
              <w:top w:val="nil"/>
              <w:left w:val="nil"/>
              <w:bottom w:val="single" w:sz="4" w:space="0" w:color="auto"/>
            </w:tcBorders>
            <w:shd w:val="solid" w:color="FFFFFF" w:fill="auto"/>
          </w:tcPr>
          <w:p w14:paraId="11F6DBCD" w14:textId="77777777" w:rsidR="00716D48" w:rsidRPr="00BC0D1F" w:rsidRDefault="00716D48" w:rsidP="00D543B3">
            <w:pPr>
              <w:pStyle w:val="TableText"/>
            </w:pPr>
            <w:r w:rsidRPr="00BC0D1F">
              <w:t>At 30 June 2016</w:t>
            </w:r>
          </w:p>
        </w:tc>
        <w:tc>
          <w:tcPr>
            <w:tcW w:w="1370" w:type="dxa"/>
            <w:tcBorders>
              <w:top w:val="nil"/>
              <w:bottom w:val="single" w:sz="4" w:space="0" w:color="auto"/>
            </w:tcBorders>
            <w:shd w:val="clear" w:color="auto" w:fill="D9D9D9"/>
          </w:tcPr>
          <w:p w14:paraId="465AF900" w14:textId="77777777" w:rsidR="00716D48" w:rsidRPr="00BC0D1F" w:rsidRDefault="00716D48" w:rsidP="00716D48">
            <w:pPr>
              <w:pStyle w:val="TableText"/>
              <w:jc w:val="right"/>
              <w:rPr>
                <w:b/>
              </w:rPr>
            </w:pPr>
            <w:r w:rsidRPr="00BC0D1F">
              <w:rPr>
                <w:b/>
              </w:rPr>
              <w:t>–</w:t>
            </w:r>
          </w:p>
        </w:tc>
        <w:tc>
          <w:tcPr>
            <w:tcW w:w="1370" w:type="dxa"/>
            <w:tcBorders>
              <w:top w:val="nil"/>
              <w:bottom w:val="single" w:sz="4" w:space="0" w:color="auto"/>
            </w:tcBorders>
            <w:shd w:val="clear" w:color="auto" w:fill="D9D9D9"/>
          </w:tcPr>
          <w:p w14:paraId="2B0F5150" w14:textId="77777777" w:rsidR="00716D48" w:rsidRPr="00BC0D1F" w:rsidRDefault="00716D48" w:rsidP="00716D48">
            <w:pPr>
              <w:pStyle w:val="TableText"/>
              <w:jc w:val="right"/>
              <w:rPr>
                <w:b/>
              </w:rPr>
            </w:pPr>
            <w:r w:rsidRPr="00BC0D1F">
              <w:rPr>
                <w:b/>
              </w:rPr>
              <w:t>10,825</w:t>
            </w:r>
          </w:p>
        </w:tc>
        <w:tc>
          <w:tcPr>
            <w:tcW w:w="1371" w:type="dxa"/>
            <w:tcBorders>
              <w:top w:val="nil"/>
              <w:bottom w:val="single" w:sz="4" w:space="0" w:color="auto"/>
            </w:tcBorders>
            <w:shd w:val="clear" w:color="auto" w:fill="D9D9D9"/>
          </w:tcPr>
          <w:p w14:paraId="05AF3B83" w14:textId="77777777" w:rsidR="00716D48" w:rsidRPr="00BC0D1F" w:rsidRDefault="00716D48" w:rsidP="00716D48">
            <w:pPr>
              <w:pStyle w:val="TableText"/>
              <w:jc w:val="right"/>
              <w:rPr>
                <w:b/>
              </w:rPr>
            </w:pPr>
            <w:r w:rsidRPr="00BC0D1F">
              <w:rPr>
                <w:b/>
              </w:rPr>
              <w:t>10,825</w:t>
            </w:r>
          </w:p>
        </w:tc>
      </w:tr>
    </w:tbl>
    <w:p w14:paraId="1F1D147E" w14:textId="77777777" w:rsidR="00541B4E" w:rsidRPr="00BC0D1F" w:rsidRDefault="00541B4E" w:rsidP="00716D48"/>
    <w:p w14:paraId="39A7F067" w14:textId="77777777" w:rsidR="006A557B" w:rsidRPr="00BC0D1F" w:rsidRDefault="006A557B" w:rsidP="00716D48">
      <w:r w:rsidRPr="00BC0D1F">
        <w:t>There are no restrictions over the title of the Ministry’s intangible assets.</w:t>
      </w:r>
    </w:p>
    <w:p w14:paraId="7ABE75F5" w14:textId="77777777" w:rsidR="006A557B" w:rsidRPr="00BC0D1F" w:rsidRDefault="006A557B" w:rsidP="00716D48"/>
    <w:p w14:paraId="77C03056" w14:textId="77777777" w:rsidR="006A557B" w:rsidRPr="00BC0D1F" w:rsidRDefault="006A557B" w:rsidP="00716D48">
      <w:pPr>
        <w:pStyle w:val="Heading3"/>
      </w:pPr>
      <w:r w:rsidRPr="00BC0D1F">
        <w:lastRenderedPageBreak/>
        <w:t>Note 8: Creditors and payables</w:t>
      </w:r>
    </w:p>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68740F" w:rsidRPr="00BC0D1F" w14:paraId="6B398ED6" w14:textId="77777777" w:rsidTr="0068740F">
        <w:trPr>
          <w:cantSplit/>
        </w:trPr>
        <w:tc>
          <w:tcPr>
            <w:tcW w:w="1134" w:type="dxa"/>
            <w:tcBorders>
              <w:top w:val="single" w:sz="4" w:space="0" w:color="auto"/>
              <w:bottom w:val="single" w:sz="4" w:space="0" w:color="auto"/>
              <w:right w:val="nil"/>
            </w:tcBorders>
            <w:shd w:val="solid" w:color="FFFFFF" w:fill="auto"/>
          </w:tcPr>
          <w:p w14:paraId="230B48A8" w14:textId="77777777" w:rsidR="0068740F" w:rsidRPr="00BC0D1F" w:rsidRDefault="0068740F"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02EF20CA" w14:textId="77777777" w:rsidR="0068740F" w:rsidRPr="00BC0D1F" w:rsidRDefault="0068740F"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2AC98B00" w14:textId="77777777" w:rsidR="0068740F" w:rsidRPr="00BC0D1F" w:rsidRDefault="0068740F"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10E63986" w14:textId="77777777" w:rsidR="0068740F" w:rsidRPr="00BC0D1F" w:rsidRDefault="0068740F" w:rsidP="0068740F">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68740F" w:rsidRPr="00BC0D1F" w14:paraId="578C815C" w14:textId="77777777" w:rsidTr="0068740F">
        <w:trPr>
          <w:cantSplit/>
        </w:trPr>
        <w:tc>
          <w:tcPr>
            <w:tcW w:w="1134" w:type="dxa"/>
            <w:tcBorders>
              <w:top w:val="single" w:sz="4" w:space="0" w:color="auto"/>
              <w:right w:val="nil"/>
            </w:tcBorders>
            <w:shd w:val="solid" w:color="FFFFFF" w:fill="auto"/>
          </w:tcPr>
          <w:p w14:paraId="1A299AAF" w14:textId="77777777" w:rsidR="0068740F" w:rsidRPr="00BC0D1F" w:rsidRDefault="0068740F" w:rsidP="0068740F">
            <w:pPr>
              <w:pStyle w:val="TableText"/>
              <w:ind w:right="284"/>
              <w:jc w:val="right"/>
            </w:pPr>
            <w:r w:rsidRPr="00BC0D1F">
              <w:t>1,936</w:t>
            </w:r>
          </w:p>
        </w:tc>
        <w:tc>
          <w:tcPr>
            <w:tcW w:w="5812" w:type="dxa"/>
            <w:tcBorders>
              <w:top w:val="single" w:sz="4" w:space="0" w:color="auto"/>
              <w:left w:val="nil"/>
            </w:tcBorders>
            <w:shd w:val="solid" w:color="FFFFFF" w:fill="auto"/>
          </w:tcPr>
          <w:p w14:paraId="491FF7A0" w14:textId="77777777" w:rsidR="0068740F" w:rsidRPr="00BC0D1F" w:rsidRDefault="0068740F" w:rsidP="0068740F">
            <w:pPr>
              <w:pStyle w:val="TableText"/>
            </w:pPr>
            <w:r w:rsidRPr="00BC0D1F">
              <w:t>Creditors</w:t>
            </w:r>
          </w:p>
        </w:tc>
        <w:tc>
          <w:tcPr>
            <w:tcW w:w="1228" w:type="dxa"/>
            <w:tcBorders>
              <w:top w:val="single" w:sz="4" w:space="0" w:color="auto"/>
            </w:tcBorders>
            <w:shd w:val="clear" w:color="E3E3E3" w:fill="D9D9D9"/>
          </w:tcPr>
          <w:p w14:paraId="6A6B9CF9" w14:textId="77777777" w:rsidR="0068740F" w:rsidRPr="00BC0D1F" w:rsidRDefault="0068740F" w:rsidP="0068740F">
            <w:pPr>
              <w:pStyle w:val="TableText"/>
              <w:ind w:right="113"/>
              <w:jc w:val="right"/>
            </w:pPr>
            <w:r w:rsidRPr="00BC0D1F">
              <w:t>224</w:t>
            </w:r>
          </w:p>
        </w:tc>
        <w:tc>
          <w:tcPr>
            <w:tcW w:w="1229" w:type="dxa"/>
            <w:tcBorders>
              <w:top w:val="single" w:sz="4" w:space="0" w:color="auto"/>
            </w:tcBorders>
          </w:tcPr>
          <w:p w14:paraId="3D71F338" w14:textId="77777777" w:rsidR="0068740F" w:rsidRPr="00BC0D1F" w:rsidRDefault="0068740F" w:rsidP="0068740F">
            <w:pPr>
              <w:pStyle w:val="TableText"/>
              <w:jc w:val="right"/>
            </w:pPr>
            <w:r w:rsidRPr="00BC0D1F">
              <w:t>200</w:t>
            </w:r>
          </w:p>
        </w:tc>
      </w:tr>
      <w:tr w:rsidR="0068740F" w:rsidRPr="00BC0D1F" w14:paraId="24D4714A" w14:textId="77777777" w:rsidTr="0068740F">
        <w:trPr>
          <w:cantSplit/>
        </w:trPr>
        <w:tc>
          <w:tcPr>
            <w:tcW w:w="1134" w:type="dxa"/>
            <w:tcBorders>
              <w:right w:val="nil"/>
            </w:tcBorders>
            <w:shd w:val="solid" w:color="FFFFFF" w:fill="auto"/>
          </w:tcPr>
          <w:p w14:paraId="444B9457" w14:textId="77777777" w:rsidR="0068740F" w:rsidRPr="00BC0D1F" w:rsidRDefault="0068740F" w:rsidP="0068740F">
            <w:pPr>
              <w:pStyle w:val="TableText"/>
              <w:ind w:right="284"/>
              <w:jc w:val="right"/>
            </w:pPr>
            <w:r w:rsidRPr="00BC0D1F">
              <w:t>2,453</w:t>
            </w:r>
          </w:p>
        </w:tc>
        <w:tc>
          <w:tcPr>
            <w:tcW w:w="5812" w:type="dxa"/>
            <w:tcBorders>
              <w:left w:val="nil"/>
            </w:tcBorders>
            <w:shd w:val="solid" w:color="FFFFFF" w:fill="auto"/>
          </w:tcPr>
          <w:p w14:paraId="2286B95B" w14:textId="77777777" w:rsidR="0068740F" w:rsidRPr="00BC0D1F" w:rsidRDefault="0068740F" w:rsidP="0068740F">
            <w:pPr>
              <w:pStyle w:val="TableText"/>
            </w:pPr>
            <w:r w:rsidRPr="00BC0D1F">
              <w:t>Revenue in advance</w:t>
            </w:r>
          </w:p>
        </w:tc>
        <w:tc>
          <w:tcPr>
            <w:tcW w:w="1228" w:type="dxa"/>
            <w:shd w:val="clear" w:color="E3E3E3" w:fill="D9D9D9"/>
          </w:tcPr>
          <w:p w14:paraId="2581932E" w14:textId="77777777" w:rsidR="0068740F" w:rsidRPr="00BC0D1F" w:rsidRDefault="0068740F" w:rsidP="0068740F">
            <w:pPr>
              <w:pStyle w:val="TableText"/>
              <w:ind w:right="113"/>
              <w:jc w:val="right"/>
            </w:pPr>
            <w:r w:rsidRPr="00BC0D1F">
              <w:t>2,167</w:t>
            </w:r>
          </w:p>
        </w:tc>
        <w:tc>
          <w:tcPr>
            <w:tcW w:w="1229" w:type="dxa"/>
          </w:tcPr>
          <w:p w14:paraId="76F80B3F" w14:textId="77777777" w:rsidR="0068740F" w:rsidRPr="00BC0D1F" w:rsidRDefault="0068740F" w:rsidP="0068740F">
            <w:pPr>
              <w:pStyle w:val="TableText"/>
              <w:jc w:val="right"/>
            </w:pPr>
            <w:r w:rsidRPr="00BC0D1F">
              <w:t>2,086</w:t>
            </w:r>
          </w:p>
        </w:tc>
      </w:tr>
      <w:tr w:rsidR="0068740F" w:rsidRPr="00BC0D1F" w14:paraId="0BFFA42C" w14:textId="77777777" w:rsidTr="0068740F">
        <w:trPr>
          <w:cantSplit/>
        </w:trPr>
        <w:tc>
          <w:tcPr>
            <w:tcW w:w="1134" w:type="dxa"/>
            <w:tcBorders>
              <w:right w:val="nil"/>
            </w:tcBorders>
            <w:shd w:val="solid" w:color="FFFFFF" w:fill="auto"/>
          </w:tcPr>
          <w:p w14:paraId="050AF209" w14:textId="77777777" w:rsidR="0068740F" w:rsidRPr="00BC0D1F" w:rsidRDefault="0068740F" w:rsidP="0068740F">
            <w:pPr>
              <w:pStyle w:val="TableText"/>
              <w:ind w:right="284"/>
              <w:jc w:val="right"/>
            </w:pPr>
            <w:r w:rsidRPr="00BC0D1F">
              <w:t>9,490</w:t>
            </w:r>
          </w:p>
        </w:tc>
        <w:tc>
          <w:tcPr>
            <w:tcW w:w="5812" w:type="dxa"/>
            <w:tcBorders>
              <w:left w:val="nil"/>
            </w:tcBorders>
            <w:shd w:val="solid" w:color="FFFFFF" w:fill="auto"/>
          </w:tcPr>
          <w:p w14:paraId="0FF4080F" w14:textId="77777777" w:rsidR="0068740F" w:rsidRPr="00BC0D1F" w:rsidRDefault="0068740F" w:rsidP="0068740F">
            <w:pPr>
              <w:pStyle w:val="TableText"/>
            </w:pPr>
            <w:r w:rsidRPr="00BC0D1F">
              <w:t>Accrued expenses</w:t>
            </w:r>
          </w:p>
        </w:tc>
        <w:tc>
          <w:tcPr>
            <w:tcW w:w="1228" w:type="dxa"/>
            <w:shd w:val="clear" w:color="E3E3E3" w:fill="D9D9D9"/>
          </w:tcPr>
          <w:p w14:paraId="1FE5D130" w14:textId="77777777" w:rsidR="0068740F" w:rsidRPr="00BC0D1F" w:rsidRDefault="0068740F" w:rsidP="0068740F">
            <w:pPr>
              <w:pStyle w:val="TableText"/>
              <w:ind w:right="113"/>
              <w:jc w:val="right"/>
            </w:pPr>
            <w:r w:rsidRPr="00BC0D1F">
              <w:t>8,245</w:t>
            </w:r>
          </w:p>
        </w:tc>
        <w:tc>
          <w:tcPr>
            <w:tcW w:w="1229" w:type="dxa"/>
          </w:tcPr>
          <w:p w14:paraId="4E96D895" w14:textId="068D55C9" w:rsidR="0068740F" w:rsidRPr="00BC0D1F" w:rsidRDefault="0068740F" w:rsidP="00891971">
            <w:pPr>
              <w:pStyle w:val="TableText"/>
              <w:jc w:val="right"/>
            </w:pPr>
            <w:r w:rsidRPr="00BC0D1F">
              <w:t>10,17</w:t>
            </w:r>
            <w:r w:rsidR="00891971">
              <w:t>4</w:t>
            </w:r>
          </w:p>
        </w:tc>
      </w:tr>
      <w:tr w:rsidR="0068740F" w:rsidRPr="00BC0D1F" w14:paraId="33E475D8" w14:textId="77777777" w:rsidTr="0068740F">
        <w:trPr>
          <w:cantSplit/>
        </w:trPr>
        <w:tc>
          <w:tcPr>
            <w:tcW w:w="1134" w:type="dxa"/>
            <w:tcBorders>
              <w:bottom w:val="nil"/>
              <w:right w:val="nil"/>
            </w:tcBorders>
          </w:tcPr>
          <w:p w14:paraId="6949EFDE" w14:textId="77777777" w:rsidR="0068740F" w:rsidRPr="00BC0D1F" w:rsidRDefault="0068740F" w:rsidP="0068740F">
            <w:pPr>
              <w:pStyle w:val="TableText"/>
              <w:ind w:right="284"/>
              <w:jc w:val="right"/>
            </w:pPr>
            <w:r w:rsidRPr="00BC0D1F">
              <w:t>1,486</w:t>
            </w:r>
          </w:p>
        </w:tc>
        <w:tc>
          <w:tcPr>
            <w:tcW w:w="5812" w:type="dxa"/>
            <w:tcBorders>
              <w:left w:val="nil"/>
              <w:bottom w:val="nil"/>
            </w:tcBorders>
            <w:shd w:val="solid" w:color="FFFFFF" w:fill="auto"/>
          </w:tcPr>
          <w:p w14:paraId="54840737" w14:textId="77777777" w:rsidR="0068740F" w:rsidRPr="00BC0D1F" w:rsidRDefault="0068740F" w:rsidP="0068740F">
            <w:pPr>
              <w:pStyle w:val="TableText"/>
            </w:pPr>
            <w:r w:rsidRPr="00BC0D1F">
              <w:t>GST payable</w:t>
            </w:r>
          </w:p>
        </w:tc>
        <w:tc>
          <w:tcPr>
            <w:tcW w:w="1228" w:type="dxa"/>
            <w:tcBorders>
              <w:bottom w:val="nil"/>
            </w:tcBorders>
            <w:shd w:val="clear" w:color="E3E3E3" w:fill="D9D9D9"/>
          </w:tcPr>
          <w:p w14:paraId="6815B493" w14:textId="77777777" w:rsidR="0068740F" w:rsidRPr="00BC0D1F" w:rsidRDefault="0068740F" w:rsidP="0068740F">
            <w:pPr>
              <w:pStyle w:val="TableText"/>
              <w:ind w:right="113"/>
              <w:jc w:val="right"/>
            </w:pPr>
            <w:r w:rsidRPr="00BC0D1F">
              <w:t>1,095</w:t>
            </w:r>
          </w:p>
        </w:tc>
        <w:tc>
          <w:tcPr>
            <w:tcW w:w="1229" w:type="dxa"/>
            <w:tcBorders>
              <w:bottom w:val="nil"/>
            </w:tcBorders>
          </w:tcPr>
          <w:p w14:paraId="23BD6550" w14:textId="77777777" w:rsidR="0068740F" w:rsidRPr="00BC0D1F" w:rsidRDefault="0068740F" w:rsidP="0068740F">
            <w:pPr>
              <w:pStyle w:val="TableText"/>
              <w:jc w:val="right"/>
            </w:pPr>
            <w:r w:rsidRPr="00BC0D1F">
              <w:t>1,581</w:t>
            </w:r>
          </w:p>
        </w:tc>
      </w:tr>
      <w:tr w:rsidR="0068740F" w:rsidRPr="00BC0D1F" w14:paraId="19786D69" w14:textId="77777777" w:rsidTr="0068740F">
        <w:trPr>
          <w:cantSplit/>
        </w:trPr>
        <w:tc>
          <w:tcPr>
            <w:tcW w:w="1134" w:type="dxa"/>
            <w:tcBorders>
              <w:top w:val="nil"/>
              <w:bottom w:val="single" w:sz="4" w:space="0" w:color="auto"/>
              <w:right w:val="nil"/>
            </w:tcBorders>
            <w:shd w:val="solid" w:color="FFFFFF" w:fill="auto"/>
          </w:tcPr>
          <w:p w14:paraId="5E89B9C1" w14:textId="77777777" w:rsidR="0068740F" w:rsidRPr="00BC0D1F" w:rsidRDefault="0068740F" w:rsidP="0068740F">
            <w:pPr>
              <w:pStyle w:val="TableText"/>
              <w:ind w:right="284"/>
              <w:jc w:val="right"/>
              <w:rPr>
                <w:b/>
                <w:bCs/>
              </w:rPr>
            </w:pPr>
            <w:r w:rsidRPr="00BC0D1F">
              <w:rPr>
                <w:b/>
                <w:bCs/>
              </w:rPr>
              <w:t>15,365</w:t>
            </w:r>
          </w:p>
        </w:tc>
        <w:tc>
          <w:tcPr>
            <w:tcW w:w="5812" w:type="dxa"/>
            <w:tcBorders>
              <w:top w:val="nil"/>
              <w:left w:val="nil"/>
              <w:bottom w:val="single" w:sz="4" w:space="0" w:color="auto"/>
            </w:tcBorders>
            <w:shd w:val="solid" w:color="FFFFFF" w:fill="auto"/>
          </w:tcPr>
          <w:p w14:paraId="64A81C98" w14:textId="77777777" w:rsidR="0068740F" w:rsidRPr="00BC0D1F" w:rsidRDefault="0068740F" w:rsidP="0068740F">
            <w:pPr>
              <w:pStyle w:val="TableText"/>
              <w:rPr>
                <w:b/>
                <w:bCs/>
              </w:rPr>
            </w:pPr>
            <w:r w:rsidRPr="00BC0D1F">
              <w:rPr>
                <w:b/>
                <w:bCs/>
              </w:rPr>
              <w:t>Total creditors and other payables</w:t>
            </w:r>
          </w:p>
        </w:tc>
        <w:tc>
          <w:tcPr>
            <w:tcW w:w="1228" w:type="dxa"/>
            <w:tcBorders>
              <w:top w:val="nil"/>
              <w:bottom w:val="single" w:sz="4" w:space="0" w:color="auto"/>
            </w:tcBorders>
            <w:shd w:val="clear" w:color="E3E3E3" w:fill="D9D9D9"/>
          </w:tcPr>
          <w:p w14:paraId="205DDA3F" w14:textId="77777777" w:rsidR="0068740F" w:rsidRPr="00BC0D1F" w:rsidRDefault="0068740F" w:rsidP="0068740F">
            <w:pPr>
              <w:pStyle w:val="TableText"/>
              <w:ind w:right="113"/>
              <w:jc w:val="right"/>
              <w:rPr>
                <w:b/>
                <w:bCs/>
              </w:rPr>
            </w:pPr>
            <w:r w:rsidRPr="00BC0D1F">
              <w:rPr>
                <w:b/>
                <w:bCs/>
              </w:rPr>
              <w:t>11,731</w:t>
            </w:r>
          </w:p>
        </w:tc>
        <w:tc>
          <w:tcPr>
            <w:tcW w:w="1229" w:type="dxa"/>
            <w:tcBorders>
              <w:top w:val="nil"/>
              <w:bottom w:val="single" w:sz="4" w:space="0" w:color="auto"/>
            </w:tcBorders>
          </w:tcPr>
          <w:p w14:paraId="4B8A735C" w14:textId="3AC135C3" w:rsidR="0068740F" w:rsidRPr="00BC0D1F" w:rsidRDefault="0068740F" w:rsidP="00891971">
            <w:pPr>
              <w:pStyle w:val="TableText"/>
              <w:jc w:val="right"/>
              <w:rPr>
                <w:b/>
                <w:bCs/>
              </w:rPr>
            </w:pPr>
            <w:r w:rsidRPr="00BC0D1F">
              <w:rPr>
                <w:b/>
                <w:bCs/>
              </w:rPr>
              <w:t>14,04</w:t>
            </w:r>
            <w:r w:rsidR="00891971">
              <w:rPr>
                <w:b/>
                <w:bCs/>
              </w:rPr>
              <w:t>1</w:t>
            </w:r>
          </w:p>
        </w:tc>
      </w:tr>
    </w:tbl>
    <w:p w14:paraId="3C0A1895" w14:textId="77777777" w:rsidR="006A557B" w:rsidRPr="00BC0D1F" w:rsidRDefault="006A557B" w:rsidP="0068740F"/>
    <w:p w14:paraId="6A5DD1E3" w14:textId="77777777" w:rsidR="006A557B" w:rsidRPr="00BC0D1F" w:rsidRDefault="006A557B" w:rsidP="0068740F">
      <w:r w:rsidRPr="00BC0D1F">
        <w:t>Creditors and other payables are non-interest bearing and are normally settled in the following month. Therefore, the carrying value of creditors and other payables approximates their fair value.</w:t>
      </w:r>
    </w:p>
    <w:p w14:paraId="2C49CF6D" w14:textId="77777777" w:rsidR="0068740F" w:rsidRPr="00BC0D1F" w:rsidRDefault="0068740F" w:rsidP="0068740F"/>
    <w:p w14:paraId="26A759E6" w14:textId="77777777" w:rsidR="006A557B" w:rsidRPr="00BC0D1F" w:rsidRDefault="006A557B" w:rsidP="0068740F">
      <w:r w:rsidRPr="00BC0D1F">
        <w:t>Revenue in advance are fees received in advance in relation to new medicine applications.</w:t>
      </w:r>
    </w:p>
    <w:p w14:paraId="7D308319" w14:textId="77777777" w:rsidR="006A557B" w:rsidRPr="00BC0D1F" w:rsidRDefault="006A557B" w:rsidP="0068740F"/>
    <w:p w14:paraId="49225F47" w14:textId="77777777" w:rsidR="006A557B" w:rsidRPr="00BC0D1F" w:rsidRDefault="006A557B" w:rsidP="0068740F">
      <w:pPr>
        <w:pStyle w:val="Heading3"/>
      </w:pPr>
      <w:r w:rsidRPr="00BC0D1F">
        <w:t>Note 9: Provision for repayment of surplus to the Crown</w:t>
      </w:r>
    </w:p>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68740F" w:rsidRPr="00BC0D1F" w14:paraId="6EB1A6BA" w14:textId="77777777" w:rsidTr="0068740F">
        <w:trPr>
          <w:cantSplit/>
        </w:trPr>
        <w:tc>
          <w:tcPr>
            <w:tcW w:w="1134" w:type="dxa"/>
            <w:tcBorders>
              <w:top w:val="single" w:sz="4" w:space="0" w:color="auto"/>
              <w:bottom w:val="single" w:sz="4" w:space="0" w:color="auto"/>
              <w:right w:val="nil"/>
            </w:tcBorders>
            <w:shd w:val="solid" w:color="FFFFFF" w:fill="auto"/>
          </w:tcPr>
          <w:p w14:paraId="46ADF0BF" w14:textId="77777777" w:rsidR="0068740F" w:rsidRPr="00BC0D1F" w:rsidRDefault="0068740F"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19F9B3F1" w14:textId="77777777" w:rsidR="0068740F" w:rsidRPr="00BC0D1F" w:rsidRDefault="0068740F"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1B78F540" w14:textId="77777777" w:rsidR="0068740F" w:rsidRPr="00BC0D1F" w:rsidRDefault="0068740F"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0A6563C8" w14:textId="77777777" w:rsidR="0068740F" w:rsidRPr="00BC0D1F" w:rsidRDefault="0068740F" w:rsidP="00D543B3">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68740F" w:rsidRPr="00BC0D1F" w14:paraId="6883DF36" w14:textId="77777777" w:rsidTr="0068740F">
        <w:trPr>
          <w:cantSplit/>
        </w:trPr>
        <w:tc>
          <w:tcPr>
            <w:tcW w:w="1134" w:type="dxa"/>
            <w:tcBorders>
              <w:top w:val="single" w:sz="4" w:space="0" w:color="auto"/>
              <w:right w:val="nil"/>
            </w:tcBorders>
            <w:shd w:val="solid" w:color="FFFFFF" w:fill="auto"/>
          </w:tcPr>
          <w:p w14:paraId="30561AD1" w14:textId="77777777" w:rsidR="0068740F" w:rsidRPr="00BC0D1F" w:rsidRDefault="0068740F" w:rsidP="0068740F">
            <w:pPr>
              <w:pStyle w:val="TableText"/>
              <w:ind w:right="284"/>
              <w:jc w:val="right"/>
            </w:pPr>
            <w:r w:rsidRPr="00BC0D1F">
              <w:t>(605)</w:t>
            </w:r>
          </w:p>
        </w:tc>
        <w:tc>
          <w:tcPr>
            <w:tcW w:w="5812" w:type="dxa"/>
            <w:tcBorders>
              <w:top w:val="single" w:sz="4" w:space="0" w:color="auto"/>
              <w:left w:val="nil"/>
            </w:tcBorders>
            <w:shd w:val="solid" w:color="FFFFFF" w:fill="auto"/>
          </w:tcPr>
          <w:p w14:paraId="724F9778" w14:textId="77777777" w:rsidR="0068740F" w:rsidRPr="00BC0D1F" w:rsidRDefault="0068740F" w:rsidP="0068740F">
            <w:pPr>
              <w:pStyle w:val="TableText"/>
            </w:pPr>
            <w:r w:rsidRPr="00BC0D1F">
              <w:t>Net surplus/(deficit) before other expenses</w:t>
            </w:r>
          </w:p>
        </w:tc>
        <w:tc>
          <w:tcPr>
            <w:tcW w:w="1228" w:type="dxa"/>
            <w:tcBorders>
              <w:top w:val="single" w:sz="4" w:space="0" w:color="auto"/>
            </w:tcBorders>
            <w:shd w:val="clear" w:color="E3E3E3" w:fill="D9D9D9"/>
          </w:tcPr>
          <w:p w14:paraId="7272C4BC" w14:textId="613E4D70" w:rsidR="0068740F" w:rsidRPr="00BC0D1F" w:rsidRDefault="0068740F" w:rsidP="00A202BF">
            <w:pPr>
              <w:pStyle w:val="TableText"/>
              <w:ind w:right="113"/>
              <w:jc w:val="right"/>
            </w:pPr>
            <w:r w:rsidRPr="00BC0D1F">
              <w:t>(69</w:t>
            </w:r>
            <w:r w:rsidR="00A202BF">
              <w:t>3</w:t>
            </w:r>
            <w:r w:rsidRPr="00BC0D1F">
              <w:t>)</w:t>
            </w:r>
          </w:p>
        </w:tc>
        <w:tc>
          <w:tcPr>
            <w:tcW w:w="1229" w:type="dxa"/>
            <w:tcBorders>
              <w:top w:val="single" w:sz="4" w:space="0" w:color="auto"/>
            </w:tcBorders>
          </w:tcPr>
          <w:p w14:paraId="37F26119" w14:textId="77777777" w:rsidR="0068740F" w:rsidRPr="00BC0D1F" w:rsidRDefault="0068740F" w:rsidP="0068740F">
            <w:pPr>
              <w:pStyle w:val="TableText"/>
              <w:jc w:val="right"/>
            </w:pPr>
            <w:r w:rsidRPr="00BC0D1F">
              <w:t>–</w:t>
            </w:r>
          </w:p>
        </w:tc>
      </w:tr>
      <w:tr w:rsidR="0068740F" w:rsidRPr="00BC0D1F" w14:paraId="5472B8E3" w14:textId="77777777" w:rsidTr="0068740F">
        <w:trPr>
          <w:cantSplit/>
        </w:trPr>
        <w:tc>
          <w:tcPr>
            <w:tcW w:w="1134" w:type="dxa"/>
            <w:tcBorders>
              <w:right w:val="nil"/>
            </w:tcBorders>
            <w:shd w:val="solid" w:color="FFFFFF" w:fill="auto"/>
          </w:tcPr>
          <w:p w14:paraId="2617005F" w14:textId="77777777" w:rsidR="0068740F" w:rsidRPr="00BC0D1F" w:rsidRDefault="0068740F" w:rsidP="0068740F">
            <w:pPr>
              <w:pStyle w:val="TableText"/>
              <w:ind w:right="284"/>
              <w:jc w:val="right"/>
            </w:pPr>
          </w:p>
        </w:tc>
        <w:tc>
          <w:tcPr>
            <w:tcW w:w="5812" w:type="dxa"/>
            <w:tcBorders>
              <w:left w:val="nil"/>
            </w:tcBorders>
            <w:shd w:val="solid" w:color="FFFFFF" w:fill="auto"/>
          </w:tcPr>
          <w:p w14:paraId="5B76099D" w14:textId="77777777" w:rsidR="0068740F" w:rsidRPr="00BC0D1F" w:rsidRDefault="0068740F" w:rsidP="0068740F">
            <w:pPr>
              <w:pStyle w:val="TableText"/>
            </w:pPr>
            <w:r w:rsidRPr="00BC0D1F">
              <w:t>Add:</w:t>
            </w:r>
          </w:p>
        </w:tc>
        <w:tc>
          <w:tcPr>
            <w:tcW w:w="1228" w:type="dxa"/>
            <w:shd w:val="clear" w:color="E3E3E3" w:fill="D9D9D9"/>
          </w:tcPr>
          <w:p w14:paraId="5A5BA25A" w14:textId="77777777" w:rsidR="0068740F" w:rsidRPr="00BC0D1F" w:rsidRDefault="0068740F" w:rsidP="0068740F">
            <w:pPr>
              <w:pStyle w:val="TableText"/>
              <w:ind w:right="113"/>
              <w:jc w:val="right"/>
            </w:pPr>
          </w:p>
        </w:tc>
        <w:tc>
          <w:tcPr>
            <w:tcW w:w="1229" w:type="dxa"/>
          </w:tcPr>
          <w:p w14:paraId="08703A21" w14:textId="77777777" w:rsidR="0068740F" w:rsidRPr="00BC0D1F" w:rsidRDefault="0068740F" w:rsidP="0068740F">
            <w:pPr>
              <w:pStyle w:val="TableText"/>
              <w:jc w:val="right"/>
            </w:pPr>
          </w:p>
        </w:tc>
      </w:tr>
      <w:tr w:rsidR="0068740F" w:rsidRPr="00BC0D1F" w14:paraId="4C4E1AC3" w14:textId="77777777" w:rsidTr="0068740F">
        <w:trPr>
          <w:cantSplit/>
        </w:trPr>
        <w:tc>
          <w:tcPr>
            <w:tcW w:w="1134" w:type="dxa"/>
            <w:tcBorders>
              <w:bottom w:val="nil"/>
              <w:right w:val="nil"/>
            </w:tcBorders>
          </w:tcPr>
          <w:p w14:paraId="6774E5CD" w14:textId="77777777" w:rsidR="0068740F" w:rsidRPr="00BC0D1F" w:rsidRDefault="0068740F" w:rsidP="0068740F">
            <w:pPr>
              <w:pStyle w:val="TableText"/>
              <w:ind w:right="284"/>
              <w:jc w:val="right"/>
            </w:pPr>
            <w:r w:rsidRPr="00BC0D1F">
              <w:t>235</w:t>
            </w:r>
          </w:p>
        </w:tc>
        <w:tc>
          <w:tcPr>
            <w:tcW w:w="5812" w:type="dxa"/>
            <w:tcBorders>
              <w:left w:val="nil"/>
              <w:bottom w:val="nil"/>
            </w:tcBorders>
            <w:shd w:val="solid" w:color="FFFFFF" w:fill="auto"/>
          </w:tcPr>
          <w:p w14:paraId="0AA0C8B6" w14:textId="2F96E019" w:rsidR="0068740F" w:rsidRPr="00BC0D1F" w:rsidRDefault="00202C6B" w:rsidP="0068740F">
            <w:pPr>
              <w:pStyle w:val="TableText"/>
            </w:pPr>
            <w:r>
              <w:t>(</w:t>
            </w:r>
            <w:r w:rsidR="0068740F" w:rsidRPr="00BC0D1F">
              <w:t>Surplus</w:t>
            </w:r>
            <w:r>
              <w:t>) / deficit</w:t>
            </w:r>
            <w:r w:rsidR="0068740F" w:rsidRPr="00BC0D1F">
              <w:t xml:space="preserve"> of memorandum accounts</w:t>
            </w:r>
          </w:p>
        </w:tc>
        <w:tc>
          <w:tcPr>
            <w:tcW w:w="1228" w:type="dxa"/>
            <w:tcBorders>
              <w:bottom w:val="nil"/>
            </w:tcBorders>
            <w:shd w:val="clear" w:color="E3E3E3" w:fill="D9D9D9"/>
          </w:tcPr>
          <w:p w14:paraId="55409C6C" w14:textId="0972E2F6" w:rsidR="0068740F" w:rsidRPr="00BC0D1F" w:rsidRDefault="00202C6B" w:rsidP="0068740F">
            <w:pPr>
              <w:pStyle w:val="TableText"/>
              <w:ind w:right="113"/>
              <w:jc w:val="right"/>
            </w:pPr>
            <w:r>
              <w:t>1,301</w:t>
            </w:r>
          </w:p>
        </w:tc>
        <w:tc>
          <w:tcPr>
            <w:tcW w:w="1229" w:type="dxa"/>
            <w:tcBorders>
              <w:bottom w:val="nil"/>
            </w:tcBorders>
          </w:tcPr>
          <w:p w14:paraId="2ABDBED1" w14:textId="52550106" w:rsidR="0068740F" w:rsidRPr="00BC0D1F" w:rsidRDefault="00202C6B" w:rsidP="0068740F">
            <w:pPr>
              <w:pStyle w:val="TableText"/>
              <w:jc w:val="right"/>
            </w:pPr>
            <w:r w:rsidRPr="00BC0D1F">
              <w:t>–</w:t>
            </w:r>
          </w:p>
        </w:tc>
      </w:tr>
      <w:tr w:rsidR="0068740F" w:rsidRPr="00BC0D1F" w14:paraId="0F6E8EF7" w14:textId="77777777" w:rsidTr="00DB3946">
        <w:trPr>
          <w:cantSplit/>
        </w:trPr>
        <w:tc>
          <w:tcPr>
            <w:tcW w:w="1134" w:type="dxa"/>
            <w:tcBorders>
              <w:top w:val="nil"/>
              <w:bottom w:val="nil"/>
              <w:right w:val="nil"/>
            </w:tcBorders>
            <w:shd w:val="solid" w:color="FFFFFF" w:fill="auto"/>
          </w:tcPr>
          <w:p w14:paraId="6B658593" w14:textId="77777777" w:rsidR="0068740F" w:rsidRPr="00BC0D1F" w:rsidRDefault="0068740F" w:rsidP="0068740F">
            <w:pPr>
              <w:pStyle w:val="TableText"/>
              <w:ind w:right="284"/>
              <w:jc w:val="right"/>
              <w:rPr>
                <w:b/>
                <w:bCs/>
              </w:rPr>
            </w:pPr>
            <w:r w:rsidRPr="00BC0D1F">
              <w:rPr>
                <w:b/>
                <w:bCs/>
              </w:rPr>
              <w:t>(370)</w:t>
            </w:r>
          </w:p>
        </w:tc>
        <w:tc>
          <w:tcPr>
            <w:tcW w:w="5812" w:type="dxa"/>
            <w:tcBorders>
              <w:top w:val="nil"/>
              <w:left w:val="nil"/>
              <w:bottom w:val="nil"/>
            </w:tcBorders>
            <w:shd w:val="solid" w:color="FFFFFF" w:fill="auto"/>
          </w:tcPr>
          <w:p w14:paraId="30C25755" w14:textId="77777777" w:rsidR="0068740F" w:rsidRPr="00BC0D1F" w:rsidRDefault="0068740F" w:rsidP="0068740F">
            <w:pPr>
              <w:pStyle w:val="TableText"/>
            </w:pPr>
            <w:r w:rsidRPr="00BC0D1F">
              <w:t>Total operating surplus / (deficit)</w:t>
            </w:r>
          </w:p>
        </w:tc>
        <w:tc>
          <w:tcPr>
            <w:tcW w:w="1228" w:type="dxa"/>
            <w:tcBorders>
              <w:top w:val="nil"/>
              <w:bottom w:val="nil"/>
            </w:tcBorders>
            <w:shd w:val="clear" w:color="E3E3E3" w:fill="D9D9D9"/>
          </w:tcPr>
          <w:p w14:paraId="2A9D2655" w14:textId="30F259C6" w:rsidR="0068740F" w:rsidRPr="00BC0D1F" w:rsidRDefault="00202C6B" w:rsidP="00A202BF">
            <w:pPr>
              <w:pStyle w:val="TableText"/>
              <w:ind w:right="113"/>
              <w:jc w:val="right"/>
              <w:rPr>
                <w:b/>
                <w:bCs/>
              </w:rPr>
            </w:pPr>
            <w:r>
              <w:rPr>
                <w:b/>
                <w:bCs/>
              </w:rPr>
              <w:t>608</w:t>
            </w:r>
          </w:p>
        </w:tc>
        <w:tc>
          <w:tcPr>
            <w:tcW w:w="1229" w:type="dxa"/>
            <w:tcBorders>
              <w:top w:val="nil"/>
              <w:bottom w:val="nil"/>
            </w:tcBorders>
          </w:tcPr>
          <w:p w14:paraId="69D4452C" w14:textId="77777777" w:rsidR="0068740F" w:rsidRPr="00BC0D1F" w:rsidRDefault="0068740F" w:rsidP="0068740F">
            <w:pPr>
              <w:pStyle w:val="TableText"/>
              <w:jc w:val="right"/>
              <w:rPr>
                <w:b/>
                <w:bCs/>
              </w:rPr>
            </w:pPr>
            <w:r w:rsidRPr="00BC0D1F">
              <w:rPr>
                <w:b/>
                <w:bCs/>
              </w:rPr>
              <w:t>–</w:t>
            </w:r>
          </w:p>
        </w:tc>
      </w:tr>
      <w:tr w:rsidR="0068740F" w:rsidRPr="00BC0D1F" w14:paraId="1DDE5D31" w14:textId="77777777" w:rsidTr="0068740F">
        <w:trPr>
          <w:cantSplit/>
        </w:trPr>
        <w:tc>
          <w:tcPr>
            <w:tcW w:w="1134" w:type="dxa"/>
            <w:tcBorders>
              <w:top w:val="nil"/>
              <w:bottom w:val="single" w:sz="4" w:space="0" w:color="auto"/>
              <w:right w:val="nil"/>
            </w:tcBorders>
            <w:shd w:val="solid" w:color="FFFFFF" w:fill="auto"/>
          </w:tcPr>
          <w:p w14:paraId="1F6F5560" w14:textId="77777777" w:rsidR="0068740F" w:rsidRPr="00BC0D1F" w:rsidRDefault="0068740F" w:rsidP="0068740F">
            <w:pPr>
              <w:pStyle w:val="TableText"/>
              <w:ind w:right="284"/>
              <w:jc w:val="right"/>
              <w:rPr>
                <w:b/>
                <w:bCs/>
              </w:rPr>
            </w:pPr>
            <w:r w:rsidRPr="00BC0D1F">
              <w:rPr>
                <w:b/>
                <w:bCs/>
              </w:rPr>
              <w:t>–</w:t>
            </w:r>
          </w:p>
        </w:tc>
        <w:tc>
          <w:tcPr>
            <w:tcW w:w="5812" w:type="dxa"/>
            <w:tcBorders>
              <w:top w:val="nil"/>
              <w:left w:val="nil"/>
              <w:bottom w:val="single" w:sz="4" w:space="0" w:color="auto"/>
            </w:tcBorders>
            <w:shd w:val="solid" w:color="FFFFFF" w:fill="auto"/>
          </w:tcPr>
          <w:p w14:paraId="0D2B0DD5" w14:textId="77777777" w:rsidR="0068740F" w:rsidRPr="00BC0D1F" w:rsidRDefault="0068740F" w:rsidP="0068740F">
            <w:pPr>
              <w:pStyle w:val="TableText"/>
              <w:rPr>
                <w:b/>
                <w:bCs/>
              </w:rPr>
            </w:pPr>
            <w:r w:rsidRPr="00BC0D1F">
              <w:rPr>
                <w:b/>
                <w:bCs/>
              </w:rPr>
              <w:t>Total operating surplus to be returned to Crown</w:t>
            </w:r>
          </w:p>
        </w:tc>
        <w:tc>
          <w:tcPr>
            <w:tcW w:w="1228" w:type="dxa"/>
            <w:tcBorders>
              <w:top w:val="nil"/>
              <w:bottom w:val="single" w:sz="4" w:space="0" w:color="auto"/>
            </w:tcBorders>
            <w:shd w:val="clear" w:color="E3E3E3" w:fill="D9D9D9"/>
          </w:tcPr>
          <w:p w14:paraId="47BE6292" w14:textId="0677D5DC" w:rsidR="0068740F" w:rsidRPr="00BC0D1F" w:rsidRDefault="00202C6B" w:rsidP="0068740F">
            <w:pPr>
              <w:pStyle w:val="TableText"/>
              <w:ind w:right="113"/>
              <w:jc w:val="right"/>
              <w:rPr>
                <w:b/>
                <w:bCs/>
              </w:rPr>
            </w:pPr>
            <w:r>
              <w:rPr>
                <w:b/>
                <w:bCs/>
              </w:rPr>
              <w:t>608</w:t>
            </w:r>
          </w:p>
        </w:tc>
        <w:tc>
          <w:tcPr>
            <w:tcW w:w="1229" w:type="dxa"/>
            <w:tcBorders>
              <w:top w:val="nil"/>
              <w:bottom w:val="single" w:sz="4" w:space="0" w:color="auto"/>
            </w:tcBorders>
          </w:tcPr>
          <w:p w14:paraId="6DD84BBC" w14:textId="77777777" w:rsidR="0068740F" w:rsidRPr="00BC0D1F" w:rsidRDefault="0068740F" w:rsidP="0068740F">
            <w:pPr>
              <w:pStyle w:val="TableText"/>
              <w:jc w:val="right"/>
              <w:rPr>
                <w:b/>
                <w:bCs/>
              </w:rPr>
            </w:pPr>
            <w:r w:rsidRPr="00BC0D1F">
              <w:rPr>
                <w:b/>
                <w:bCs/>
              </w:rPr>
              <w:t>–</w:t>
            </w:r>
          </w:p>
        </w:tc>
      </w:tr>
    </w:tbl>
    <w:p w14:paraId="76A9D7DF" w14:textId="77777777" w:rsidR="006A557B" w:rsidRPr="00BC0D1F" w:rsidRDefault="006A557B" w:rsidP="0068740F"/>
    <w:p w14:paraId="6CCB7341" w14:textId="77777777" w:rsidR="006A557B" w:rsidRPr="00BC0D1F" w:rsidRDefault="006A557B" w:rsidP="0068740F">
      <w:pPr>
        <w:pStyle w:val="Heading3"/>
      </w:pPr>
      <w:r w:rsidRPr="00BC0D1F">
        <w:t>Note 10: Provisions</w:t>
      </w:r>
    </w:p>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DB3946" w:rsidRPr="00BC0D1F" w14:paraId="40377989" w14:textId="77777777" w:rsidTr="00D543B3">
        <w:trPr>
          <w:cantSplit/>
        </w:trPr>
        <w:tc>
          <w:tcPr>
            <w:tcW w:w="1134" w:type="dxa"/>
            <w:tcBorders>
              <w:top w:val="single" w:sz="4" w:space="0" w:color="auto"/>
              <w:bottom w:val="single" w:sz="4" w:space="0" w:color="auto"/>
              <w:right w:val="nil"/>
            </w:tcBorders>
            <w:shd w:val="solid" w:color="FFFFFF" w:fill="auto"/>
          </w:tcPr>
          <w:p w14:paraId="54117E85" w14:textId="77777777" w:rsidR="00DB3946" w:rsidRPr="00BC0D1F" w:rsidRDefault="00DB3946"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3E2FA289" w14:textId="77777777" w:rsidR="00DB3946" w:rsidRPr="00BC0D1F" w:rsidRDefault="00DB3946"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447B4307" w14:textId="77777777" w:rsidR="00DB3946" w:rsidRPr="00BC0D1F" w:rsidRDefault="00DB3946"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47C7348A" w14:textId="77777777" w:rsidR="00DB3946" w:rsidRPr="00BC0D1F" w:rsidRDefault="00DB3946" w:rsidP="00D543B3">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DB3946" w:rsidRPr="00BC0D1F" w14:paraId="50811497" w14:textId="77777777" w:rsidTr="00D543B3">
        <w:trPr>
          <w:cantSplit/>
        </w:trPr>
        <w:tc>
          <w:tcPr>
            <w:tcW w:w="1134" w:type="dxa"/>
            <w:tcBorders>
              <w:top w:val="single" w:sz="4" w:space="0" w:color="auto"/>
              <w:right w:val="nil"/>
            </w:tcBorders>
            <w:shd w:val="solid" w:color="FFFFFF" w:fill="auto"/>
          </w:tcPr>
          <w:p w14:paraId="2B3E49B9" w14:textId="77777777" w:rsidR="00DB3946" w:rsidRPr="00BC0D1F" w:rsidRDefault="00DB3946" w:rsidP="00DB3946">
            <w:pPr>
              <w:pStyle w:val="TableText"/>
              <w:ind w:right="284"/>
              <w:jc w:val="right"/>
              <w:rPr>
                <w:b/>
              </w:rPr>
            </w:pPr>
          </w:p>
        </w:tc>
        <w:tc>
          <w:tcPr>
            <w:tcW w:w="5812" w:type="dxa"/>
            <w:tcBorders>
              <w:top w:val="single" w:sz="4" w:space="0" w:color="auto"/>
              <w:left w:val="nil"/>
            </w:tcBorders>
            <w:shd w:val="solid" w:color="FFFFFF" w:fill="auto"/>
          </w:tcPr>
          <w:p w14:paraId="0F9F0697" w14:textId="77777777" w:rsidR="00DB3946" w:rsidRPr="00BC0D1F" w:rsidRDefault="00DB3946" w:rsidP="00DB3946">
            <w:pPr>
              <w:pStyle w:val="TableText"/>
              <w:rPr>
                <w:b/>
              </w:rPr>
            </w:pPr>
            <w:r w:rsidRPr="00BC0D1F">
              <w:rPr>
                <w:b/>
              </w:rPr>
              <w:t>Current provisions are represented by:</w:t>
            </w:r>
          </w:p>
        </w:tc>
        <w:tc>
          <w:tcPr>
            <w:tcW w:w="1228" w:type="dxa"/>
            <w:tcBorders>
              <w:top w:val="single" w:sz="4" w:space="0" w:color="auto"/>
            </w:tcBorders>
            <w:shd w:val="clear" w:color="E3E3E3" w:fill="D9D9D9"/>
          </w:tcPr>
          <w:p w14:paraId="62CC942A" w14:textId="77777777" w:rsidR="00DB3946" w:rsidRPr="00BC0D1F" w:rsidRDefault="00DB3946" w:rsidP="00DB3946">
            <w:pPr>
              <w:pStyle w:val="TableText"/>
              <w:ind w:right="113"/>
              <w:jc w:val="right"/>
              <w:rPr>
                <w:b/>
              </w:rPr>
            </w:pPr>
          </w:p>
        </w:tc>
        <w:tc>
          <w:tcPr>
            <w:tcW w:w="1229" w:type="dxa"/>
            <w:tcBorders>
              <w:top w:val="single" w:sz="4" w:space="0" w:color="auto"/>
            </w:tcBorders>
          </w:tcPr>
          <w:p w14:paraId="5D5CE9C5" w14:textId="77777777" w:rsidR="00DB3946" w:rsidRPr="00BC0D1F" w:rsidRDefault="00DB3946" w:rsidP="00DB3946">
            <w:pPr>
              <w:pStyle w:val="TableText"/>
              <w:jc w:val="right"/>
              <w:rPr>
                <w:b/>
              </w:rPr>
            </w:pPr>
          </w:p>
        </w:tc>
      </w:tr>
      <w:tr w:rsidR="00DB3946" w:rsidRPr="00BC0D1F" w14:paraId="24745587" w14:textId="77777777" w:rsidTr="00D543B3">
        <w:trPr>
          <w:cantSplit/>
        </w:trPr>
        <w:tc>
          <w:tcPr>
            <w:tcW w:w="1134" w:type="dxa"/>
            <w:tcBorders>
              <w:right w:val="nil"/>
            </w:tcBorders>
            <w:shd w:val="solid" w:color="FFFFFF" w:fill="auto"/>
          </w:tcPr>
          <w:p w14:paraId="02FFBF86" w14:textId="77777777" w:rsidR="00DB3946" w:rsidRPr="00BC0D1F" w:rsidRDefault="00DB3946" w:rsidP="00DB3946">
            <w:pPr>
              <w:pStyle w:val="TableText"/>
              <w:ind w:right="284"/>
              <w:jc w:val="right"/>
            </w:pPr>
            <w:r w:rsidRPr="00BC0D1F">
              <w:t>184</w:t>
            </w:r>
          </w:p>
        </w:tc>
        <w:tc>
          <w:tcPr>
            <w:tcW w:w="5812" w:type="dxa"/>
            <w:tcBorders>
              <w:left w:val="nil"/>
            </w:tcBorders>
            <w:shd w:val="solid" w:color="FFFFFF" w:fill="auto"/>
          </w:tcPr>
          <w:p w14:paraId="286322EA" w14:textId="77777777" w:rsidR="00DB3946" w:rsidRPr="00BC0D1F" w:rsidRDefault="00DB3946" w:rsidP="00DB3946">
            <w:pPr>
              <w:pStyle w:val="TableText"/>
            </w:pPr>
            <w:r w:rsidRPr="00BC0D1F">
              <w:t>Performance incentive</w:t>
            </w:r>
          </w:p>
        </w:tc>
        <w:tc>
          <w:tcPr>
            <w:tcW w:w="1228" w:type="dxa"/>
            <w:shd w:val="clear" w:color="E3E3E3" w:fill="D9D9D9"/>
          </w:tcPr>
          <w:p w14:paraId="7E3F3D6E" w14:textId="77777777" w:rsidR="00DB3946" w:rsidRPr="00BC0D1F" w:rsidRDefault="00DB3946" w:rsidP="00DB3946">
            <w:pPr>
              <w:pStyle w:val="TableText"/>
              <w:ind w:right="113"/>
              <w:jc w:val="right"/>
            </w:pPr>
            <w:r w:rsidRPr="00BC0D1F">
              <w:t>–</w:t>
            </w:r>
          </w:p>
        </w:tc>
        <w:tc>
          <w:tcPr>
            <w:tcW w:w="1229" w:type="dxa"/>
          </w:tcPr>
          <w:p w14:paraId="5B248E4F" w14:textId="77777777" w:rsidR="00DB3946" w:rsidRPr="00BC0D1F" w:rsidRDefault="00DB3946" w:rsidP="00DB3946">
            <w:pPr>
              <w:pStyle w:val="TableText"/>
              <w:jc w:val="right"/>
            </w:pPr>
            <w:r w:rsidRPr="00BC0D1F">
              <w:t>–</w:t>
            </w:r>
          </w:p>
        </w:tc>
      </w:tr>
      <w:tr w:rsidR="00DB3946" w:rsidRPr="00BC0D1F" w14:paraId="0C7EE00E" w14:textId="77777777" w:rsidTr="00D543B3">
        <w:trPr>
          <w:cantSplit/>
        </w:trPr>
        <w:tc>
          <w:tcPr>
            <w:tcW w:w="1134" w:type="dxa"/>
            <w:tcBorders>
              <w:right w:val="nil"/>
            </w:tcBorders>
            <w:shd w:val="solid" w:color="FFFFFF" w:fill="auto"/>
          </w:tcPr>
          <w:p w14:paraId="1E01D3F1" w14:textId="77777777" w:rsidR="00DB3946" w:rsidRPr="00BC0D1F" w:rsidRDefault="00DB3946" w:rsidP="00DB3946">
            <w:pPr>
              <w:pStyle w:val="TableText"/>
              <w:ind w:right="284"/>
              <w:jc w:val="right"/>
            </w:pPr>
            <w:r w:rsidRPr="00BC0D1F">
              <w:t>372</w:t>
            </w:r>
          </w:p>
        </w:tc>
        <w:tc>
          <w:tcPr>
            <w:tcW w:w="5812" w:type="dxa"/>
            <w:tcBorders>
              <w:left w:val="nil"/>
            </w:tcBorders>
            <w:shd w:val="solid" w:color="FFFFFF" w:fill="auto"/>
          </w:tcPr>
          <w:p w14:paraId="472C8B5C" w14:textId="77777777" w:rsidR="00DB3946" w:rsidRPr="00BC0D1F" w:rsidRDefault="00DB3946" w:rsidP="00DB3946">
            <w:pPr>
              <w:pStyle w:val="TableText"/>
            </w:pPr>
            <w:r w:rsidRPr="00BC0D1F">
              <w:t>Assets to be written-off</w:t>
            </w:r>
          </w:p>
        </w:tc>
        <w:tc>
          <w:tcPr>
            <w:tcW w:w="1228" w:type="dxa"/>
            <w:shd w:val="clear" w:color="E3E3E3" w:fill="D9D9D9"/>
          </w:tcPr>
          <w:p w14:paraId="12EB14DA" w14:textId="77777777" w:rsidR="00DB3946" w:rsidRPr="00BC0D1F" w:rsidRDefault="00DB3946" w:rsidP="00DB3946">
            <w:pPr>
              <w:pStyle w:val="TableText"/>
              <w:ind w:right="113"/>
              <w:jc w:val="right"/>
            </w:pPr>
            <w:r w:rsidRPr="00BC0D1F">
              <w:t>372</w:t>
            </w:r>
          </w:p>
        </w:tc>
        <w:tc>
          <w:tcPr>
            <w:tcW w:w="1229" w:type="dxa"/>
          </w:tcPr>
          <w:p w14:paraId="5F8BAD29" w14:textId="77777777" w:rsidR="00DB3946" w:rsidRPr="00BC0D1F" w:rsidRDefault="00DB3946" w:rsidP="00DB3946">
            <w:pPr>
              <w:pStyle w:val="TableText"/>
              <w:jc w:val="right"/>
            </w:pPr>
            <w:r w:rsidRPr="00BC0D1F">
              <w:t>500</w:t>
            </w:r>
          </w:p>
        </w:tc>
      </w:tr>
      <w:tr w:rsidR="00DB3946" w:rsidRPr="00BC0D1F" w14:paraId="5756C0AA" w14:textId="77777777" w:rsidTr="00D543B3">
        <w:trPr>
          <w:cantSplit/>
        </w:trPr>
        <w:tc>
          <w:tcPr>
            <w:tcW w:w="1134" w:type="dxa"/>
            <w:tcBorders>
              <w:bottom w:val="nil"/>
              <w:right w:val="nil"/>
            </w:tcBorders>
          </w:tcPr>
          <w:p w14:paraId="7A662A9C" w14:textId="77777777" w:rsidR="00DB3946" w:rsidRPr="00BC0D1F" w:rsidRDefault="00DB3946" w:rsidP="00DB3946">
            <w:pPr>
              <w:pStyle w:val="TableText"/>
              <w:ind w:right="284"/>
              <w:jc w:val="right"/>
            </w:pPr>
            <w:r w:rsidRPr="00BC0D1F">
              <w:t>239</w:t>
            </w:r>
          </w:p>
        </w:tc>
        <w:tc>
          <w:tcPr>
            <w:tcW w:w="5812" w:type="dxa"/>
            <w:tcBorders>
              <w:left w:val="nil"/>
              <w:bottom w:val="nil"/>
            </w:tcBorders>
            <w:shd w:val="solid" w:color="FFFFFF" w:fill="auto"/>
          </w:tcPr>
          <w:p w14:paraId="3C7DA559" w14:textId="77777777" w:rsidR="00DB3946" w:rsidRPr="00BC0D1F" w:rsidRDefault="00DB3946" w:rsidP="00DB3946">
            <w:pPr>
              <w:pStyle w:val="TableText"/>
            </w:pPr>
            <w:r w:rsidRPr="00BC0D1F">
              <w:t>Redundancies</w:t>
            </w:r>
          </w:p>
        </w:tc>
        <w:tc>
          <w:tcPr>
            <w:tcW w:w="1228" w:type="dxa"/>
            <w:tcBorders>
              <w:bottom w:val="nil"/>
            </w:tcBorders>
            <w:shd w:val="clear" w:color="E3E3E3" w:fill="D9D9D9"/>
          </w:tcPr>
          <w:p w14:paraId="3B3D18C8" w14:textId="77777777" w:rsidR="00DB3946" w:rsidRPr="00BC0D1F" w:rsidRDefault="00DB3946" w:rsidP="00DB3946">
            <w:pPr>
              <w:pStyle w:val="TableText"/>
              <w:ind w:right="113"/>
              <w:jc w:val="right"/>
            </w:pPr>
            <w:r w:rsidRPr="00BC0D1F">
              <w:t>1,346</w:t>
            </w:r>
          </w:p>
        </w:tc>
        <w:tc>
          <w:tcPr>
            <w:tcW w:w="1229" w:type="dxa"/>
            <w:tcBorders>
              <w:bottom w:val="nil"/>
            </w:tcBorders>
          </w:tcPr>
          <w:p w14:paraId="31EC7524" w14:textId="77777777" w:rsidR="00DB3946" w:rsidRPr="00BC0D1F" w:rsidRDefault="00DB3946" w:rsidP="00DB3946">
            <w:pPr>
              <w:pStyle w:val="TableText"/>
              <w:jc w:val="right"/>
            </w:pPr>
            <w:r w:rsidRPr="00BC0D1F">
              <w:t>–</w:t>
            </w:r>
          </w:p>
        </w:tc>
      </w:tr>
      <w:tr w:rsidR="00DB3946" w:rsidRPr="00BC0D1F" w14:paraId="5E54D2A0" w14:textId="77777777" w:rsidTr="00D543B3">
        <w:trPr>
          <w:cantSplit/>
        </w:trPr>
        <w:tc>
          <w:tcPr>
            <w:tcW w:w="1134" w:type="dxa"/>
            <w:tcBorders>
              <w:top w:val="nil"/>
              <w:bottom w:val="nil"/>
              <w:right w:val="nil"/>
            </w:tcBorders>
            <w:shd w:val="solid" w:color="FFFFFF" w:fill="auto"/>
          </w:tcPr>
          <w:p w14:paraId="362A2AC0" w14:textId="77777777" w:rsidR="00DB3946" w:rsidRPr="00BC0D1F" w:rsidRDefault="00DB3946" w:rsidP="00DB3946">
            <w:pPr>
              <w:pStyle w:val="TableText"/>
              <w:ind w:right="284"/>
              <w:jc w:val="right"/>
            </w:pPr>
            <w:r w:rsidRPr="00BC0D1F">
              <w:t>–</w:t>
            </w:r>
          </w:p>
        </w:tc>
        <w:tc>
          <w:tcPr>
            <w:tcW w:w="5812" w:type="dxa"/>
            <w:tcBorders>
              <w:top w:val="nil"/>
              <w:left w:val="nil"/>
              <w:bottom w:val="nil"/>
            </w:tcBorders>
            <w:shd w:val="solid" w:color="FFFFFF" w:fill="auto"/>
          </w:tcPr>
          <w:p w14:paraId="0AB6DE4C" w14:textId="77777777" w:rsidR="00DB3946" w:rsidRPr="00BC0D1F" w:rsidRDefault="00DB3946" w:rsidP="00DB3946">
            <w:pPr>
              <w:pStyle w:val="TableText"/>
            </w:pPr>
            <w:r w:rsidRPr="00BC0D1F">
              <w:t xml:space="preserve">Lease exit </w:t>
            </w:r>
            <w:proofErr w:type="spellStart"/>
            <w:r w:rsidRPr="00BC0D1F">
              <w:t>makegood</w:t>
            </w:r>
            <w:proofErr w:type="spellEnd"/>
          </w:p>
        </w:tc>
        <w:tc>
          <w:tcPr>
            <w:tcW w:w="1228" w:type="dxa"/>
            <w:tcBorders>
              <w:top w:val="nil"/>
              <w:bottom w:val="nil"/>
            </w:tcBorders>
            <w:shd w:val="clear" w:color="E3E3E3" w:fill="D9D9D9"/>
          </w:tcPr>
          <w:p w14:paraId="247AB538" w14:textId="77777777" w:rsidR="00DB3946" w:rsidRPr="00BC0D1F" w:rsidRDefault="00DB3946" w:rsidP="00DB3946">
            <w:pPr>
              <w:pStyle w:val="TableText"/>
              <w:ind w:right="113"/>
              <w:jc w:val="right"/>
            </w:pPr>
            <w:r w:rsidRPr="00BC0D1F">
              <w:t>1,666</w:t>
            </w:r>
          </w:p>
        </w:tc>
        <w:tc>
          <w:tcPr>
            <w:tcW w:w="1229" w:type="dxa"/>
            <w:tcBorders>
              <w:top w:val="nil"/>
              <w:bottom w:val="nil"/>
            </w:tcBorders>
          </w:tcPr>
          <w:p w14:paraId="1286F43F" w14:textId="77777777" w:rsidR="00DB3946" w:rsidRPr="00BC0D1F" w:rsidRDefault="00DB3946" w:rsidP="00DB3946">
            <w:pPr>
              <w:pStyle w:val="TableText"/>
              <w:jc w:val="right"/>
            </w:pPr>
            <w:r w:rsidRPr="00BC0D1F">
              <w:t>–</w:t>
            </w:r>
          </w:p>
        </w:tc>
      </w:tr>
      <w:tr w:rsidR="00DB3946" w:rsidRPr="00BC0D1F" w14:paraId="5C7A6111" w14:textId="77777777" w:rsidTr="00DB3946">
        <w:trPr>
          <w:cantSplit/>
        </w:trPr>
        <w:tc>
          <w:tcPr>
            <w:tcW w:w="1134" w:type="dxa"/>
            <w:tcBorders>
              <w:top w:val="nil"/>
              <w:bottom w:val="nil"/>
              <w:right w:val="nil"/>
            </w:tcBorders>
            <w:shd w:val="solid" w:color="FFFFFF" w:fill="auto"/>
          </w:tcPr>
          <w:p w14:paraId="772137BC" w14:textId="77777777" w:rsidR="00DB3946" w:rsidRPr="00BC0D1F" w:rsidRDefault="00DB3946" w:rsidP="00DB3946">
            <w:pPr>
              <w:pStyle w:val="TableText"/>
              <w:ind w:right="284"/>
              <w:jc w:val="right"/>
            </w:pPr>
            <w:r w:rsidRPr="00BC0D1F">
              <w:t>337</w:t>
            </w:r>
          </w:p>
        </w:tc>
        <w:tc>
          <w:tcPr>
            <w:tcW w:w="5812" w:type="dxa"/>
            <w:tcBorders>
              <w:top w:val="nil"/>
              <w:left w:val="nil"/>
              <w:bottom w:val="nil"/>
            </w:tcBorders>
            <w:shd w:val="solid" w:color="FFFFFF" w:fill="auto"/>
          </w:tcPr>
          <w:p w14:paraId="506431EA" w14:textId="77777777" w:rsidR="00DB3946" w:rsidRPr="00BC0D1F" w:rsidRDefault="00DB3946" w:rsidP="00DB3946">
            <w:pPr>
              <w:pStyle w:val="TableText"/>
            </w:pPr>
            <w:r w:rsidRPr="00BC0D1F">
              <w:t>Other</w:t>
            </w:r>
          </w:p>
        </w:tc>
        <w:tc>
          <w:tcPr>
            <w:tcW w:w="1228" w:type="dxa"/>
            <w:tcBorders>
              <w:top w:val="nil"/>
              <w:bottom w:val="nil"/>
            </w:tcBorders>
            <w:shd w:val="clear" w:color="E3E3E3" w:fill="D9D9D9"/>
          </w:tcPr>
          <w:p w14:paraId="2EDBB959" w14:textId="77777777" w:rsidR="00DB3946" w:rsidRPr="00BC0D1F" w:rsidRDefault="00DB3946" w:rsidP="00DB3946">
            <w:pPr>
              <w:pStyle w:val="TableText"/>
              <w:ind w:right="113"/>
              <w:jc w:val="right"/>
            </w:pPr>
            <w:r w:rsidRPr="00BC0D1F">
              <w:t>307</w:t>
            </w:r>
          </w:p>
        </w:tc>
        <w:tc>
          <w:tcPr>
            <w:tcW w:w="1229" w:type="dxa"/>
            <w:tcBorders>
              <w:top w:val="nil"/>
              <w:bottom w:val="nil"/>
            </w:tcBorders>
          </w:tcPr>
          <w:p w14:paraId="3E624EEB" w14:textId="77777777" w:rsidR="00DB3946" w:rsidRPr="00BC0D1F" w:rsidRDefault="00DB3946" w:rsidP="00DB3946">
            <w:pPr>
              <w:pStyle w:val="TableText"/>
              <w:jc w:val="right"/>
            </w:pPr>
            <w:r w:rsidRPr="00BC0D1F">
              <w:t>–</w:t>
            </w:r>
          </w:p>
        </w:tc>
      </w:tr>
      <w:tr w:rsidR="00DB3946" w:rsidRPr="00BC0D1F" w14:paraId="0A6BBBAC" w14:textId="77777777" w:rsidTr="00DB3946">
        <w:trPr>
          <w:cantSplit/>
        </w:trPr>
        <w:tc>
          <w:tcPr>
            <w:tcW w:w="1134" w:type="dxa"/>
            <w:tcBorders>
              <w:top w:val="nil"/>
              <w:bottom w:val="nil"/>
              <w:right w:val="nil"/>
            </w:tcBorders>
            <w:shd w:val="solid" w:color="FFFFFF" w:fill="auto"/>
          </w:tcPr>
          <w:p w14:paraId="5DEA9EE4" w14:textId="77777777" w:rsidR="00DB3946" w:rsidRPr="00BC0D1F" w:rsidRDefault="00DB3946" w:rsidP="00DB3946">
            <w:pPr>
              <w:pStyle w:val="TableText"/>
              <w:ind w:right="284"/>
              <w:jc w:val="right"/>
              <w:rPr>
                <w:b/>
              </w:rPr>
            </w:pPr>
            <w:r w:rsidRPr="00BC0D1F">
              <w:rPr>
                <w:b/>
              </w:rPr>
              <w:t>1,132</w:t>
            </w:r>
          </w:p>
        </w:tc>
        <w:tc>
          <w:tcPr>
            <w:tcW w:w="5812" w:type="dxa"/>
            <w:tcBorders>
              <w:top w:val="nil"/>
              <w:left w:val="nil"/>
              <w:bottom w:val="nil"/>
            </w:tcBorders>
            <w:shd w:val="solid" w:color="FFFFFF" w:fill="auto"/>
          </w:tcPr>
          <w:p w14:paraId="0CDE893E" w14:textId="77777777" w:rsidR="00DB3946" w:rsidRPr="00BC0D1F" w:rsidRDefault="00DB3946" w:rsidP="00DB3946">
            <w:pPr>
              <w:pStyle w:val="TableText"/>
              <w:rPr>
                <w:b/>
              </w:rPr>
            </w:pPr>
            <w:r w:rsidRPr="00BC0D1F">
              <w:rPr>
                <w:b/>
              </w:rPr>
              <w:t>Total current portion</w:t>
            </w:r>
          </w:p>
        </w:tc>
        <w:tc>
          <w:tcPr>
            <w:tcW w:w="1228" w:type="dxa"/>
            <w:tcBorders>
              <w:top w:val="nil"/>
              <w:bottom w:val="nil"/>
            </w:tcBorders>
            <w:shd w:val="clear" w:color="E3E3E3" w:fill="D9D9D9"/>
          </w:tcPr>
          <w:p w14:paraId="5043BF07" w14:textId="77777777" w:rsidR="00DB3946" w:rsidRPr="00BC0D1F" w:rsidRDefault="00DB3946" w:rsidP="00DB3946">
            <w:pPr>
              <w:pStyle w:val="TableText"/>
              <w:ind w:right="113"/>
              <w:jc w:val="right"/>
              <w:rPr>
                <w:b/>
              </w:rPr>
            </w:pPr>
            <w:r w:rsidRPr="00BC0D1F">
              <w:rPr>
                <w:b/>
              </w:rPr>
              <w:t>3,691</w:t>
            </w:r>
          </w:p>
        </w:tc>
        <w:tc>
          <w:tcPr>
            <w:tcW w:w="1229" w:type="dxa"/>
            <w:tcBorders>
              <w:top w:val="nil"/>
              <w:bottom w:val="nil"/>
            </w:tcBorders>
          </w:tcPr>
          <w:p w14:paraId="52044F86" w14:textId="77777777" w:rsidR="00DB3946" w:rsidRPr="00BC0D1F" w:rsidRDefault="00DB3946" w:rsidP="00DB3946">
            <w:pPr>
              <w:pStyle w:val="TableText"/>
              <w:jc w:val="right"/>
              <w:rPr>
                <w:b/>
              </w:rPr>
            </w:pPr>
            <w:r w:rsidRPr="00BC0D1F">
              <w:rPr>
                <w:b/>
              </w:rPr>
              <w:t>500</w:t>
            </w:r>
          </w:p>
        </w:tc>
      </w:tr>
      <w:tr w:rsidR="00DB3946" w:rsidRPr="00BC0D1F" w14:paraId="4E703F6D" w14:textId="77777777" w:rsidTr="00DB3946">
        <w:trPr>
          <w:cantSplit/>
        </w:trPr>
        <w:tc>
          <w:tcPr>
            <w:tcW w:w="1134" w:type="dxa"/>
            <w:tcBorders>
              <w:top w:val="nil"/>
              <w:bottom w:val="nil"/>
              <w:right w:val="nil"/>
            </w:tcBorders>
            <w:shd w:val="solid" w:color="FFFFFF" w:fill="auto"/>
          </w:tcPr>
          <w:p w14:paraId="620B6FDA" w14:textId="77777777" w:rsidR="00DB3946" w:rsidRPr="00BC0D1F" w:rsidRDefault="00DB3946" w:rsidP="00DB3946">
            <w:pPr>
              <w:pStyle w:val="TableText"/>
              <w:spacing w:before="240"/>
              <w:ind w:right="284"/>
              <w:jc w:val="right"/>
              <w:rPr>
                <w:b/>
              </w:rPr>
            </w:pPr>
          </w:p>
        </w:tc>
        <w:tc>
          <w:tcPr>
            <w:tcW w:w="5812" w:type="dxa"/>
            <w:tcBorders>
              <w:top w:val="nil"/>
              <w:left w:val="nil"/>
              <w:bottom w:val="nil"/>
            </w:tcBorders>
            <w:shd w:val="solid" w:color="FFFFFF" w:fill="auto"/>
          </w:tcPr>
          <w:p w14:paraId="6BCEEB24" w14:textId="77777777" w:rsidR="00DB3946" w:rsidRPr="00BC0D1F" w:rsidRDefault="00DB3946" w:rsidP="00DB3946">
            <w:pPr>
              <w:pStyle w:val="TableText"/>
              <w:spacing w:before="240"/>
              <w:rPr>
                <w:b/>
              </w:rPr>
            </w:pPr>
            <w:r w:rsidRPr="00BC0D1F">
              <w:rPr>
                <w:b/>
              </w:rPr>
              <w:t>Non-current provisions are represented by:</w:t>
            </w:r>
          </w:p>
        </w:tc>
        <w:tc>
          <w:tcPr>
            <w:tcW w:w="1228" w:type="dxa"/>
            <w:tcBorders>
              <w:top w:val="nil"/>
              <w:bottom w:val="nil"/>
            </w:tcBorders>
            <w:shd w:val="clear" w:color="E3E3E3" w:fill="D9D9D9"/>
          </w:tcPr>
          <w:p w14:paraId="7C1FA1F6" w14:textId="77777777" w:rsidR="00DB3946" w:rsidRPr="00BC0D1F" w:rsidRDefault="00DB3946" w:rsidP="00DB3946">
            <w:pPr>
              <w:pStyle w:val="TableText"/>
              <w:spacing w:before="240"/>
              <w:ind w:right="113"/>
              <w:jc w:val="right"/>
              <w:rPr>
                <w:b/>
              </w:rPr>
            </w:pPr>
          </w:p>
        </w:tc>
        <w:tc>
          <w:tcPr>
            <w:tcW w:w="1229" w:type="dxa"/>
            <w:tcBorders>
              <w:top w:val="nil"/>
              <w:bottom w:val="nil"/>
            </w:tcBorders>
          </w:tcPr>
          <w:p w14:paraId="64954B22" w14:textId="77777777" w:rsidR="00DB3946" w:rsidRPr="00BC0D1F" w:rsidRDefault="00DB3946" w:rsidP="00DB3946">
            <w:pPr>
              <w:pStyle w:val="TableText"/>
              <w:spacing w:before="240"/>
              <w:jc w:val="right"/>
              <w:rPr>
                <w:b/>
              </w:rPr>
            </w:pPr>
          </w:p>
        </w:tc>
      </w:tr>
      <w:tr w:rsidR="00DB3946" w:rsidRPr="00BC0D1F" w14:paraId="7B8D2397" w14:textId="77777777" w:rsidTr="00DB3946">
        <w:trPr>
          <w:cantSplit/>
        </w:trPr>
        <w:tc>
          <w:tcPr>
            <w:tcW w:w="1134" w:type="dxa"/>
            <w:tcBorders>
              <w:top w:val="nil"/>
              <w:bottom w:val="nil"/>
              <w:right w:val="nil"/>
            </w:tcBorders>
            <w:shd w:val="solid" w:color="FFFFFF" w:fill="auto"/>
          </w:tcPr>
          <w:p w14:paraId="433E1DE7" w14:textId="77777777" w:rsidR="00DB3946" w:rsidRPr="00BC0D1F" w:rsidRDefault="00DB3946" w:rsidP="00DB3946">
            <w:pPr>
              <w:pStyle w:val="TableText"/>
              <w:ind w:right="284"/>
              <w:jc w:val="right"/>
            </w:pPr>
            <w:r w:rsidRPr="00BC0D1F">
              <w:t>2,720</w:t>
            </w:r>
          </w:p>
        </w:tc>
        <w:tc>
          <w:tcPr>
            <w:tcW w:w="5812" w:type="dxa"/>
            <w:tcBorders>
              <w:top w:val="nil"/>
              <w:left w:val="nil"/>
              <w:bottom w:val="nil"/>
            </w:tcBorders>
            <w:shd w:val="solid" w:color="FFFFFF" w:fill="auto"/>
          </w:tcPr>
          <w:p w14:paraId="410DF093" w14:textId="77777777" w:rsidR="00DB3946" w:rsidRPr="00BC0D1F" w:rsidRDefault="00DB3946" w:rsidP="00DB3946">
            <w:pPr>
              <w:pStyle w:val="TableText"/>
            </w:pPr>
            <w:r w:rsidRPr="00BC0D1F">
              <w:t xml:space="preserve">Lease exit </w:t>
            </w:r>
            <w:proofErr w:type="spellStart"/>
            <w:r w:rsidRPr="00BC0D1F">
              <w:t>makegood</w:t>
            </w:r>
            <w:proofErr w:type="spellEnd"/>
          </w:p>
        </w:tc>
        <w:tc>
          <w:tcPr>
            <w:tcW w:w="1228" w:type="dxa"/>
            <w:tcBorders>
              <w:top w:val="nil"/>
              <w:bottom w:val="nil"/>
            </w:tcBorders>
            <w:shd w:val="clear" w:color="E3E3E3" w:fill="D9D9D9"/>
          </w:tcPr>
          <w:p w14:paraId="4ED30015" w14:textId="77777777" w:rsidR="00DB3946" w:rsidRPr="00BC0D1F" w:rsidRDefault="00DB3946" w:rsidP="00DB3946">
            <w:pPr>
              <w:pStyle w:val="TableText"/>
              <w:ind w:right="113"/>
              <w:jc w:val="right"/>
            </w:pPr>
            <w:r w:rsidRPr="00BC0D1F">
              <w:t>–</w:t>
            </w:r>
          </w:p>
        </w:tc>
        <w:tc>
          <w:tcPr>
            <w:tcW w:w="1229" w:type="dxa"/>
            <w:tcBorders>
              <w:top w:val="nil"/>
              <w:bottom w:val="nil"/>
            </w:tcBorders>
          </w:tcPr>
          <w:p w14:paraId="0FB706D0" w14:textId="77777777" w:rsidR="00DB3946" w:rsidRPr="00BC0D1F" w:rsidRDefault="00DB3946" w:rsidP="00DB3946">
            <w:pPr>
              <w:pStyle w:val="TableText"/>
              <w:jc w:val="right"/>
            </w:pPr>
            <w:r w:rsidRPr="00BC0D1F">
              <w:t>–</w:t>
            </w:r>
          </w:p>
        </w:tc>
      </w:tr>
      <w:tr w:rsidR="00DB3946" w:rsidRPr="00BC0D1F" w14:paraId="4D1FC432" w14:textId="77777777" w:rsidTr="00DB3946">
        <w:trPr>
          <w:cantSplit/>
        </w:trPr>
        <w:tc>
          <w:tcPr>
            <w:tcW w:w="1134" w:type="dxa"/>
            <w:tcBorders>
              <w:top w:val="nil"/>
              <w:bottom w:val="nil"/>
              <w:right w:val="nil"/>
            </w:tcBorders>
            <w:shd w:val="solid" w:color="FFFFFF" w:fill="auto"/>
          </w:tcPr>
          <w:p w14:paraId="709B4360" w14:textId="77777777" w:rsidR="00DB3946" w:rsidRPr="00BC0D1F" w:rsidRDefault="00DB3946" w:rsidP="00DB3946">
            <w:pPr>
              <w:pStyle w:val="TableText"/>
              <w:ind w:right="284"/>
              <w:jc w:val="right"/>
            </w:pPr>
            <w:r w:rsidRPr="00BC0D1F">
              <w:t>30</w:t>
            </w:r>
          </w:p>
        </w:tc>
        <w:tc>
          <w:tcPr>
            <w:tcW w:w="5812" w:type="dxa"/>
            <w:tcBorders>
              <w:top w:val="nil"/>
              <w:left w:val="nil"/>
              <w:bottom w:val="nil"/>
            </w:tcBorders>
            <w:shd w:val="solid" w:color="FFFFFF" w:fill="auto"/>
          </w:tcPr>
          <w:p w14:paraId="0F74ACE5" w14:textId="77777777" w:rsidR="00DB3946" w:rsidRPr="00BC0D1F" w:rsidRDefault="00DB3946" w:rsidP="00DB3946">
            <w:pPr>
              <w:pStyle w:val="TableText"/>
            </w:pPr>
            <w:r w:rsidRPr="00BC0D1F">
              <w:t>ACC Partnership Programme</w:t>
            </w:r>
          </w:p>
        </w:tc>
        <w:tc>
          <w:tcPr>
            <w:tcW w:w="1228" w:type="dxa"/>
            <w:tcBorders>
              <w:top w:val="nil"/>
              <w:bottom w:val="nil"/>
            </w:tcBorders>
            <w:shd w:val="clear" w:color="E3E3E3" w:fill="D9D9D9"/>
          </w:tcPr>
          <w:p w14:paraId="0A1979C7" w14:textId="77777777" w:rsidR="00DB3946" w:rsidRPr="00BC0D1F" w:rsidRDefault="00DB3946" w:rsidP="00DB3946">
            <w:pPr>
              <w:pStyle w:val="TableText"/>
              <w:ind w:right="113"/>
              <w:jc w:val="right"/>
            </w:pPr>
            <w:r w:rsidRPr="00BC0D1F">
              <w:t>30</w:t>
            </w:r>
          </w:p>
        </w:tc>
        <w:tc>
          <w:tcPr>
            <w:tcW w:w="1229" w:type="dxa"/>
            <w:tcBorders>
              <w:top w:val="nil"/>
              <w:bottom w:val="nil"/>
            </w:tcBorders>
          </w:tcPr>
          <w:p w14:paraId="0E617DB2" w14:textId="77777777" w:rsidR="00DB3946" w:rsidRPr="00BC0D1F" w:rsidRDefault="00DB3946" w:rsidP="00DB3946">
            <w:pPr>
              <w:pStyle w:val="TableText"/>
              <w:jc w:val="right"/>
            </w:pPr>
            <w:r w:rsidRPr="00BC0D1F">
              <w:t>30</w:t>
            </w:r>
          </w:p>
        </w:tc>
      </w:tr>
      <w:tr w:rsidR="00DB3946" w:rsidRPr="00BC0D1F" w14:paraId="4B9A5B82" w14:textId="77777777" w:rsidTr="00DB3946">
        <w:trPr>
          <w:cantSplit/>
        </w:trPr>
        <w:tc>
          <w:tcPr>
            <w:tcW w:w="1134" w:type="dxa"/>
            <w:tcBorders>
              <w:top w:val="nil"/>
              <w:bottom w:val="nil"/>
              <w:right w:val="nil"/>
            </w:tcBorders>
            <w:shd w:val="solid" w:color="FFFFFF" w:fill="auto"/>
          </w:tcPr>
          <w:p w14:paraId="56B68449" w14:textId="77777777" w:rsidR="00DB3946" w:rsidRPr="00BC0D1F" w:rsidRDefault="00DB3946" w:rsidP="00DB3946">
            <w:pPr>
              <w:pStyle w:val="TableText"/>
              <w:ind w:right="284"/>
              <w:jc w:val="right"/>
              <w:rPr>
                <w:b/>
              </w:rPr>
            </w:pPr>
            <w:r w:rsidRPr="00BC0D1F">
              <w:rPr>
                <w:b/>
              </w:rPr>
              <w:t>2,750</w:t>
            </w:r>
          </w:p>
        </w:tc>
        <w:tc>
          <w:tcPr>
            <w:tcW w:w="5812" w:type="dxa"/>
            <w:tcBorders>
              <w:top w:val="nil"/>
              <w:left w:val="nil"/>
              <w:bottom w:val="nil"/>
            </w:tcBorders>
            <w:shd w:val="solid" w:color="FFFFFF" w:fill="auto"/>
          </w:tcPr>
          <w:p w14:paraId="32FDC15B" w14:textId="77777777" w:rsidR="00DB3946" w:rsidRPr="00BC0D1F" w:rsidRDefault="00DB3946" w:rsidP="00DB3946">
            <w:pPr>
              <w:pStyle w:val="TableText"/>
              <w:rPr>
                <w:b/>
              </w:rPr>
            </w:pPr>
            <w:r w:rsidRPr="00BC0D1F">
              <w:rPr>
                <w:b/>
              </w:rPr>
              <w:t>Total non-current portion</w:t>
            </w:r>
          </w:p>
        </w:tc>
        <w:tc>
          <w:tcPr>
            <w:tcW w:w="1228" w:type="dxa"/>
            <w:tcBorders>
              <w:top w:val="nil"/>
              <w:bottom w:val="nil"/>
            </w:tcBorders>
            <w:shd w:val="clear" w:color="E3E3E3" w:fill="D9D9D9"/>
          </w:tcPr>
          <w:p w14:paraId="4BEF9BEC" w14:textId="77777777" w:rsidR="00DB3946" w:rsidRPr="00BC0D1F" w:rsidRDefault="00DB3946" w:rsidP="00DB3946">
            <w:pPr>
              <w:pStyle w:val="TableText"/>
              <w:ind w:right="113"/>
              <w:jc w:val="right"/>
              <w:rPr>
                <w:b/>
              </w:rPr>
            </w:pPr>
            <w:r w:rsidRPr="00BC0D1F">
              <w:rPr>
                <w:b/>
              </w:rPr>
              <w:t>30</w:t>
            </w:r>
          </w:p>
        </w:tc>
        <w:tc>
          <w:tcPr>
            <w:tcW w:w="1229" w:type="dxa"/>
            <w:tcBorders>
              <w:top w:val="nil"/>
              <w:bottom w:val="nil"/>
            </w:tcBorders>
          </w:tcPr>
          <w:p w14:paraId="423D7ABC" w14:textId="77777777" w:rsidR="00DB3946" w:rsidRPr="00BC0D1F" w:rsidRDefault="00DB3946" w:rsidP="00DB3946">
            <w:pPr>
              <w:pStyle w:val="TableText"/>
              <w:jc w:val="right"/>
              <w:rPr>
                <w:b/>
              </w:rPr>
            </w:pPr>
            <w:r w:rsidRPr="00BC0D1F">
              <w:rPr>
                <w:b/>
              </w:rPr>
              <w:t>30</w:t>
            </w:r>
          </w:p>
        </w:tc>
      </w:tr>
      <w:tr w:rsidR="00DB3946" w:rsidRPr="00BC0D1F" w14:paraId="154CB7DA" w14:textId="77777777" w:rsidTr="00DB3946">
        <w:trPr>
          <w:cantSplit/>
        </w:trPr>
        <w:tc>
          <w:tcPr>
            <w:tcW w:w="1134" w:type="dxa"/>
            <w:tcBorders>
              <w:top w:val="nil"/>
              <w:bottom w:val="single" w:sz="4" w:space="0" w:color="auto"/>
              <w:right w:val="nil"/>
            </w:tcBorders>
            <w:shd w:val="solid" w:color="FFFFFF" w:fill="auto"/>
          </w:tcPr>
          <w:p w14:paraId="7BB56290" w14:textId="77777777" w:rsidR="00DB3946" w:rsidRPr="00BC0D1F" w:rsidRDefault="00DB3946" w:rsidP="00DB3946">
            <w:pPr>
              <w:pStyle w:val="TableText"/>
              <w:ind w:right="284"/>
              <w:jc w:val="right"/>
              <w:rPr>
                <w:b/>
              </w:rPr>
            </w:pPr>
            <w:r w:rsidRPr="00BC0D1F">
              <w:rPr>
                <w:b/>
              </w:rPr>
              <w:t>3,882</w:t>
            </w:r>
          </w:p>
        </w:tc>
        <w:tc>
          <w:tcPr>
            <w:tcW w:w="5812" w:type="dxa"/>
            <w:tcBorders>
              <w:top w:val="nil"/>
              <w:left w:val="nil"/>
              <w:bottom w:val="single" w:sz="4" w:space="0" w:color="auto"/>
            </w:tcBorders>
            <w:shd w:val="solid" w:color="FFFFFF" w:fill="auto"/>
          </w:tcPr>
          <w:p w14:paraId="7893346E" w14:textId="77777777" w:rsidR="00DB3946" w:rsidRPr="00BC0D1F" w:rsidRDefault="00DB3946" w:rsidP="00DB3946">
            <w:pPr>
              <w:pStyle w:val="TableText"/>
              <w:rPr>
                <w:b/>
              </w:rPr>
            </w:pPr>
            <w:r w:rsidRPr="00BC0D1F">
              <w:rPr>
                <w:b/>
              </w:rPr>
              <w:t>Total provisions</w:t>
            </w:r>
          </w:p>
        </w:tc>
        <w:tc>
          <w:tcPr>
            <w:tcW w:w="1228" w:type="dxa"/>
            <w:tcBorders>
              <w:top w:val="nil"/>
              <w:bottom w:val="single" w:sz="4" w:space="0" w:color="auto"/>
            </w:tcBorders>
            <w:shd w:val="clear" w:color="E3E3E3" w:fill="D9D9D9"/>
          </w:tcPr>
          <w:p w14:paraId="424F658F" w14:textId="77777777" w:rsidR="00DB3946" w:rsidRPr="00BC0D1F" w:rsidRDefault="00DB3946" w:rsidP="00DB3946">
            <w:pPr>
              <w:pStyle w:val="TableText"/>
              <w:ind w:right="113"/>
              <w:jc w:val="right"/>
              <w:rPr>
                <w:b/>
              </w:rPr>
            </w:pPr>
            <w:r w:rsidRPr="00BC0D1F">
              <w:rPr>
                <w:b/>
              </w:rPr>
              <w:t>3,721</w:t>
            </w:r>
          </w:p>
        </w:tc>
        <w:tc>
          <w:tcPr>
            <w:tcW w:w="1229" w:type="dxa"/>
            <w:tcBorders>
              <w:top w:val="nil"/>
              <w:bottom w:val="single" w:sz="4" w:space="0" w:color="auto"/>
            </w:tcBorders>
          </w:tcPr>
          <w:p w14:paraId="7AF7F3B1" w14:textId="77777777" w:rsidR="00DB3946" w:rsidRPr="00BC0D1F" w:rsidRDefault="00DB3946" w:rsidP="00DB3946">
            <w:pPr>
              <w:pStyle w:val="TableText"/>
              <w:jc w:val="right"/>
              <w:rPr>
                <w:b/>
              </w:rPr>
            </w:pPr>
            <w:r w:rsidRPr="00BC0D1F">
              <w:rPr>
                <w:b/>
              </w:rPr>
              <w:t>530</w:t>
            </w:r>
          </w:p>
        </w:tc>
      </w:tr>
    </w:tbl>
    <w:p w14:paraId="3B35E510" w14:textId="77777777" w:rsidR="0068740F" w:rsidRPr="00BC0D1F" w:rsidRDefault="0068740F" w:rsidP="00DB3946"/>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410"/>
        <w:gridCol w:w="1276"/>
        <w:gridCol w:w="1134"/>
        <w:gridCol w:w="1276"/>
        <w:gridCol w:w="1559"/>
        <w:gridCol w:w="850"/>
        <w:gridCol w:w="851"/>
      </w:tblGrid>
      <w:tr w:rsidR="00DB3946" w:rsidRPr="00BC0D1F" w14:paraId="15D28B26" w14:textId="77777777" w:rsidTr="00DB3946">
        <w:trPr>
          <w:cantSplit/>
        </w:trPr>
        <w:tc>
          <w:tcPr>
            <w:tcW w:w="2410" w:type="dxa"/>
            <w:tcBorders>
              <w:top w:val="single" w:sz="4" w:space="0" w:color="auto"/>
              <w:left w:val="nil"/>
              <w:bottom w:val="single" w:sz="4" w:space="0" w:color="auto"/>
            </w:tcBorders>
            <w:shd w:val="solid" w:color="FFFFFF" w:fill="auto"/>
          </w:tcPr>
          <w:p w14:paraId="1DA15980" w14:textId="77777777" w:rsidR="00DB3946" w:rsidRPr="00BC0D1F" w:rsidRDefault="00DB3946" w:rsidP="00D543B3">
            <w:pPr>
              <w:pStyle w:val="TableText"/>
            </w:pPr>
          </w:p>
        </w:tc>
        <w:tc>
          <w:tcPr>
            <w:tcW w:w="1276" w:type="dxa"/>
            <w:tcBorders>
              <w:top w:val="single" w:sz="4" w:space="0" w:color="auto"/>
              <w:bottom w:val="single" w:sz="4" w:space="0" w:color="auto"/>
            </w:tcBorders>
            <w:shd w:val="clear" w:color="E3E3E3" w:fill="auto"/>
          </w:tcPr>
          <w:p w14:paraId="51F3504D" w14:textId="77777777" w:rsidR="00DB3946" w:rsidRPr="00BC0D1F" w:rsidRDefault="00DB3946" w:rsidP="00DB3946">
            <w:pPr>
              <w:pStyle w:val="TableText"/>
              <w:jc w:val="right"/>
              <w:rPr>
                <w:b/>
              </w:rPr>
            </w:pPr>
            <w:r w:rsidRPr="00BC0D1F">
              <w:rPr>
                <w:b/>
              </w:rPr>
              <w:t>Performance incentive</w:t>
            </w:r>
            <w:r w:rsidRPr="00BC0D1F">
              <w:rPr>
                <w:b/>
              </w:rPr>
              <w:br/>
              <w:t>$000</w:t>
            </w:r>
          </w:p>
        </w:tc>
        <w:tc>
          <w:tcPr>
            <w:tcW w:w="1134" w:type="dxa"/>
            <w:tcBorders>
              <w:top w:val="single" w:sz="4" w:space="0" w:color="auto"/>
              <w:bottom w:val="single" w:sz="4" w:space="0" w:color="auto"/>
            </w:tcBorders>
            <w:shd w:val="clear" w:color="E3E3E3" w:fill="auto"/>
          </w:tcPr>
          <w:p w14:paraId="7E5C7AC7" w14:textId="77777777" w:rsidR="00DB3946" w:rsidRPr="00BC0D1F" w:rsidRDefault="00DB3946" w:rsidP="00DB3946">
            <w:pPr>
              <w:pStyle w:val="TableText"/>
              <w:jc w:val="right"/>
              <w:rPr>
                <w:b/>
              </w:rPr>
            </w:pPr>
            <w:r w:rsidRPr="00BC0D1F">
              <w:rPr>
                <w:b/>
              </w:rPr>
              <w:t xml:space="preserve">Lease exit </w:t>
            </w:r>
            <w:proofErr w:type="spellStart"/>
            <w:r w:rsidRPr="00BC0D1F">
              <w:rPr>
                <w:b/>
              </w:rPr>
              <w:t>makegood</w:t>
            </w:r>
            <w:proofErr w:type="spellEnd"/>
            <w:r w:rsidRPr="00BC0D1F">
              <w:rPr>
                <w:b/>
              </w:rPr>
              <w:br/>
              <w:t>$000</w:t>
            </w:r>
          </w:p>
        </w:tc>
        <w:tc>
          <w:tcPr>
            <w:tcW w:w="1276" w:type="dxa"/>
            <w:tcBorders>
              <w:top w:val="single" w:sz="4" w:space="0" w:color="auto"/>
              <w:bottom w:val="single" w:sz="4" w:space="0" w:color="auto"/>
            </w:tcBorders>
            <w:shd w:val="clear" w:color="E3E3E3" w:fill="auto"/>
          </w:tcPr>
          <w:p w14:paraId="3CDF1835" w14:textId="77777777" w:rsidR="00DB3946" w:rsidRPr="00BC0D1F" w:rsidRDefault="00DB3946" w:rsidP="00DB3946">
            <w:pPr>
              <w:pStyle w:val="TableText"/>
              <w:jc w:val="right"/>
              <w:rPr>
                <w:b/>
              </w:rPr>
            </w:pPr>
            <w:r w:rsidRPr="00BC0D1F">
              <w:rPr>
                <w:b/>
              </w:rPr>
              <w:t>Assets to be written-off</w:t>
            </w:r>
            <w:r w:rsidRPr="00BC0D1F">
              <w:rPr>
                <w:b/>
              </w:rPr>
              <w:br/>
              <w:t>$000</w:t>
            </w:r>
          </w:p>
        </w:tc>
        <w:tc>
          <w:tcPr>
            <w:tcW w:w="1559" w:type="dxa"/>
            <w:tcBorders>
              <w:top w:val="single" w:sz="4" w:space="0" w:color="auto"/>
              <w:bottom w:val="single" w:sz="4" w:space="0" w:color="auto"/>
            </w:tcBorders>
            <w:shd w:val="solid" w:color="FFFFFF" w:fill="auto"/>
          </w:tcPr>
          <w:p w14:paraId="55B08318" w14:textId="77777777" w:rsidR="00DB3946" w:rsidRPr="00BC0D1F" w:rsidRDefault="00DB3946" w:rsidP="00DB3946">
            <w:pPr>
              <w:pStyle w:val="TableText"/>
              <w:jc w:val="right"/>
              <w:rPr>
                <w:b/>
              </w:rPr>
            </w:pPr>
            <w:r w:rsidRPr="00BC0D1F">
              <w:rPr>
                <w:b/>
              </w:rPr>
              <w:t>Redundancies</w:t>
            </w:r>
            <w:r w:rsidRPr="00BC0D1F">
              <w:rPr>
                <w:b/>
              </w:rPr>
              <w:br/>
            </w:r>
            <w:r w:rsidRPr="00BC0D1F">
              <w:rPr>
                <w:b/>
              </w:rPr>
              <w:br/>
              <w:t>$000</w:t>
            </w:r>
          </w:p>
        </w:tc>
        <w:tc>
          <w:tcPr>
            <w:tcW w:w="850" w:type="dxa"/>
            <w:tcBorders>
              <w:top w:val="single" w:sz="4" w:space="0" w:color="auto"/>
              <w:bottom w:val="single" w:sz="4" w:space="0" w:color="auto"/>
            </w:tcBorders>
            <w:shd w:val="solid" w:color="FFFFFF" w:fill="auto"/>
          </w:tcPr>
          <w:p w14:paraId="6FA20163" w14:textId="77777777" w:rsidR="00DB3946" w:rsidRPr="00BC0D1F" w:rsidRDefault="00DB3946" w:rsidP="00DB3946">
            <w:pPr>
              <w:pStyle w:val="TableText"/>
              <w:ind w:right="113"/>
              <w:jc w:val="right"/>
              <w:rPr>
                <w:b/>
              </w:rPr>
            </w:pPr>
            <w:r w:rsidRPr="00BC0D1F">
              <w:rPr>
                <w:b/>
              </w:rPr>
              <w:t>Other</w:t>
            </w:r>
            <w:r w:rsidRPr="00BC0D1F">
              <w:rPr>
                <w:b/>
              </w:rPr>
              <w:br/>
            </w:r>
            <w:r w:rsidRPr="00BC0D1F">
              <w:rPr>
                <w:b/>
              </w:rPr>
              <w:br/>
              <w:t>$000</w:t>
            </w:r>
          </w:p>
        </w:tc>
        <w:tc>
          <w:tcPr>
            <w:tcW w:w="851" w:type="dxa"/>
            <w:tcBorders>
              <w:top w:val="single" w:sz="4" w:space="0" w:color="auto"/>
              <w:bottom w:val="single" w:sz="4" w:space="0" w:color="auto"/>
            </w:tcBorders>
            <w:shd w:val="clear" w:color="auto" w:fill="D9D9D9"/>
          </w:tcPr>
          <w:p w14:paraId="351C32B8" w14:textId="77777777" w:rsidR="00DB3946" w:rsidRPr="00BC0D1F" w:rsidRDefault="00DB3946" w:rsidP="00DB3946">
            <w:pPr>
              <w:pStyle w:val="TableText"/>
              <w:ind w:right="113"/>
              <w:jc w:val="right"/>
              <w:rPr>
                <w:b/>
              </w:rPr>
            </w:pPr>
            <w:r w:rsidRPr="00BC0D1F">
              <w:rPr>
                <w:b/>
              </w:rPr>
              <w:t>Total</w:t>
            </w:r>
            <w:r w:rsidRPr="00BC0D1F">
              <w:rPr>
                <w:b/>
              </w:rPr>
              <w:br/>
            </w:r>
            <w:r w:rsidRPr="00BC0D1F">
              <w:rPr>
                <w:b/>
              </w:rPr>
              <w:br/>
              <w:t>$000</w:t>
            </w:r>
          </w:p>
        </w:tc>
      </w:tr>
      <w:tr w:rsidR="00DB3946" w:rsidRPr="00BC0D1F" w14:paraId="4FD5A25B" w14:textId="77777777" w:rsidTr="00DB3946">
        <w:trPr>
          <w:cantSplit/>
        </w:trPr>
        <w:tc>
          <w:tcPr>
            <w:tcW w:w="2410" w:type="dxa"/>
            <w:tcBorders>
              <w:top w:val="single" w:sz="4" w:space="0" w:color="auto"/>
              <w:left w:val="nil"/>
              <w:bottom w:val="nil"/>
            </w:tcBorders>
            <w:shd w:val="solid" w:color="FFFFFF" w:fill="auto"/>
          </w:tcPr>
          <w:p w14:paraId="4930DD29" w14:textId="77777777" w:rsidR="00DB3946" w:rsidRPr="00BC0D1F" w:rsidRDefault="00DB3946" w:rsidP="00D543B3">
            <w:pPr>
              <w:pStyle w:val="TableText"/>
            </w:pPr>
            <w:r w:rsidRPr="00BC0D1F">
              <w:t>Opening balance 1 July</w:t>
            </w:r>
          </w:p>
        </w:tc>
        <w:tc>
          <w:tcPr>
            <w:tcW w:w="1276" w:type="dxa"/>
            <w:tcBorders>
              <w:top w:val="single" w:sz="4" w:space="0" w:color="auto"/>
              <w:bottom w:val="nil"/>
            </w:tcBorders>
            <w:shd w:val="clear" w:color="E3E3E3" w:fill="auto"/>
          </w:tcPr>
          <w:p w14:paraId="72A15C1C" w14:textId="77777777" w:rsidR="00DB3946" w:rsidRPr="00BC0D1F" w:rsidRDefault="00DB3946" w:rsidP="00DB3946">
            <w:pPr>
              <w:pStyle w:val="TableText"/>
              <w:jc w:val="right"/>
            </w:pPr>
            <w:r w:rsidRPr="00BC0D1F">
              <w:t>184</w:t>
            </w:r>
          </w:p>
        </w:tc>
        <w:tc>
          <w:tcPr>
            <w:tcW w:w="1134" w:type="dxa"/>
            <w:tcBorders>
              <w:top w:val="single" w:sz="4" w:space="0" w:color="auto"/>
              <w:bottom w:val="nil"/>
            </w:tcBorders>
            <w:shd w:val="clear" w:color="E3E3E3" w:fill="auto"/>
          </w:tcPr>
          <w:p w14:paraId="3357A5CB" w14:textId="77777777" w:rsidR="00DB3946" w:rsidRPr="00BC0D1F" w:rsidRDefault="00DB3946" w:rsidP="00DB3946">
            <w:pPr>
              <w:pStyle w:val="TableText"/>
              <w:jc w:val="right"/>
            </w:pPr>
            <w:r w:rsidRPr="00BC0D1F">
              <w:t>2,720</w:t>
            </w:r>
          </w:p>
        </w:tc>
        <w:tc>
          <w:tcPr>
            <w:tcW w:w="1276" w:type="dxa"/>
            <w:tcBorders>
              <w:top w:val="single" w:sz="4" w:space="0" w:color="auto"/>
              <w:bottom w:val="nil"/>
            </w:tcBorders>
            <w:shd w:val="clear" w:color="E3E3E3" w:fill="auto"/>
          </w:tcPr>
          <w:p w14:paraId="44802DE5" w14:textId="77777777" w:rsidR="00DB3946" w:rsidRPr="00BC0D1F" w:rsidRDefault="00DB3946" w:rsidP="00DB3946">
            <w:pPr>
              <w:pStyle w:val="TableText"/>
              <w:jc w:val="right"/>
            </w:pPr>
            <w:r w:rsidRPr="00BC0D1F">
              <w:t>372</w:t>
            </w:r>
          </w:p>
        </w:tc>
        <w:tc>
          <w:tcPr>
            <w:tcW w:w="1559" w:type="dxa"/>
            <w:tcBorders>
              <w:top w:val="single" w:sz="4" w:space="0" w:color="auto"/>
              <w:bottom w:val="nil"/>
            </w:tcBorders>
          </w:tcPr>
          <w:p w14:paraId="046D792B" w14:textId="77777777" w:rsidR="00DB3946" w:rsidRPr="00BC0D1F" w:rsidRDefault="00DB3946" w:rsidP="00DB3946">
            <w:pPr>
              <w:pStyle w:val="TableText"/>
              <w:jc w:val="right"/>
            </w:pPr>
            <w:r w:rsidRPr="00BC0D1F">
              <w:t>239</w:t>
            </w:r>
          </w:p>
        </w:tc>
        <w:tc>
          <w:tcPr>
            <w:tcW w:w="850" w:type="dxa"/>
            <w:tcBorders>
              <w:top w:val="single" w:sz="4" w:space="0" w:color="auto"/>
              <w:bottom w:val="nil"/>
            </w:tcBorders>
          </w:tcPr>
          <w:p w14:paraId="76CE2B54" w14:textId="77777777" w:rsidR="00DB3946" w:rsidRPr="00BC0D1F" w:rsidRDefault="00DB3946" w:rsidP="00DB3946">
            <w:pPr>
              <w:pStyle w:val="TableText"/>
              <w:ind w:right="113"/>
              <w:jc w:val="right"/>
            </w:pPr>
            <w:r w:rsidRPr="00BC0D1F">
              <w:t>367</w:t>
            </w:r>
          </w:p>
        </w:tc>
        <w:tc>
          <w:tcPr>
            <w:tcW w:w="851" w:type="dxa"/>
            <w:tcBorders>
              <w:top w:val="single" w:sz="4" w:space="0" w:color="auto"/>
              <w:bottom w:val="nil"/>
            </w:tcBorders>
            <w:shd w:val="clear" w:color="auto" w:fill="D9D9D9"/>
          </w:tcPr>
          <w:p w14:paraId="5E612502" w14:textId="77777777" w:rsidR="00DB3946" w:rsidRPr="00BC0D1F" w:rsidRDefault="00DB3946" w:rsidP="00DB3946">
            <w:pPr>
              <w:pStyle w:val="TableText"/>
              <w:ind w:right="113"/>
              <w:jc w:val="right"/>
            </w:pPr>
            <w:r w:rsidRPr="00BC0D1F">
              <w:t>3,882</w:t>
            </w:r>
          </w:p>
        </w:tc>
      </w:tr>
      <w:tr w:rsidR="00DB3946" w:rsidRPr="00BC0D1F" w14:paraId="4FEBB181" w14:textId="77777777" w:rsidTr="00DB3946">
        <w:trPr>
          <w:cantSplit/>
        </w:trPr>
        <w:tc>
          <w:tcPr>
            <w:tcW w:w="2410" w:type="dxa"/>
            <w:tcBorders>
              <w:top w:val="nil"/>
              <w:left w:val="nil"/>
            </w:tcBorders>
            <w:shd w:val="solid" w:color="FFFFFF" w:fill="auto"/>
          </w:tcPr>
          <w:p w14:paraId="51C254B9" w14:textId="77777777" w:rsidR="00DB3946" w:rsidRPr="00BC0D1F" w:rsidRDefault="00DB3946" w:rsidP="00D543B3">
            <w:pPr>
              <w:pStyle w:val="TableText"/>
            </w:pPr>
            <w:r w:rsidRPr="00BC0D1F">
              <w:t>Additional provision made</w:t>
            </w:r>
          </w:p>
        </w:tc>
        <w:tc>
          <w:tcPr>
            <w:tcW w:w="1276" w:type="dxa"/>
            <w:tcBorders>
              <w:top w:val="nil"/>
            </w:tcBorders>
            <w:shd w:val="clear" w:color="E3E3E3" w:fill="auto"/>
          </w:tcPr>
          <w:p w14:paraId="27392AFB" w14:textId="77777777" w:rsidR="00DB3946" w:rsidRPr="00BC0D1F" w:rsidRDefault="00DB3946" w:rsidP="00DB3946">
            <w:pPr>
              <w:pStyle w:val="TableText"/>
              <w:jc w:val="right"/>
            </w:pPr>
            <w:r w:rsidRPr="00BC0D1F">
              <w:t>–</w:t>
            </w:r>
          </w:p>
        </w:tc>
        <w:tc>
          <w:tcPr>
            <w:tcW w:w="1134" w:type="dxa"/>
            <w:tcBorders>
              <w:top w:val="nil"/>
            </w:tcBorders>
            <w:shd w:val="clear" w:color="E3E3E3" w:fill="auto"/>
          </w:tcPr>
          <w:p w14:paraId="573296A1" w14:textId="3CB7C558" w:rsidR="00DB3946" w:rsidRPr="00BC0D1F" w:rsidRDefault="00480D00" w:rsidP="00DB3946">
            <w:pPr>
              <w:pStyle w:val="TableText"/>
              <w:jc w:val="right"/>
            </w:pPr>
            <w:r w:rsidRPr="00BC0D1F">
              <w:t>–</w:t>
            </w:r>
          </w:p>
        </w:tc>
        <w:tc>
          <w:tcPr>
            <w:tcW w:w="1276" w:type="dxa"/>
            <w:tcBorders>
              <w:top w:val="nil"/>
            </w:tcBorders>
            <w:shd w:val="clear" w:color="E3E3E3" w:fill="auto"/>
          </w:tcPr>
          <w:p w14:paraId="4AC98836" w14:textId="711A9F87" w:rsidR="00DB3946" w:rsidRPr="00BC0D1F" w:rsidRDefault="00480D00" w:rsidP="00DB3946">
            <w:pPr>
              <w:pStyle w:val="TableText"/>
              <w:jc w:val="right"/>
            </w:pPr>
            <w:r w:rsidRPr="00BC0D1F">
              <w:t>–</w:t>
            </w:r>
          </w:p>
        </w:tc>
        <w:tc>
          <w:tcPr>
            <w:tcW w:w="1559" w:type="dxa"/>
            <w:tcBorders>
              <w:top w:val="nil"/>
            </w:tcBorders>
          </w:tcPr>
          <w:p w14:paraId="307B64C6" w14:textId="77777777" w:rsidR="00DB3946" w:rsidRPr="00BC0D1F" w:rsidRDefault="00DB3946" w:rsidP="00DB3946">
            <w:pPr>
              <w:pStyle w:val="TableText"/>
              <w:jc w:val="right"/>
            </w:pPr>
            <w:r w:rsidRPr="00BC0D1F">
              <w:t>1,346</w:t>
            </w:r>
          </w:p>
        </w:tc>
        <w:tc>
          <w:tcPr>
            <w:tcW w:w="850" w:type="dxa"/>
            <w:tcBorders>
              <w:top w:val="nil"/>
            </w:tcBorders>
          </w:tcPr>
          <w:p w14:paraId="08D5BBA7" w14:textId="77777777" w:rsidR="00DB3946" w:rsidRPr="00BC0D1F" w:rsidRDefault="00DB3946" w:rsidP="00DB3946">
            <w:pPr>
              <w:pStyle w:val="TableText"/>
              <w:ind w:right="113"/>
              <w:jc w:val="right"/>
            </w:pPr>
            <w:r w:rsidRPr="00BC0D1F">
              <w:t>–</w:t>
            </w:r>
          </w:p>
        </w:tc>
        <w:tc>
          <w:tcPr>
            <w:tcW w:w="851" w:type="dxa"/>
            <w:tcBorders>
              <w:top w:val="nil"/>
            </w:tcBorders>
            <w:shd w:val="clear" w:color="auto" w:fill="D9D9D9"/>
          </w:tcPr>
          <w:p w14:paraId="0A8CA03B" w14:textId="77777777" w:rsidR="00DB3946" w:rsidRPr="00BC0D1F" w:rsidRDefault="00DB3946" w:rsidP="00DB3946">
            <w:pPr>
              <w:pStyle w:val="TableText"/>
              <w:ind w:right="113"/>
              <w:jc w:val="right"/>
            </w:pPr>
            <w:r w:rsidRPr="00BC0D1F">
              <w:t>1,346</w:t>
            </w:r>
          </w:p>
        </w:tc>
      </w:tr>
      <w:tr w:rsidR="00DB3946" w:rsidRPr="00BC0D1F" w14:paraId="0EB22760" w14:textId="77777777" w:rsidTr="00DB3946">
        <w:trPr>
          <w:cantSplit/>
        </w:trPr>
        <w:tc>
          <w:tcPr>
            <w:tcW w:w="2410" w:type="dxa"/>
            <w:tcBorders>
              <w:left w:val="nil"/>
              <w:bottom w:val="nil"/>
            </w:tcBorders>
            <w:shd w:val="solid" w:color="FFFFFF" w:fill="auto"/>
          </w:tcPr>
          <w:p w14:paraId="200572F0" w14:textId="77777777" w:rsidR="00DB3946" w:rsidRPr="00BC0D1F" w:rsidRDefault="00DB3946" w:rsidP="00D543B3">
            <w:pPr>
              <w:pStyle w:val="TableText"/>
            </w:pPr>
            <w:r w:rsidRPr="00BC0D1F">
              <w:t>Amounts applied</w:t>
            </w:r>
          </w:p>
        </w:tc>
        <w:tc>
          <w:tcPr>
            <w:tcW w:w="1276" w:type="dxa"/>
            <w:tcBorders>
              <w:bottom w:val="nil"/>
            </w:tcBorders>
            <w:shd w:val="clear" w:color="E3E3E3" w:fill="auto"/>
          </w:tcPr>
          <w:p w14:paraId="0C172932" w14:textId="77777777" w:rsidR="00DB3946" w:rsidRPr="00BC0D1F" w:rsidRDefault="00DB3946" w:rsidP="00DB3946">
            <w:pPr>
              <w:pStyle w:val="TableText"/>
              <w:jc w:val="right"/>
            </w:pPr>
            <w:r w:rsidRPr="00BC0D1F">
              <w:t>(184)</w:t>
            </w:r>
          </w:p>
        </w:tc>
        <w:tc>
          <w:tcPr>
            <w:tcW w:w="1134" w:type="dxa"/>
            <w:tcBorders>
              <w:bottom w:val="nil"/>
            </w:tcBorders>
            <w:shd w:val="clear" w:color="E3E3E3" w:fill="auto"/>
          </w:tcPr>
          <w:p w14:paraId="6F942BFE" w14:textId="2566E0BA" w:rsidR="00DB3946" w:rsidRPr="00BC0D1F" w:rsidRDefault="00480D00" w:rsidP="00DB3946">
            <w:pPr>
              <w:pStyle w:val="TableText"/>
              <w:jc w:val="right"/>
            </w:pPr>
            <w:r w:rsidRPr="00BC0D1F">
              <w:t>–</w:t>
            </w:r>
          </w:p>
        </w:tc>
        <w:tc>
          <w:tcPr>
            <w:tcW w:w="1276" w:type="dxa"/>
            <w:tcBorders>
              <w:bottom w:val="nil"/>
            </w:tcBorders>
            <w:shd w:val="clear" w:color="E3E3E3" w:fill="auto"/>
          </w:tcPr>
          <w:p w14:paraId="22689E65" w14:textId="649164D4" w:rsidR="00DB3946" w:rsidRPr="00BC0D1F" w:rsidRDefault="00480D00" w:rsidP="00DB3946">
            <w:pPr>
              <w:pStyle w:val="TableText"/>
              <w:jc w:val="right"/>
            </w:pPr>
            <w:r w:rsidRPr="00BC0D1F">
              <w:t>–</w:t>
            </w:r>
          </w:p>
        </w:tc>
        <w:tc>
          <w:tcPr>
            <w:tcW w:w="1559" w:type="dxa"/>
            <w:tcBorders>
              <w:bottom w:val="nil"/>
            </w:tcBorders>
          </w:tcPr>
          <w:p w14:paraId="22914A8E" w14:textId="77777777" w:rsidR="00DB3946" w:rsidRPr="00BC0D1F" w:rsidRDefault="00DB3946" w:rsidP="00DB3946">
            <w:pPr>
              <w:pStyle w:val="TableText"/>
              <w:jc w:val="right"/>
            </w:pPr>
            <w:r w:rsidRPr="00BC0D1F">
              <w:t>(239)</w:t>
            </w:r>
          </w:p>
        </w:tc>
        <w:tc>
          <w:tcPr>
            <w:tcW w:w="850" w:type="dxa"/>
            <w:tcBorders>
              <w:bottom w:val="nil"/>
            </w:tcBorders>
          </w:tcPr>
          <w:p w14:paraId="3AE5F677" w14:textId="77777777" w:rsidR="00DB3946" w:rsidRPr="00BC0D1F" w:rsidRDefault="00DB3946" w:rsidP="00DB3946">
            <w:pPr>
              <w:pStyle w:val="TableText"/>
              <w:ind w:right="113"/>
              <w:jc w:val="right"/>
            </w:pPr>
            <w:r w:rsidRPr="00BC0D1F">
              <w:t>(30)</w:t>
            </w:r>
          </w:p>
        </w:tc>
        <w:tc>
          <w:tcPr>
            <w:tcW w:w="851" w:type="dxa"/>
            <w:tcBorders>
              <w:bottom w:val="nil"/>
            </w:tcBorders>
            <w:shd w:val="clear" w:color="auto" w:fill="D9D9D9"/>
          </w:tcPr>
          <w:p w14:paraId="232CF4A5" w14:textId="77777777" w:rsidR="00DB3946" w:rsidRPr="00BC0D1F" w:rsidRDefault="00DB3946" w:rsidP="00DB3946">
            <w:pPr>
              <w:pStyle w:val="TableText"/>
              <w:ind w:right="113"/>
              <w:jc w:val="right"/>
            </w:pPr>
            <w:r w:rsidRPr="00BC0D1F">
              <w:t>(453)</w:t>
            </w:r>
          </w:p>
        </w:tc>
      </w:tr>
      <w:tr w:rsidR="00DB3946" w:rsidRPr="00BC0D1F" w14:paraId="5040038E" w14:textId="77777777" w:rsidTr="00DB3946">
        <w:trPr>
          <w:cantSplit/>
        </w:trPr>
        <w:tc>
          <w:tcPr>
            <w:tcW w:w="2410" w:type="dxa"/>
            <w:tcBorders>
              <w:top w:val="nil"/>
              <w:left w:val="nil"/>
              <w:bottom w:val="nil"/>
            </w:tcBorders>
            <w:shd w:val="solid" w:color="FFFFFF" w:fill="auto"/>
          </w:tcPr>
          <w:p w14:paraId="639D41A6" w14:textId="77777777" w:rsidR="00DB3946" w:rsidRPr="00BC0D1F" w:rsidRDefault="00DB3946" w:rsidP="00D543B3">
            <w:pPr>
              <w:pStyle w:val="TableText"/>
            </w:pPr>
            <w:r w:rsidRPr="00BC0D1F">
              <w:t>Unused amounts reversed</w:t>
            </w:r>
          </w:p>
        </w:tc>
        <w:tc>
          <w:tcPr>
            <w:tcW w:w="1276" w:type="dxa"/>
            <w:tcBorders>
              <w:top w:val="nil"/>
              <w:bottom w:val="nil"/>
            </w:tcBorders>
            <w:shd w:val="clear" w:color="E3E3E3" w:fill="auto"/>
          </w:tcPr>
          <w:p w14:paraId="22EC6ADA" w14:textId="77777777" w:rsidR="00DB3946" w:rsidRPr="00BC0D1F" w:rsidRDefault="00DB3946" w:rsidP="00DB3946">
            <w:pPr>
              <w:pStyle w:val="TableText"/>
              <w:jc w:val="right"/>
            </w:pPr>
            <w:r w:rsidRPr="00BC0D1F">
              <w:t>–</w:t>
            </w:r>
          </w:p>
        </w:tc>
        <w:tc>
          <w:tcPr>
            <w:tcW w:w="1134" w:type="dxa"/>
            <w:tcBorders>
              <w:top w:val="nil"/>
              <w:bottom w:val="nil"/>
            </w:tcBorders>
            <w:shd w:val="clear" w:color="E3E3E3" w:fill="auto"/>
          </w:tcPr>
          <w:p w14:paraId="62CBF619" w14:textId="77777777" w:rsidR="00DB3946" w:rsidRPr="00BC0D1F" w:rsidRDefault="00DB3946" w:rsidP="00DB3946">
            <w:pPr>
              <w:pStyle w:val="TableText"/>
              <w:jc w:val="right"/>
            </w:pPr>
            <w:r w:rsidRPr="00BC0D1F">
              <w:t>(1,054)</w:t>
            </w:r>
          </w:p>
        </w:tc>
        <w:tc>
          <w:tcPr>
            <w:tcW w:w="1276" w:type="dxa"/>
            <w:tcBorders>
              <w:top w:val="nil"/>
              <w:bottom w:val="nil"/>
            </w:tcBorders>
            <w:shd w:val="clear" w:color="E3E3E3" w:fill="auto"/>
          </w:tcPr>
          <w:p w14:paraId="45AD132B" w14:textId="38D61207" w:rsidR="00DB3946" w:rsidRPr="00BC0D1F" w:rsidRDefault="00480D00" w:rsidP="00DB3946">
            <w:pPr>
              <w:pStyle w:val="TableText"/>
              <w:jc w:val="right"/>
            </w:pPr>
            <w:r w:rsidRPr="00BC0D1F">
              <w:t>–</w:t>
            </w:r>
          </w:p>
        </w:tc>
        <w:tc>
          <w:tcPr>
            <w:tcW w:w="1559" w:type="dxa"/>
            <w:tcBorders>
              <w:top w:val="nil"/>
              <w:bottom w:val="nil"/>
            </w:tcBorders>
          </w:tcPr>
          <w:p w14:paraId="1BC53CA7" w14:textId="77777777" w:rsidR="00DB3946" w:rsidRPr="00BC0D1F" w:rsidRDefault="00DB3946" w:rsidP="00DB3946">
            <w:pPr>
              <w:pStyle w:val="TableText"/>
              <w:jc w:val="right"/>
            </w:pPr>
            <w:r w:rsidRPr="00BC0D1F">
              <w:t>–</w:t>
            </w:r>
          </w:p>
        </w:tc>
        <w:tc>
          <w:tcPr>
            <w:tcW w:w="850" w:type="dxa"/>
            <w:tcBorders>
              <w:top w:val="nil"/>
              <w:bottom w:val="nil"/>
            </w:tcBorders>
          </w:tcPr>
          <w:p w14:paraId="78B498F3" w14:textId="77777777" w:rsidR="00DB3946" w:rsidRPr="00BC0D1F" w:rsidRDefault="00DB3946" w:rsidP="00DB3946">
            <w:pPr>
              <w:pStyle w:val="TableText"/>
              <w:ind w:right="113"/>
              <w:jc w:val="right"/>
            </w:pPr>
            <w:r w:rsidRPr="00BC0D1F">
              <w:t>–</w:t>
            </w:r>
          </w:p>
        </w:tc>
        <w:tc>
          <w:tcPr>
            <w:tcW w:w="851" w:type="dxa"/>
            <w:tcBorders>
              <w:top w:val="nil"/>
              <w:bottom w:val="nil"/>
            </w:tcBorders>
            <w:shd w:val="clear" w:color="auto" w:fill="D9D9D9"/>
          </w:tcPr>
          <w:p w14:paraId="435C8AA7" w14:textId="77777777" w:rsidR="00DB3946" w:rsidRPr="00BC0D1F" w:rsidRDefault="00DB3946" w:rsidP="00DB3946">
            <w:pPr>
              <w:pStyle w:val="TableText"/>
              <w:ind w:right="113"/>
              <w:jc w:val="right"/>
            </w:pPr>
            <w:r w:rsidRPr="00BC0D1F">
              <w:t>(1,054)</w:t>
            </w:r>
          </w:p>
        </w:tc>
      </w:tr>
      <w:tr w:rsidR="00DB3946" w:rsidRPr="00BC0D1F" w14:paraId="5AB0995A" w14:textId="77777777" w:rsidTr="00DB3946">
        <w:trPr>
          <w:cantSplit/>
        </w:trPr>
        <w:tc>
          <w:tcPr>
            <w:tcW w:w="2410" w:type="dxa"/>
            <w:tcBorders>
              <w:top w:val="nil"/>
              <w:left w:val="nil"/>
              <w:bottom w:val="single" w:sz="4" w:space="0" w:color="auto"/>
            </w:tcBorders>
            <w:shd w:val="solid" w:color="FFFFFF" w:fill="auto"/>
          </w:tcPr>
          <w:p w14:paraId="42D54517" w14:textId="77777777" w:rsidR="00DB3946" w:rsidRPr="00BC0D1F" w:rsidRDefault="00DB3946" w:rsidP="00DB3946">
            <w:pPr>
              <w:pStyle w:val="TableText"/>
              <w:spacing w:before="240"/>
              <w:rPr>
                <w:b/>
              </w:rPr>
            </w:pPr>
            <w:r w:rsidRPr="00BC0D1F">
              <w:rPr>
                <w:b/>
              </w:rPr>
              <w:t xml:space="preserve">Closing balance 30 June </w:t>
            </w:r>
          </w:p>
        </w:tc>
        <w:tc>
          <w:tcPr>
            <w:tcW w:w="1276" w:type="dxa"/>
            <w:tcBorders>
              <w:top w:val="nil"/>
              <w:bottom w:val="single" w:sz="4" w:space="0" w:color="auto"/>
            </w:tcBorders>
            <w:shd w:val="clear" w:color="auto" w:fill="auto"/>
          </w:tcPr>
          <w:p w14:paraId="0AC8496B" w14:textId="77777777" w:rsidR="00DB3946" w:rsidRPr="00BC0D1F" w:rsidRDefault="00DB3946" w:rsidP="00DB3946">
            <w:pPr>
              <w:pStyle w:val="TableText"/>
              <w:spacing w:before="240"/>
              <w:jc w:val="right"/>
              <w:rPr>
                <w:b/>
              </w:rPr>
            </w:pPr>
            <w:r w:rsidRPr="00BC0D1F">
              <w:rPr>
                <w:b/>
              </w:rPr>
              <w:t>–</w:t>
            </w:r>
          </w:p>
        </w:tc>
        <w:tc>
          <w:tcPr>
            <w:tcW w:w="1134" w:type="dxa"/>
            <w:tcBorders>
              <w:top w:val="nil"/>
              <w:bottom w:val="single" w:sz="4" w:space="0" w:color="auto"/>
            </w:tcBorders>
            <w:shd w:val="clear" w:color="auto" w:fill="auto"/>
          </w:tcPr>
          <w:p w14:paraId="40B53AFA" w14:textId="77777777" w:rsidR="00DB3946" w:rsidRPr="00BC0D1F" w:rsidRDefault="00DB3946" w:rsidP="00DB3946">
            <w:pPr>
              <w:pStyle w:val="TableText"/>
              <w:spacing w:before="240"/>
              <w:jc w:val="right"/>
              <w:rPr>
                <w:b/>
              </w:rPr>
            </w:pPr>
            <w:r w:rsidRPr="00BC0D1F">
              <w:rPr>
                <w:b/>
              </w:rPr>
              <w:t>1,666</w:t>
            </w:r>
          </w:p>
        </w:tc>
        <w:tc>
          <w:tcPr>
            <w:tcW w:w="1276" w:type="dxa"/>
            <w:tcBorders>
              <w:top w:val="nil"/>
              <w:bottom w:val="single" w:sz="4" w:space="0" w:color="auto"/>
            </w:tcBorders>
            <w:shd w:val="clear" w:color="auto" w:fill="auto"/>
          </w:tcPr>
          <w:p w14:paraId="03A47000" w14:textId="77777777" w:rsidR="00DB3946" w:rsidRPr="00BC0D1F" w:rsidRDefault="00DB3946" w:rsidP="00DB3946">
            <w:pPr>
              <w:pStyle w:val="TableText"/>
              <w:spacing w:before="240"/>
              <w:jc w:val="right"/>
              <w:rPr>
                <w:b/>
              </w:rPr>
            </w:pPr>
            <w:r w:rsidRPr="00BC0D1F">
              <w:rPr>
                <w:b/>
              </w:rPr>
              <w:t>372</w:t>
            </w:r>
          </w:p>
        </w:tc>
        <w:tc>
          <w:tcPr>
            <w:tcW w:w="1559" w:type="dxa"/>
            <w:tcBorders>
              <w:top w:val="nil"/>
              <w:bottom w:val="single" w:sz="4" w:space="0" w:color="auto"/>
            </w:tcBorders>
            <w:shd w:val="clear" w:color="auto" w:fill="auto"/>
          </w:tcPr>
          <w:p w14:paraId="5669680C" w14:textId="77777777" w:rsidR="00DB3946" w:rsidRPr="00BC0D1F" w:rsidRDefault="00DB3946" w:rsidP="00DB3946">
            <w:pPr>
              <w:pStyle w:val="TableText"/>
              <w:spacing w:before="240"/>
              <w:jc w:val="right"/>
              <w:rPr>
                <w:b/>
              </w:rPr>
            </w:pPr>
            <w:r w:rsidRPr="00BC0D1F">
              <w:rPr>
                <w:b/>
              </w:rPr>
              <w:t>1,346</w:t>
            </w:r>
          </w:p>
        </w:tc>
        <w:tc>
          <w:tcPr>
            <w:tcW w:w="850" w:type="dxa"/>
            <w:tcBorders>
              <w:top w:val="nil"/>
              <w:bottom w:val="single" w:sz="4" w:space="0" w:color="auto"/>
            </w:tcBorders>
            <w:shd w:val="clear" w:color="auto" w:fill="auto"/>
          </w:tcPr>
          <w:p w14:paraId="24C9691B" w14:textId="77777777" w:rsidR="00DB3946" w:rsidRPr="00BC0D1F" w:rsidRDefault="00DB3946" w:rsidP="00DB3946">
            <w:pPr>
              <w:pStyle w:val="TableText"/>
              <w:spacing w:before="240"/>
              <w:ind w:right="113"/>
              <w:jc w:val="right"/>
              <w:rPr>
                <w:b/>
              </w:rPr>
            </w:pPr>
            <w:r w:rsidRPr="00BC0D1F">
              <w:rPr>
                <w:b/>
              </w:rPr>
              <w:t>337</w:t>
            </w:r>
          </w:p>
        </w:tc>
        <w:tc>
          <w:tcPr>
            <w:tcW w:w="851" w:type="dxa"/>
            <w:tcBorders>
              <w:top w:val="nil"/>
              <w:bottom w:val="single" w:sz="4" w:space="0" w:color="auto"/>
            </w:tcBorders>
            <w:shd w:val="clear" w:color="auto" w:fill="D9D9D9"/>
          </w:tcPr>
          <w:p w14:paraId="5DD1F4FE" w14:textId="77777777" w:rsidR="00DB3946" w:rsidRPr="00BC0D1F" w:rsidRDefault="00DB3946" w:rsidP="00DB3946">
            <w:pPr>
              <w:pStyle w:val="TableText"/>
              <w:spacing w:before="240"/>
              <w:ind w:right="113"/>
              <w:jc w:val="right"/>
              <w:rPr>
                <w:b/>
              </w:rPr>
            </w:pPr>
            <w:r w:rsidRPr="00BC0D1F">
              <w:rPr>
                <w:b/>
              </w:rPr>
              <w:t>3,721</w:t>
            </w:r>
          </w:p>
        </w:tc>
      </w:tr>
    </w:tbl>
    <w:p w14:paraId="43F7ECCF" w14:textId="77777777" w:rsidR="0068740F" w:rsidRPr="00BC0D1F" w:rsidRDefault="0068740F" w:rsidP="0068740F"/>
    <w:p w14:paraId="1944963F" w14:textId="77777777" w:rsidR="006A557B" w:rsidRPr="00BC0D1F" w:rsidRDefault="006A557B" w:rsidP="00DB3946">
      <w:pPr>
        <w:pStyle w:val="Heading3"/>
      </w:pPr>
      <w:r w:rsidRPr="00BC0D1F">
        <w:t>Note 11: Employee entitlements</w:t>
      </w:r>
    </w:p>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D543B3" w:rsidRPr="00BC0D1F" w14:paraId="633C8524" w14:textId="77777777" w:rsidTr="00D543B3">
        <w:trPr>
          <w:cantSplit/>
        </w:trPr>
        <w:tc>
          <w:tcPr>
            <w:tcW w:w="1134" w:type="dxa"/>
            <w:tcBorders>
              <w:top w:val="single" w:sz="4" w:space="0" w:color="auto"/>
              <w:bottom w:val="single" w:sz="4" w:space="0" w:color="auto"/>
              <w:right w:val="nil"/>
            </w:tcBorders>
            <w:shd w:val="solid" w:color="FFFFFF" w:fill="auto"/>
          </w:tcPr>
          <w:p w14:paraId="7744A894" w14:textId="77777777" w:rsidR="00D543B3" w:rsidRPr="00BC0D1F" w:rsidRDefault="00D543B3"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200430BA" w14:textId="77777777" w:rsidR="00D543B3" w:rsidRPr="00BC0D1F" w:rsidRDefault="00D543B3"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5BCE05E4" w14:textId="77777777" w:rsidR="00D543B3" w:rsidRPr="00BC0D1F" w:rsidRDefault="00D543B3"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09C4F01F" w14:textId="77777777" w:rsidR="00D543B3" w:rsidRPr="00BC0D1F" w:rsidRDefault="00D543B3" w:rsidP="00D543B3">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D543B3" w:rsidRPr="00BC0D1F" w14:paraId="0B1ACC79" w14:textId="77777777" w:rsidTr="00D543B3">
        <w:trPr>
          <w:cantSplit/>
        </w:trPr>
        <w:tc>
          <w:tcPr>
            <w:tcW w:w="1134" w:type="dxa"/>
            <w:tcBorders>
              <w:top w:val="single" w:sz="4" w:space="0" w:color="auto"/>
              <w:right w:val="nil"/>
            </w:tcBorders>
            <w:shd w:val="solid" w:color="FFFFFF" w:fill="auto"/>
          </w:tcPr>
          <w:p w14:paraId="23CC928B" w14:textId="77777777" w:rsidR="00D543B3" w:rsidRPr="00BC0D1F" w:rsidRDefault="00D543B3" w:rsidP="00D543B3">
            <w:pPr>
              <w:pStyle w:val="TableText"/>
              <w:ind w:right="284"/>
              <w:jc w:val="right"/>
              <w:rPr>
                <w:b/>
              </w:rPr>
            </w:pPr>
          </w:p>
        </w:tc>
        <w:tc>
          <w:tcPr>
            <w:tcW w:w="5812" w:type="dxa"/>
            <w:tcBorders>
              <w:top w:val="single" w:sz="4" w:space="0" w:color="auto"/>
              <w:left w:val="nil"/>
            </w:tcBorders>
            <w:shd w:val="solid" w:color="FFFFFF" w:fill="auto"/>
          </w:tcPr>
          <w:p w14:paraId="7A1E9783" w14:textId="77777777" w:rsidR="00D543B3" w:rsidRPr="00BC0D1F" w:rsidRDefault="00D543B3" w:rsidP="00D543B3">
            <w:pPr>
              <w:pStyle w:val="TableText"/>
              <w:rPr>
                <w:b/>
              </w:rPr>
            </w:pPr>
            <w:r w:rsidRPr="00BC0D1F">
              <w:rPr>
                <w:b/>
              </w:rPr>
              <w:t>Current employee entitlements are represented by:</w:t>
            </w:r>
          </w:p>
        </w:tc>
        <w:tc>
          <w:tcPr>
            <w:tcW w:w="1228" w:type="dxa"/>
            <w:tcBorders>
              <w:top w:val="single" w:sz="4" w:space="0" w:color="auto"/>
            </w:tcBorders>
            <w:shd w:val="clear" w:color="E3E3E3" w:fill="D9D9D9"/>
          </w:tcPr>
          <w:p w14:paraId="02A78590" w14:textId="77777777" w:rsidR="00D543B3" w:rsidRPr="00BC0D1F" w:rsidRDefault="00D543B3" w:rsidP="00D543B3">
            <w:pPr>
              <w:pStyle w:val="TableText"/>
              <w:ind w:right="113"/>
              <w:jc w:val="right"/>
              <w:rPr>
                <w:b/>
              </w:rPr>
            </w:pPr>
          </w:p>
        </w:tc>
        <w:tc>
          <w:tcPr>
            <w:tcW w:w="1229" w:type="dxa"/>
            <w:tcBorders>
              <w:top w:val="single" w:sz="4" w:space="0" w:color="auto"/>
            </w:tcBorders>
          </w:tcPr>
          <w:p w14:paraId="6FBB9A49" w14:textId="77777777" w:rsidR="00D543B3" w:rsidRPr="00BC0D1F" w:rsidRDefault="00D543B3" w:rsidP="00D543B3">
            <w:pPr>
              <w:pStyle w:val="TableText"/>
              <w:jc w:val="right"/>
              <w:rPr>
                <w:b/>
              </w:rPr>
            </w:pPr>
          </w:p>
        </w:tc>
      </w:tr>
      <w:tr w:rsidR="00D543B3" w:rsidRPr="00BC0D1F" w14:paraId="715D34DC" w14:textId="77777777" w:rsidTr="00D543B3">
        <w:trPr>
          <w:cantSplit/>
        </w:trPr>
        <w:tc>
          <w:tcPr>
            <w:tcW w:w="1134" w:type="dxa"/>
            <w:tcBorders>
              <w:right w:val="nil"/>
            </w:tcBorders>
            <w:shd w:val="solid" w:color="FFFFFF" w:fill="auto"/>
          </w:tcPr>
          <w:p w14:paraId="1E23025E" w14:textId="77777777" w:rsidR="00D543B3" w:rsidRPr="00BC0D1F" w:rsidRDefault="00D543B3" w:rsidP="00D543B3">
            <w:pPr>
              <w:pStyle w:val="TableText"/>
              <w:ind w:right="284"/>
              <w:jc w:val="right"/>
            </w:pPr>
            <w:r w:rsidRPr="00BC0D1F">
              <w:t>6,668</w:t>
            </w:r>
          </w:p>
        </w:tc>
        <w:tc>
          <w:tcPr>
            <w:tcW w:w="5812" w:type="dxa"/>
            <w:tcBorders>
              <w:left w:val="nil"/>
            </w:tcBorders>
            <w:shd w:val="solid" w:color="FFFFFF" w:fill="auto"/>
          </w:tcPr>
          <w:p w14:paraId="401EA3C5" w14:textId="77777777" w:rsidR="00D543B3" w:rsidRPr="00BC0D1F" w:rsidRDefault="00D543B3" w:rsidP="00D543B3">
            <w:pPr>
              <w:pStyle w:val="TableText"/>
            </w:pPr>
            <w:r w:rsidRPr="00BC0D1F">
              <w:t>Annual leave</w:t>
            </w:r>
          </w:p>
        </w:tc>
        <w:tc>
          <w:tcPr>
            <w:tcW w:w="1228" w:type="dxa"/>
            <w:shd w:val="clear" w:color="E3E3E3" w:fill="D9D9D9"/>
          </w:tcPr>
          <w:p w14:paraId="727D8B50" w14:textId="77777777" w:rsidR="00D543B3" w:rsidRPr="00BC0D1F" w:rsidRDefault="00D543B3" w:rsidP="00D543B3">
            <w:pPr>
              <w:pStyle w:val="TableText"/>
              <w:ind w:right="113"/>
              <w:jc w:val="right"/>
            </w:pPr>
            <w:r w:rsidRPr="00BC0D1F">
              <w:t>6,354</w:t>
            </w:r>
          </w:p>
        </w:tc>
        <w:tc>
          <w:tcPr>
            <w:tcW w:w="1229" w:type="dxa"/>
          </w:tcPr>
          <w:p w14:paraId="55567898" w14:textId="77777777" w:rsidR="00D543B3" w:rsidRPr="00BC0D1F" w:rsidRDefault="00D543B3" w:rsidP="00D543B3">
            <w:pPr>
              <w:pStyle w:val="TableText"/>
              <w:jc w:val="right"/>
            </w:pPr>
            <w:r w:rsidRPr="00BC0D1F">
              <w:t>5,259</w:t>
            </w:r>
          </w:p>
        </w:tc>
      </w:tr>
      <w:tr w:rsidR="00D543B3" w:rsidRPr="00BC0D1F" w14:paraId="0DFCC98A" w14:textId="77777777" w:rsidTr="00D543B3">
        <w:trPr>
          <w:cantSplit/>
        </w:trPr>
        <w:tc>
          <w:tcPr>
            <w:tcW w:w="1134" w:type="dxa"/>
            <w:tcBorders>
              <w:right w:val="nil"/>
            </w:tcBorders>
            <w:shd w:val="solid" w:color="FFFFFF" w:fill="auto"/>
          </w:tcPr>
          <w:p w14:paraId="1FC1CD5E" w14:textId="77777777" w:rsidR="00D543B3" w:rsidRPr="00BC0D1F" w:rsidRDefault="00D543B3" w:rsidP="00D543B3">
            <w:pPr>
              <w:pStyle w:val="TableText"/>
              <w:ind w:right="284"/>
              <w:jc w:val="right"/>
            </w:pPr>
            <w:r w:rsidRPr="00BC0D1F">
              <w:t>424</w:t>
            </w:r>
          </w:p>
        </w:tc>
        <w:tc>
          <w:tcPr>
            <w:tcW w:w="5812" w:type="dxa"/>
            <w:tcBorders>
              <w:left w:val="nil"/>
            </w:tcBorders>
            <w:shd w:val="solid" w:color="FFFFFF" w:fill="auto"/>
          </w:tcPr>
          <w:p w14:paraId="68F042EC" w14:textId="77777777" w:rsidR="00D543B3" w:rsidRPr="00BC0D1F" w:rsidRDefault="00D543B3" w:rsidP="00D543B3">
            <w:pPr>
              <w:pStyle w:val="TableText"/>
            </w:pPr>
            <w:r w:rsidRPr="00BC0D1F">
              <w:t>Sick leave</w:t>
            </w:r>
          </w:p>
        </w:tc>
        <w:tc>
          <w:tcPr>
            <w:tcW w:w="1228" w:type="dxa"/>
            <w:shd w:val="clear" w:color="E3E3E3" w:fill="D9D9D9"/>
          </w:tcPr>
          <w:p w14:paraId="64444547" w14:textId="77777777" w:rsidR="00D543B3" w:rsidRPr="00BC0D1F" w:rsidRDefault="00D543B3" w:rsidP="00D543B3">
            <w:pPr>
              <w:pStyle w:val="TableText"/>
              <w:ind w:right="113"/>
              <w:jc w:val="right"/>
            </w:pPr>
            <w:r w:rsidRPr="00BC0D1F">
              <w:t>383</w:t>
            </w:r>
          </w:p>
        </w:tc>
        <w:tc>
          <w:tcPr>
            <w:tcW w:w="1229" w:type="dxa"/>
          </w:tcPr>
          <w:p w14:paraId="2A22A410" w14:textId="77777777" w:rsidR="00D543B3" w:rsidRPr="00BC0D1F" w:rsidRDefault="00D543B3" w:rsidP="00D543B3">
            <w:pPr>
              <w:pStyle w:val="TableText"/>
              <w:jc w:val="right"/>
            </w:pPr>
            <w:r w:rsidRPr="00BC0D1F">
              <w:t>1,236</w:t>
            </w:r>
          </w:p>
        </w:tc>
      </w:tr>
      <w:tr w:rsidR="00D543B3" w:rsidRPr="00BC0D1F" w14:paraId="1072221D" w14:textId="77777777" w:rsidTr="00D543B3">
        <w:trPr>
          <w:cantSplit/>
        </w:trPr>
        <w:tc>
          <w:tcPr>
            <w:tcW w:w="1134" w:type="dxa"/>
            <w:tcBorders>
              <w:bottom w:val="nil"/>
              <w:right w:val="nil"/>
            </w:tcBorders>
          </w:tcPr>
          <w:p w14:paraId="35CC70CD" w14:textId="77777777" w:rsidR="00D543B3" w:rsidRPr="00BC0D1F" w:rsidRDefault="00D543B3" w:rsidP="00D543B3">
            <w:pPr>
              <w:pStyle w:val="TableText"/>
              <w:ind w:right="284"/>
              <w:jc w:val="right"/>
            </w:pPr>
            <w:r w:rsidRPr="00BC0D1F">
              <w:t>1,046</w:t>
            </w:r>
          </w:p>
        </w:tc>
        <w:tc>
          <w:tcPr>
            <w:tcW w:w="5812" w:type="dxa"/>
            <w:tcBorders>
              <w:left w:val="nil"/>
              <w:bottom w:val="nil"/>
            </w:tcBorders>
            <w:shd w:val="solid" w:color="FFFFFF" w:fill="auto"/>
          </w:tcPr>
          <w:p w14:paraId="7F102EC0" w14:textId="77777777" w:rsidR="00D543B3" w:rsidRPr="00BC0D1F" w:rsidRDefault="00D543B3" w:rsidP="00D543B3">
            <w:pPr>
              <w:pStyle w:val="TableText"/>
            </w:pPr>
            <w:r w:rsidRPr="00BC0D1F">
              <w:t>Retirement and long service leave</w:t>
            </w:r>
          </w:p>
        </w:tc>
        <w:tc>
          <w:tcPr>
            <w:tcW w:w="1228" w:type="dxa"/>
            <w:tcBorders>
              <w:bottom w:val="nil"/>
            </w:tcBorders>
            <w:shd w:val="clear" w:color="E3E3E3" w:fill="D9D9D9"/>
          </w:tcPr>
          <w:p w14:paraId="2ADE8A7D" w14:textId="77777777" w:rsidR="00D543B3" w:rsidRPr="00BC0D1F" w:rsidRDefault="00D543B3" w:rsidP="00D543B3">
            <w:pPr>
              <w:pStyle w:val="TableText"/>
              <w:ind w:right="113"/>
              <w:jc w:val="right"/>
            </w:pPr>
            <w:r w:rsidRPr="00BC0D1F">
              <w:t>1,007</w:t>
            </w:r>
          </w:p>
        </w:tc>
        <w:tc>
          <w:tcPr>
            <w:tcW w:w="1229" w:type="dxa"/>
            <w:tcBorders>
              <w:bottom w:val="nil"/>
            </w:tcBorders>
          </w:tcPr>
          <w:p w14:paraId="3673B84D" w14:textId="77777777" w:rsidR="00D543B3" w:rsidRPr="00BC0D1F" w:rsidRDefault="00D543B3" w:rsidP="00D543B3">
            <w:pPr>
              <w:pStyle w:val="TableText"/>
              <w:jc w:val="right"/>
            </w:pPr>
            <w:r w:rsidRPr="00BC0D1F">
              <w:t>916</w:t>
            </w:r>
          </w:p>
        </w:tc>
      </w:tr>
      <w:tr w:rsidR="00D543B3" w:rsidRPr="00BC0D1F" w14:paraId="71666FA8" w14:textId="77777777" w:rsidTr="00D543B3">
        <w:trPr>
          <w:cantSplit/>
        </w:trPr>
        <w:tc>
          <w:tcPr>
            <w:tcW w:w="1134" w:type="dxa"/>
            <w:tcBorders>
              <w:top w:val="nil"/>
              <w:bottom w:val="nil"/>
              <w:right w:val="nil"/>
            </w:tcBorders>
            <w:shd w:val="solid" w:color="FFFFFF" w:fill="auto"/>
          </w:tcPr>
          <w:p w14:paraId="05937899" w14:textId="77777777" w:rsidR="00D543B3" w:rsidRPr="00BC0D1F" w:rsidRDefault="00D543B3" w:rsidP="00D543B3">
            <w:pPr>
              <w:pStyle w:val="TableText"/>
              <w:ind w:right="284"/>
              <w:jc w:val="right"/>
            </w:pPr>
            <w:r w:rsidRPr="00BC0D1F">
              <w:t>702</w:t>
            </w:r>
          </w:p>
        </w:tc>
        <w:tc>
          <w:tcPr>
            <w:tcW w:w="5812" w:type="dxa"/>
            <w:tcBorders>
              <w:top w:val="nil"/>
              <w:left w:val="nil"/>
              <w:bottom w:val="nil"/>
            </w:tcBorders>
            <w:shd w:val="solid" w:color="FFFFFF" w:fill="auto"/>
          </w:tcPr>
          <w:p w14:paraId="058632B1" w14:textId="77777777" w:rsidR="00D543B3" w:rsidRPr="00BC0D1F" w:rsidRDefault="00D543B3" w:rsidP="00D543B3">
            <w:pPr>
              <w:pStyle w:val="TableText"/>
            </w:pPr>
            <w:r w:rsidRPr="00BC0D1F">
              <w:t>Accrued salaries</w:t>
            </w:r>
          </w:p>
        </w:tc>
        <w:tc>
          <w:tcPr>
            <w:tcW w:w="1228" w:type="dxa"/>
            <w:tcBorders>
              <w:top w:val="nil"/>
              <w:bottom w:val="nil"/>
            </w:tcBorders>
            <w:shd w:val="clear" w:color="E3E3E3" w:fill="D9D9D9"/>
          </w:tcPr>
          <w:p w14:paraId="0853711E" w14:textId="77777777" w:rsidR="00D543B3" w:rsidRPr="00BC0D1F" w:rsidRDefault="00D543B3" w:rsidP="00D543B3">
            <w:pPr>
              <w:pStyle w:val="TableText"/>
              <w:ind w:right="113"/>
              <w:jc w:val="right"/>
            </w:pPr>
            <w:r w:rsidRPr="00BC0D1F">
              <w:t>418</w:t>
            </w:r>
          </w:p>
        </w:tc>
        <w:tc>
          <w:tcPr>
            <w:tcW w:w="1229" w:type="dxa"/>
            <w:tcBorders>
              <w:top w:val="nil"/>
              <w:bottom w:val="nil"/>
            </w:tcBorders>
          </w:tcPr>
          <w:p w14:paraId="042743F3" w14:textId="77777777" w:rsidR="00D543B3" w:rsidRPr="00BC0D1F" w:rsidRDefault="00D543B3" w:rsidP="00D543B3">
            <w:pPr>
              <w:pStyle w:val="TableText"/>
              <w:jc w:val="right"/>
            </w:pPr>
            <w:r w:rsidRPr="00BC0D1F">
              <w:t>589</w:t>
            </w:r>
          </w:p>
        </w:tc>
      </w:tr>
      <w:tr w:rsidR="00D543B3" w:rsidRPr="00BC0D1F" w14:paraId="42031ABF" w14:textId="77777777" w:rsidTr="00D543B3">
        <w:trPr>
          <w:cantSplit/>
        </w:trPr>
        <w:tc>
          <w:tcPr>
            <w:tcW w:w="1134" w:type="dxa"/>
            <w:tcBorders>
              <w:top w:val="nil"/>
              <w:bottom w:val="nil"/>
              <w:right w:val="nil"/>
            </w:tcBorders>
            <w:shd w:val="solid" w:color="FFFFFF" w:fill="auto"/>
          </w:tcPr>
          <w:p w14:paraId="01D66A95" w14:textId="77777777" w:rsidR="00D543B3" w:rsidRPr="00BC0D1F" w:rsidRDefault="00D543B3" w:rsidP="00D543B3">
            <w:pPr>
              <w:pStyle w:val="TableText"/>
              <w:ind w:right="284"/>
              <w:jc w:val="right"/>
              <w:rPr>
                <w:b/>
              </w:rPr>
            </w:pPr>
            <w:r w:rsidRPr="00BC0D1F">
              <w:rPr>
                <w:b/>
              </w:rPr>
              <w:t>8,840</w:t>
            </w:r>
          </w:p>
        </w:tc>
        <w:tc>
          <w:tcPr>
            <w:tcW w:w="5812" w:type="dxa"/>
            <w:tcBorders>
              <w:top w:val="nil"/>
              <w:left w:val="nil"/>
              <w:bottom w:val="nil"/>
            </w:tcBorders>
            <w:shd w:val="solid" w:color="FFFFFF" w:fill="auto"/>
          </w:tcPr>
          <w:p w14:paraId="19C394FF" w14:textId="77777777" w:rsidR="00D543B3" w:rsidRPr="00BC0D1F" w:rsidRDefault="00D543B3" w:rsidP="00D543B3">
            <w:pPr>
              <w:pStyle w:val="TableText"/>
              <w:rPr>
                <w:b/>
              </w:rPr>
            </w:pPr>
            <w:r w:rsidRPr="00BC0D1F">
              <w:rPr>
                <w:b/>
              </w:rPr>
              <w:t>Total current portion</w:t>
            </w:r>
          </w:p>
        </w:tc>
        <w:tc>
          <w:tcPr>
            <w:tcW w:w="1228" w:type="dxa"/>
            <w:tcBorders>
              <w:top w:val="nil"/>
              <w:bottom w:val="nil"/>
            </w:tcBorders>
            <w:shd w:val="clear" w:color="E3E3E3" w:fill="D9D9D9"/>
          </w:tcPr>
          <w:p w14:paraId="7F37BD52" w14:textId="77777777" w:rsidR="00D543B3" w:rsidRPr="00BC0D1F" w:rsidRDefault="00D543B3" w:rsidP="00D543B3">
            <w:pPr>
              <w:pStyle w:val="TableText"/>
              <w:ind w:right="113"/>
              <w:jc w:val="right"/>
              <w:rPr>
                <w:b/>
              </w:rPr>
            </w:pPr>
            <w:r w:rsidRPr="00BC0D1F">
              <w:rPr>
                <w:b/>
              </w:rPr>
              <w:t>8,162</w:t>
            </w:r>
          </w:p>
        </w:tc>
        <w:tc>
          <w:tcPr>
            <w:tcW w:w="1229" w:type="dxa"/>
            <w:tcBorders>
              <w:top w:val="nil"/>
              <w:bottom w:val="nil"/>
            </w:tcBorders>
          </w:tcPr>
          <w:p w14:paraId="1866FCF6" w14:textId="77777777" w:rsidR="00D543B3" w:rsidRPr="00BC0D1F" w:rsidRDefault="00D543B3" w:rsidP="00D543B3">
            <w:pPr>
              <w:pStyle w:val="TableText"/>
              <w:jc w:val="right"/>
              <w:rPr>
                <w:b/>
              </w:rPr>
            </w:pPr>
            <w:r w:rsidRPr="00BC0D1F">
              <w:rPr>
                <w:b/>
              </w:rPr>
              <w:t>8,000</w:t>
            </w:r>
          </w:p>
        </w:tc>
      </w:tr>
      <w:tr w:rsidR="00D543B3" w:rsidRPr="00BC0D1F" w14:paraId="4B0CF798" w14:textId="77777777" w:rsidTr="00D543B3">
        <w:trPr>
          <w:cantSplit/>
        </w:trPr>
        <w:tc>
          <w:tcPr>
            <w:tcW w:w="1134" w:type="dxa"/>
            <w:tcBorders>
              <w:top w:val="nil"/>
              <w:bottom w:val="nil"/>
              <w:right w:val="nil"/>
            </w:tcBorders>
            <w:shd w:val="solid" w:color="FFFFFF" w:fill="auto"/>
          </w:tcPr>
          <w:p w14:paraId="0C25DFC4" w14:textId="77777777" w:rsidR="00D543B3" w:rsidRPr="00BC0D1F" w:rsidRDefault="00D543B3" w:rsidP="00D543B3">
            <w:pPr>
              <w:pStyle w:val="TableText"/>
              <w:spacing w:before="240"/>
              <w:ind w:right="284"/>
              <w:jc w:val="right"/>
              <w:rPr>
                <w:b/>
              </w:rPr>
            </w:pPr>
          </w:p>
        </w:tc>
        <w:tc>
          <w:tcPr>
            <w:tcW w:w="5812" w:type="dxa"/>
            <w:tcBorders>
              <w:top w:val="nil"/>
              <w:left w:val="nil"/>
              <w:bottom w:val="nil"/>
            </w:tcBorders>
            <w:shd w:val="solid" w:color="FFFFFF" w:fill="auto"/>
          </w:tcPr>
          <w:p w14:paraId="24061588" w14:textId="77777777" w:rsidR="00D543B3" w:rsidRPr="00BC0D1F" w:rsidRDefault="00D543B3" w:rsidP="00D543B3">
            <w:pPr>
              <w:pStyle w:val="TableText"/>
              <w:spacing w:before="240"/>
              <w:rPr>
                <w:b/>
              </w:rPr>
            </w:pPr>
            <w:r w:rsidRPr="00BC0D1F">
              <w:rPr>
                <w:b/>
              </w:rPr>
              <w:t>Non-current employee entitlements are represented by:</w:t>
            </w:r>
          </w:p>
        </w:tc>
        <w:tc>
          <w:tcPr>
            <w:tcW w:w="1228" w:type="dxa"/>
            <w:tcBorders>
              <w:top w:val="nil"/>
              <w:bottom w:val="nil"/>
            </w:tcBorders>
            <w:shd w:val="clear" w:color="E3E3E3" w:fill="D9D9D9"/>
          </w:tcPr>
          <w:p w14:paraId="1874C625" w14:textId="77777777" w:rsidR="00D543B3" w:rsidRPr="00BC0D1F" w:rsidRDefault="00D543B3" w:rsidP="00D543B3">
            <w:pPr>
              <w:pStyle w:val="TableText"/>
              <w:spacing w:before="240"/>
              <w:ind w:right="113"/>
              <w:jc w:val="right"/>
              <w:rPr>
                <w:b/>
              </w:rPr>
            </w:pPr>
          </w:p>
        </w:tc>
        <w:tc>
          <w:tcPr>
            <w:tcW w:w="1229" w:type="dxa"/>
            <w:tcBorders>
              <w:top w:val="nil"/>
              <w:bottom w:val="nil"/>
            </w:tcBorders>
          </w:tcPr>
          <w:p w14:paraId="52E234B5" w14:textId="77777777" w:rsidR="00D543B3" w:rsidRPr="00BC0D1F" w:rsidRDefault="00D543B3" w:rsidP="00D543B3">
            <w:pPr>
              <w:pStyle w:val="TableText"/>
              <w:spacing w:before="240"/>
              <w:jc w:val="right"/>
              <w:rPr>
                <w:b/>
              </w:rPr>
            </w:pPr>
          </w:p>
        </w:tc>
      </w:tr>
      <w:tr w:rsidR="00D543B3" w:rsidRPr="00BC0D1F" w14:paraId="22ED6B43" w14:textId="77777777" w:rsidTr="00D543B3">
        <w:trPr>
          <w:cantSplit/>
        </w:trPr>
        <w:tc>
          <w:tcPr>
            <w:tcW w:w="1134" w:type="dxa"/>
            <w:tcBorders>
              <w:top w:val="nil"/>
              <w:bottom w:val="nil"/>
              <w:right w:val="nil"/>
            </w:tcBorders>
            <w:shd w:val="solid" w:color="FFFFFF" w:fill="auto"/>
          </w:tcPr>
          <w:p w14:paraId="4B835504" w14:textId="77777777" w:rsidR="00D543B3" w:rsidRPr="00BC0D1F" w:rsidRDefault="00D543B3" w:rsidP="00D543B3">
            <w:pPr>
              <w:pStyle w:val="TableText"/>
              <w:ind w:right="284"/>
              <w:jc w:val="right"/>
            </w:pPr>
            <w:r w:rsidRPr="00BC0D1F">
              <w:t>1,411</w:t>
            </w:r>
          </w:p>
        </w:tc>
        <w:tc>
          <w:tcPr>
            <w:tcW w:w="5812" w:type="dxa"/>
            <w:tcBorders>
              <w:top w:val="nil"/>
              <w:left w:val="nil"/>
              <w:bottom w:val="nil"/>
            </w:tcBorders>
            <w:shd w:val="solid" w:color="FFFFFF" w:fill="auto"/>
          </w:tcPr>
          <w:p w14:paraId="08614948" w14:textId="77777777" w:rsidR="00D543B3" w:rsidRPr="00BC0D1F" w:rsidRDefault="00D543B3" w:rsidP="00D543B3">
            <w:pPr>
              <w:pStyle w:val="TableText"/>
            </w:pPr>
            <w:r w:rsidRPr="00BC0D1F">
              <w:t>Retirement and long service leave</w:t>
            </w:r>
          </w:p>
        </w:tc>
        <w:tc>
          <w:tcPr>
            <w:tcW w:w="1228" w:type="dxa"/>
            <w:tcBorders>
              <w:top w:val="nil"/>
              <w:bottom w:val="nil"/>
            </w:tcBorders>
            <w:shd w:val="clear" w:color="E3E3E3" w:fill="D9D9D9"/>
          </w:tcPr>
          <w:p w14:paraId="174505EF" w14:textId="77777777" w:rsidR="00D543B3" w:rsidRPr="00BC0D1F" w:rsidRDefault="00D543B3" w:rsidP="00D543B3">
            <w:pPr>
              <w:pStyle w:val="TableText"/>
              <w:ind w:right="113"/>
              <w:jc w:val="right"/>
            </w:pPr>
            <w:r w:rsidRPr="00BC0D1F">
              <w:t>1,343</w:t>
            </w:r>
          </w:p>
        </w:tc>
        <w:tc>
          <w:tcPr>
            <w:tcW w:w="1229" w:type="dxa"/>
            <w:tcBorders>
              <w:top w:val="nil"/>
              <w:bottom w:val="nil"/>
            </w:tcBorders>
          </w:tcPr>
          <w:p w14:paraId="4E014CD5" w14:textId="77777777" w:rsidR="00D543B3" w:rsidRPr="00BC0D1F" w:rsidRDefault="00D543B3" w:rsidP="00D543B3">
            <w:pPr>
              <w:pStyle w:val="TableText"/>
              <w:jc w:val="right"/>
            </w:pPr>
            <w:r w:rsidRPr="00BC0D1F">
              <w:t>1,438</w:t>
            </w:r>
          </w:p>
        </w:tc>
      </w:tr>
      <w:tr w:rsidR="00D543B3" w:rsidRPr="00BC0D1F" w14:paraId="381B1B63" w14:textId="77777777" w:rsidTr="00D543B3">
        <w:trPr>
          <w:cantSplit/>
        </w:trPr>
        <w:tc>
          <w:tcPr>
            <w:tcW w:w="1134" w:type="dxa"/>
            <w:tcBorders>
              <w:top w:val="nil"/>
              <w:bottom w:val="nil"/>
              <w:right w:val="nil"/>
            </w:tcBorders>
            <w:shd w:val="solid" w:color="FFFFFF" w:fill="auto"/>
          </w:tcPr>
          <w:p w14:paraId="0938A1B1" w14:textId="77777777" w:rsidR="00D543B3" w:rsidRPr="00BC0D1F" w:rsidRDefault="00D543B3" w:rsidP="00D543B3">
            <w:pPr>
              <w:pStyle w:val="TableText"/>
              <w:spacing w:before="240"/>
              <w:ind w:right="284"/>
              <w:jc w:val="right"/>
              <w:rPr>
                <w:b/>
              </w:rPr>
            </w:pPr>
            <w:r w:rsidRPr="00BC0D1F">
              <w:rPr>
                <w:b/>
              </w:rPr>
              <w:t>1,411</w:t>
            </w:r>
          </w:p>
        </w:tc>
        <w:tc>
          <w:tcPr>
            <w:tcW w:w="5812" w:type="dxa"/>
            <w:tcBorders>
              <w:top w:val="nil"/>
              <w:left w:val="nil"/>
              <w:bottom w:val="nil"/>
            </w:tcBorders>
            <w:shd w:val="solid" w:color="FFFFFF" w:fill="auto"/>
          </w:tcPr>
          <w:p w14:paraId="5C9FA731" w14:textId="77777777" w:rsidR="00D543B3" w:rsidRPr="00BC0D1F" w:rsidRDefault="00D543B3" w:rsidP="00D543B3">
            <w:pPr>
              <w:pStyle w:val="TableText"/>
              <w:spacing w:before="240"/>
              <w:rPr>
                <w:b/>
              </w:rPr>
            </w:pPr>
            <w:r w:rsidRPr="00BC0D1F">
              <w:rPr>
                <w:b/>
              </w:rPr>
              <w:t>Total non-current portion</w:t>
            </w:r>
          </w:p>
        </w:tc>
        <w:tc>
          <w:tcPr>
            <w:tcW w:w="1228" w:type="dxa"/>
            <w:tcBorders>
              <w:top w:val="nil"/>
              <w:bottom w:val="nil"/>
            </w:tcBorders>
            <w:shd w:val="clear" w:color="E3E3E3" w:fill="D9D9D9"/>
          </w:tcPr>
          <w:p w14:paraId="73DDDCDD" w14:textId="77777777" w:rsidR="00D543B3" w:rsidRPr="00BC0D1F" w:rsidRDefault="00D543B3" w:rsidP="00D543B3">
            <w:pPr>
              <w:pStyle w:val="TableText"/>
              <w:spacing w:before="240"/>
              <w:ind w:right="113"/>
              <w:jc w:val="right"/>
              <w:rPr>
                <w:b/>
              </w:rPr>
            </w:pPr>
            <w:r w:rsidRPr="00BC0D1F">
              <w:rPr>
                <w:b/>
              </w:rPr>
              <w:t>1,343</w:t>
            </w:r>
          </w:p>
        </w:tc>
        <w:tc>
          <w:tcPr>
            <w:tcW w:w="1229" w:type="dxa"/>
            <w:tcBorders>
              <w:top w:val="nil"/>
              <w:bottom w:val="nil"/>
            </w:tcBorders>
          </w:tcPr>
          <w:p w14:paraId="216EF0DD" w14:textId="77777777" w:rsidR="00D543B3" w:rsidRPr="00BC0D1F" w:rsidRDefault="00D543B3" w:rsidP="00D543B3">
            <w:pPr>
              <w:pStyle w:val="TableText"/>
              <w:spacing w:before="240"/>
              <w:jc w:val="right"/>
              <w:rPr>
                <w:b/>
              </w:rPr>
            </w:pPr>
            <w:r w:rsidRPr="00BC0D1F">
              <w:rPr>
                <w:b/>
              </w:rPr>
              <w:t>1,438</w:t>
            </w:r>
          </w:p>
        </w:tc>
      </w:tr>
      <w:tr w:rsidR="00D543B3" w:rsidRPr="00BC0D1F" w14:paraId="1541A4D6" w14:textId="77777777" w:rsidTr="00D543B3">
        <w:trPr>
          <w:cantSplit/>
        </w:trPr>
        <w:tc>
          <w:tcPr>
            <w:tcW w:w="1134" w:type="dxa"/>
            <w:tcBorders>
              <w:top w:val="nil"/>
              <w:bottom w:val="single" w:sz="4" w:space="0" w:color="auto"/>
              <w:right w:val="nil"/>
            </w:tcBorders>
            <w:shd w:val="solid" w:color="FFFFFF" w:fill="auto"/>
          </w:tcPr>
          <w:p w14:paraId="02F67B49" w14:textId="77777777" w:rsidR="00D543B3" w:rsidRPr="00BC0D1F" w:rsidRDefault="00D543B3" w:rsidP="00D543B3">
            <w:pPr>
              <w:pStyle w:val="TableText"/>
              <w:ind w:right="284"/>
              <w:jc w:val="right"/>
              <w:rPr>
                <w:b/>
              </w:rPr>
            </w:pPr>
            <w:r w:rsidRPr="00BC0D1F">
              <w:rPr>
                <w:b/>
              </w:rPr>
              <w:t>10,251</w:t>
            </w:r>
          </w:p>
        </w:tc>
        <w:tc>
          <w:tcPr>
            <w:tcW w:w="5812" w:type="dxa"/>
            <w:tcBorders>
              <w:top w:val="nil"/>
              <w:left w:val="nil"/>
              <w:bottom w:val="single" w:sz="4" w:space="0" w:color="auto"/>
            </w:tcBorders>
            <w:shd w:val="solid" w:color="FFFFFF" w:fill="auto"/>
          </w:tcPr>
          <w:p w14:paraId="44E45C96" w14:textId="77777777" w:rsidR="00D543B3" w:rsidRPr="00BC0D1F" w:rsidRDefault="00D543B3" w:rsidP="00D543B3">
            <w:pPr>
              <w:pStyle w:val="TableText"/>
              <w:rPr>
                <w:b/>
              </w:rPr>
            </w:pPr>
            <w:r w:rsidRPr="00BC0D1F">
              <w:rPr>
                <w:b/>
              </w:rPr>
              <w:t>Total employee entitlements</w:t>
            </w:r>
          </w:p>
        </w:tc>
        <w:tc>
          <w:tcPr>
            <w:tcW w:w="1228" w:type="dxa"/>
            <w:tcBorders>
              <w:top w:val="nil"/>
              <w:bottom w:val="single" w:sz="4" w:space="0" w:color="auto"/>
            </w:tcBorders>
            <w:shd w:val="clear" w:color="E3E3E3" w:fill="D9D9D9"/>
          </w:tcPr>
          <w:p w14:paraId="07C0C1C3" w14:textId="77777777" w:rsidR="00D543B3" w:rsidRPr="00BC0D1F" w:rsidRDefault="00D543B3" w:rsidP="00D543B3">
            <w:pPr>
              <w:pStyle w:val="TableText"/>
              <w:ind w:right="113"/>
              <w:jc w:val="right"/>
              <w:rPr>
                <w:b/>
              </w:rPr>
            </w:pPr>
            <w:r w:rsidRPr="00BC0D1F">
              <w:rPr>
                <w:b/>
              </w:rPr>
              <w:t>9,505</w:t>
            </w:r>
          </w:p>
        </w:tc>
        <w:tc>
          <w:tcPr>
            <w:tcW w:w="1229" w:type="dxa"/>
            <w:tcBorders>
              <w:top w:val="nil"/>
              <w:bottom w:val="single" w:sz="4" w:space="0" w:color="auto"/>
            </w:tcBorders>
          </w:tcPr>
          <w:p w14:paraId="08D6031A" w14:textId="77777777" w:rsidR="00D543B3" w:rsidRPr="00BC0D1F" w:rsidRDefault="00D543B3" w:rsidP="00D543B3">
            <w:pPr>
              <w:pStyle w:val="TableText"/>
              <w:jc w:val="right"/>
              <w:rPr>
                <w:b/>
              </w:rPr>
            </w:pPr>
            <w:r w:rsidRPr="00BC0D1F">
              <w:rPr>
                <w:b/>
              </w:rPr>
              <w:t>9,438</w:t>
            </w:r>
          </w:p>
        </w:tc>
      </w:tr>
    </w:tbl>
    <w:p w14:paraId="125D558D" w14:textId="77777777" w:rsidR="00DB3946" w:rsidRPr="00BC0D1F" w:rsidRDefault="00DB3946" w:rsidP="00D543B3"/>
    <w:p w14:paraId="21A7B15B" w14:textId="77777777" w:rsidR="006A557B" w:rsidRPr="00BC0D1F" w:rsidRDefault="006A557B" w:rsidP="00D543B3">
      <w:r w:rsidRPr="00BC0D1F">
        <w:t>The present value of the retirement and long service leave entitlements depend on a number of factors that are determined on an actuarial basis using a number of assumptions. Two key assumptions applied when calculating this liability include the discount rates and the salary inflation factors. Any changes in these assumptions will have significant impact on the carrying value of the liability.</w:t>
      </w:r>
    </w:p>
    <w:p w14:paraId="394BAD33" w14:textId="77777777" w:rsidR="006A557B" w:rsidRPr="00BC0D1F" w:rsidRDefault="006A557B" w:rsidP="00D543B3"/>
    <w:p w14:paraId="27405FC3" w14:textId="77777777" w:rsidR="006A557B" w:rsidRPr="00BC0D1F" w:rsidRDefault="006A557B" w:rsidP="00D543B3">
      <w:r w:rsidRPr="00BC0D1F">
        <w:t>The discount rates used are taken from the Treasury’s centrally produced risk free discount rates. The methodology of how these rates are calculated is provided on the Treasury website. The short term salary inflation factor has been determined after considering historical salary inflation patterns and current budgeting predictions. The long term salary assumption is a Treasury provided figure.</w:t>
      </w:r>
    </w:p>
    <w:p w14:paraId="6BA67455" w14:textId="77777777" w:rsidR="006A557B" w:rsidRPr="00BC0D1F" w:rsidRDefault="006A557B" w:rsidP="00D543B3"/>
    <w:p w14:paraId="6BC9DF6E" w14:textId="77777777" w:rsidR="006A557B" w:rsidRPr="00BC0D1F" w:rsidRDefault="006A557B" w:rsidP="00D543B3">
      <w:r w:rsidRPr="00BC0D1F">
        <w:t>If the discount rates were to differ by 1 percentage point from the Ministry’s estimates, with all other factors held constant, the carrying amount of the total liability would be an estimated average $89,359 higher/lower.</w:t>
      </w:r>
    </w:p>
    <w:p w14:paraId="3A8D7739" w14:textId="77777777" w:rsidR="006A557B" w:rsidRPr="00BC0D1F" w:rsidRDefault="006A557B" w:rsidP="00D543B3"/>
    <w:p w14:paraId="60238DB6" w14:textId="77777777" w:rsidR="006A557B" w:rsidRPr="00BC0D1F" w:rsidRDefault="006A557B" w:rsidP="00D543B3">
      <w:r w:rsidRPr="00BC0D1F">
        <w:t>If the salary inflation rates were to differ by 1 percentage point from the Ministry’s estimates, with all other factors held constant, the carrying amount of the total liability would be an estimated average $122,560 higher/lower.</w:t>
      </w:r>
    </w:p>
    <w:p w14:paraId="4F006E4F" w14:textId="77777777" w:rsidR="006A557B" w:rsidRPr="00BC0D1F" w:rsidRDefault="006A557B" w:rsidP="00D543B3"/>
    <w:p w14:paraId="5E94BBD1" w14:textId="77777777" w:rsidR="006A557B" w:rsidRPr="00BC0D1F" w:rsidRDefault="006A557B" w:rsidP="00D543B3">
      <w:pPr>
        <w:pStyle w:val="Heading3"/>
      </w:pPr>
      <w:r w:rsidRPr="00BC0D1F">
        <w:lastRenderedPageBreak/>
        <w:t>Note 12: Equity</w:t>
      </w:r>
    </w:p>
    <w:p w14:paraId="0AF62914" w14:textId="77777777" w:rsidR="00590B83" w:rsidRPr="00BC0D1F" w:rsidRDefault="00590B83" w:rsidP="00590B83">
      <w:r w:rsidRPr="00BC0D1F">
        <w:t>Equity compromises three components: taxpayers’ funds, revaluation reserves and memorandum accounts.</w:t>
      </w:r>
    </w:p>
    <w:p w14:paraId="2092AA2D" w14:textId="77777777" w:rsidR="00590B83" w:rsidRPr="00BC0D1F" w:rsidRDefault="00590B83" w:rsidP="00590B83"/>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D543B3" w:rsidRPr="00BC0D1F" w14:paraId="1FEA42E4" w14:textId="77777777" w:rsidTr="00D543B3">
        <w:trPr>
          <w:cantSplit/>
        </w:trPr>
        <w:tc>
          <w:tcPr>
            <w:tcW w:w="1134" w:type="dxa"/>
            <w:tcBorders>
              <w:top w:val="single" w:sz="4" w:space="0" w:color="auto"/>
              <w:bottom w:val="single" w:sz="4" w:space="0" w:color="auto"/>
              <w:right w:val="nil"/>
            </w:tcBorders>
            <w:shd w:val="solid" w:color="FFFFFF" w:fill="auto"/>
          </w:tcPr>
          <w:p w14:paraId="359745E2" w14:textId="77777777" w:rsidR="00D543B3" w:rsidRPr="00BC0D1F" w:rsidRDefault="00D543B3" w:rsidP="00D543B3">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0760B829" w14:textId="77777777" w:rsidR="00D543B3" w:rsidRPr="00BC0D1F" w:rsidRDefault="00D543B3" w:rsidP="00D543B3">
            <w:pPr>
              <w:pStyle w:val="TableText"/>
              <w:rPr>
                <w:b/>
                <w:lang w:eastAsia="en-NZ"/>
              </w:rPr>
            </w:pPr>
          </w:p>
        </w:tc>
        <w:tc>
          <w:tcPr>
            <w:tcW w:w="1228" w:type="dxa"/>
            <w:tcBorders>
              <w:top w:val="single" w:sz="4" w:space="0" w:color="auto"/>
              <w:bottom w:val="single" w:sz="4" w:space="0" w:color="auto"/>
            </w:tcBorders>
            <w:shd w:val="clear" w:color="E3E3E3" w:fill="D9D9D9"/>
          </w:tcPr>
          <w:p w14:paraId="2485B432" w14:textId="77777777" w:rsidR="00D543B3" w:rsidRPr="00BC0D1F" w:rsidRDefault="00D543B3" w:rsidP="00D543B3">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385E9797" w14:textId="77777777" w:rsidR="00D543B3" w:rsidRPr="00BC0D1F" w:rsidRDefault="00D543B3" w:rsidP="00D543B3">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590B83" w:rsidRPr="00BC0D1F" w14:paraId="51813D0F" w14:textId="77777777" w:rsidTr="00D543B3">
        <w:trPr>
          <w:cantSplit/>
        </w:trPr>
        <w:tc>
          <w:tcPr>
            <w:tcW w:w="1134" w:type="dxa"/>
            <w:tcBorders>
              <w:top w:val="single" w:sz="4" w:space="0" w:color="auto"/>
              <w:right w:val="nil"/>
            </w:tcBorders>
            <w:shd w:val="solid" w:color="FFFFFF" w:fill="auto"/>
          </w:tcPr>
          <w:p w14:paraId="7914DFCB" w14:textId="77777777" w:rsidR="00590B83" w:rsidRPr="00BC0D1F" w:rsidRDefault="00590B83" w:rsidP="00590B83">
            <w:pPr>
              <w:pStyle w:val="TableText"/>
              <w:ind w:right="284"/>
              <w:jc w:val="right"/>
              <w:rPr>
                <w:b/>
              </w:rPr>
            </w:pPr>
          </w:p>
        </w:tc>
        <w:tc>
          <w:tcPr>
            <w:tcW w:w="5812" w:type="dxa"/>
            <w:tcBorders>
              <w:top w:val="single" w:sz="4" w:space="0" w:color="auto"/>
              <w:left w:val="nil"/>
            </w:tcBorders>
            <w:shd w:val="solid" w:color="FFFFFF" w:fill="auto"/>
          </w:tcPr>
          <w:p w14:paraId="30DA6D14" w14:textId="77777777" w:rsidR="00590B83" w:rsidRPr="00BC0D1F" w:rsidRDefault="00590B83" w:rsidP="00590B83">
            <w:pPr>
              <w:pStyle w:val="TableText"/>
              <w:rPr>
                <w:b/>
              </w:rPr>
            </w:pPr>
            <w:r w:rsidRPr="00BC0D1F">
              <w:rPr>
                <w:b/>
              </w:rPr>
              <w:t>Taxpayers’ funds</w:t>
            </w:r>
          </w:p>
        </w:tc>
        <w:tc>
          <w:tcPr>
            <w:tcW w:w="1228" w:type="dxa"/>
            <w:tcBorders>
              <w:top w:val="single" w:sz="4" w:space="0" w:color="auto"/>
            </w:tcBorders>
            <w:shd w:val="clear" w:color="E3E3E3" w:fill="D9D9D9"/>
          </w:tcPr>
          <w:p w14:paraId="46975555" w14:textId="77777777" w:rsidR="00590B83" w:rsidRPr="00BC0D1F" w:rsidRDefault="00590B83" w:rsidP="00590B83">
            <w:pPr>
              <w:pStyle w:val="TableText"/>
              <w:ind w:right="113"/>
              <w:jc w:val="right"/>
              <w:rPr>
                <w:b/>
              </w:rPr>
            </w:pPr>
          </w:p>
        </w:tc>
        <w:tc>
          <w:tcPr>
            <w:tcW w:w="1229" w:type="dxa"/>
            <w:tcBorders>
              <w:top w:val="single" w:sz="4" w:space="0" w:color="auto"/>
            </w:tcBorders>
          </w:tcPr>
          <w:p w14:paraId="36B17924" w14:textId="77777777" w:rsidR="00590B83" w:rsidRPr="00BC0D1F" w:rsidRDefault="00590B83" w:rsidP="00590B83">
            <w:pPr>
              <w:pStyle w:val="TableText"/>
              <w:jc w:val="right"/>
              <w:rPr>
                <w:b/>
              </w:rPr>
            </w:pPr>
          </w:p>
        </w:tc>
      </w:tr>
      <w:tr w:rsidR="00590B83" w:rsidRPr="00BC0D1F" w14:paraId="298F7C27" w14:textId="77777777" w:rsidTr="00D543B3">
        <w:trPr>
          <w:cantSplit/>
        </w:trPr>
        <w:tc>
          <w:tcPr>
            <w:tcW w:w="1134" w:type="dxa"/>
            <w:tcBorders>
              <w:right w:val="nil"/>
            </w:tcBorders>
            <w:shd w:val="solid" w:color="FFFFFF" w:fill="auto"/>
          </w:tcPr>
          <w:p w14:paraId="66104043" w14:textId="77777777" w:rsidR="00590B83" w:rsidRPr="00BC0D1F" w:rsidRDefault="00590B83" w:rsidP="00590B83">
            <w:pPr>
              <w:pStyle w:val="TableText"/>
              <w:ind w:right="284"/>
              <w:jc w:val="right"/>
              <w:rPr>
                <w:b/>
              </w:rPr>
            </w:pPr>
            <w:r w:rsidRPr="00BC0D1F">
              <w:rPr>
                <w:b/>
              </w:rPr>
              <w:t>29,012</w:t>
            </w:r>
          </w:p>
        </w:tc>
        <w:tc>
          <w:tcPr>
            <w:tcW w:w="5812" w:type="dxa"/>
            <w:tcBorders>
              <w:left w:val="nil"/>
            </w:tcBorders>
            <w:shd w:val="solid" w:color="FFFFFF" w:fill="auto"/>
          </w:tcPr>
          <w:p w14:paraId="187E460D" w14:textId="77777777" w:rsidR="00590B83" w:rsidRPr="00BC0D1F" w:rsidRDefault="00590B83" w:rsidP="00590B83">
            <w:pPr>
              <w:pStyle w:val="TableText"/>
              <w:rPr>
                <w:b/>
              </w:rPr>
            </w:pPr>
            <w:r w:rsidRPr="00BC0D1F">
              <w:rPr>
                <w:b/>
              </w:rPr>
              <w:t>Balance at 1 July</w:t>
            </w:r>
          </w:p>
        </w:tc>
        <w:tc>
          <w:tcPr>
            <w:tcW w:w="1228" w:type="dxa"/>
            <w:shd w:val="clear" w:color="E3E3E3" w:fill="D9D9D9"/>
          </w:tcPr>
          <w:p w14:paraId="3F520FEE" w14:textId="77777777" w:rsidR="00590B83" w:rsidRPr="00BC0D1F" w:rsidRDefault="00590B83" w:rsidP="00590B83">
            <w:pPr>
              <w:pStyle w:val="TableText"/>
              <w:ind w:right="113"/>
              <w:jc w:val="right"/>
              <w:rPr>
                <w:b/>
              </w:rPr>
            </w:pPr>
            <w:r w:rsidRPr="00BC0D1F">
              <w:rPr>
                <w:b/>
              </w:rPr>
              <w:t>30,159</w:t>
            </w:r>
          </w:p>
        </w:tc>
        <w:tc>
          <w:tcPr>
            <w:tcW w:w="1229" w:type="dxa"/>
          </w:tcPr>
          <w:p w14:paraId="4A39E192" w14:textId="694DABF1" w:rsidR="00590B83" w:rsidRPr="00BC0D1F" w:rsidRDefault="00590B83" w:rsidP="00A202BF">
            <w:pPr>
              <w:pStyle w:val="TableText"/>
              <w:jc w:val="right"/>
              <w:rPr>
                <w:b/>
              </w:rPr>
            </w:pPr>
            <w:r w:rsidRPr="00BC0D1F">
              <w:rPr>
                <w:b/>
              </w:rPr>
              <w:t>30,76</w:t>
            </w:r>
            <w:r w:rsidR="00A202BF">
              <w:rPr>
                <w:b/>
              </w:rPr>
              <w:t>7</w:t>
            </w:r>
          </w:p>
        </w:tc>
      </w:tr>
      <w:tr w:rsidR="00590B83" w:rsidRPr="00BC0D1F" w14:paraId="6FA1DE2F" w14:textId="77777777" w:rsidTr="00D543B3">
        <w:trPr>
          <w:cantSplit/>
        </w:trPr>
        <w:tc>
          <w:tcPr>
            <w:tcW w:w="1134" w:type="dxa"/>
            <w:tcBorders>
              <w:right w:val="nil"/>
            </w:tcBorders>
            <w:shd w:val="solid" w:color="FFFFFF" w:fill="auto"/>
          </w:tcPr>
          <w:p w14:paraId="009A9D0B" w14:textId="77777777" w:rsidR="00590B83" w:rsidRPr="00BC0D1F" w:rsidRDefault="00590B83" w:rsidP="00590B83">
            <w:pPr>
              <w:pStyle w:val="TableText"/>
              <w:ind w:right="284"/>
              <w:jc w:val="right"/>
            </w:pPr>
            <w:r w:rsidRPr="00BC0D1F">
              <w:t>(605)</w:t>
            </w:r>
          </w:p>
        </w:tc>
        <w:tc>
          <w:tcPr>
            <w:tcW w:w="5812" w:type="dxa"/>
            <w:tcBorders>
              <w:left w:val="nil"/>
            </w:tcBorders>
            <w:shd w:val="solid" w:color="FFFFFF" w:fill="auto"/>
          </w:tcPr>
          <w:p w14:paraId="46875D4D" w14:textId="77777777" w:rsidR="00590B83" w:rsidRPr="00BC0D1F" w:rsidRDefault="00590B83" w:rsidP="00590B83">
            <w:pPr>
              <w:pStyle w:val="TableText"/>
            </w:pPr>
            <w:r w:rsidRPr="00BC0D1F">
              <w:t>Surplus/(deficit)</w:t>
            </w:r>
          </w:p>
        </w:tc>
        <w:tc>
          <w:tcPr>
            <w:tcW w:w="1228" w:type="dxa"/>
            <w:shd w:val="clear" w:color="E3E3E3" w:fill="D9D9D9"/>
          </w:tcPr>
          <w:p w14:paraId="5213368E" w14:textId="183CF864" w:rsidR="00590B83" w:rsidRPr="00BC0D1F" w:rsidRDefault="00590B83" w:rsidP="00A202BF">
            <w:pPr>
              <w:pStyle w:val="TableText"/>
              <w:ind w:right="113"/>
              <w:jc w:val="right"/>
            </w:pPr>
            <w:r w:rsidRPr="00BC0D1F">
              <w:t>(69</w:t>
            </w:r>
            <w:r w:rsidR="00A202BF">
              <w:t>3</w:t>
            </w:r>
            <w:r w:rsidRPr="00BC0D1F">
              <w:t>)</w:t>
            </w:r>
          </w:p>
        </w:tc>
        <w:tc>
          <w:tcPr>
            <w:tcW w:w="1229" w:type="dxa"/>
          </w:tcPr>
          <w:p w14:paraId="4620B3E3" w14:textId="77777777" w:rsidR="00590B83" w:rsidRPr="00BC0D1F" w:rsidRDefault="00590B83" w:rsidP="00590B83">
            <w:pPr>
              <w:pStyle w:val="TableText"/>
              <w:jc w:val="right"/>
            </w:pPr>
            <w:r w:rsidRPr="00BC0D1F">
              <w:t>–</w:t>
            </w:r>
          </w:p>
        </w:tc>
      </w:tr>
      <w:tr w:rsidR="00590B83" w:rsidRPr="00BC0D1F" w14:paraId="69000261" w14:textId="77777777" w:rsidTr="00D543B3">
        <w:trPr>
          <w:cantSplit/>
        </w:trPr>
        <w:tc>
          <w:tcPr>
            <w:tcW w:w="1134" w:type="dxa"/>
            <w:tcBorders>
              <w:bottom w:val="nil"/>
              <w:right w:val="nil"/>
            </w:tcBorders>
          </w:tcPr>
          <w:p w14:paraId="2FD59F4C" w14:textId="77777777" w:rsidR="00590B83" w:rsidRPr="00BC0D1F" w:rsidRDefault="00590B83" w:rsidP="00590B83">
            <w:pPr>
              <w:pStyle w:val="TableText"/>
              <w:ind w:right="284"/>
              <w:jc w:val="right"/>
            </w:pPr>
            <w:r w:rsidRPr="00BC0D1F">
              <w:t>235</w:t>
            </w:r>
          </w:p>
        </w:tc>
        <w:tc>
          <w:tcPr>
            <w:tcW w:w="5812" w:type="dxa"/>
            <w:tcBorders>
              <w:left w:val="nil"/>
              <w:bottom w:val="nil"/>
            </w:tcBorders>
            <w:shd w:val="solid" w:color="FFFFFF" w:fill="auto"/>
          </w:tcPr>
          <w:p w14:paraId="314CE194" w14:textId="77777777" w:rsidR="00590B83" w:rsidRPr="00BC0D1F" w:rsidRDefault="00590B83" w:rsidP="00590B83">
            <w:pPr>
              <w:pStyle w:val="TableText"/>
            </w:pPr>
            <w:r w:rsidRPr="00BC0D1F">
              <w:t>Transfer of memorandum account net deficit for the year</w:t>
            </w:r>
          </w:p>
        </w:tc>
        <w:tc>
          <w:tcPr>
            <w:tcW w:w="1228" w:type="dxa"/>
            <w:tcBorders>
              <w:bottom w:val="nil"/>
            </w:tcBorders>
            <w:shd w:val="clear" w:color="E3E3E3" w:fill="D9D9D9"/>
          </w:tcPr>
          <w:p w14:paraId="6D76C2BB" w14:textId="77777777" w:rsidR="00590B83" w:rsidRPr="00BC0D1F" w:rsidRDefault="00590B83" w:rsidP="00590B83">
            <w:pPr>
              <w:pStyle w:val="TableText"/>
              <w:ind w:right="113"/>
              <w:jc w:val="right"/>
            </w:pPr>
            <w:r w:rsidRPr="00BC0D1F">
              <w:t>1,301</w:t>
            </w:r>
          </w:p>
        </w:tc>
        <w:tc>
          <w:tcPr>
            <w:tcW w:w="1229" w:type="dxa"/>
            <w:tcBorders>
              <w:bottom w:val="nil"/>
            </w:tcBorders>
          </w:tcPr>
          <w:p w14:paraId="00196338" w14:textId="77777777" w:rsidR="00590B83" w:rsidRPr="00BC0D1F" w:rsidRDefault="00590B83" w:rsidP="00590B83">
            <w:pPr>
              <w:pStyle w:val="TableText"/>
              <w:jc w:val="right"/>
            </w:pPr>
            <w:r w:rsidRPr="00BC0D1F">
              <w:t>–</w:t>
            </w:r>
          </w:p>
        </w:tc>
      </w:tr>
      <w:tr w:rsidR="00590B83" w:rsidRPr="00BC0D1F" w14:paraId="67F987DA" w14:textId="77777777" w:rsidTr="00D543B3">
        <w:trPr>
          <w:cantSplit/>
        </w:trPr>
        <w:tc>
          <w:tcPr>
            <w:tcW w:w="1134" w:type="dxa"/>
            <w:tcBorders>
              <w:top w:val="nil"/>
              <w:bottom w:val="nil"/>
              <w:right w:val="nil"/>
            </w:tcBorders>
            <w:shd w:val="solid" w:color="FFFFFF" w:fill="auto"/>
          </w:tcPr>
          <w:p w14:paraId="4068356E" w14:textId="77777777" w:rsidR="00590B83" w:rsidRPr="00BC0D1F" w:rsidRDefault="00590B83" w:rsidP="00590B83">
            <w:pPr>
              <w:pStyle w:val="TableText"/>
              <w:ind w:right="284"/>
              <w:jc w:val="right"/>
            </w:pPr>
            <w:r w:rsidRPr="00BC0D1F">
              <w:t>–</w:t>
            </w:r>
          </w:p>
        </w:tc>
        <w:tc>
          <w:tcPr>
            <w:tcW w:w="5812" w:type="dxa"/>
            <w:tcBorders>
              <w:top w:val="nil"/>
              <w:left w:val="nil"/>
              <w:bottom w:val="nil"/>
            </w:tcBorders>
            <w:shd w:val="solid" w:color="FFFFFF" w:fill="auto"/>
          </w:tcPr>
          <w:p w14:paraId="78D69D8A" w14:textId="77777777" w:rsidR="00590B83" w:rsidRPr="00BC0D1F" w:rsidRDefault="00590B83" w:rsidP="00590B83">
            <w:pPr>
              <w:pStyle w:val="TableText"/>
            </w:pPr>
            <w:r w:rsidRPr="00BC0D1F">
              <w:t>Return of operating surplus to the Crown</w:t>
            </w:r>
          </w:p>
        </w:tc>
        <w:tc>
          <w:tcPr>
            <w:tcW w:w="1228" w:type="dxa"/>
            <w:tcBorders>
              <w:top w:val="nil"/>
              <w:bottom w:val="nil"/>
            </w:tcBorders>
            <w:shd w:val="clear" w:color="E3E3E3" w:fill="D9D9D9"/>
          </w:tcPr>
          <w:p w14:paraId="5C66BC81" w14:textId="20B36739" w:rsidR="00590B83" w:rsidRPr="00BC0D1F" w:rsidRDefault="00202C6B" w:rsidP="00590B83">
            <w:pPr>
              <w:pStyle w:val="TableText"/>
              <w:ind w:right="113"/>
              <w:jc w:val="right"/>
            </w:pPr>
            <w:r>
              <w:t>(608)</w:t>
            </w:r>
          </w:p>
        </w:tc>
        <w:tc>
          <w:tcPr>
            <w:tcW w:w="1229" w:type="dxa"/>
            <w:tcBorders>
              <w:top w:val="nil"/>
              <w:bottom w:val="nil"/>
            </w:tcBorders>
          </w:tcPr>
          <w:p w14:paraId="6C5A86FD" w14:textId="77777777" w:rsidR="00590B83" w:rsidRPr="00BC0D1F" w:rsidRDefault="00590B83" w:rsidP="00590B83">
            <w:pPr>
              <w:pStyle w:val="TableText"/>
              <w:jc w:val="right"/>
            </w:pPr>
          </w:p>
        </w:tc>
      </w:tr>
      <w:tr w:rsidR="00590B83" w:rsidRPr="00BC0D1F" w14:paraId="36F8DFAD" w14:textId="77777777" w:rsidTr="00D543B3">
        <w:trPr>
          <w:cantSplit/>
        </w:trPr>
        <w:tc>
          <w:tcPr>
            <w:tcW w:w="1134" w:type="dxa"/>
            <w:tcBorders>
              <w:top w:val="nil"/>
              <w:bottom w:val="nil"/>
              <w:right w:val="nil"/>
            </w:tcBorders>
            <w:shd w:val="solid" w:color="FFFFFF" w:fill="auto"/>
          </w:tcPr>
          <w:p w14:paraId="6ADD9E6B" w14:textId="77777777" w:rsidR="00590B83" w:rsidRPr="00BC0D1F" w:rsidRDefault="00590B83" w:rsidP="00590B83">
            <w:pPr>
              <w:pStyle w:val="TableText"/>
              <w:ind w:right="284"/>
              <w:jc w:val="right"/>
            </w:pPr>
            <w:r w:rsidRPr="00BC0D1F">
              <w:t>1,517</w:t>
            </w:r>
          </w:p>
        </w:tc>
        <w:tc>
          <w:tcPr>
            <w:tcW w:w="5812" w:type="dxa"/>
            <w:tcBorders>
              <w:top w:val="nil"/>
              <w:left w:val="nil"/>
              <w:bottom w:val="nil"/>
            </w:tcBorders>
            <w:shd w:val="solid" w:color="FFFFFF" w:fill="auto"/>
          </w:tcPr>
          <w:p w14:paraId="5313621C" w14:textId="77777777" w:rsidR="00590B83" w:rsidRPr="00BC0D1F" w:rsidRDefault="00590B83" w:rsidP="00590B83">
            <w:pPr>
              <w:pStyle w:val="TableText"/>
            </w:pPr>
            <w:r w:rsidRPr="00BC0D1F">
              <w:t>Capital injection</w:t>
            </w:r>
          </w:p>
        </w:tc>
        <w:tc>
          <w:tcPr>
            <w:tcW w:w="1228" w:type="dxa"/>
            <w:tcBorders>
              <w:top w:val="nil"/>
              <w:bottom w:val="nil"/>
            </w:tcBorders>
            <w:shd w:val="clear" w:color="E3E3E3" w:fill="D9D9D9"/>
          </w:tcPr>
          <w:p w14:paraId="29A7B419" w14:textId="77777777" w:rsidR="00590B83" w:rsidRPr="00BC0D1F" w:rsidRDefault="00590B83" w:rsidP="00590B83">
            <w:pPr>
              <w:pStyle w:val="TableText"/>
              <w:ind w:right="113"/>
              <w:jc w:val="right"/>
            </w:pPr>
            <w:r w:rsidRPr="00BC0D1F">
              <w:t>–</w:t>
            </w:r>
          </w:p>
        </w:tc>
        <w:tc>
          <w:tcPr>
            <w:tcW w:w="1229" w:type="dxa"/>
            <w:tcBorders>
              <w:top w:val="nil"/>
              <w:bottom w:val="nil"/>
            </w:tcBorders>
          </w:tcPr>
          <w:p w14:paraId="21B4FA73" w14:textId="77777777" w:rsidR="00590B83" w:rsidRPr="00BC0D1F" w:rsidRDefault="00590B83" w:rsidP="00590B83">
            <w:pPr>
              <w:pStyle w:val="TableText"/>
              <w:jc w:val="right"/>
            </w:pPr>
            <w:r w:rsidRPr="00BC0D1F">
              <w:t>–</w:t>
            </w:r>
          </w:p>
        </w:tc>
      </w:tr>
      <w:tr w:rsidR="00590B83" w:rsidRPr="00BC0D1F" w14:paraId="1CF475F0" w14:textId="77777777" w:rsidTr="00D543B3">
        <w:trPr>
          <w:cantSplit/>
        </w:trPr>
        <w:tc>
          <w:tcPr>
            <w:tcW w:w="1134" w:type="dxa"/>
            <w:tcBorders>
              <w:top w:val="nil"/>
              <w:bottom w:val="nil"/>
              <w:right w:val="nil"/>
            </w:tcBorders>
            <w:shd w:val="solid" w:color="FFFFFF" w:fill="auto"/>
          </w:tcPr>
          <w:p w14:paraId="04A9B7C8" w14:textId="77777777" w:rsidR="00590B83" w:rsidRPr="00BC0D1F" w:rsidRDefault="00590B83" w:rsidP="00590B83">
            <w:pPr>
              <w:pStyle w:val="TableText"/>
              <w:ind w:right="284"/>
              <w:jc w:val="right"/>
              <w:rPr>
                <w:b/>
              </w:rPr>
            </w:pPr>
            <w:r w:rsidRPr="00BC0D1F">
              <w:rPr>
                <w:b/>
              </w:rPr>
              <w:t>30,159</w:t>
            </w:r>
          </w:p>
        </w:tc>
        <w:tc>
          <w:tcPr>
            <w:tcW w:w="5812" w:type="dxa"/>
            <w:tcBorders>
              <w:top w:val="nil"/>
              <w:left w:val="nil"/>
              <w:bottom w:val="nil"/>
            </w:tcBorders>
            <w:shd w:val="solid" w:color="FFFFFF" w:fill="auto"/>
          </w:tcPr>
          <w:p w14:paraId="7DFC3584" w14:textId="77777777" w:rsidR="00590B83" w:rsidRPr="00BC0D1F" w:rsidRDefault="00590B83" w:rsidP="00590B83">
            <w:pPr>
              <w:pStyle w:val="TableText"/>
              <w:rPr>
                <w:b/>
              </w:rPr>
            </w:pPr>
            <w:r w:rsidRPr="00BC0D1F">
              <w:rPr>
                <w:b/>
              </w:rPr>
              <w:t>Balance at 30 June</w:t>
            </w:r>
          </w:p>
        </w:tc>
        <w:tc>
          <w:tcPr>
            <w:tcW w:w="1228" w:type="dxa"/>
            <w:tcBorders>
              <w:top w:val="nil"/>
              <w:bottom w:val="nil"/>
            </w:tcBorders>
            <w:shd w:val="clear" w:color="E3E3E3" w:fill="D9D9D9"/>
          </w:tcPr>
          <w:p w14:paraId="4F9DFC31" w14:textId="68FB5CC2" w:rsidR="00590B83" w:rsidRPr="00BC0D1F" w:rsidRDefault="00202C6B" w:rsidP="00A202BF">
            <w:pPr>
              <w:pStyle w:val="TableText"/>
              <w:ind w:right="113"/>
              <w:jc w:val="right"/>
              <w:rPr>
                <w:b/>
              </w:rPr>
            </w:pPr>
            <w:r>
              <w:rPr>
                <w:b/>
              </w:rPr>
              <w:t>30,159</w:t>
            </w:r>
          </w:p>
        </w:tc>
        <w:tc>
          <w:tcPr>
            <w:tcW w:w="1229" w:type="dxa"/>
            <w:tcBorders>
              <w:top w:val="nil"/>
              <w:bottom w:val="nil"/>
            </w:tcBorders>
          </w:tcPr>
          <w:p w14:paraId="7AE0CBB9" w14:textId="5EC35E38" w:rsidR="00590B83" w:rsidRPr="00BC0D1F" w:rsidRDefault="00590B83" w:rsidP="00A202BF">
            <w:pPr>
              <w:pStyle w:val="TableText"/>
              <w:jc w:val="right"/>
              <w:rPr>
                <w:b/>
              </w:rPr>
            </w:pPr>
            <w:r w:rsidRPr="00BC0D1F">
              <w:rPr>
                <w:b/>
              </w:rPr>
              <w:t>30,76</w:t>
            </w:r>
            <w:r w:rsidR="00A202BF">
              <w:rPr>
                <w:b/>
              </w:rPr>
              <w:t>7</w:t>
            </w:r>
          </w:p>
        </w:tc>
      </w:tr>
      <w:tr w:rsidR="00590B83" w:rsidRPr="00BC0D1F" w14:paraId="6C8D9909" w14:textId="77777777" w:rsidTr="00D543B3">
        <w:trPr>
          <w:cantSplit/>
        </w:trPr>
        <w:tc>
          <w:tcPr>
            <w:tcW w:w="1134" w:type="dxa"/>
            <w:tcBorders>
              <w:top w:val="nil"/>
              <w:bottom w:val="nil"/>
              <w:right w:val="nil"/>
            </w:tcBorders>
            <w:shd w:val="solid" w:color="FFFFFF" w:fill="auto"/>
          </w:tcPr>
          <w:p w14:paraId="695D4A3B" w14:textId="77777777" w:rsidR="00590B83" w:rsidRPr="00BC0D1F" w:rsidRDefault="00590B83" w:rsidP="00590B83">
            <w:pPr>
              <w:pStyle w:val="TableText"/>
              <w:spacing w:before="240"/>
              <w:ind w:right="284"/>
              <w:jc w:val="right"/>
              <w:rPr>
                <w:b/>
              </w:rPr>
            </w:pPr>
          </w:p>
        </w:tc>
        <w:tc>
          <w:tcPr>
            <w:tcW w:w="5812" w:type="dxa"/>
            <w:tcBorders>
              <w:top w:val="nil"/>
              <w:left w:val="nil"/>
              <w:bottom w:val="nil"/>
            </w:tcBorders>
            <w:shd w:val="solid" w:color="FFFFFF" w:fill="auto"/>
          </w:tcPr>
          <w:p w14:paraId="3AF5B5AA" w14:textId="77777777" w:rsidR="00590B83" w:rsidRPr="00BC0D1F" w:rsidRDefault="00590B83" w:rsidP="00590B83">
            <w:pPr>
              <w:pStyle w:val="TableText"/>
              <w:spacing w:before="240"/>
              <w:rPr>
                <w:b/>
              </w:rPr>
            </w:pPr>
            <w:r w:rsidRPr="00BC0D1F">
              <w:rPr>
                <w:b/>
              </w:rPr>
              <w:t>Revaluation reserves</w:t>
            </w:r>
          </w:p>
        </w:tc>
        <w:tc>
          <w:tcPr>
            <w:tcW w:w="1228" w:type="dxa"/>
            <w:tcBorders>
              <w:top w:val="nil"/>
              <w:bottom w:val="nil"/>
            </w:tcBorders>
            <w:shd w:val="clear" w:color="E3E3E3" w:fill="D9D9D9"/>
          </w:tcPr>
          <w:p w14:paraId="7F471ABD" w14:textId="77777777" w:rsidR="00590B83" w:rsidRPr="00BC0D1F" w:rsidRDefault="00590B83" w:rsidP="00590B83">
            <w:pPr>
              <w:pStyle w:val="TableText"/>
              <w:spacing w:before="240"/>
              <w:ind w:right="113"/>
              <w:jc w:val="right"/>
              <w:rPr>
                <w:b/>
              </w:rPr>
            </w:pPr>
          </w:p>
        </w:tc>
        <w:tc>
          <w:tcPr>
            <w:tcW w:w="1229" w:type="dxa"/>
            <w:tcBorders>
              <w:top w:val="nil"/>
              <w:bottom w:val="nil"/>
            </w:tcBorders>
          </w:tcPr>
          <w:p w14:paraId="65D9B8A6" w14:textId="77777777" w:rsidR="00590B83" w:rsidRPr="00BC0D1F" w:rsidRDefault="00590B83" w:rsidP="00590B83">
            <w:pPr>
              <w:pStyle w:val="TableText"/>
              <w:spacing w:before="240"/>
              <w:jc w:val="right"/>
              <w:rPr>
                <w:b/>
              </w:rPr>
            </w:pPr>
          </w:p>
        </w:tc>
      </w:tr>
      <w:tr w:rsidR="00590B83" w:rsidRPr="00BC0D1F" w14:paraId="1943D8E0" w14:textId="77777777" w:rsidTr="00D543B3">
        <w:trPr>
          <w:cantSplit/>
        </w:trPr>
        <w:tc>
          <w:tcPr>
            <w:tcW w:w="1134" w:type="dxa"/>
            <w:tcBorders>
              <w:top w:val="nil"/>
              <w:bottom w:val="nil"/>
              <w:right w:val="nil"/>
            </w:tcBorders>
            <w:shd w:val="solid" w:color="FFFFFF" w:fill="auto"/>
          </w:tcPr>
          <w:p w14:paraId="0F34DB38" w14:textId="77777777" w:rsidR="00590B83" w:rsidRPr="00BC0D1F" w:rsidRDefault="00590B83" w:rsidP="00590B83">
            <w:pPr>
              <w:pStyle w:val="TableText"/>
              <w:ind w:right="284"/>
              <w:jc w:val="right"/>
              <w:rPr>
                <w:b/>
              </w:rPr>
            </w:pPr>
            <w:r w:rsidRPr="00BC0D1F">
              <w:rPr>
                <w:b/>
              </w:rPr>
              <w:t>2,540</w:t>
            </w:r>
          </w:p>
        </w:tc>
        <w:tc>
          <w:tcPr>
            <w:tcW w:w="5812" w:type="dxa"/>
            <w:tcBorders>
              <w:top w:val="nil"/>
              <w:left w:val="nil"/>
              <w:bottom w:val="nil"/>
            </w:tcBorders>
            <w:shd w:val="solid" w:color="FFFFFF" w:fill="auto"/>
          </w:tcPr>
          <w:p w14:paraId="79CAAB03" w14:textId="77777777" w:rsidR="00590B83" w:rsidRPr="00BC0D1F" w:rsidRDefault="00590B83" w:rsidP="00590B83">
            <w:pPr>
              <w:pStyle w:val="TableText"/>
              <w:rPr>
                <w:b/>
              </w:rPr>
            </w:pPr>
            <w:r w:rsidRPr="00BC0D1F">
              <w:rPr>
                <w:b/>
              </w:rPr>
              <w:t>Balance at 1 July</w:t>
            </w:r>
          </w:p>
        </w:tc>
        <w:tc>
          <w:tcPr>
            <w:tcW w:w="1228" w:type="dxa"/>
            <w:tcBorders>
              <w:top w:val="nil"/>
              <w:bottom w:val="nil"/>
            </w:tcBorders>
            <w:shd w:val="clear" w:color="E3E3E3" w:fill="D9D9D9"/>
          </w:tcPr>
          <w:p w14:paraId="6F0F90B7" w14:textId="77777777" w:rsidR="00590B83" w:rsidRPr="00BC0D1F" w:rsidRDefault="00590B83" w:rsidP="00590B83">
            <w:pPr>
              <w:pStyle w:val="TableText"/>
              <w:ind w:right="113"/>
              <w:jc w:val="right"/>
              <w:rPr>
                <w:b/>
              </w:rPr>
            </w:pPr>
            <w:r w:rsidRPr="00BC0D1F">
              <w:rPr>
                <w:b/>
              </w:rPr>
              <w:t>2,040</w:t>
            </w:r>
          </w:p>
        </w:tc>
        <w:tc>
          <w:tcPr>
            <w:tcW w:w="1229" w:type="dxa"/>
            <w:tcBorders>
              <w:top w:val="nil"/>
              <w:bottom w:val="nil"/>
            </w:tcBorders>
          </w:tcPr>
          <w:p w14:paraId="432FBBC9" w14:textId="77777777" w:rsidR="00590B83" w:rsidRPr="00BC0D1F" w:rsidRDefault="00590B83" w:rsidP="00590B83">
            <w:pPr>
              <w:pStyle w:val="TableText"/>
              <w:jc w:val="right"/>
              <w:rPr>
                <w:b/>
              </w:rPr>
            </w:pPr>
            <w:r w:rsidRPr="00BC0D1F">
              <w:rPr>
                <w:b/>
              </w:rPr>
              <w:t>2,590</w:t>
            </w:r>
          </w:p>
        </w:tc>
      </w:tr>
      <w:tr w:rsidR="00590B83" w:rsidRPr="00BC0D1F" w14:paraId="0322E664" w14:textId="77777777" w:rsidTr="00590B83">
        <w:trPr>
          <w:cantSplit/>
        </w:trPr>
        <w:tc>
          <w:tcPr>
            <w:tcW w:w="1134" w:type="dxa"/>
            <w:tcBorders>
              <w:top w:val="nil"/>
              <w:bottom w:val="nil"/>
              <w:right w:val="nil"/>
            </w:tcBorders>
            <w:shd w:val="solid" w:color="FFFFFF" w:fill="auto"/>
          </w:tcPr>
          <w:p w14:paraId="5AE3CE75" w14:textId="77777777" w:rsidR="00590B83" w:rsidRPr="00BC0D1F" w:rsidRDefault="00590B83" w:rsidP="00590B83">
            <w:pPr>
              <w:pStyle w:val="TableText"/>
              <w:ind w:right="284"/>
              <w:jc w:val="right"/>
            </w:pPr>
            <w:r w:rsidRPr="00BC0D1F">
              <w:t>(500)</w:t>
            </w:r>
          </w:p>
        </w:tc>
        <w:tc>
          <w:tcPr>
            <w:tcW w:w="5812" w:type="dxa"/>
            <w:tcBorders>
              <w:top w:val="nil"/>
              <w:left w:val="nil"/>
              <w:bottom w:val="nil"/>
            </w:tcBorders>
            <w:shd w:val="solid" w:color="FFFFFF" w:fill="auto"/>
          </w:tcPr>
          <w:p w14:paraId="70744A79" w14:textId="77777777" w:rsidR="00590B83" w:rsidRPr="00BC0D1F" w:rsidRDefault="00590B83" w:rsidP="00590B83">
            <w:pPr>
              <w:pStyle w:val="TableText"/>
            </w:pPr>
            <w:r w:rsidRPr="00BC0D1F">
              <w:t>Revaluation gains/(losses) on land and building</w:t>
            </w:r>
          </w:p>
        </w:tc>
        <w:tc>
          <w:tcPr>
            <w:tcW w:w="1228" w:type="dxa"/>
            <w:tcBorders>
              <w:top w:val="nil"/>
              <w:bottom w:val="nil"/>
            </w:tcBorders>
            <w:shd w:val="clear" w:color="E3E3E3" w:fill="D9D9D9"/>
          </w:tcPr>
          <w:p w14:paraId="3859FA58" w14:textId="77777777" w:rsidR="00590B83" w:rsidRPr="00BC0D1F" w:rsidRDefault="00590B83" w:rsidP="00590B83">
            <w:pPr>
              <w:pStyle w:val="TableText"/>
              <w:ind w:right="113"/>
              <w:jc w:val="right"/>
            </w:pPr>
            <w:r w:rsidRPr="00BC0D1F">
              <w:t>550</w:t>
            </w:r>
          </w:p>
        </w:tc>
        <w:tc>
          <w:tcPr>
            <w:tcW w:w="1229" w:type="dxa"/>
            <w:tcBorders>
              <w:top w:val="nil"/>
              <w:bottom w:val="nil"/>
            </w:tcBorders>
          </w:tcPr>
          <w:p w14:paraId="6EE5DB81" w14:textId="77777777" w:rsidR="00590B83" w:rsidRPr="00BC0D1F" w:rsidRDefault="00590B83" w:rsidP="00590B83">
            <w:pPr>
              <w:pStyle w:val="TableText"/>
              <w:jc w:val="right"/>
            </w:pPr>
            <w:r w:rsidRPr="00BC0D1F">
              <w:t>–</w:t>
            </w:r>
          </w:p>
        </w:tc>
      </w:tr>
      <w:tr w:rsidR="00590B83" w:rsidRPr="00BC0D1F" w14:paraId="370EC3E8" w14:textId="77777777" w:rsidTr="00590B83">
        <w:trPr>
          <w:cantSplit/>
        </w:trPr>
        <w:tc>
          <w:tcPr>
            <w:tcW w:w="1134" w:type="dxa"/>
            <w:tcBorders>
              <w:top w:val="nil"/>
              <w:bottom w:val="nil"/>
              <w:right w:val="nil"/>
            </w:tcBorders>
            <w:shd w:val="solid" w:color="FFFFFF" w:fill="auto"/>
          </w:tcPr>
          <w:p w14:paraId="6CED4DFC" w14:textId="77777777" w:rsidR="00590B83" w:rsidRPr="00BC0D1F" w:rsidRDefault="00590B83" w:rsidP="00590B83">
            <w:pPr>
              <w:pStyle w:val="TableText"/>
              <w:ind w:right="284"/>
              <w:jc w:val="right"/>
              <w:rPr>
                <w:b/>
              </w:rPr>
            </w:pPr>
            <w:r w:rsidRPr="00BC0D1F">
              <w:rPr>
                <w:b/>
              </w:rPr>
              <w:t>2,040</w:t>
            </w:r>
          </w:p>
        </w:tc>
        <w:tc>
          <w:tcPr>
            <w:tcW w:w="5812" w:type="dxa"/>
            <w:tcBorders>
              <w:top w:val="nil"/>
              <w:left w:val="nil"/>
              <w:bottom w:val="nil"/>
            </w:tcBorders>
            <w:shd w:val="solid" w:color="FFFFFF" w:fill="auto"/>
          </w:tcPr>
          <w:p w14:paraId="66D5BD93" w14:textId="77777777" w:rsidR="00590B83" w:rsidRPr="00BC0D1F" w:rsidRDefault="00590B83" w:rsidP="00590B83">
            <w:pPr>
              <w:pStyle w:val="TableText"/>
              <w:rPr>
                <w:b/>
              </w:rPr>
            </w:pPr>
            <w:r w:rsidRPr="00BC0D1F">
              <w:rPr>
                <w:b/>
              </w:rPr>
              <w:t>Balance at 30 June</w:t>
            </w:r>
          </w:p>
        </w:tc>
        <w:tc>
          <w:tcPr>
            <w:tcW w:w="1228" w:type="dxa"/>
            <w:tcBorders>
              <w:top w:val="nil"/>
              <w:bottom w:val="nil"/>
            </w:tcBorders>
            <w:shd w:val="clear" w:color="E3E3E3" w:fill="D9D9D9"/>
          </w:tcPr>
          <w:p w14:paraId="30D69914" w14:textId="77777777" w:rsidR="00590B83" w:rsidRPr="00BC0D1F" w:rsidRDefault="00590B83" w:rsidP="00590B83">
            <w:pPr>
              <w:pStyle w:val="TableText"/>
              <w:ind w:right="113"/>
              <w:jc w:val="right"/>
              <w:rPr>
                <w:b/>
              </w:rPr>
            </w:pPr>
            <w:r w:rsidRPr="00BC0D1F">
              <w:rPr>
                <w:b/>
              </w:rPr>
              <w:t>2,590</w:t>
            </w:r>
          </w:p>
        </w:tc>
        <w:tc>
          <w:tcPr>
            <w:tcW w:w="1229" w:type="dxa"/>
            <w:tcBorders>
              <w:top w:val="nil"/>
              <w:bottom w:val="nil"/>
            </w:tcBorders>
          </w:tcPr>
          <w:p w14:paraId="33BB6497" w14:textId="77777777" w:rsidR="00590B83" w:rsidRPr="00BC0D1F" w:rsidRDefault="00590B83" w:rsidP="00590B83">
            <w:pPr>
              <w:pStyle w:val="TableText"/>
              <w:jc w:val="right"/>
              <w:rPr>
                <w:b/>
              </w:rPr>
            </w:pPr>
            <w:r w:rsidRPr="00BC0D1F">
              <w:rPr>
                <w:b/>
              </w:rPr>
              <w:t>2,590</w:t>
            </w:r>
          </w:p>
        </w:tc>
      </w:tr>
      <w:tr w:rsidR="00590B83" w:rsidRPr="00BC0D1F" w14:paraId="2B526545" w14:textId="77777777" w:rsidTr="00590B83">
        <w:trPr>
          <w:cantSplit/>
        </w:trPr>
        <w:tc>
          <w:tcPr>
            <w:tcW w:w="1134" w:type="dxa"/>
            <w:tcBorders>
              <w:top w:val="nil"/>
              <w:bottom w:val="nil"/>
              <w:right w:val="nil"/>
            </w:tcBorders>
            <w:shd w:val="solid" w:color="FFFFFF" w:fill="auto"/>
          </w:tcPr>
          <w:p w14:paraId="4C7E66F5" w14:textId="77777777" w:rsidR="00590B83" w:rsidRPr="00BC0D1F" w:rsidRDefault="00590B83" w:rsidP="00590B83">
            <w:pPr>
              <w:pStyle w:val="TableText"/>
              <w:spacing w:before="240"/>
              <w:ind w:right="284"/>
              <w:jc w:val="right"/>
              <w:rPr>
                <w:b/>
              </w:rPr>
            </w:pPr>
          </w:p>
        </w:tc>
        <w:tc>
          <w:tcPr>
            <w:tcW w:w="5812" w:type="dxa"/>
            <w:tcBorders>
              <w:top w:val="nil"/>
              <w:left w:val="nil"/>
              <w:bottom w:val="nil"/>
            </w:tcBorders>
            <w:shd w:val="solid" w:color="FFFFFF" w:fill="auto"/>
          </w:tcPr>
          <w:p w14:paraId="2840B061" w14:textId="77777777" w:rsidR="00590B83" w:rsidRPr="00BC0D1F" w:rsidRDefault="00590B83" w:rsidP="00590B83">
            <w:pPr>
              <w:pStyle w:val="TableText"/>
              <w:spacing w:before="240"/>
              <w:rPr>
                <w:b/>
              </w:rPr>
            </w:pPr>
            <w:r w:rsidRPr="00BC0D1F">
              <w:rPr>
                <w:b/>
              </w:rPr>
              <w:t>Memorandum accounts</w:t>
            </w:r>
          </w:p>
        </w:tc>
        <w:tc>
          <w:tcPr>
            <w:tcW w:w="1228" w:type="dxa"/>
            <w:tcBorders>
              <w:top w:val="nil"/>
              <w:bottom w:val="nil"/>
            </w:tcBorders>
            <w:shd w:val="clear" w:color="E3E3E3" w:fill="D9D9D9"/>
          </w:tcPr>
          <w:p w14:paraId="54BB37E1" w14:textId="77777777" w:rsidR="00590B83" w:rsidRPr="00BC0D1F" w:rsidRDefault="00590B83" w:rsidP="00590B83">
            <w:pPr>
              <w:pStyle w:val="TableText"/>
              <w:spacing w:before="240"/>
              <w:ind w:right="113"/>
              <w:jc w:val="right"/>
              <w:rPr>
                <w:b/>
              </w:rPr>
            </w:pPr>
          </w:p>
        </w:tc>
        <w:tc>
          <w:tcPr>
            <w:tcW w:w="1229" w:type="dxa"/>
            <w:tcBorders>
              <w:top w:val="nil"/>
              <w:bottom w:val="nil"/>
            </w:tcBorders>
          </w:tcPr>
          <w:p w14:paraId="2D5B86E2" w14:textId="77777777" w:rsidR="00590B83" w:rsidRPr="00BC0D1F" w:rsidRDefault="00590B83" w:rsidP="00590B83">
            <w:pPr>
              <w:pStyle w:val="TableText"/>
              <w:spacing w:before="240"/>
              <w:jc w:val="right"/>
              <w:rPr>
                <w:b/>
              </w:rPr>
            </w:pPr>
          </w:p>
        </w:tc>
      </w:tr>
      <w:tr w:rsidR="00590B83" w:rsidRPr="00BC0D1F" w14:paraId="6AB6F6F5" w14:textId="77777777" w:rsidTr="00590B83">
        <w:trPr>
          <w:cantSplit/>
        </w:trPr>
        <w:tc>
          <w:tcPr>
            <w:tcW w:w="1134" w:type="dxa"/>
            <w:tcBorders>
              <w:top w:val="nil"/>
              <w:bottom w:val="nil"/>
              <w:right w:val="nil"/>
            </w:tcBorders>
            <w:shd w:val="solid" w:color="FFFFFF" w:fill="auto"/>
          </w:tcPr>
          <w:p w14:paraId="1303C164" w14:textId="77777777" w:rsidR="00590B83" w:rsidRPr="00BC0D1F" w:rsidRDefault="00590B83" w:rsidP="00590B83">
            <w:pPr>
              <w:pStyle w:val="TableText"/>
              <w:ind w:right="284"/>
              <w:jc w:val="right"/>
              <w:rPr>
                <w:b/>
              </w:rPr>
            </w:pPr>
            <w:r w:rsidRPr="00BC0D1F">
              <w:rPr>
                <w:b/>
              </w:rPr>
              <w:t>3,095</w:t>
            </w:r>
          </w:p>
        </w:tc>
        <w:tc>
          <w:tcPr>
            <w:tcW w:w="5812" w:type="dxa"/>
            <w:tcBorders>
              <w:top w:val="nil"/>
              <w:left w:val="nil"/>
              <w:bottom w:val="nil"/>
            </w:tcBorders>
            <w:shd w:val="solid" w:color="FFFFFF" w:fill="auto"/>
          </w:tcPr>
          <w:p w14:paraId="121ECB15" w14:textId="77777777" w:rsidR="00590B83" w:rsidRPr="00BC0D1F" w:rsidRDefault="00590B83" w:rsidP="00590B83">
            <w:pPr>
              <w:pStyle w:val="TableText"/>
              <w:rPr>
                <w:b/>
              </w:rPr>
            </w:pPr>
            <w:r w:rsidRPr="00BC0D1F">
              <w:rPr>
                <w:b/>
              </w:rPr>
              <w:t>Balance at 1 July</w:t>
            </w:r>
          </w:p>
        </w:tc>
        <w:tc>
          <w:tcPr>
            <w:tcW w:w="1228" w:type="dxa"/>
            <w:tcBorders>
              <w:top w:val="nil"/>
              <w:bottom w:val="nil"/>
            </w:tcBorders>
            <w:shd w:val="clear" w:color="E3E3E3" w:fill="D9D9D9"/>
          </w:tcPr>
          <w:p w14:paraId="4261AF7C" w14:textId="77777777" w:rsidR="00590B83" w:rsidRPr="00BC0D1F" w:rsidRDefault="00590B83" w:rsidP="00590B83">
            <w:pPr>
              <w:pStyle w:val="TableText"/>
              <w:ind w:right="113"/>
              <w:jc w:val="right"/>
              <w:rPr>
                <w:b/>
              </w:rPr>
            </w:pPr>
            <w:r w:rsidRPr="00BC0D1F">
              <w:rPr>
                <w:b/>
              </w:rPr>
              <w:t>3,093</w:t>
            </w:r>
          </w:p>
        </w:tc>
        <w:tc>
          <w:tcPr>
            <w:tcW w:w="1229" w:type="dxa"/>
            <w:tcBorders>
              <w:top w:val="nil"/>
              <w:bottom w:val="nil"/>
            </w:tcBorders>
          </w:tcPr>
          <w:p w14:paraId="3895ED22" w14:textId="77777777" w:rsidR="00590B83" w:rsidRPr="00BC0D1F" w:rsidRDefault="00590B83" w:rsidP="00590B83">
            <w:pPr>
              <w:pStyle w:val="TableText"/>
              <w:jc w:val="right"/>
              <w:rPr>
                <w:b/>
              </w:rPr>
            </w:pPr>
            <w:r w:rsidRPr="00BC0D1F">
              <w:rPr>
                <w:b/>
              </w:rPr>
              <w:t>1,792</w:t>
            </w:r>
          </w:p>
        </w:tc>
      </w:tr>
      <w:tr w:rsidR="00590B83" w:rsidRPr="00BC0D1F" w14:paraId="457CBCB4" w14:textId="77777777" w:rsidTr="00590B83">
        <w:trPr>
          <w:cantSplit/>
        </w:trPr>
        <w:tc>
          <w:tcPr>
            <w:tcW w:w="1134" w:type="dxa"/>
            <w:tcBorders>
              <w:top w:val="nil"/>
              <w:bottom w:val="nil"/>
              <w:right w:val="nil"/>
            </w:tcBorders>
            <w:shd w:val="solid" w:color="FFFFFF" w:fill="auto"/>
          </w:tcPr>
          <w:p w14:paraId="082D0B65" w14:textId="77777777" w:rsidR="00590B83" w:rsidRPr="00BC0D1F" w:rsidRDefault="00590B83" w:rsidP="00590B83">
            <w:pPr>
              <w:pStyle w:val="TableText"/>
              <w:ind w:right="284"/>
              <w:jc w:val="right"/>
            </w:pPr>
            <w:r w:rsidRPr="00BC0D1F">
              <w:t>233</w:t>
            </w:r>
          </w:p>
        </w:tc>
        <w:tc>
          <w:tcPr>
            <w:tcW w:w="5812" w:type="dxa"/>
            <w:tcBorders>
              <w:top w:val="nil"/>
              <w:left w:val="nil"/>
              <w:bottom w:val="nil"/>
            </w:tcBorders>
            <w:shd w:val="solid" w:color="FFFFFF" w:fill="auto"/>
          </w:tcPr>
          <w:p w14:paraId="431AD4DE" w14:textId="77777777" w:rsidR="00590B83" w:rsidRPr="00BC0D1F" w:rsidRDefault="00590B83" w:rsidP="00590B83">
            <w:pPr>
              <w:pStyle w:val="TableText"/>
            </w:pPr>
            <w:r w:rsidRPr="00BC0D1F">
              <w:t>Transfer balance in discontinued account</w:t>
            </w:r>
          </w:p>
        </w:tc>
        <w:tc>
          <w:tcPr>
            <w:tcW w:w="1228" w:type="dxa"/>
            <w:tcBorders>
              <w:top w:val="nil"/>
              <w:bottom w:val="nil"/>
            </w:tcBorders>
            <w:shd w:val="clear" w:color="E3E3E3" w:fill="D9D9D9"/>
          </w:tcPr>
          <w:p w14:paraId="776524CF" w14:textId="77777777" w:rsidR="00590B83" w:rsidRPr="00BC0D1F" w:rsidRDefault="00590B83" w:rsidP="00590B83">
            <w:pPr>
              <w:pStyle w:val="TableText"/>
              <w:ind w:right="113"/>
              <w:jc w:val="right"/>
            </w:pPr>
          </w:p>
        </w:tc>
        <w:tc>
          <w:tcPr>
            <w:tcW w:w="1229" w:type="dxa"/>
            <w:tcBorders>
              <w:top w:val="nil"/>
              <w:bottom w:val="nil"/>
            </w:tcBorders>
          </w:tcPr>
          <w:p w14:paraId="7E420312" w14:textId="77777777" w:rsidR="00590B83" w:rsidRPr="00BC0D1F" w:rsidRDefault="00590B83" w:rsidP="00590B83">
            <w:pPr>
              <w:pStyle w:val="TableText"/>
              <w:jc w:val="right"/>
            </w:pPr>
            <w:r w:rsidRPr="00BC0D1F">
              <w:t>–</w:t>
            </w:r>
          </w:p>
        </w:tc>
      </w:tr>
      <w:tr w:rsidR="00590B83" w:rsidRPr="00BC0D1F" w14:paraId="044D9F8E" w14:textId="77777777" w:rsidTr="00590B83">
        <w:trPr>
          <w:cantSplit/>
        </w:trPr>
        <w:tc>
          <w:tcPr>
            <w:tcW w:w="1134" w:type="dxa"/>
            <w:tcBorders>
              <w:top w:val="nil"/>
              <w:bottom w:val="nil"/>
              <w:right w:val="nil"/>
            </w:tcBorders>
            <w:shd w:val="solid" w:color="FFFFFF" w:fill="auto"/>
          </w:tcPr>
          <w:p w14:paraId="5D602645" w14:textId="77777777" w:rsidR="00590B83" w:rsidRPr="00BC0D1F" w:rsidRDefault="00590B83" w:rsidP="00590B83">
            <w:pPr>
              <w:pStyle w:val="TableText"/>
              <w:ind w:right="284"/>
              <w:jc w:val="right"/>
            </w:pPr>
            <w:r w:rsidRPr="00BC0D1F">
              <w:t>(235)</w:t>
            </w:r>
          </w:p>
        </w:tc>
        <w:tc>
          <w:tcPr>
            <w:tcW w:w="5812" w:type="dxa"/>
            <w:tcBorders>
              <w:top w:val="nil"/>
              <w:left w:val="nil"/>
              <w:bottom w:val="nil"/>
            </w:tcBorders>
            <w:shd w:val="solid" w:color="FFFFFF" w:fill="auto"/>
          </w:tcPr>
          <w:p w14:paraId="4CA91FF3" w14:textId="77777777" w:rsidR="00590B83" w:rsidRPr="00BC0D1F" w:rsidRDefault="00590B83" w:rsidP="00590B83">
            <w:pPr>
              <w:pStyle w:val="TableText"/>
            </w:pPr>
            <w:r w:rsidRPr="00BC0D1F">
              <w:t>Net memorandum account deficits for the year</w:t>
            </w:r>
          </w:p>
        </w:tc>
        <w:tc>
          <w:tcPr>
            <w:tcW w:w="1228" w:type="dxa"/>
            <w:tcBorders>
              <w:top w:val="nil"/>
              <w:bottom w:val="nil"/>
            </w:tcBorders>
            <w:shd w:val="clear" w:color="E3E3E3" w:fill="D9D9D9"/>
          </w:tcPr>
          <w:p w14:paraId="0F3B82EC" w14:textId="77777777" w:rsidR="00590B83" w:rsidRPr="00BC0D1F" w:rsidRDefault="00590B83" w:rsidP="00590B83">
            <w:pPr>
              <w:pStyle w:val="TableText"/>
              <w:ind w:right="113"/>
              <w:jc w:val="right"/>
            </w:pPr>
            <w:r w:rsidRPr="00BC0D1F">
              <w:t>(1,301)</w:t>
            </w:r>
          </w:p>
        </w:tc>
        <w:tc>
          <w:tcPr>
            <w:tcW w:w="1229" w:type="dxa"/>
            <w:tcBorders>
              <w:top w:val="nil"/>
              <w:bottom w:val="nil"/>
            </w:tcBorders>
          </w:tcPr>
          <w:p w14:paraId="791A62CF" w14:textId="77777777" w:rsidR="00590B83" w:rsidRPr="00BC0D1F" w:rsidRDefault="00590B83" w:rsidP="00590B83">
            <w:pPr>
              <w:pStyle w:val="TableText"/>
              <w:jc w:val="right"/>
            </w:pPr>
            <w:r w:rsidRPr="00BC0D1F">
              <w:t>–</w:t>
            </w:r>
          </w:p>
        </w:tc>
      </w:tr>
      <w:tr w:rsidR="00590B83" w:rsidRPr="00BC0D1F" w14:paraId="70B7888A" w14:textId="77777777" w:rsidTr="00590B83">
        <w:trPr>
          <w:cantSplit/>
        </w:trPr>
        <w:tc>
          <w:tcPr>
            <w:tcW w:w="1134" w:type="dxa"/>
            <w:tcBorders>
              <w:top w:val="nil"/>
              <w:bottom w:val="nil"/>
              <w:right w:val="nil"/>
            </w:tcBorders>
            <w:shd w:val="solid" w:color="FFFFFF" w:fill="auto"/>
          </w:tcPr>
          <w:p w14:paraId="30EEC3E8" w14:textId="77777777" w:rsidR="00590B83" w:rsidRPr="00BC0D1F" w:rsidRDefault="00590B83" w:rsidP="00590B83">
            <w:pPr>
              <w:pStyle w:val="TableText"/>
              <w:ind w:right="284"/>
              <w:jc w:val="right"/>
              <w:rPr>
                <w:b/>
              </w:rPr>
            </w:pPr>
            <w:r w:rsidRPr="00BC0D1F">
              <w:rPr>
                <w:b/>
              </w:rPr>
              <w:t>3,093</w:t>
            </w:r>
          </w:p>
        </w:tc>
        <w:tc>
          <w:tcPr>
            <w:tcW w:w="5812" w:type="dxa"/>
            <w:tcBorders>
              <w:top w:val="nil"/>
              <w:left w:val="nil"/>
              <w:bottom w:val="nil"/>
            </w:tcBorders>
            <w:shd w:val="solid" w:color="FFFFFF" w:fill="auto"/>
          </w:tcPr>
          <w:p w14:paraId="52DE7365" w14:textId="77777777" w:rsidR="00590B83" w:rsidRPr="00BC0D1F" w:rsidRDefault="00590B83" w:rsidP="00590B83">
            <w:pPr>
              <w:pStyle w:val="TableText"/>
              <w:rPr>
                <w:b/>
              </w:rPr>
            </w:pPr>
            <w:r w:rsidRPr="00BC0D1F">
              <w:rPr>
                <w:b/>
              </w:rPr>
              <w:t>Balance at 30 June</w:t>
            </w:r>
          </w:p>
        </w:tc>
        <w:tc>
          <w:tcPr>
            <w:tcW w:w="1228" w:type="dxa"/>
            <w:tcBorders>
              <w:top w:val="nil"/>
              <w:bottom w:val="nil"/>
            </w:tcBorders>
            <w:shd w:val="clear" w:color="E3E3E3" w:fill="D9D9D9"/>
          </w:tcPr>
          <w:p w14:paraId="3AFDDAE9" w14:textId="77777777" w:rsidR="00590B83" w:rsidRPr="00BC0D1F" w:rsidRDefault="00590B83" w:rsidP="00590B83">
            <w:pPr>
              <w:pStyle w:val="TableText"/>
              <w:ind w:right="113"/>
              <w:jc w:val="right"/>
              <w:rPr>
                <w:b/>
              </w:rPr>
            </w:pPr>
            <w:r w:rsidRPr="00BC0D1F">
              <w:rPr>
                <w:b/>
              </w:rPr>
              <w:t>1,792</w:t>
            </w:r>
          </w:p>
        </w:tc>
        <w:tc>
          <w:tcPr>
            <w:tcW w:w="1229" w:type="dxa"/>
            <w:tcBorders>
              <w:top w:val="nil"/>
              <w:bottom w:val="nil"/>
            </w:tcBorders>
          </w:tcPr>
          <w:p w14:paraId="37C3E1BB" w14:textId="77777777" w:rsidR="00590B83" w:rsidRPr="00BC0D1F" w:rsidRDefault="00590B83" w:rsidP="00590B83">
            <w:pPr>
              <w:pStyle w:val="TableText"/>
              <w:jc w:val="right"/>
              <w:rPr>
                <w:b/>
              </w:rPr>
            </w:pPr>
            <w:r w:rsidRPr="00BC0D1F">
              <w:rPr>
                <w:b/>
              </w:rPr>
              <w:t>1,792</w:t>
            </w:r>
          </w:p>
        </w:tc>
      </w:tr>
      <w:tr w:rsidR="00590B83" w:rsidRPr="00BC0D1F" w14:paraId="0738AF51" w14:textId="77777777" w:rsidTr="00590B83">
        <w:trPr>
          <w:cantSplit/>
        </w:trPr>
        <w:tc>
          <w:tcPr>
            <w:tcW w:w="1134" w:type="dxa"/>
            <w:tcBorders>
              <w:top w:val="nil"/>
              <w:bottom w:val="single" w:sz="4" w:space="0" w:color="auto"/>
              <w:right w:val="nil"/>
            </w:tcBorders>
            <w:shd w:val="solid" w:color="FFFFFF" w:fill="auto"/>
          </w:tcPr>
          <w:p w14:paraId="4BFE0C85" w14:textId="77777777" w:rsidR="00590B83" w:rsidRPr="00BC0D1F" w:rsidRDefault="00590B83" w:rsidP="00590B83">
            <w:pPr>
              <w:pStyle w:val="TableText"/>
              <w:spacing w:before="240"/>
              <w:ind w:right="284"/>
              <w:jc w:val="right"/>
              <w:rPr>
                <w:b/>
              </w:rPr>
            </w:pPr>
            <w:r w:rsidRPr="00BC0D1F">
              <w:rPr>
                <w:b/>
              </w:rPr>
              <w:t>35,292</w:t>
            </w:r>
          </w:p>
        </w:tc>
        <w:tc>
          <w:tcPr>
            <w:tcW w:w="5812" w:type="dxa"/>
            <w:tcBorders>
              <w:top w:val="nil"/>
              <w:left w:val="nil"/>
              <w:bottom w:val="single" w:sz="4" w:space="0" w:color="auto"/>
            </w:tcBorders>
            <w:shd w:val="solid" w:color="FFFFFF" w:fill="auto"/>
          </w:tcPr>
          <w:p w14:paraId="6C3323DA" w14:textId="77777777" w:rsidR="00590B83" w:rsidRPr="00BC0D1F" w:rsidRDefault="00590B83" w:rsidP="00590B83">
            <w:pPr>
              <w:pStyle w:val="TableText"/>
              <w:spacing w:before="240"/>
              <w:rPr>
                <w:b/>
              </w:rPr>
            </w:pPr>
            <w:r w:rsidRPr="00BC0D1F">
              <w:rPr>
                <w:b/>
              </w:rPr>
              <w:t>Total equity</w:t>
            </w:r>
          </w:p>
        </w:tc>
        <w:tc>
          <w:tcPr>
            <w:tcW w:w="1228" w:type="dxa"/>
            <w:tcBorders>
              <w:top w:val="nil"/>
              <w:bottom w:val="single" w:sz="4" w:space="0" w:color="auto"/>
            </w:tcBorders>
            <w:shd w:val="clear" w:color="E3E3E3" w:fill="D9D9D9"/>
          </w:tcPr>
          <w:p w14:paraId="00F364B9" w14:textId="5A23C4BF" w:rsidR="00590B83" w:rsidRPr="00BC0D1F" w:rsidRDefault="00202C6B" w:rsidP="00A202BF">
            <w:pPr>
              <w:pStyle w:val="TableText"/>
              <w:spacing w:before="240"/>
              <w:ind w:right="113"/>
              <w:jc w:val="right"/>
              <w:rPr>
                <w:b/>
              </w:rPr>
            </w:pPr>
            <w:r>
              <w:rPr>
                <w:b/>
              </w:rPr>
              <w:t>34,541</w:t>
            </w:r>
          </w:p>
        </w:tc>
        <w:tc>
          <w:tcPr>
            <w:tcW w:w="1229" w:type="dxa"/>
            <w:tcBorders>
              <w:top w:val="nil"/>
              <w:bottom w:val="single" w:sz="4" w:space="0" w:color="auto"/>
            </w:tcBorders>
          </w:tcPr>
          <w:p w14:paraId="146BD0DF" w14:textId="5E90B355" w:rsidR="00590B83" w:rsidRPr="00BC0D1F" w:rsidRDefault="00590B83" w:rsidP="00A202BF">
            <w:pPr>
              <w:pStyle w:val="TableText"/>
              <w:spacing w:before="240"/>
              <w:jc w:val="right"/>
              <w:rPr>
                <w:b/>
              </w:rPr>
            </w:pPr>
            <w:r w:rsidRPr="00BC0D1F">
              <w:rPr>
                <w:b/>
              </w:rPr>
              <w:t>35,14</w:t>
            </w:r>
            <w:r w:rsidR="00A202BF">
              <w:rPr>
                <w:b/>
              </w:rPr>
              <w:t>9</w:t>
            </w:r>
          </w:p>
        </w:tc>
      </w:tr>
    </w:tbl>
    <w:p w14:paraId="24AA6D2A" w14:textId="77777777" w:rsidR="006A557B" w:rsidRPr="00BC0D1F" w:rsidRDefault="006A557B" w:rsidP="00D543B3"/>
    <w:p w14:paraId="392A9EF7" w14:textId="77777777" w:rsidR="00590B83" w:rsidRPr="00BC0D1F" w:rsidRDefault="00590B83">
      <w:pPr>
        <w:spacing w:line="240" w:lineRule="auto"/>
        <w:rPr>
          <w:b/>
          <w:sz w:val="28"/>
        </w:rPr>
      </w:pPr>
      <w:r w:rsidRPr="00BC0D1F">
        <w:br w:type="page"/>
      </w:r>
    </w:p>
    <w:p w14:paraId="33213C7D" w14:textId="77777777" w:rsidR="006A557B" w:rsidRPr="00BC0D1F" w:rsidRDefault="00590B83" w:rsidP="00590B83">
      <w:pPr>
        <w:pStyle w:val="Heading3"/>
        <w:spacing w:before="0"/>
      </w:pPr>
      <w:r w:rsidRPr="00BC0D1F">
        <w:lastRenderedPageBreak/>
        <w:t>N</w:t>
      </w:r>
      <w:r w:rsidR="006A557B" w:rsidRPr="00BC0D1F">
        <w:t>ote 13: Reconciliation of the net surplus</w:t>
      </w:r>
      <w:proofErr w:type="gramStart"/>
      <w:r w:rsidR="006A557B" w:rsidRPr="00BC0D1F">
        <w:t>/(</w:t>
      </w:r>
      <w:proofErr w:type="gramEnd"/>
      <w:r w:rsidR="006A557B" w:rsidRPr="00BC0D1F">
        <w:t>deficit) to the net cash from operating activities</w:t>
      </w:r>
    </w:p>
    <w:tbl>
      <w:tblPr>
        <w:tblW w:w="9403"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gridCol w:w="1229"/>
      </w:tblGrid>
      <w:tr w:rsidR="00590B83" w:rsidRPr="00BC0D1F" w14:paraId="69937431" w14:textId="77777777" w:rsidTr="00373692">
        <w:trPr>
          <w:cantSplit/>
        </w:trPr>
        <w:tc>
          <w:tcPr>
            <w:tcW w:w="1134" w:type="dxa"/>
            <w:tcBorders>
              <w:top w:val="single" w:sz="4" w:space="0" w:color="auto"/>
              <w:bottom w:val="single" w:sz="4" w:space="0" w:color="auto"/>
              <w:right w:val="nil"/>
            </w:tcBorders>
            <w:shd w:val="solid" w:color="FFFFFF" w:fill="auto"/>
          </w:tcPr>
          <w:p w14:paraId="1D1A65F9" w14:textId="77777777" w:rsidR="00590B83" w:rsidRPr="00BC0D1F" w:rsidRDefault="00590B83" w:rsidP="0037369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18C6BDC7" w14:textId="77777777" w:rsidR="00590B83" w:rsidRPr="00BC0D1F" w:rsidRDefault="00590B83" w:rsidP="00373692">
            <w:pPr>
              <w:pStyle w:val="TableText"/>
              <w:rPr>
                <w:b/>
                <w:lang w:eastAsia="en-NZ"/>
              </w:rPr>
            </w:pPr>
          </w:p>
        </w:tc>
        <w:tc>
          <w:tcPr>
            <w:tcW w:w="1228" w:type="dxa"/>
            <w:tcBorders>
              <w:top w:val="single" w:sz="4" w:space="0" w:color="auto"/>
              <w:bottom w:val="single" w:sz="4" w:space="0" w:color="auto"/>
            </w:tcBorders>
            <w:shd w:val="clear" w:color="E3E3E3" w:fill="D9D9D9"/>
          </w:tcPr>
          <w:p w14:paraId="1B6B373D" w14:textId="77777777" w:rsidR="00590B83" w:rsidRPr="00BC0D1F" w:rsidRDefault="00590B83" w:rsidP="0037369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29" w:type="dxa"/>
            <w:tcBorders>
              <w:top w:val="single" w:sz="4" w:space="0" w:color="auto"/>
              <w:bottom w:val="single" w:sz="4" w:space="0" w:color="auto"/>
            </w:tcBorders>
            <w:shd w:val="solid" w:color="FFFFFF" w:fill="auto"/>
          </w:tcPr>
          <w:p w14:paraId="7B32DE9F" w14:textId="77777777" w:rsidR="00590B83" w:rsidRPr="00BC0D1F" w:rsidRDefault="00590B83" w:rsidP="00373692">
            <w:pPr>
              <w:pStyle w:val="TableText"/>
              <w:jc w:val="right"/>
              <w:rPr>
                <w:b/>
                <w:lang w:eastAsia="en-NZ"/>
              </w:rPr>
            </w:pPr>
            <w:r w:rsidRPr="00BC0D1F">
              <w:rPr>
                <w:b/>
                <w:lang w:eastAsia="en-NZ"/>
              </w:rPr>
              <w:t>Unaudited forecast</w:t>
            </w:r>
            <w:r w:rsidRPr="00BC0D1F">
              <w:rPr>
                <w:b/>
                <w:lang w:eastAsia="en-NZ"/>
              </w:rPr>
              <w:br/>
              <w:t>2017</w:t>
            </w:r>
            <w:r w:rsidRPr="00BC0D1F">
              <w:rPr>
                <w:b/>
                <w:lang w:eastAsia="en-NZ"/>
              </w:rPr>
              <w:br/>
              <w:t>$000</w:t>
            </w:r>
          </w:p>
        </w:tc>
      </w:tr>
      <w:tr w:rsidR="00590B83" w:rsidRPr="00BC0D1F" w14:paraId="4BD6D19D" w14:textId="77777777" w:rsidTr="00373692">
        <w:trPr>
          <w:cantSplit/>
        </w:trPr>
        <w:tc>
          <w:tcPr>
            <w:tcW w:w="1134" w:type="dxa"/>
            <w:tcBorders>
              <w:top w:val="single" w:sz="4" w:space="0" w:color="auto"/>
              <w:right w:val="nil"/>
            </w:tcBorders>
            <w:shd w:val="solid" w:color="FFFFFF" w:fill="auto"/>
          </w:tcPr>
          <w:p w14:paraId="58DD7482" w14:textId="77777777" w:rsidR="00590B83" w:rsidRPr="00BC0D1F" w:rsidRDefault="00590B83" w:rsidP="00590B83">
            <w:pPr>
              <w:pStyle w:val="TableText"/>
              <w:ind w:right="284"/>
              <w:jc w:val="right"/>
              <w:rPr>
                <w:b/>
              </w:rPr>
            </w:pPr>
            <w:r w:rsidRPr="00BC0D1F">
              <w:rPr>
                <w:b/>
              </w:rPr>
              <w:t>(605)</w:t>
            </w:r>
          </w:p>
        </w:tc>
        <w:tc>
          <w:tcPr>
            <w:tcW w:w="5812" w:type="dxa"/>
            <w:tcBorders>
              <w:top w:val="single" w:sz="4" w:space="0" w:color="auto"/>
              <w:left w:val="nil"/>
            </w:tcBorders>
            <w:shd w:val="solid" w:color="FFFFFF" w:fill="auto"/>
          </w:tcPr>
          <w:p w14:paraId="42CB90F8" w14:textId="77777777" w:rsidR="00590B83" w:rsidRPr="00BC0D1F" w:rsidRDefault="00590B83" w:rsidP="00590B83">
            <w:pPr>
              <w:pStyle w:val="TableText"/>
              <w:rPr>
                <w:b/>
              </w:rPr>
            </w:pPr>
            <w:r w:rsidRPr="00BC0D1F">
              <w:rPr>
                <w:b/>
              </w:rPr>
              <w:t>Net surplus/(deficit)</w:t>
            </w:r>
          </w:p>
        </w:tc>
        <w:tc>
          <w:tcPr>
            <w:tcW w:w="1228" w:type="dxa"/>
            <w:tcBorders>
              <w:top w:val="single" w:sz="4" w:space="0" w:color="auto"/>
            </w:tcBorders>
            <w:shd w:val="clear" w:color="E3E3E3" w:fill="D9D9D9"/>
          </w:tcPr>
          <w:p w14:paraId="16854998" w14:textId="6DBE824F" w:rsidR="00590B83" w:rsidRPr="00BC0D1F" w:rsidRDefault="00590B83" w:rsidP="00A202BF">
            <w:pPr>
              <w:pStyle w:val="TableText"/>
              <w:ind w:right="113"/>
              <w:jc w:val="right"/>
              <w:rPr>
                <w:b/>
              </w:rPr>
            </w:pPr>
            <w:r w:rsidRPr="00BC0D1F">
              <w:rPr>
                <w:b/>
              </w:rPr>
              <w:t>(69</w:t>
            </w:r>
            <w:r w:rsidR="00A202BF">
              <w:rPr>
                <w:b/>
              </w:rPr>
              <w:t>3</w:t>
            </w:r>
            <w:r w:rsidRPr="00BC0D1F">
              <w:rPr>
                <w:b/>
              </w:rPr>
              <w:t>)</w:t>
            </w:r>
          </w:p>
        </w:tc>
        <w:tc>
          <w:tcPr>
            <w:tcW w:w="1229" w:type="dxa"/>
            <w:tcBorders>
              <w:top w:val="single" w:sz="4" w:space="0" w:color="auto"/>
            </w:tcBorders>
          </w:tcPr>
          <w:p w14:paraId="12651B59" w14:textId="77777777" w:rsidR="00590B83" w:rsidRPr="00BC0D1F" w:rsidRDefault="00590B83" w:rsidP="00590B83">
            <w:pPr>
              <w:pStyle w:val="TableText"/>
              <w:jc w:val="right"/>
              <w:rPr>
                <w:b/>
              </w:rPr>
            </w:pPr>
            <w:r w:rsidRPr="00BC0D1F">
              <w:rPr>
                <w:b/>
              </w:rPr>
              <w:t>–</w:t>
            </w:r>
          </w:p>
        </w:tc>
      </w:tr>
      <w:tr w:rsidR="00590B83" w:rsidRPr="00BC0D1F" w14:paraId="1FD399A0" w14:textId="77777777" w:rsidTr="00373692">
        <w:trPr>
          <w:cantSplit/>
        </w:trPr>
        <w:tc>
          <w:tcPr>
            <w:tcW w:w="1134" w:type="dxa"/>
            <w:tcBorders>
              <w:right w:val="nil"/>
            </w:tcBorders>
            <w:shd w:val="solid" w:color="FFFFFF" w:fill="auto"/>
          </w:tcPr>
          <w:p w14:paraId="0B345B4A" w14:textId="77777777" w:rsidR="00590B83" w:rsidRPr="00BC0D1F" w:rsidRDefault="00590B83" w:rsidP="00590B83">
            <w:pPr>
              <w:pStyle w:val="TableText"/>
              <w:ind w:right="284"/>
              <w:jc w:val="right"/>
              <w:rPr>
                <w:b/>
              </w:rPr>
            </w:pPr>
          </w:p>
        </w:tc>
        <w:tc>
          <w:tcPr>
            <w:tcW w:w="5812" w:type="dxa"/>
            <w:tcBorders>
              <w:left w:val="nil"/>
            </w:tcBorders>
            <w:shd w:val="solid" w:color="FFFFFF" w:fill="auto"/>
          </w:tcPr>
          <w:p w14:paraId="729EE4E5" w14:textId="77777777" w:rsidR="00590B83" w:rsidRPr="00BC0D1F" w:rsidRDefault="00590B83" w:rsidP="00590B83">
            <w:pPr>
              <w:pStyle w:val="TableText"/>
              <w:rPr>
                <w:b/>
              </w:rPr>
            </w:pPr>
            <w:r w:rsidRPr="00BC0D1F">
              <w:rPr>
                <w:b/>
              </w:rPr>
              <w:t>Add/(less) non-cash items:</w:t>
            </w:r>
          </w:p>
        </w:tc>
        <w:tc>
          <w:tcPr>
            <w:tcW w:w="1228" w:type="dxa"/>
            <w:shd w:val="clear" w:color="E3E3E3" w:fill="D9D9D9"/>
          </w:tcPr>
          <w:p w14:paraId="54C01C2D" w14:textId="77777777" w:rsidR="00590B83" w:rsidRPr="00BC0D1F" w:rsidRDefault="00590B83" w:rsidP="00590B83">
            <w:pPr>
              <w:pStyle w:val="TableText"/>
              <w:ind w:right="113"/>
              <w:jc w:val="right"/>
              <w:rPr>
                <w:b/>
              </w:rPr>
            </w:pPr>
          </w:p>
        </w:tc>
        <w:tc>
          <w:tcPr>
            <w:tcW w:w="1229" w:type="dxa"/>
          </w:tcPr>
          <w:p w14:paraId="6905D545" w14:textId="77777777" w:rsidR="00590B83" w:rsidRPr="00BC0D1F" w:rsidRDefault="00590B83" w:rsidP="00590B83">
            <w:pPr>
              <w:pStyle w:val="TableText"/>
              <w:jc w:val="right"/>
              <w:rPr>
                <w:b/>
              </w:rPr>
            </w:pPr>
          </w:p>
        </w:tc>
      </w:tr>
      <w:tr w:rsidR="00590B83" w:rsidRPr="00BC0D1F" w14:paraId="68355426" w14:textId="77777777" w:rsidTr="00373692">
        <w:trPr>
          <w:cantSplit/>
        </w:trPr>
        <w:tc>
          <w:tcPr>
            <w:tcW w:w="1134" w:type="dxa"/>
            <w:tcBorders>
              <w:right w:val="nil"/>
            </w:tcBorders>
            <w:shd w:val="solid" w:color="FFFFFF" w:fill="auto"/>
          </w:tcPr>
          <w:p w14:paraId="13B955A3" w14:textId="77777777" w:rsidR="00590B83" w:rsidRPr="00BC0D1F" w:rsidRDefault="00590B83" w:rsidP="00590B83">
            <w:pPr>
              <w:pStyle w:val="TableText"/>
              <w:ind w:right="284"/>
              <w:jc w:val="right"/>
            </w:pPr>
            <w:r w:rsidRPr="00BC0D1F">
              <w:t>9,965</w:t>
            </w:r>
          </w:p>
        </w:tc>
        <w:tc>
          <w:tcPr>
            <w:tcW w:w="5812" w:type="dxa"/>
            <w:tcBorders>
              <w:left w:val="nil"/>
            </w:tcBorders>
            <w:shd w:val="solid" w:color="FFFFFF" w:fill="auto"/>
          </w:tcPr>
          <w:p w14:paraId="4816FEC5" w14:textId="77777777" w:rsidR="00590B83" w:rsidRPr="00BC0D1F" w:rsidRDefault="00590B83" w:rsidP="00590B83">
            <w:pPr>
              <w:pStyle w:val="TableText"/>
            </w:pPr>
            <w:r w:rsidRPr="00BC0D1F">
              <w:t>Depreciation and amortisation expense</w:t>
            </w:r>
          </w:p>
        </w:tc>
        <w:tc>
          <w:tcPr>
            <w:tcW w:w="1228" w:type="dxa"/>
            <w:shd w:val="clear" w:color="E3E3E3" w:fill="D9D9D9"/>
          </w:tcPr>
          <w:p w14:paraId="35389A04" w14:textId="77777777" w:rsidR="00590B83" w:rsidRPr="00BC0D1F" w:rsidRDefault="00590B83" w:rsidP="00590B83">
            <w:pPr>
              <w:pStyle w:val="TableText"/>
              <w:ind w:right="113"/>
              <w:jc w:val="right"/>
            </w:pPr>
            <w:r w:rsidRPr="00BC0D1F">
              <w:t>11,190</w:t>
            </w:r>
          </w:p>
        </w:tc>
        <w:tc>
          <w:tcPr>
            <w:tcW w:w="1229" w:type="dxa"/>
          </w:tcPr>
          <w:p w14:paraId="57796C1C" w14:textId="77777777" w:rsidR="00590B83" w:rsidRPr="00BC0D1F" w:rsidRDefault="00590B83" w:rsidP="00590B83">
            <w:pPr>
              <w:pStyle w:val="TableText"/>
              <w:jc w:val="right"/>
            </w:pPr>
            <w:r w:rsidRPr="00BC0D1F">
              <w:t>10,000</w:t>
            </w:r>
          </w:p>
        </w:tc>
      </w:tr>
      <w:tr w:rsidR="00590B83" w:rsidRPr="00BC0D1F" w14:paraId="7D522A9F" w14:textId="77777777" w:rsidTr="00373692">
        <w:trPr>
          <w:cantSplit/>
        </w:trPr>
        <w:tc>
          <w:tcPr>
            <w:tcW w:w="1134" w:type="dxa"/>
            <w:tcBorders>
              <w:bottom w:val="nil"/>
              <w:right w:val="nil"/>
            </w:tcBorders>
          </w:tcPr>
          <w:p w14:paraId="60EA17CF" w14:textId="77777777" w:rsidR="00590B83" w:rsidRPr="00BC0D1F" w:rsidRDefault="00590B83" w:rsidP="00590B83">
            <w:pPr>
              <w:pStyle w:val="TableText"/>
              <w:ind w:right="284"/>
              <w:jc w:val="right"/>
            </w:pPr>
          </w:p>
        </w:tc>
        <w:tc>
          <w:tcPr>
            <w:tcW w:w="5812" w:type="dxa"/>
            <w:tcBorders>
              <w:left w:val="nil"/>
              <w:bottom w:val="nil"/>
            </w:tcBorders>
            <w:shd w:val="solid" w:color="FFFFFF" w:fill="auto"/>
          </w:tcPr>
          <w:p w14:paraId="0FA05085" w14:textId="77777777" w:rsidR="00590B83" w:rsidRPr="00BC0D1F" w:rsidRDefault="00590B83" w:rsidP="00590B83">
            <w:pPr>
              <w:pStyle w:val="TableText"/>
              <w:ind w:left="284"/>
            </w:pPr>
            <w:r w:rsidRPr="00BC0D1F">
              <w:t>Net gains on derivative financial instruments</w:t>
            </w:r>
          </w:p>
        </w:tc>
        <w:tc>
          <w:tcPr>
            <w:tcW w:w="1228" w:type="dxa"/>
            <w:tcBorders>
              <w:bottom w:val="nil"/>
            </w:tcBorders>
            <w:shd w:val="clear" w:color="E3E3E3" w:fill="D9D9D9"/>
          </w:tcPr>
          <w:p w14:paraId="143DBC83" w14:textId="77777777" w:rsidR="00590B83" w:rsidRPr="00BC0D1F" w:rsidRDefault="00590B83" w:rsidP="00590B83">
            <w:pPr>
              <w:pStyle w:val="TableText"/>
              <w:ind w:right="113"/>
              <w:jc w:val="right"/>
            </w:pPr>
            <w:r w:rsidRPr="00BC0D1F">
              <w:t>–</w:t>
            </w:r>
          </w:p>
        </w:tc>
        <w:tc>
          <w:tcPr>
            <w:tcW w:w="1229" w:type="dxa"/>
            <w:tcBorders>
              <w:bottom w:val="nil"/>
            </w:tcBorders>
          </w:tcPr>
          <w:p w14:paraId="1F7597ED" w14:textId="77777777" w:rsidR="00590B83" w:rsidRPr="00BC0D1F" w:rsidRDefault="00590B83" w:rsidP="00590B83">
            <w:pPr>
              <w:pStyle w:val="TableText"/>
              <w:jc w:val="right"/>
            </w:pPr>
            <w:r w:rsidRPr="00BC0D1F">
              <w:t>–</w:t>
            </w:r>
          </w:p>
        </w:tc>
      </w:tr>
      <w:tr w:rsidR="00590B83" w:rsidRPr="00BC0D1F" w14:paraId="666B5043" w14:textId="77777777" w:rsidTr="00373692">
        <w:trPr>
          <w:cantSplit/>
        </w:trPr>
        <w:tc>
          <w:tcPr>
            <w:tcW w:w="1134" w:type="dxa"/>
            <w:tcBorders>
              <w:top w:val="nil"/>
              <w:bottom w:val="nil"/>
              <w:right w:val="nil"/>
            </w:tcBorders>
            <w:shd w:val="solid" w:color="FFFFFF" w:fill="auto"/>
          </w:tcPr>
          <w:p w14:paraId="543A198F" w14:textId="77777777" w:rsidR="00590B83" w:rsidRPr="00BC0D1F" w:rsidRDefault="00590B83" w:rsidP="00590B83">
            <w:pPr>
              <w:pStyle w:val="TableText"/>
              <w:ind w:right="284"/>
              <w:jc w:val="right"/>
            </w:pPr>
          </w:p>
        </w:tc>
        <w:tc>
          <w:tcPr>
            <w:tcW w:w="5812" w:type="dxa"/>
            <w:tcBorders>
              <w:top w:val="nil"/>
              <w:left w:val="nil"/>
              <w:bottom w:val="nil"/>
            </w:tcBorders>
            <w:shd w:val="solid" w:color="FFFFFF" w:fill="auto"/>
          </w:tcPr>
          <w:p w14:paraId="53F37045" w14:textId="77777777" w:rsidR="00590B83" w:rsidRPr="00BC0D1F" w:rsidRDefault="00590B83" w:rsidP="00590B83">
            <w:pPr>
              <w:pStyle w:val="TableText"/>
            </w:pPr>
            <w:r w:rsidRPr="00BC0D1F">
              <w:t>Other non-cash items</w:t>
            </w:r>
          </w:p>
        </w:tc>
        <w:tc>
          <w:tcPr>
            <w:tcW w:w="1228" w:type="dxa"/>
            <w:tcBorders>
              <w:top w:val="nil"/>
              <w:bottom w:val="nil"/>
            </w:tcBorders>
            <w:shd w:val="clear" w:color="E3E3E3" w:fill="D9D9D9"/>
          </w:tcPr>
          <w:p w14:paraId="3D26E16E" w14:textId="77777777" w:rsidR="00590B83" w:rsidRPr="00BC0D1F" w:rsidRDefault="00590B83" w:rsidP="00590B83">
            <w:pPr>
              <w:pStyle w:val="TableText"/>
              <w:ind w:right="113"/>
              <w:jc w:val="right"/>
            </w:pPr>
            <w:r w:rsidRPr="00BC0D1F">
              <w:t>–</w:t>
            </w:r>
          </w:p>
        </w:tc>
        <w:tc>
          <w:tcPr>
            <w:tcW w:w="1229" w:type="dxa"/>
            <w:tcBorders>
              <w:top w:val="nil"/>
              <w:bottom w:val="nil"/>
            </w:tcBorders>
          </w:tcPr>
          <w:p w14:paraId="17A3150D" w14:textId="77777777" w:rsidR="00590B83" w:rsidRPr="00BC0D1F" w:rsidRDefault="00590B83" w:rsidP="00590B83">
            <w:pPr>
              <w:pStyle w:val="TableText"/>
              <w:jc w:val="right"/>
            </w:pPr>
            <w:r w:rsidRPr="00BC0D1F">
              <w:t>–</w:t>
            </w:r>
          </w:p>
        </w:tc>
      </w:tr>
      <w:tr w:rsidR="00590B83" w:rsidRPr="00BC0D1F" w14:paraId="06F5F2E7" w14:textId="77777777" w:rsidTr="00373692">
        <w:trPr>
          <w:cantSplit/>
        </w:trPr>
        <w:tc>
          <w:tcPr>
            <w:tcW w:w="1134" w:type="dxa"/>
            <w:tcBorders>
              <w:top w:val="nil"/>
              <w:bottom w:val="nil"/>
              <w:right w:val="nil"/>
            </w:tcBorders>
            <w:shd w:val="solid" w:color="FFFFFF" w:fill="auto"/>
          </w:tcPr>
          <w:p w14:paraId="3DF3118D" w14:textId="77777777" w:rsidR="00590B83" w:rsidRPr="00BC0D1F" w:rsidRDefault="00590B83" w:rsidP="00590B83">
            <w:pPr>
              <w:pStyle w:val="TableText"/>
              <w:ind w:right="284"/>
              <w:jc w:val="right"/>
            </w:pPr>
          </w:p>
        </w:tc>
        <w:tc>
          <w:tcPr>
            <w:tcW w:w="5812" w:type="dxa"/>
            <w:tcBorders>
              <w:top w:val="nil"/>
              <w:left w:val="nil"/>
              <w:bottom w:val="nil"/>
            </w:tcBorders>
            <w:shd w:val="solid" w:color="FFFFFF" w:fill="auto"/>
          </w:tcPr>
          <w:p w14:paraId="30F527B0" w14:textId="77777777" w:rsidR="00590B83" w:rsidRPr="00BC0D1F" w:rsidRDefault="00590B83" w:rsidP="00590B83">
            <w:pPr>
              <w:pStyle w:val="TableText"/>
              <w:ind w:left="284"/>
            </w:pPr>
            <w:r w:rsidRPr="00BC0D1F">
              <w:t>Net foreign exchange (gains) / losses</w:t>
            </w:r>
          </w:p>
        </w:tc>
        <w:tc>
          <w:tcPr>
            <w:tcW w:w="1228" w:type="dxa"/>
            <w:tcBorders>
              <w:top w:val="nil"/>
              <w:bottom w:val="nil"/>
            </w:tcBorders>
            <w:shd w:val="clear" w:color="E3E3E3" w:fill="D9D9D9"/>
          </w:tcPr>
          <w:p w14:paraId="48006021" w14:textId="77777777" w:rsidR="00590B83" w:rsidRPr="00BC0D1F" w:rsidRDefault="00590B83" w:rsidP="00590B83">
            <w:pPr>
              <w:pStyle w:val="TableText"/>
              <w:ind w:right="113"/>
              <w:jc w:val="right"/>
            </w:pPr>
            <w:r w:rsidRPr="00BC0D1F">
              <w:t>–</w:t>
            </w:r>
          </w:p>
        </w:tc>
        <w:tc>
          <w:tcPr>
            <w:tcW w:w="1229" w:type="dxa"/>
            <w:tcBorders>
              <w:top w:val="nil"/>
              <w:bottom w:val="nil"/>
            </w:tcBorders>
          </w:tcPr>
          <w:p w14:paraId="5174BFFB" w14:textId="77777777" w:rsidR="00590B83" w:rsidRPr="00BC0D1F" w:rsidRDefault="00590B83" w:rsidP="00590B83">
            <w:pPr>
              <w:pStyle w:val="TableText"/>
              <w:jc w:val="right"/>
            </w:pPr>
            <w:r w:rsidRPr="00BC0D1F">
              <w:t>–</w:t>
            </w:r>
          </w:p>
        </w:tc>
      </w:tr>
      <w:tr w:rsidR="00590B83" w:rsidRPr="00BC0D1F" w14:paraId="75C5F97F" w14:textId="77777777" w:rsidTr="00373692">
        <w:trPr>
          <w:cantSplit/>
        </w:trPr>
        <w:tc>
          <w:tcPr>
            <w:tcW w:w="1134" w:type="dxa"/>
            <w:tcBorders>
              <w:top w:val="nil"/>
              <w:bottom w:val="nil"/>
              <w:right w:val="nil"/>
            </w:tcBorders>
            <w:shd w:val="solid" w:color="FFFFFF" w:fill="auto"/>
          </w:tcPr>
          <w:p w14:paraId="24743EEB" w14:textId="77777777" w:rsidR="00590B83" w:rsidRPr="00BC0D1F" w:rsidRDefault="00590B83" w:rsidP="00590B83">
            <w:pPr>
              <w:pStyle w:val="TableText"/>
              <w:ind w:right="284"/>
              <w:jc w:val="right"/>
              <w:rPr>
                <w:b/>
              </w:rPr>
            </w:pPr>
            <w:r w:rsidRPr="00BC0D1F">
              <w:rPr>
                <w:b/>
              </w:rPr>
              <w:t>9,965</w:t>
            </w:r>
          </w:p>
        </w:tc>
        <w:tc>
          <w:tcPr>
            <w:tcW w:w="5812" w:type="dxa"/>
            <w:tcBorders>
              <w:top w:val="nil"/>
              <w:left w:val="nil"/>
              <w:bottom w:val="nil"/>
            </w:tcBorders>
            <w:shd w:val="solid" w:color="FFFFFF" w:fill="auto"/>
          </w:tcPr>
          <w:p w14:paraId="1A9E7D4A" w14:textId="77777777" w:rsidR="00590B83" w:rsidRPr="00BC0D1F" w:rsidRDefault="00590B83" w:rsidP="00590B83">
            <w:pPr>
              <w:pStyle w:val="TableText"/>
              <w:rPr>
                <w:b/>
              </w:rPr>
            </w:pPr>
            <w:r w:rsidRPr="00BC0D1F">
              <w:rPr>
                <w:b/>
              </w:rPr>
              <w:t>Total non-cash Items</w:t>
            </w:r>
          </w:p>
        </w:tc>
        <w:tc>
          <w:tcPr>
            <w:tcW w:w="1228" w:type="dxa"/>
            <w:tcBorders>
              <w:top w:val="nil"/>
              <w:bottom w:val="nil"/>
            </w:tcBorders>
            <w:shd w:val="clear" w:color="E3E3E3" w:fill="D9D9D9"/>
          </w:tcPr>
          <w:p w14:paraId="4D393109" w14:textId="77777777" w:rsidR="00590B83" w:rsidRPr="00BC0D1F" w:rsidRDefault="00590B83" w:rsidP="00590B83">
            <w:pPr>
              <w:pStyle w:val="TableText"/>
              <w:ind w:right="113"/>
              <w:jc w:val="right"/>
              <w:rPr>
                <w:b/>
              </w:rPr>
            </w:pPr>
            <w:r w:rsidRPr="00BC0D1F">
              <w:rPr>
                <w:b/>
              </w:rPr>
              <w:t>11,190</w:t>
            </w:r>
          </w:p>
        </w:tc>
        <w:tc>
          <w:tcPr>
            <w:tcW w:w="1229" w:type="dxa"/>
            <w:tcBorders>
              <w:top w:val="nil"/>
              <w:bottom w:val="nil"/>
            </w:tcBorders>
          </w:tcPr>
          <w:p w14:paraId="261B061B" w14:textId="77777777" w:rsidR="00590B83" w:rsidRPr="00BC0D1F" w:rsidRDefault="00590B83" w:rsidP="00590B83">
            <w:pPr>
              <w:pStyle w:val="TableText"/>
              <w:jc w:val="right"/>
              <w:rPr>
                <w:b/>
              </w:rPr>
            </w:pPr>
            <w:r w:rsidRPr="00BC0D1F">
              <w:rPr>
                <w:b/>
              </w:rPr>
              <w:t>10,000</w:t>
            </w:r>
          </w:p>
        </w:tc>
      </w:tr>
      <w:tr w:rsidR="00590B83" w:rsidRPr="00BC0D1F" w14:paraId="2CE1278A" w14:textId="77777777" w:rsidTr="00373692">
        <w:trPr>
          <w:cantSplit/>
        </w:trPr>
        <w:tc>
          <w:tcPr>
            <w:tcW w:w="1134" w:type="dxa"/>
            <w:tcBorders>
              <w:top w:val="nil"/>
              <w:bottom w:val="nil"/>
              <w:right w:val="nil"/>
            </w:tcBorders>
            <w:shd w:val="solid" w:color="FFFFFF" w:fill="auto"/>
          </w:tcPr>
          <w:p w14:paraId="4701661C" w14:textId="77777777" w:rsidR="00590B83" w:rsidRPr="00BC0D1F" w:rsidRDefault="00590B83" w:rsidP="00590B83">
            <w:pPr>
              <w:pStyle w:val="TableText"/>
              <w:spacing w:before="240"/>
              <w:ind w:right="284"/>
              <w:jc w:val="right"/>
              <w:rPr>
                <w:b/>
              </w:rPr>
            </w:pPr>
          </w:p>
        </w:tc>
        <w:tc>
          <w:tcPr>
            <w:tcW w:w="5812" w:type="dxa"/>
            <w:tcBorders>
              <w:top w:val="nil"/>
              <w:left w:val="nil"/>
              <w:bottom w:val="nil"/>
            </w:tcBorders>
            <w:shd w:val="solid" w:color="FFFFFF" w:fill="auto"/>
          </w:tcPr>
          <w:p w14:paraId="1BB72C72" w14:textId="77777777" w:rsidR="00590B83" w:rsidRPr="00BC0D1F" w:rsidRDefault="00590B83" w:rsidP="00590B83">
            <w:pPr>
              <w:pStyle w:val="TableText"/>
              <w:spacing w:before="240"/>
              <w:rPr>
                <w:b/>
              </w:rPr>
            </w:pPr>
            <w:r w:rsidRPr="00BC0D1F">
              <w:rPr>
                <w:b/>
              </w:rPr>
              <w:t>Add/(less) items classified as investing or financing activities:</w:t>
            </w:r>
          </w:p>
        </w:tc>
        <w:tc>
          <w:tcPr>
            <w:tcW w:w="1228" w:type="dxa"/>
            <w:tcBorders>
              <w:top w:val="nil"/>
              <w:bottom w:val="nil"/>
            </w:tcBorders>
            <w:shd w:val="clear" w:color="E3E3E3" w:fill="D9D9D9"/>
          </w:tcPr>
          <w:p w14:paraId="5D30D6F2" w14:textId="77777777" w:rsidR="00590B83" w:rsidRPr="00BC0D1F" w:rsidRDefault="00590B83" w:rsidP="00590B83">
            <w:pPr>
              <w:pStyle w:val="TableText"/>
              <w:spacing w:before="240"/>
              <w:ind w:right="113"/>
              <w:jc w:val="right"/>
              <w:rPr>
                <w:b/>
              </w:rPr>
            </w:pPr>
          </w:p>
        </w:tc>
        <w:tc>
          <w:tcPr>
            <w:tcW w:w="1229" w:type="dxa"/>
            <w:tcBorders>
              <w:top w:val="nil"/>
              <w:bottom w:val="nil"/>
            </w:tcBorders>
          </w:tcPr>
          <w:p w14:paraId="35B2F155" w14:textId="77777777" w:rsidR="00590B83" w:rsidRPr="00BC0D1F" w:rsidRDefault="00590B83" w:rsidP="00590B83">
            <w:pPr>
              <w:pStyle w:val="TableText"/>
              <w:spacing w:before="240"/>
              <w:jc w:val="right"/>
              <w:rPr>
                <w:b/>
              </w:rPr>
            </w:pPr>
          </w:p>
        </w:tc>
      </w:tr>
      <w:tr w:rsidR="00590B83" w:rsidRPr="00BC0D1F" w14:paraId="2B7488F7" w14:textId="77777777" w:rsidTr="00373692">
        <w:trPr>
          <w:cantSplit/>
        </w:trPr>
        <w:tc>
          <w:tcPr>
            <w:tcW w:w="1134" w:type="dxa"/>
            <w:tcBorders>
              <w:top w:val="nil"/>
              <w:bottom w:val="nil"/>
              <w:right w:val="nil"/>
            </w:tcBorders>
            <w:shd w:val="solid" w:color="FFFFFF" w:fill="auto"/>
          </w:tcPr>
          <w:p w14:paraId="54B6B4EB" w14:textId="77777777" w:rsidR="00590B83" w:rsidRPr="00BC0D1F" w:rsidRDefault="00590B83" w:rsidP="00590B83">
            <w:pPr>
              <w:pStyle w:val="TableText"/>
              <w:ind w:right="284"/>
              <w:jc w:val="right"/>
            </w:pPr>
            <w:r w:rsidRPr="00BC0D1F">
              <w:t>52</w:t>
            </w:r>
          </w:p>
        </w:tc>
        <w:tc>
          <w:tcPr>
            <w:tcW w:w="5812" w:type="dxa"/>
            <w:tcBorders>
              <w:top w:val="nil"/>
              <w:left w:val="nil"/>
              <w:bottom w:val="nil"/>
            </w:tcBorders>
            <w:shd w:val="solid" w:color="FFFFFF" w:fill="auto"/>
          </w:tcPr>
          <w:p w14:paraId="004788C5" w14:textId="6F9C195B" w:rsidR="00590B83" w:rsidRPr="00BC0D1F" w:rsidRDefault="00A202BF" w:rsidP="00A202BF">
            <w:pPr>
              <w:pStyle w:val="TableText"/>
            </w:pPr>
            <w:r>
              <w:t xml:space="preserve">Net </w:t>
            </w:r>
            <w:r w:rsidR="00590B83" w:rsidRPr="00BC0D1F">
              <w:t>(</w:t>
            </w:r>
            <w:r>
              <w:t>g</w:t>
            </w:r>
            <w:r w:rsidR="00590B83" w:rsidRPr="00BC0D1F">
              <w:t>ains)/losses on disposal of property, plant and equipment</w:t>
            </w:r>
          </w:p>
        </w:tc>
        <w:tc>
          <w:tcPr>
            <w:tcW w:w="1228" w:type="dxa"/>
            <w:tcBorders>
              <w:top w:val="nil"/>
              <w:bottom w:val="nil"/>
            </w:tcBorders>
            <w:shd w:val="clear" w:color="E3E3E3" w:fill="D9D9D9"/>
          </w:tcPr>
          <w:p w14:paraId="5356A889" w14:textId="6819FE63" w:rsidR="00590B83" w:rsidRPr="00BC0D1F" w:rsidRDefault="00A202BF" w:rsidP="00590B83">
            <w:pPr>
              <w:pStyle w:val="TableText"/>
              <w:ind w:right="113"/>
              <w:jc w:val="right"/>
            </w:pPr>
            <w:r>
              <w:t>(</w:t>
            </w:r>
            <w:r w:rsidR="00590B83" w:rsidRPr="00BC0D1F">
              <w:t>2</w:t>
            </w:r>
            <w:r>
              <w:t>)</w:t>
            </w:r>
          </w:p>
        </w:tc>
        <w:tc>
          <w:tcPr>
            <w:tcW w:w="1229" w:type="dxa"/>
            <w:tcBorders>
              <w:top w:val="nil"/>
              <w:bottom w:val="nil"/>
            </w:tcBorders>
          </w:tcPr>
          <w:p w14:paraId="3E8C67BD" w14:textId="77777777" w:rsidR="00590B83" w:rsidRPr="00BC0D1F" w:rsidRDefault="00590B83" w:rsidP="00590B83">
            <w:pPr>
              <w:pStyle w:val="TableText"/>
              <w:jc w:val="right"/>
            </w:pPr>
            <w:r w:rsidRPr="00BC0D1F">
              <w:t>–</w:t>
            </w:r>
          </w:p>
        </w:tc>
      </w:tr>
      <w:tr w:rsidR="00590B83" w:rsidRPr="00BC0D1F" w14:paraId="53154265" w14:textId="77777777" w:rsidTr="00373692">
        <w:trPr>
          <w:cantSplit/>
        </w:trPr>
        <w:tc>
          <w:tcPr>
            <w:tcW w:w="1134" w:type="dxa"/>
            <w:tcBorders>
              <w:top w:val="nil"/>
              <w:bottom w:val="nil"/>
              <w:right w:val="nil"/>
            </w:tcBorders>
            <w:shd w:val="solid" w:color="FFFFFF" w:fill="auto"/>
          </w:tcPr>
          <w:p w14:paraId="30B73443" w14:textId="77777777" w:rsidR="00590B83" w:rsidRPr="00BC0D1F" w:rsidRDefault="00590B83" w:rsidP="00590B83">
            <w:pPr>
              <w:pStyle w:val="TableText"/>
              <w:ind w:right="284"/>
              <w:jc w:val="right"/>
              <w:rPr>
                <w:b/>
              </w:rPr>
            </w:pPr>
            <w:r w:rsidRPr="00BC0D1F">
              <w:rPr>
                <w:b/>
              </w:rPr>
              <w:t>52</w:t>
            </w:r>
          </w:p>
        </w:tc>
        <w:tc>
          <w:tcPr>
            <w:tcW w:w="5812" w:type="dxa"/>
            <w:tcBorders>
              <w:top w:val="nil"/>
              <w:left w:val="nil"/>
              <w:bottom w:val="nil"/>
            </w:tcBorders>
            <w:shd w:val="solid" w:color="FFFFFF" w:fill="auto"/>
          </w:tcPr>
          <w:p w14:paraId="7F5CC195" w14:textId="77777777" w:rsidR="00590B83" w:rsidRPr="00BC0D1F" w:rsidRDefault="00590B83" w:rsidP="00590B83">
            <w:pPr>
              <w:pStyle w:val="TableText"/>
              <w:rPr>
                <w:b/>
              </w:rPr>
            </w:pPr>
            <w:r w:rsidRPr="00BC0D1F">
              <w:rPr>
                <w:b/>
              </w:rPr>
              <w:t>Total items classified as investing or financing activities</w:t>
            </w:r>
          </w:p>
        </w:tc>
        <w:tc>
          <w:tcPr>
            <w:tcW w:w="1228" w:type="dxa"/>
            <w:tcBorders>
              <w:top w:val="nil"/>
              <w:bottom w:val="nil"/>
            </w:tcBorders>
            <w:shd w:val="clear" w:color="E3E3E3" w:fill="D9D9D9"/>
          </w:tcPr>
          <w:p w14:paraId="247B69C4" w14:textId="005363CE" w:rsidR="00590B83" w:rsidRPr="00BC0D1F" w:rsidRDefault="00A202BF" w:rsidP="00590B83">
            <w:pPr>
              <w:pStyle w:val="TableText"/>
              <w:ind w:right="113"/>
              <w:jc w:val="right"/>
              <w:rPr>
                <w:b/>
              </w:rPr>
            </w:pPr>
            <w:r>
              <w:rPr>
                <w:b/>
              </w:rPr>
              <w:t>(</w:t>
            </w:r>
            <w:r w:rsidR="00590B83" w:rsidRPr="00BC0D1F">
              <w:rPr>
                <w:b/>
              </w:rPr>
              <w:t>2</w:t>
            </w:r>
            <w:r>
              <w:rPr>
                <w:b/>
              </w:rPr>
              <w:t>)</w:t>
            </w:r>
          </w:p>
        </w:tc>
        <w:tc>
          <w:tcPr>
            <w:tcW w:w="1229" w:type="dxa"/>
            <w:tcBorders>
              <w:top w:val="nil"/>
              <w:bottom w:val="nil"/>
            </w:tcBorders>
          </w:tcPr>
          <w:p w14:paraId="2D9548C4" w14:textId="77777777" w:rsidR="00590B83" w:rsidRPr="00BC0D1F" w:rsidRDefault="00590B83" w:rsidP="00590B83">
            <w:pPr>
              <w:pStyle w:val="TableText"/>
              <w:jc w:val="right"/>
              <w:rPr>
                <w:b/>
              </w:rPr>
            </w:pPr>
            <w:r w:rsidRPr="00BC0D1F">
              <w:rPr>
                <w:b/>
              </w:rPr>
              <w:t>–</w:t>
            </w:r>
          </w:p>
        </w:tc>
      </w:tr>
      <w:tr w:rsidR="00590B83" w:rsidRPr="00BC0D1F" w14:paraId="1083FB75" w14:textId="77777777" w:rsidTr="00373692">
        <w:trPr>
          <w:cantSplit/>
        </w:trPr>
        <w:tc>
          <w:tcPr>
            <w:tcW w:w="1134" w:type="dxa"/>
            <w:tcBorders>
              <w:top w:val="nil"/>
              <w:bottom w:val="nil"/>
              <w:right w:val="nil"/>
            </w:tcBorders>
            <w:shd w:val="solid" w:color="FFFFFF" w:fill="auto"/>
          </w:tcPr>
          <w:p w14:paraId="71A1098F" w14:textId="77777777" w:rsidR="00590B83" w:rsidRPr="00BC0D1F" w:rsidRDefault="00590B83" w:rsidP="00590B83">
            <w:pPr>
              <w:pStyle w:val="TableText"/>
              <w:spacing w:before="240"/>
              <w:ind w:right="284"/>
              <w:jc w:val="right"/>
              <w:rPr>
                <w:b/>
              </w:rPr>
            </w:pPr>
          </w:p>
        </w:tc>
        <w:tc>
          <w:tcPr>
            <w:tcW w:w="5812" w:type="dxa"/>
            <w:tcBorders>
              <w:top w:val="nil"/>
              <w:left w:val="nil"/>
              <w:bottom w:val="nil"/>
            </w:tcBorders>
            <w:shd w:val="solid" w:color="FFFFFF" w:fill="auto"/>
          </w:tcPr>
          <w:p w14:paraId="49F8B03B" w14:textId="77777777" w:rsidR="00590B83" w:rsidRPr="00BC0D1F" w:rsidRDefault="00590B83" w:rsidP="00590B83">
            <w:pPr>
              <w:pStyle w:val="TableText"/>
              <w:spacing w:before="240"/>
              <w:rPr>
                <w:b/>
              </w:rPr>
            </w:pPr>
            <w:r w:rsidRPr="00BC0D1F">
              <w:rPr>
                <w:b/>
              </w:rPr>
              <w:t>Add/(less) movements in working capital items:</w:t>
            </w:r>
          </w:p>
        </w:tc>
        <w:tc>
          <w:tcPr>
            <w:tcW w:w="1228" w:type="dxa"/>
            <w:tcBorders>
              <w:top w:val="nil"/>
              <w:bottom w:val="nil"/>
            </w:tcBorders>
            <w:shd w:val="clear" w:color="E3E3E3" w:fill="D9D9D9"/>
          </w:tcPr>
          <w:p w14:paraId="648D95E2" w14:textId="77777777" w:rsidR="00590B83" w:rsidRPr="00BC0D1F" w:rsidRDefault="00590B83" w:rsidP="00590B83">
            <w:pPr>
              <w:pStyle w:val="TableText"/>
              <w:spacing w:before="240"/>
              <w:ind w:right="113"/>
              <w:jc w:val="right"/>
              <w:rPr>
                <w:b/>
              </w:rPr>
            </w:pPr>
          </w:p>
        </w:tc>
        <w:tc>
          <w:tcPr>
            <w:tcW w:w="1229" w:type="dxa"/>
            <w:tcBorders>
              <w:top w:val="nil"/>
              <w:bottom w:val="nil"/>
            </w:tcBorders>
          </w:tcPr>
          <w:p w14:paraId="26BBDFC3" w14:textId="77777777" w:rsidR="00590B83" w:rsidRPr="00BC0D1F" w:rsidRDefault="00590B83" w:rsidP="00590B83">
            <w:pPr>
              <w:pStyle w:val="TableText"/>
              <w:spacing w:before="240"/>
              <w:jc w:val="right"/>
              <w:rPr>
                <w:b/>
              </w:rPr>
            </w:pPr>
          </w:p>
        </w:tc>
      </w:tr>
      <w:tr w:rsidR="00590B83" w:rsidRPr="00BC0D1F" w14:paraId="160455D7" w14:textId="77777777" w:rsidTr="00373692">
        <w:trPr>
          <w:cantSplit/>
        </w:trPr>
        <w:tc>
          <w:tcPr>
            <w:tcW w:w="1134" w:type="dxa"/>
            <w:tcBorders>
              <w:top w:val="nil"/>
              <w:bottom w:val="nil"/>
              <w:right w:val="nil"/>
            </w:tcBorders>
            <w:shd w:val="solid" w:color="FFFFFF" w:fill="auto"/>
          </w:tcPr>
          <w:p w14:paraId="32527326" w14:textId="77777777" w:rsidR="00590B83" w:rsidRPr="00BC0D1F" w:rsidRDefault="00590B83" w:rsidP="00590B83">
            <w:pPr>
              <w:pStyle w:val="TableText"/>
              <w:ind w:right="284"/>
              <w:jc w:val="right"/>
            </w:pPr>
            <w:r w:rsidRPr="00BC0D1F">
              <w:t>325</w:t>
            </w:r>
          </w:p>
        </w:tc>
        <w:tc>
          <w:tcPr>
            <w:tcW w:w="5812" w:type="dxa"/>
            <w:tcBorders>
              <w:top w:val="nil"/>
              <w:left w:val="nil"/>
              <w:bottom w:val="nil"/>
            </w:tcBorders>
            <w:shd w:val="solid" w:color="FFFFFF" w:fill="auto"/>
          </w:tcPr>
          <w:p w14:paraId="201842C3" w14:textId="77777777" w:rsidR="00590B83" w:rsidRPr="00BC0D1F" w:rsidRDefault="00590B83" w:rsidP="00590B83">
            <w:pPr>
              <w:pStyle w:val="TableText"/>
            </w:pPr>
            <w:r w:rsidRPr="00BC0D1F">
              <w:t>(</w:t>
            </w:r>
            <w:proofErr w:type="spellStart"/>
            <w:r w:rsidRPr="00BC0D1F">
              <w:t>Inc</w:t>
            </w:r>
            <w:proofErr w:type="spellEnd"/>
            <w:r w:rsidRPr="00BC0D1F">
              <w:t>)/</w:t>
            </w:r>
            <w:proofErr w:type="spellStart"/>
            <w:r w:rsidRPr="00BC0D1F">
              <w:t>dec</w:t>
            </w:r>
            <w:proofErr w:type="spellEnd"/>
            <w:r w:rsidRPr="00BC0D1F">
              <w:t xml:space="preserve"> in debtors and receivables</w:t>
            </w:r>
          </w:p>
        </w:tc>
        <w:tc>
          <w:tcPr>
            <w:tcW w:w="1228" w:type="dxa"/>
            <w:tcBorders>
              <w:top w:val="nil"/>
              <w:bottom w:val="nil"/>
            </w:tcBorders>
            <w:shd w:val="clear" w:color="E3E3E3" w:fill="D9D9D9"/>
          </w:tcPr>
          <w:p w14:paraId="5DC5F107" w14:textId="77777777" w:rsidR="00590B83" w:rsidRPr="00BC0D1F" w:rsidRDefault="00590B83" w:rsidP="00590B83">
            <w:pPr>
              <w:pStyle w:val="TableText"/>
              <w:ind w:right="113"/>
              <w:jc w:val="right"/>
            </w:pPr>
            <w:r w:rsidRPr="00BC0D1F">
              <w:t>486</w:t>
            </w:r>
          </w:p>
        </w:tc>
        <w:tc>
          <w:tcPr>
            <w:tcW w:w="1229" w:type="dxa"/>
            <w:tcBorders>
              <w:top w:val="nil"/>
              <w:bottom w:val="nil"/>
            </w:tcBorders>
          </w:tcPr>
          <w:p w14:paraId="0DBC909B" w14:textId="4B617967" w:rsidR="00590B83" w:rsidRPr="00BC0D1F" w:rsidRDefault="00C13BF2" w:rsidP="00590B83">
            <w:pPr>
              <w:pStyle w:val="TableText"/>
              <w:jc w:val="right"/>
            </w:pPr>
            <w:r>
              <w:t>(1,564)</w:t>
            </w:r>
          </w:p>
        </w:tc>
      </w:tr>
      <w:tr w:rsidR="00590B83" w:rsidRPr="00BC0D1F" w14:paraId="2C80A90E" w14:textId="77777777" w:rsidTr="00373692">
        <w:trPr>
          <w:cantSplit/>
        </w:trPr>
        <w:tc>
          <w:tcPr>
            <w:tcW w:w="1134" w:type="dxa"/>
            <w:tcBorders>
              <w:top w:val="nil"/>
              <w:bottom w:val="nil"/>
              <w:right w:val="nil"/>
            </w:tcBorders>
            <w:shd w:val="solid" w:color="FFFFFF" w:fill="auto"/>
          </w:tcPr>
          <w:p w14:paraId="3F5DD02E" w14:textId="77777777" w:rsidR="00590B83" w:rsidRPr="00BC0D1F" w:rsidRDefault="00590B83" w:rsidP="00590B83">
            <w:pPr>
              <w:pStyle w:val="TableText"/>
              <w:ind w:right="284"/>
              <w:jc w:val="right"/>
            </w:pPr>
            <w:r w:rsidRPr="00BC0D1F">
              <w:t>–</w:t>
            </w:r>
          </w:p>
        </w:tc>
        <w:tc>
          <w:tcPr>
            <w:tcW w:w="5812" w:type="dxa"/>
            <w:tcBorders>
              <w:top w:val="nil"/>
              <w:left w:val="nil"/>
              <w:bottom w:val="nil"/>
            </w:tcBorders>
            <w:shd w:val="solid" w:color="FFFFFF" w:fill="auto"/>
          </w:tcPr>
          <w:p w14:paraId="0D083B99" w14:textId="77777777" w:rsidR="00590B83" w:rsidRPr="00BC0D1F" w:rsidRDefault="00590B83" w:rsidP="00590B83">
            <w:pPr>
              <w:pStyle w:val="TableText"/>
            </w:pPr>
            <w:r w:rsidRPr="00BC0D1F">
              <w:t>(</w:t>
            </w:r>
            <w:proofErr w:type="spellStart"/>
            <w:r w:rsidRPr="00BC0D1F">
              <w:t>Inc</w:t>
            </w:r>
            <w:proofErr w:type="spellEnd"/>
            <w:r w:rsidRPr="00BC0D1F">
              <w:t>)/</w:t>
            </w:r>
            <w:proofErr w:type="spellStart"/>
            <w:r w:rsidRPr="00BC0D1F">
              <w:t>dec</w:t>
            </w:r>
            <w:proofErr w:type="spellEnd"/>
            <w:r w:rsidRPr="00BC0D1F">
              <w:t xml:space="preserve"> in debtor Crown</w:t>
            </w:r>
          </w:p>
        </w:tc>
        <w:tc>
          <w:tcPr>
            <w:tcW w:w="1228" w:type="dxa"/>
            <w:tcBorders>
              <w:top w:val="nil"/>
              <w:bottom w:val="nil"/>
            </w:tcBorders>
            <w:shd w:val="clear" w:color="E3E3E3" w:fill="D9D9D9"/>
          </w:tcPr>
          <w:p w14:paraId="0FE3099E" w14:textId="77777777" w:rsidR="00590B83" w:rsidRPr="00BC0D1F" w:rsidRDefault="00590B83" w:rsidP="00590B83">
            <w:pPr>
              <w:pStyle w:val="TableText"/>
              <w:ind w:right="113"/>
              <w:jc w:val="right"/>
            </w:pPr>
            <w:r w:rsidRPr="00BC0D1F">
              <w:t>9,242</w:t>
            </w:r>
          </w:p>
        </w:tc>
        <w:tc>
          <w:tcPr>
            <w:tcW w:w="1229" w:type="dxa"/>
            <w:tcBorders>
              <w:top w:val="nil"/>
              <w:bottom w:val="nil"/>
            </w:tcBorders>
          </w:tcPr>
          <w:p w14:paraId="13F4AC3F" w14:textId="77777777" w:rsidR="00590B83" w:rsidRPr="00BC0D1F" w:rsidRDefault="00590B83" w:rsidP="00590B83">
            <w:pPr>
              <w:pStyle w:val="TableText"/>
              <w:jc w:val="right"/>
            </w:pPr>
            <w:r w:rsidRPr="00BC0D1F">
              <w:t>1,458</w:t>
            </w:r>
          </w:p>
        </w:tc>
      </w:tr>
      <w:tr w:rsidR="00590B83" w:rsidRPr="00BC0D1F" w14:paraId="70C1083F" w14:textId="77777777" w:rsidTr="00373692">
        <w:trPr>
          <w:cantSplit/>
        </w:trPr>
        <w:tc>
          <w:tcPr>
            <w:tcW w:w="1134" w:type="dxa"/>
            <w:tcBorders>
              <w:top w:val="nil"/>
              <w:bottom w:val="nil"/>
              <w:right w:val="nil"/>
            </w:tcBorders>
            <w:shd w:val="solid" w:color="FFFFFF" w:fill="auto"/>
          </w:tcPr>
          <w:p w14:paraId="5EE25274" w14:textId="77777777" w:rsidR="00590B83" w:rsidRPr="00BC0D1F" w:rsidRDefault="00590B83" w:rsidP="00590B83">
            <w:pPr>
              <w:pStyle w:val="TableText"/>
              <w:ind w:right="284"/>
              <w:jc w:val="right"/>
            </w:pPr>
            <w:r w:rsidRPr="00BC0D1F">
              <w:t>1,524</w:t>
            </w:r>
          </w:p>
        </w:tc>
        <w:tc>
          <w:tcPr>
            <w:tcW w:w="5812" w:type="dxa"/>
            <w:tcBorders>
              <w:top w:val="nil"/>
              <w:left w:val="nil"/>
              <w:bottom w:val="nil"/>
            </w:tcBorders>
            <w:shd w:val="solid" w:color="FFFFFF" w:fill="auto"/>
          </w:tcPr>
          <w:p w14:paraId="2B821A36" w14:textId="77777777" w:rsidR="00590B83" w:rsidRPr="00BC0D1F" w:rsidRDefault="00590B83" w:rsidP="00590B83">
            <w:pPr>
              <w:pStyle w:val="TableText"/>
            </w:pPr>
            <w:r w:rsidRPr="00BC0D1F">
              <w:t>(</w:t>
            </w:r>
            <w:proofErr w:type="spellStart"/>
            <w:r w:rsidRPr="00BC0D1F">
              <w:t>Inc</w:t>
            </w:r>
            <w:proofErr w:type="spellEnd"/>
            <w:r w:rsidRPr="00BC0D1F">
              <w:t>)/</w:t>
            </w:r>
            <w:proofErr w:type="spellStart"/>
            <w:r w:rsidRPr="00BC0D1F">
              <w:t>dec</w:t>
            </w:r>
            <w:proofErr w:type="spellEnd"/>
            <w:r w:rsidRPr="00BC0D1F">
              <w:t xml:space="preserve"> in prepayments</w:t>
            </w:r>
          </w:p>
        </w:tc>
        <w:tc>
          <w:tcPr>
            <w:tcW w:w="1228" w:type="dxa"/>
            <w:tcBorders>
              <w:top w:val="nil"/>
              <w:bottom w:val="nil"/>
            </w:tcBorders>
            <w:shd w:val="clear" w:color="E3E3E3" w:fill="D9D9D9"/>
          </w:tcPr>
          <w:p w14:paraId="39345CF0" w14:textId="6144A476" w:rsidR="00590B83" w:rsidRPr="00BC0D1F" w:rsidRDefault="00590B83" w:rsidP="00A202BF">
            <w:pPr>
              <w:pStyle w:val="TableText"/>
              <w:ind w:right="113"/>
              <w:jc w:val="right"/>
            </w:pPr>
            <w:r w:rsidRPr="00BC0D1F">
              <w:t>46</w:t>
            </w:r>
            <w:r w:rsidR="00A202BF">
              <w:t>4</w:t>
            </w:r>
          </w:p>
        </w:tc>
        <w:tc>
          <w:tcPr>
            <w:tcW w:w="1229" w:type="dxa"/>
            <w:tcBorders>
              <w:top w:val="nil"/>
              <w:bottom w:val="nil"/>
            </w:tcBorders>
          </w:tcPr>
          <w:p w14:paraId="28DE3C6E" w14:textId="77777777" w:rsidR="00590B83" w:rsidRPr="00BC0D1F" w:rsidRDefault="00590B83" w:rsidP="00590B83">
            <w:pPr>
              <w:pStyle w:val="TableText"/>
              <w:jc w:val="right"/>
            </w:pPr>
            <w:r w:rsidRPr="00BC0D1F">
              <w:t>(745)</w:t>
            </w:r>
          </w:p>
        </w:tc>
      </w:tr>
      <w:tr w:rsidR="00590B83" w:rsidRPr="00BC0D1F" w14:paraId="2E65FCF9" w14:textId="77777777" w:rsidTr="00373692">
        <w:trPr>
          <w:cantSplit/>
        </w:trPr>
        <w:tc>
          <w:tcPr>
            <w:tcW w:w="1134" w:type="dxa"/>
            <w:tcBorders>
              <w:top w:val="nil"/>
              <w:bottom w:val="nil"/>
              <w:right w:val="nil"/>
            </w:tcBorders>
            <w:shd w:val="solid" w:color="FFFFFF" w:fill="auto"/>
          </w:tcPr>
          <w:p w14:paraId="3866533F" w14:textId="32CBB32B" w:rsidR="00590B83" w:rsidRPr="00BC0D1F" w:rsidRDefault="00C13BF2" w:rsidP="00590B83">
            <w:pPr>
              <w:pStyle w:val="TableText"/>
              <w:ind w:right="284"/>
              <w:jc w:val="right"/>
            </w:pPr>
            <w:r>
              <w:t>1,722</w:t>
            </w:r>
          </w:p>
        </w:tc>
        <w:tc>
          <w:tcPr>
            <w:tcW w:w="5812" w:type="dxa"/>
            <w:tcBorders>
              <w:top w:val="nil"/>
              <w:left w:val="nil"/>
              <w:bottom w:val="nil"/>
            </w:tcBorders>
            <w:shd w:val="solid" w:color="FFFFFF" w:fill="auto"/>
          </w:tcPr>
          <w:p w14:paraId="48946331" w14:textId="77777777" w:rsidR="00590B83" w:rsidRPr="00BC0D1F" w:rsidRDefault="00590B83" w:rsidP="00590B83">
            <w:pPr>
              <w:pStyle w:val="TableText"/>
            </w:pPr>
            <w:proofErr w:type="spellStart"/>
            <w:r w:rsidRPr="00BC0D1F">
              <w:t>Inc</w:t>
            </w:r>
            <w:proofErr w:type="spellEnd"/>
            <w:r w:rsidRPr="00BC0D1F">
              <w:t>/(</w:t>
            </w:r>
            <w:proofErr w:type="spellStart"/>
            <w:r w:rsidRPr="00BC0D1F">
              <w:t>dec</w:t>
            </w:r>
            <w:proofErr w:type="spellEnd"/>
            <w:r w:rsidRPr="00BC0D1F">
              <w:t>) in creditors and other payables</w:t>
            </w:r>
          </w:p>
        </w:tc>
        <w:tc>
          <w:tcPr>
            <w:tcW w:w="1228" w:type="dxa"/>
            <w:tcBorders>
              <w:top w:val="nil"/>
              <w:bottom w:val="nil"/>
            </w:tcBorders>
            <w:shd w:val="clear" w:color="E3E3E3" w:fill="D9D9D9"/>
          </w:tcPr>
          <w:p w14:paraId="7FAE1754" w14:textId="056E343D" w:rsidR="00590B83" w:rsidRPr="00BC0D1F" w:rsidRDefault="00590B83" w:rsidP="00891971">
            <w:pPr>
              <w:pStyle w:val="TableText"/>
              <w:ind w:right="113"/>
              <w:jc w:val="right"/>
            </w:pPr>
            <w:r w:rsidRPr="00BC0D1F">
              <w:t>(3,6</w:t>
            </w:r>
            <w:r w:rsidR="00C13BF2">
              <w:t>0</w:t>
            </w:r>
            <w:r w:rsidR="00891971">
              <w:t>4</w:t>
            </w:r>
            <w:r w:rsidRPr="00BC0D1F">
              <w:t>)</w:t>
            </w:r>
          </w:p>
        </w:tc>
        <w:tc>
          <w:tcPr>
            <w:tcW w:w="1229" w:type="dxa"/>
            <w:tcBorders>
              <w:top w:val="nil"/>
              <w:bottom w:val="nil"/>
            </w:tcBorders>
          </w:tcPr>
          <w:p w14:paraId="54C1EB20" w14:textId="77777777" w:rsidR="00590B83" w:rsidRPr="00BC0D1F" w:rsidRDefault="00590B83" w:rsidP="00590B83">
            <w:pPr>
              <w:pStyle w:val="TableText"/>
              <w:jc w:val="right"/>
            </w:pPr>
            <w:r w:rsidRPr="00BC0D1F">
              <w:t>(814)</w:t>
            </w:r>
          </w:p>
        </w:tc>
      </w:tr>
      <w:tr w:rsidR="00590B83" w:rsidRPr="00BC0D1F" w14:paraId="35055888" w14:textId="77777777" w:rsidTr="00373692">
        <w:trPr>
          <w:cantSplit/>
        </w:trPr>
        <w:tc>
          <w:tcPr>
            <w:tcW w:w="1134" w:type="dxa"/>
            <w:tcBorders>
              <w:top w:val="nil"/>
              <w:bottom w:val="nil"/>
              <w:right w:val="nil"/>
            </w:tcBorders>
            <w:shd w:val="solid" w:color="FFFFFF" w:fill="auto"/>
          </w:tcPr>
          <w:p w14:paraId="19A6A7D6" w14:textId="77777777" w:rsidR="00590B83" w:rsidRPr="00BC0D1F" w:rsidRDefault="00590B83" w:rsidP="00590B83">
            <w:pPr>
              <w:pStyle w:val="TableText"/>
              <w:ind w:right="284"/>
              <w:jc w:val="right"/>
            </w:pPr>
            <w:r w:rsidRPr="00BC0D1F">
              <w:t>(204)</w:t>
            </w:r>
          </w:p>
        </w:tc>
        <w:tc>
          <w:tcPr>
            <w:tcW w:w="5812" w:type="dxa"/>
            <w:tcBorders>
              <w:top w:val="nil"/>
              <w:left w:val="nil"/>
              <w:bottom w:val="nil"/>
            </w:tcBorders>
            <w:shd w:val="solid" w:color="FFFFFF" w:fill="auto"/>
          </w:tcPr>
          <w:p w14:paraId="29818C3E" w14:textId="77777777" w:rsidR="00590B83" w:rsidRPr="00BC0D1F" w:rsidRDefault="00590B83" w:rsidP="00590B83">
            <w:pPr>
              <w:pStyle w:val="TableText"/>
            </w:pPr>
            <w:proofErr w:type="spellStart"/>
            <w:r w:rsidRPr="00BC0D1F">
              <w:t>Inc</w:t>
            </w:r>
            <w:proofErr w:type="spellEnd"/>
            <w:r w:rsidRPr="00BC0D1F">
              <w:t>/(</w:t>
            </w:r>
            <w:proofErr w:type="spellStart"/>
            <w:r w:rsidRPr="00BC0D1F">
              <w:t>dec</w:t>
            </w:r>
            <w:proofErr w:type="spellEnd"/>
            <w:r w:rsidRPr="00BC0D1F">
              <w:t>) in provisions</w:t>
            </w:r>
          </w:p>
        </w:tc>
        <w:tc>
          <w:tcPr>
            <w:tcW w:w="1228" w:type="dxa"/>
            <w:tcBorders>
              <w:top w:val="nil"/>
              <w:bottom w:val="nil"/>
            </w:tcBorders>
            <w:shd w:val="clear" w:color="E3E3E3" w:fill="D9D9D9"/>
          </w:tcPr>
          <w:p w14:paraId="69EDF5A5" w14:textId="77777777" w:rsidR="00590B83" w:rsidRPr="00BC0D1F" w:rsidRDefault="00590B83" w:rsidP="00590B83">
            <w:pPr>
              <w:pStyle w:val="TableText"/>
              <w:ind w:right="113"/>
              <w:jc w:val="right"/>
            </w:pPr>
            <w:r w:rsidRPr="00BC0D1F">
              <w:t>(161)</w:t>
            </w:r>
          </w:p>
        </w:tc>
        <w:tc>
          <w:tcPr>
            <w:tcW w:w="1229" w:type="dxa"/>
            <w:tcBorders>
              <w:top w:val="nil"/>
              <w:bottom w:val="nil"/>
            </w:tcBorders>
          </w:tcPr>
          <w:p w14:paraId="68F5B3F3" w14:textId="77777777" w:rsidR="00590B83" w:rsidRPr="00BC0D1F" w:rsidRDefault="00590B83" w:rsidP="00590B83">
            <w:pPr>
              <w:pStyle w:val="TableText"/>
              <w:jc w:val="right"/>
            </w:pPr>
            <w:r w:rsidRPr="00BC0D1F">
              <w:t>(3,191)</w:t>
            </w:r>
          </w:p>
        </w:tc>
      </w:tr>
      <w:tr w:rsidR="00590B83" w:rsidRPr="00BC0D1F" w14:paraId="22515008" w14:textId="77777777" w:rsidTr="00590B83">
        <w:trPr>
          <w:cantSplit/>
        </w:trPr>
        <w:tc>
          <w:tcPr>
            <w:tcW w:w="1134" w:type="dxa"/>
            <w:tcBorders>
              <w:top w:val="nil"/>
              <w:bottom w:val="nil"/>
              <w:right w:val="nil"/>
            </w:tcBorders>
            <w:shd w:val="solid" w:color="FFFFFF" w:fill="auto"/>
          </w:tcPr>
          <w:p w14:paraId="2922186C" w14:textId="77777777" w:rsidR="00590B83" w:rsidRPr="00BC0D1F" w:rsidRDefault="00590B83" w:rsidP="00590B83">
            <w:pPr>
              <w:pStyle w:val="TableText"/>
              <w:ind w:right="284"/>
              <w:jc w:val="right"/>
            </w:pPr>
            <w:r w:rsidRPr="00BC0D1F">
              <w:t>–</w:t>
            </w:r>
          </w:p>
        </w:tc>
        <w:tc>
          <w:tcPr>
            <w:tcW w:w="5812" w:type="dxa"/>
            <w:tcBorders>
              <w:top w:val="nil"/>
              <w:left w:val="nil"/>
              <w:bottom w:val="nil"/>
            </w:tcBorders>
            <w:shd w:val="solid" w:color="FFFFFF" w:fill="auto"/>
          </w:tcPr>
          <w:p w14:paraId="1C0FB7DC" w14:textId="77777777" w:rsidR="00590B83" w:rsidRPr="00BC0D1F" w:rsidRDefault="00590B83" w:rsidP="00590B83">
            <w:pPr>
              <w:pStyle w:val="TableText"/>
            </w:pPr>
            <w:proofErr w:type="spellStart"/>
            <w:r w:rsidRPr="00BC0D1F">
              <w:t>Inc</w:t>
            </w:r>
            <w:proofErr w:type="spellEnd"/>
            <w:r w:rsidRPr="00BC0D1F">
              <w:t>/(</w:t>
            </w:r>
            <w:proofErr w:type="spellStart"/>
            <w:r w:rsidRPr="00BC0D1F">
              <w:t>dec</w:t>
            </w:r>
            <w:proofErr w:type="spellEnd"/>
            <w:r w:rsidRPr="00BC0D1F">
              <w:t>) in deferred liabilities</w:t>
            </w:r>
          </w:p>
        </w:tc>
        <w:tc>
          <w:tcPr>
            <w:tcW w:w="1228" w:type="dxa"/>
            <w:tcBorders>
              <w:top w:val="nil"/>
              <w:bottom w:val="nil"/>
            </w:tcBorders>
            <w:shd w:val="clear" w:color="E3E3E3" w:fill="D9D9D9"/>
          </w:tcPr>
          <w:p w14:paraId="220D377C" w14:textId="77777777" w:rsidR="00590B83" w:rsidRPr="00BC0D1F" w:rsidRDefault="00590B83" w:rsidP="00590B83">
            <w:pPr>
              <w:pStyle w:val="TableText"/>
              <w:ind w:right="113"/>
              <w:jc w:val="right"/>
            </w:pPr>
            <w:r w:rsidRPr="00BC0D1F">
              <w:t>–</w:t>
            </w:r>
          </w:p>
        </w:tc>
        <w:tc>
          <w:tcPr>
            <w:tcW w:w="1229" w:type="dxa"/>
            <w:tcBorders>
              <w:top w:val="nil"/>
              <w:bottom w:val="nil"/>
            </w:tcBorders>
          </w:tcPr>
          <w:p w14:paraId="70164B3D" w14:textId="77777777" w:rsidR="00590B83" w:rsidRPr="00BC0D1F" w:rsidRDefault="00590B83" w:rsidP="00590B83">
            <w:pPr>
              <w:pStyle w:val="TableText"/>
              <w:jc w:val="right"/>
            </w:pPr>
          </w:p>
        </w:tc>
      </w:tr>
      <w:tr w:rsidR="00590B83" w:rsidRPr="00BC0D1F" w14:paraId="1D74A7C3" w14:textId="77777777" w:rsidTr="00590B83">
        <w:trPr>
          <w:cantSplit/>
        </w:trPr>
        <w:tc>
          <w:tcPr>
            <w:tcW w:w="1134" w:type="dxa"/>
            <w:tcBorders>
              <w:top w:val="nil"/>
              <w:bottom w:val="nil"/>
              <w:right w:val="nil"/>
            </w:tcBorders>
            <w:shd w:val="solid" w:color="FFFFFF" w:fill="auto"/>
          </w:tcPr>
          <w:p w14:paraId="247819E6" w14:textId="77777777" w:rsidR="00590B83" w:rsidRPr="00BC0D1F" w:rsidRDefault="00590B83" w:rsidP="00590B83">
            <w:pPr>
              <w:pStyle w:val="TableText"/>
              <w:ind w:right="284"/>
              <w:jc w:val="right"/>
            </w:pPr>
            <w:r w:rsidRPr="00BC0D1F">
              <w:t>(1,486)</w:t>
            </w:r>
          </w:p>
        </w:tc>
        <w:tc>
          <w:tcPr>
            <w:tcW w:w="5812" w:type="dxa"/>
            <w:tcBorders>
              <w:top w:val="nil"/>
              <w:left w:val="nil"/>
              <w:bottom w:val="nil"/>
            </w:tcBorders>
            <w:shd w:val="solid" w:color="FFFFFF" w:fill="auto"/>
          </w:tcPr>
          <w:p w14:paraId="2E8661F9" w14:textId="77777777" w:rsidR="00590B83" w:rsidRPr="00BC0D1F" w:rsidRDefault="00590B83" w:rsidP="00590B83">
            <w:pPr>
              <w:pStyle w:val="TableText"/>
            </w:pPr>
            <w:proofErr w:type="spellStart"/>
            <w:r w:rsidRPr="00BC0D1F">
              <w:t>Inc</w:t>
            </w:r>
            <w:proofErr w:type="spellEnd"/>
            <w:r w:rsidRPr="00BC0D1F">
              <w:t>/(</w:t>
            </w:r>
            <w:proofErr w:type="spellStart"/>
            <w:r w:rsidRPr="00BC0D1F">
              <w:t>dec</w:t>
            </w:r>
            <w:proofErr w:type="spellEnd"/>
            <w:r w:rsidRPr="00BC0D1F">
              <w:t>) in employee entitlements</w:t>
            </w:r>
          </w:p>
        </w:tc>
        <w:tc>
          <w:tcPr>
            <w:tcW w:w="1228" w:type="dxa"/>
            <w:tcBorders>
              <w:top w:val="nil"/>
              <w:bottom w:val="nil"/>
            </w:tcBorders>
            <w:shd w:val="clear" w:color="E3E3E3" w:fill="D9D9D9"/>
          </w:tcPr>
          <w:p w14:paraId="746969FE" w14:textId="77777777" w:rsidR="00590B83" w:rsidRPr="00BC0D1F" w:rsidRDefault="00590B83" w:rsidP="00590B83">
            <w:pPr>
              <w:pStyle w:val="TableText"/>
              <w:ind w:right="113"/>
              <w:jc w:val="right"/>
            </w:pPr>
            <w:r w:rsidRPr="00BC0D1F">
              <w:t>(746)</w:t>
            </w:r>
          </w:p>
        </w:tc>
        <w:tc>
          <w:tcPr>
            <w:tcW w:w="1229" w:type="dxa"/>
            <w:tcBorders>
              <w:top w:val="nil"/>
              <w:bottom w:val="nil"/>
            </w:tcBorders>
          </w:tcPr>
          <w:p w14:paraId="0B141BA1" w14:textId="77777777" w:rsidR="00590B83" w:rsidRPr="00BC0D1F" w:rsidRDefault="00590B83" w:rsidP="00590B83">
            <w:pPr>
              <w:pStyle w:val="TableText"/>
              <w:jc w:val="right"/>
            </w:pPr>
            <w:r w:rsidRPr="00BC0D1F">
              <w:t>(67)</w:t>
            </w:r>
          </w:p>
        </w:tc>
      </w:tr>
      <w:tr w:rsidR="00590B83" w:rsidRPr="00BC0D1F" w14:paraId="5E76F1AF" w14:textId="77777777" w:rsidTr="00590B83">
        <w:trPr>
          <w:cantSplit/>
        </w:trPr>
        <w:tc>
          <w:tcPr>
            <w:tcW w:w="1134" w:type="dxa"/>
            <w:tcBorders>
              <w:top w:val="nil"/>
              <w:bottom w:val="nil"/>
              <w:right w:val="nil"/>
            </w:tcBorders>
            <w:shd w:val="solid" w:color="FFFFFF" w:fill="auto"/>
          </w:tcPr>
          <w:p w14:paraId="1F54A721" w14:textId="1BECBD7F" w:rsidR="00590B83" w:rsidRPr="00BC0D1F" w:rsidRDefault="00C13BF2" w:rsidP="00590B83">
            <w:pPr>
              <w:pStyle w:val="TableText"/>
              <w:ind w:right="284"/>
              <w:jc w:val="right"/>
              <w:rPr>
                <w:b/>
              </w:rPr>
            </w:pPr>
            <w:r>
              <w:rPr>
                <w:b/>
              </w:rPr>
              <w:t>1,881</w:t>
            </w:r>
          </w:p>
        </w:tc>
        <w:tc>
          <w:tcPr>
            <w:tcW w:w="5812" w:type="dxa"/>
            <w:tcBorders>
              <w:top w:val="nil"/>
              <w:left w:val="nil"/>
              <w:bottom w:val="nil"/>
            </w:tcBorders>
            <w:shd w:val="solid" w:color="FFFFFF" w:fill="auto"/>
          </w:tcPr>
          <w:p w14:paraId="0D9C54D0" w14:textId="77777777" w:rsidR="00590B83" w:rsidRPr="00BC0D1F" w:rsidRDefault="00590B83" w:rsidP="00590B83">
            <w:pPr>
              <w:pStyle w:val="TableText"/>
              <w:rPr>
                <w:b/>
              </w:rPr>
            </w:pPr>
            <w:r w:rsidRPr="00BC0D1F">
              <w:rPr>
                <w:b/>
              </w:rPr>
              <w:t>Net movements in working capital items</w:t>
            </w:r>
          </w:p>
        </w:tc>
        <w:tc>
          <w:tcPr>
            <w:tcW w:w="1228" w:type="dxa"/>
            <w:tcBorders>
              <w:top w:val="nil"/>
              <w:bottom w:val="nil"/>
            </w:tcBorders>
            <w:shd w:val="clear" w:color="E3E3E3" w:fill="D9D9D9"/>
          </w:tcPr>
          <w:p w14:paraId="416E6F67" w14:textId="2DD23762" w:rsidR="00590B83" w:rsidRPr="00BC0D1F" w:rsidRDefault="00590B83" w:rsidP="00C13BF2">
            <w:pPr>
              <w:pStyle w:val="TableText"/>
              <w:ind w:right="113"/>
              <w:jc w:val="right"/>
              <w:rPr>
                <w:b/>
              </w:rPr>
            </w:pPr>
            <w:r w:rsidRPr="00BC0D1F">
              <w:rPr>
                <w:b/>
              </w:rPr>
              <w:t>5,6</w:t>
            </w:r>
            <w:r w:rsidR="00C13BF2">
              <w:rPr>
                <w:b/>
              </w:rPr>
              <w:t>8</w:t>
            </w:r>
            <w:r w:rsidRPr="00BC0D1F">
              <w:rPr>
                <w:b/>
              </w:rPr>
              <w:t>1</w:t>
            </w:r>
          </w:p>
        </w:tc>
        <w:tc>
          <w:tcPr>
            <w:tcW w:w="1229" w:type="dxa"/>
            <w:tcBorders>
              <w:top w:val="nil"/>
              <w:bottom w:val="nil"/>
            </w:tcBorders>
          </w:tcPr>
          <w:p w14:paraId="44B492F7" w14:textId="130207CF" w:rsidR="00590B83" w:rsidRPr="00BC0D1F" w:rsidRDefault="00590B83" w:rsidP="00C13BF2">
            <w:pPr>
              <w:pStyle w:val="TableText"/>
              <w:jc w:val="right"/>
              <w:rPr>
                <w:b/>
              </w:rPr>
            </w:pPr>
            <w:r w:rsidRPr="00BC0D1F">
              <w:rPr>
                <w:b/>
              </w:rPr>
              <w:t>(</w:t>
            </w:r>
            <w:r w:rsidR="00C13BF2">
              <w:rPr>
                <w:b/>
              </w:rPr>
              <w:t>4,923</w:t>
            </w:r>
            <w:r w:rsidRPr="00BC0D1F">
              <w:rPr>
                <w:b/>
              </w:rPr>
              <w:t>)</w:t>
            </w:r>
          </w:p>
        </w:tc>
      </w:tr>
      <w:tr w:rsidR="00590B83" w:rsidRPr="00BC0D1F" w14:paraId="48A8D78A" w14:textId="77777777" w:rsidTr="00590B83">
        <w:trPr>
          <w:cantSplit/>
        </w:trPr>
        <w:tc>
          <w:tcPr>
            <w:tcW w:w="1134" w:type="dxa"/>
            <w:tcBorders>
              <w:top w:val="nil"/>
              <w:bottom w:val="single" w:sz="4" w:space="0" w:color="auto"/>
              <w:right w:val="nil"/>
            </w:tcBorders>
            <w:shd w:val="solid" w:color="FFFFFF" w:fill="auto"/>
          </w:tcPr>
          <w:p w14:paraId="1422AC41" w14:textId="64A29803" w:rsidR="00590B83" w:rsidRPr="00BC0D1F" w:rsidRDefault="00590B83" w:rsidP="00C13BF2">
            <w:pPr>
              <w:pStyle w:val="TableText"/>
              <w:ind w:right="284"/>
              <w:jc w:val="right"/>
              <w:rPr>
                <w:b/>
              </w:rPr>
            </w:pPr>
            <w:r w:rsidRPr="00BC0D1F">
              <w:rPr>
                <w:b/>
              </w:rPr>
              <w:t>11,</w:t>
            </w:r>
            <w:r w:rsidR="00C13BF2">
              <w:rPr>
                <w:b/>
              </w:rPr>
              <w:t>293</w:t>
            </w:r>
          </w:p>
        </w:tc>
        <w:tc>
          <w:tcPr>
            <w:tcW w:w="5812" w:type="dxa"/>
            <w:tcBorders>
              <w:top w:val="nil"/>
              <w:left w:val="nil"/>
              <w:bottom w:val="single" w:sz="4" w:space="0" w:color="auto"/>
            </w:tcBorders>
            <w:shd w:val="solid" w:color="FFFFFF" w:fill="auto"/>
          </w:tcPr>
          <w:p w14:paraId="1136FFC0" w14:textId="77777777" w:rsidR="00590B83" w:rsidRPr="00BC0D1F" w:rsidRDefault="00590B83" w:rsidP="00590B83">
            <w:pPr>
              <w:pStyle w:val="TableText"/>
              <w:rPr>
                <w:b/>
              </w:rPr>
            </w:pPr>
            <w:r w:rsidRPr="00BC0D1F">
              <w:rPr>
                <w:b/>
              </w:rPr>
              <w:t>Net cash from operating activities</w:t>
            </w:r>
          </w:p>
        </w:tc>
        <w:tc>
          <w:tcPr>
            <w:tcW w:w="1228" w:type="dxa"/>
            <w:tcBorders>
              <w:top w:val="nil"/>
              <w:bottom w:val="single" w:sz="4" w:space="0" w:color="auto"/>
            </w:tcBorders>
            <w:shd w:val="clear" w:color="E3E3E3" w:fill="D9D9D9"/>
          </w:tcPr>
          <w:p w14:paraId="05FE1CD4" w14:textId="4016F4FB" w:rsidR="00590B83" w:rsidRPr="00BC0D1F" w:rsidRDefault="00590B83" w:rsidP="00C13BF2">
            <w:pPr>
              <w:pStyle w:val="TableText"/>
              <w:ind w:right="113"/>
              <w:jc w:val="right"/>
              <w:rPr>
                <w:b/>
              </w:rPr>
            </w:pPr>
            <w:r w:rsidRPr="00BC0D1F">
              <w:rPr>
                <w:b/>
              </w:rPr>
              <w:t>16,1</w:t>
            </w:r>
            <w:r w:rsidR="00C13BF2">
              <w:rPr>
                <w:b/>
              </w:rPr>
              <w:t>7</w:t>
            </w:r>
            <w:r w:rsidRPr="00BC0D1F">
              <w:rPr>
                <w:b/>
              </w:rPr>
              <w:t>6</w:t>
            </w:r>
          </w:p>
        </w:tc>
        <w:tc>
          <w:tcPr>
            <w:tcW w:w="1229" w:type="dxa"/>
            <w:tcBorders>
              <w:top w:val="nil"/>
              <w:bottom w:val="single" w:sz="4" w:space="0" w:color="auto"/>
            </w:tcBorders>
          </w:tcPr>
          <w:p w14:paraId="00A4ADB6" w14:textId="1C998FD5" w:rsidR="00590B83" w:rsidRPr="00BC0D1F" w:rsidRDefault="00C13BF2" w:rsidP="00590B83">
            <w:pPr>
              <w:pStyle w:val="TableText"/>
              <w:jc w:val="right"/>
              <w:rPr>
                <w:b/>
              </w:rPr>
            </w:pPr>
            <w:r>
              <w:rPr>
                <w:b/>
              </w:rPr>
              <w:t>5,077</w:t>
            </w:r>
          </w:p>
        </w:tc>
      </w:tr>
    </w:tbl>
    <w:p w14:paraId="10619A5C" w14:textId="77777777" w:rsidR="006A557B" w:rsidRPr="00BC0D1F" w:rsidRDefault="006A557B" w:rsidP="00590B83"/>
    <w:p w14:paraId="0B6B7678" w14:textId="1F7C7EE7" w:rsidR="006A557B" w:rsidRPr="00BC0D1F" w:rsidRDefault="006A557B" w:rsidP="00590B83">
      <w:pPr>
        <w:pStyle w:val="Heading3"/>
      </w:pPr>
      <w:r w:rsidRPr="00BC0D1F">
        <w:t>Note 1</w:t>
      </w:r>
      <w:r w:rsidR="00C13BF2">
        <w:t>4</w:t>
      </w:r>
      <w:r w:rsidRPr="00BC0D1F">
        <w:t>: Related party transactions</w:t>
      </w:r>
    </w:p>
    <w:p w14:paraId="34AC922A" w14:textId="77777777" w:rsidR="006A557B" w:rsidRPr="00BC0D1F" w:rsidRDefault="006A557B" w:rsidP="00590B83">
      <w:r w:rsidRPr="00BC0D1F">
        <w:t>The Ministry is a wholly owned entity of the Crown.</w:t>
      </w:r>
    </w:p>
    <w:p w14:paraId="5B70346A" w14:textId="77777777" w:rsidR="00590B83" w:rsidRPr="00BC0D1F" w:rsidRDefault="00590B83" w:rsidP="00590B83"/>
    <w:p w14:paraId="7A97BA92" w14:textId="77777777" w:rsidR="006A557B" w:rsidRPr="00BC0D1F" w:rsidRDefault="006A557B" w:rsidP="00590B83">
      <w:r w:rsidRPr="00BC0D1F">
        <w:t xml:space="preserve">Related party disclosures have not been made for transactions with related parties that are within a normal supplier </w:t>
      </w:r>
      <w:proofErr w:type="spellStart"/>
      <w:r w:rsidRPr="00BC0D1F">
        <w:t>or</w:t>
      </w:r>
      <w:proofErr w:type="spellEnd"/>
      <w:r w:rsidRPr="00BC0D1F">
        <w:t xml:space="preserve"> client/recipient relationship on terms and condition no more or less favourable than those that it is reasonable to expect the Ministry would have adopted in dealing with the party at arm’s length in the same circumstances. Further, transactions with other government agencies (for example, government departments and Crown entities) are not disclosed as related party transactions when they are consistent with the normal operating arrangements between government agencies and undertaken on the normal terms and conditions for such transactions.</w:t>
      </w:r>
    </w:p>
    <w:p w14:paraId="29DD5ABE" w14:textId="77777777" w:rsidR="006A557B" w:rsidRPr="00BC0D1F" w:rsidRDefault="006A557B" w:rsidP="00590B83"/>
    <w:p w14:paraId="2BEEED7D" w14:textId="77777777" w:rsidR="006A557B" w:rsidRPr="00BC0D1F" w:rsidRDefault="006A557B" w:rsidP="00590B83">
      <w:pPr>
        <w:pStyle w:val="Heading4"/>
      </w:pPr>
      <w:r w:rsidRPr="00BC0D1F">
        <w:lastRenderedPageBreak/>
        <w:t>Key management personnel compensation</w:t>
      </w:r>
    </w:p>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590B83" w:rsidRPr="00BC0D1F" w14:paraId="5785B6FF" w14:textId="77777777" w:rsidTr="00590B83">
        <w:trPr>
          <w:cantSplit/>
        </w:trPr>
        <w:tc>
          <w:tcPr>
            <w:tcW w:w="1134" w:type="dxa"/>
            <w:tcBorders>
              <w:top w:val="single" w:sz="4" w:space="0" w:color="auto"/>
              <w:bottom w:val="single" w:sz="4" w:space="0" w:color="auto"/>
              <w:right w:val="nil"/>
            </w:tcBorders>
            <w:shd w:val="solid" w:color="FFFFFF" w:fill="auto"/>
          </w:tcPr>
          <w:p w14:paraId="08198C4F" w14:textId="77777777" w:rsidR="00590B83" w:rsidRPr="00BC0D1F" w:rsidRDefault="00590B83" w:rsidP="00590B83">
            <w:pPr>
              <w:pStyle w:val="TableText"/>
              <w:keepN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57287981" w14:textId="77777777" w:rsidR="00590B83" w:rsidRPr="00BC0D1F" w:rsidRDefault="00590B83" w:rsidP="00590B83">
            <w:pPr>
              <w:pStyle w:val="TableText"/>
              <w:keepNext/>
              <w:rPr>
                <w:b/>
                <w:lang w:eastAsia="en-NZ"/>
              </w:rPr>
            </w:pPr>
          </w:p>
        </w:tc>
        <w:tc>
          <w:tcPr>
            <w:tcW w:w="1228" w:type="dxa"/>
            <w:tcBorders>
              <w:top w:val="single" w:sz="4" w:space="0" w:color="auto"/>
              <w:bottom w:val="single" w:sz="4" w:space="0" w:color="auto"/>
            </w:tcBorders>
            <w:shd w:val="clear" w:color="E3E3E3" w:fill="D9D9D9"/>
          </w:tcPr>
          <w:p w14:paraId="46CA3CA7" w14:textId="77777777" w:rsidR="00590B83" w:rsidRPr="00BC0D1F" w:rsidRDefault="00590B83" w:rsidP="00590B83">
            <w:pPr>
              <w:pStyle w:val="TableText"/>
              <w:keepN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590B83" w:rsidRPr="00BC0D1F" w14:paraId="7E143A7D" w14:textId="77777777" w:rsidTr="00590B83">
        <w:trPr>
          <w:cantSplit/>
        </w:trPr>
        <w:tc>
          <w:tcPr>
            <w:tcW w:w="1134" w:type="dxa"/>
            <w:tcBorders>
              <w:top w:val="single" w:sz="4" w:space="0" w:color="auto"/>
              <w:right w:val="nil"/>
            </w:tcBorders>
            <w:shd w:val="solid" w:color="FFFFFF" w:fill="auto"/>
          </w:tcPr>
          <w:p w14:paraId="3FCA36CB" w14:textId="77777777" w:rsidR="00590B83" w:rsidRPr="00BC0D1F" w:rsidRDefault="00590B83" w:rsidP="00590B83">
            <w:pPr>
              <w:pStyle w:val="TableText"/>
              <w:keepNext/>
              <w:ind w:right="284"/>
              <w:jc w:val="right"/>
            </w:pPr>
          </w:p>
        </w:tc>
        <w:tc>
          <w:tcPr>
            <w:tcW w:w="5812" w:type="dxa"/>
            <w:tcBorders>
              <w:top w:val="single" w:sz="4" w:space="0" w:color="auto"/>
              <w:left w:val="nil"/>
            </w:tcBorders>
            <w:shd w:val="solid" w:color="FFFFFF" w:fill="auto"/>
          </w:tcPr>
          <w:p w14:paraId="4BA4E1A3" w14:textId="77777777" w:rsidR="00590B83" w:rsidRPr="00BC0D1F" w:rsidRDefault="00590B83" w:rsidP="00590B83">
            <w:pPr>
              <w:pStyle w:val="TableText"/>
              <w:keepNext/>
            </w:pPr>
            <w:r w:rsidRPr="00BC0D1F">
              <w:t>Leadership Team, including the Chief Executive</w:t>
            </w:r>
          </w:p>
        </w:tc>
        <w:tc>
          <w:tcPr>
            <w:tcW w:w="1228" w:type="dxa"/>
            <w:tcBorders>
              <w:top w:val="single" w:sz="4" w:space="0" w:color="auto"/>
            </w:tcBorders>
            <w:shd w:val="clear" w:color="E3E3E3" w:fill="D9D9D9"/>
          </w:tcPr>
          <w:p w14:paraId="0F710688" w14:textId="77777777" w:rsidR="00590B83" w:rsidRPr="00BC0D1F" w:rsidRDefault="00590B83" w:rsidP="00590B83">
            <w:pPr>
              <w:pStyle w:val="TableText"/>
              <w:keepNext/>
              <w:ind w:right="113"/>
              <w:jc w:val="right"/>
            </w:pPr>
          </w:p>
        </w:tc>
      </w:tr>
      <w:tr w:rsidR="00590B83" w:rsidRPr="00BC0D1F" w14:paraId="293671A9" w14:textId="77777777" w:rsidTr="00590B83">
        <w:trPr>
          <w:cantSplit/>
        </w:trPr>
        <w:tc>
          <w:tcPr>
            <w:tcW w:w="1134" w:type="dxa"/>
            <w:tcBorders>
              <w:right w:val="nil"/>
            </w:tcBorders>
            <w:shd w:val="solid" w:color="FFFFFF" w:fill="auto"/>
          </w:tcPr>
          <w:p w14:paraId="6914B841" w14:textId="77777777" w:rsidR="00590B83" w:rsidRPr="00BC0D1F" w:rsidRDefault="00590B83" w:rsidP="00590B83">
            <w:pPr>
              <w:pStyle w:val="TableText"/>
              <w:keepNext/>
              <w:ind w:right="284"/>
              <w:jc w:val="right"/>
            </w:pPr>
            <w:r w:rsidRPr="00BC0D1F">
              <w:t>2,545</w:t>
            </w:r>
          </w:p>
        </w:tc>
        <w:tc>
          <w:tcPr>
            <w:tcW w:w="5812" w:type="dxa"/>
            <w:tcBorders>
              <w:left w:val="nil"/>
            </w:tcBorders>
            <w:shd w:val="solid" w:color="FFFFFF" w:fill="auto"/>
          </w:tcPr>
          <w:p w14:paraId="5AED96B7" w14:textId="77777777" w:rsidR="00590B83" w:rsidRPr="00BC0D1F" w:rsidRDefault="00590B83" w:rsidP="00590B83">
            <w:pPr>
              <w:pStyle w:val="TableText"/>
              <w:keepNext/>
            </w:pPr>
            <w:r w:rsidRPr="00BC0D1F">
              <w:t>Remuneration</w:t>
            </w:r>
          </w:p>
        </w:tc>
        <w:tc>
          <w:tcPr>
            <w:tcW w:w="1228" w:type="dxa"/>
            <w:shd w:val="clear" w:color="E3E3E3" w:fill="D9D9D9"/>
          </w:tcPr>
          <w:p w14:paraId="67BBC30B" w14:textId="7F3C58E3" w:rsidR="00590B83" w:rsidRPr="00BC0D1F" w:rsidRDefault="008619BE" w:rsidP="00590B83">
            <w:pPr>
              <w:pStyle w:val="TableText"/>
              <w:keepNext/>
              <w:ind w:right="113"/>
              <w:jc w:val="right"/>
            </w:pPr>
            <w:r>
              <w:t>3,690</w:t>
            </w:r>
          </w:p>
        </w:tc>
      </w:tr>
      <w:tr w:rsidR="00590B83" w:rsidRPr="00BC0D1F" w14:paraId="3D4E7BA9" w14:textId="77777777" w:rsidTr="00590B83">
        <w:trPr>
          <w:cantSplit/>
        </w:trPr>
        <w:tc>
          <w:tcPr>
            <w:tcW w:w="1134" w:type="dxa"/>
            <w:tcBorders>
              <w:right w:val="nil"/>
            </w:tcBorders>
            <w:shd w:val="solid" w:color="FFFFFF" w:fill="auto"/>
          </w:tcPr>
          <w:p w14:paraId="28B3331E" w14:textId="77777777" w:rsidR="00590B83" w:rsidRPr="00BC0D1F" w:rsidRDefault="00590B83" w:rsidP="00590B83">
            <w:pPr>
              <w:pStyle w:val="TableText"/>
              <w:ind w:right="284"/>
              <w:jc w:val="right"/>
            </w:pPr>
            <w:r w:rsidRPr="00BC0D1F">
              <w:t>8</w:t>
            </w:r>
          </w:p>
        </w:tc>
        <w:tc>
          <w:tcPr>
            <w:tcW w:w="5812" w:type="dxa"/>
            <w:tcBorders>
              <w:left w:val="nil"/>
            </w:tcBorders>
            <w:shd w:val="solid" w:color="FFFFFF" w:fill="auto"/>
          </w:tcPr>
          <w:p w14:paraId="7DBCCDC0" w14:textId="77777777" w:rsidR="00590B83" w:rsidRPr="00BC0D1F" w:rsidRDefault="00590B83" w:rsidP="00590B83">
            <w:pPr>
              <w:pStyle w:val="TableText"/>
            </w:pPr>
            <w:r w:rsidRPr="00BC0D1F">
              <w:t>Full-time equivalent staff</w:t>
            </w:r>
          </w:p>
        </w:tc>
        <w:tc>
          <w:tcPr>
            <w:tcW w:w="1228" w:type="dxa"/>
            <w:shd w:val="clear" w:color="E3E3E3" w:fill="D9D9D9"/>
          </w:tcPr>
          <w:p w14:paraId="4F2E465F" w14:textId="36491F01" w:rsidR="00590B83" w:rsidRPr="00BC0D1F" w:rsidRDefault="00A34148" w:rsidP="00590B83">
            <w:pPr>
              <w:pStyle w:val="TableText"/>
              <w:ind w:right="113"/>
              <w:jc w:val="right"/>
            </w:pPr>
            <w:r>
              <w:t>10</w:t>
            </w:r>
          </w:p>
        </w:tc>
      </w:tr>
    </w:tbl>
    <w:p w14:paraId="06EAD15F" w14:textId="77777777" w:rsidR="00590B83" w:rsidRPr="00BC0D1F" w:rsidRDefault="00590B83" w:rsidP="00590B83"/>
    <w:p w14:paraId="796EEE38" w14:textId="77777777" w:rsidR="006A557B" w:rsidRPr="00BC0D1F" w:rsidRDefault="006A557B" w:rsidP="00590B83">
      <w:r w:rsidRPr="00BC0D1F">
        <w:t>The above key management personnel disclosure excludes the Minister of Health. The Minister’s remuneration and other benefits are not received only for his role as a member of the key personnel of the Ministry. The Minister’s remuneration and other benefits are set by the Remuneration Authority under the Civil List 1979 and are paid under Permanent Legislative authority, and not paid by the Ministry of Health.</w:t>
      </w:r>
    </w:p>
    <w:p w14:paraId="2FB5C9D7" w14:textId="77777777" w:rsidR="00590B83" w:rsidRPr="00BC0D1F" w:rsidRDefault="00590B83" w:rsidP="00590B83"/>
    <w:p w14:paraId="6C0CFB5E" w14:textId="77777777" w:rsidR="006A557B" w:rsidRPr="00BC0D1F" w:rsidRDefault="006A557B" w:rsidP="00590B83">
      <w:r w:rsidRPr="00BC0D1F">
        <w:t>In December 2015, the Ministry of Health announced details of a new executive leadership structure to take effect on 1 March 2016. The 2016 figures include remuneration paid to former executive leadership members. Changes to the Ministry’s leadership structure will enable the Ministry to support the health sector to face the challenges of changing demographics, changing burden of disease, and rapid changes in technology.</w:t>
      </w:r>
    </w:p>
    <w:p w14:paraId="4914432D" w14:textId="77777777" w:rsidR="006A557B" w:rsidRPr="00BC0D1F" w:rsidRDefault="006A557B" w:rsidP="00590B83"/>
    <w:p w14:paraId="29620345" w14:textId="2881280D" w:rsidR="006A557B" w:rsidRPr="00BC0D1F" w:rsidRDefault="006A557B" w:rsidP="00590B83">
      <w:pPr>
        <w:pStyle w:val="Heading3"/>
      </w:pPr>
      <w:r w:rsidRPr="00BC0D1F">
        <w:t>Note 1</w:t>
      </w:r>
      <w:r w:rsidR="00C13BF2">
        <w:t>5</w:t>
      </w:r>
      <w:r w:rsidRPr="00BC0D1F">
        <w:t>: Events after the balance sheet date</w:t>
      </w:r>
    </w:p>
    <w:p w14:paraId="30243374" w14:textId="77777777" w:rsidR="006A557B" w:rsidRPr="00BC0D1F" w:rsidRDefault="006A557B" w:rsidP="00590B83">
      <w:r w:rsidRPr="00BC0D1F">
        <w:t>There are no significant events after the balance date.</w:t>
      </w:r>
    </w:p>
    <w:p w14:paraId="77D6A442" w14:textId="77777777" w:rsidR="006A557B" w:rsidRPr="00BC0D1F" w:rsidRDefault="006A557B" w:rsidP="00675A6F"/>
    <w:p w14:paraId="00685DE2" w14:textId="1DE3D637" w:rsidR="006A557B" w:rsidRPr="00BC0D1F" w:rsidRDefault="006A557B" w:rsidP="00675A6F">
      <w:pPr>
        <w:pStyle w:val="Heading3"/>
      </w:pPr>
      <w:r w:rsidRPr="00BC0D1F">
        <w:t>Note 1</w:t>
      </w:r>
      <w:r w:rsidR="00C13BF2">
        <w:t>6</w:t>
      </w:r>
      <w:r w:rsidRPr="00BC0D1F">
        <w:t xml:space="preserve">: Liquidity </w:t>
      </w:r>
      <w:r w:rsidR="00675A6F" w:rsidRPr="00BC0D1F">
        <w:t>r</w:t>
      </w:r>
      <w:r w:rsidRPr="00BC0D1F">
        <w:t>isk</w:t>
      </w:r>
    </w:p>
    <w:p w14:paraId="3EE65BC7" w14:textId="77777777" w:rsidR="006A557B" w:rsidRPr="00BC0D1F" w:rsidRDefault="006A557B" w:rsidP="00675A6F">
      <w:r w:rsidRPr="00BC0D1F">
        <w:t>Liquidity risk is the risk that the Ministry will encounter difficulty with raising liquid funds to meet its payment commitments as they fall due.</w:t>
      </w:r>
    </w:p>
    <w:p w14:paraId="265BAF5F" w14:textId="77777777" w:rsidR="00675A6F" w:rsidRPr="00BC0D1F" w:rsidRDefault="00675A6F" w:rsidP="00675A6F"/>
    <w:p w14:paraId="26639BB7" w14:textId="77777777" w:rsidR="006A557B" w:rsidRPr="00BC0D1F" w:rsidRDefault="006A557B" w:rsidP="00675A6F">
      <w:r w:rsidRPr="00BC0D1F">
        <w:t>In meeting its liquidity requirements the Ministry closely monitors its forecast cash requirements with expected cash draw-downs from the New Zealand Debt Management Office. The Ministry maintains a target level of available cash to meet its liquidity requirements.</w:t>
      </w:r>
    </w:p>
    <w:p w14:paraId="56598AE7" w14:textId="77777777" w:rsidR="00675A6F" w:rsidRPr="00BC0D1F" w:rsidRDefault="00675A6F" w:rsidP="00675A6F"/>
    <w:p w14:paraId="4432AE70" w14:textId="77777777" w:rsidR="00675A6F" w:rsidRPr="00BC0D1F" w:rsidRDefault="006A557B" w:rsidP="00675A6F">
      <w:r w:rsidRPr="00BC0D1F">
        <w:t>The table below analyses the Ministry’s financial liabilities that will be settled based on the remaining period at the balance date to the contracted maturity date. The amounts disclosed are the contracted undiscounted cash flows.</w:t>
      </w:r>
    </w:p>
    <w:p w14:paraId="675AD574" w14:textId="77777777" w:rsidR="00675A6F" w:rsidRPr="00BC0D1F" w:rsidRDefault="00675A6F" w:rsidP="00675A6F"/>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835"/>
        <w:gridCol w:w="1630"/>
        <w:gridCol w:w="2056"/>
        <w:gridCol w:w="1417"/>
        <w:gridCol w:w="1418"/>
      </w:tblGrid>
      <w:tr w:rsidR="00382192" w:rsidRPr="00BC0D1F" w14:paraId="6F70172B" w14:textId="77777777" w:rsidTr="00382192">
        <w:trPr>
          <w:cantSplit/>
        </w:trPr>
        <w:tc>
          <w:tcPr>
            <w:tcW w:w="2835" w:type="dxa"/>
            <w:tcBorders>
              <w:top w:val="single" w:sz="4" w:space="0" w:color="auto"/>
              <w:left w:val="nil"/>
              <w:bottom w:val="single" w:sz="4" w:space="0" w:color="auto"/>
            </w:tcBorders>
            <w:shd w:val="solid" w:color="FFFFFF" w:fill="auto"/>
          </w:tcPr>
          <w:p w14:paraId="22BBAA05" w14:textId="77777777" w:rsidR="00382192" w:rsidRPr="00BC0D1F" w:rsidRDefault="00382192" w:rsidP="00373692">
            <w:pPr>
              <w:pStyle w:val="TableText"/>
            </w:pPr>
          </w:p>
        </w:tc>
        <w:tc>
          <w:tcPr>
            <w:tcW w:w="1630" w:type="dxa"/>
            <w:tcBorders>
              <w:top w:val="single" w:sz="4" w:space="0" w:color="auto"/>
              <w:bottom w:val="single" w:sz="4" w:space="0" w:color="auto"/>
            </w:tcBorders>
            <w:shd w:val="clear" w:color="E3E3E3" w:fill="auto"/>
          </w:tcPr>
          <w:p w14:paraId="1476445B" w14:textId="77777777" w:rsidR="00382192" w:rsidRPr="00BC0D1F" w:rsidRDefault="00382192" w:rsidP="00382192">
            <w:pPr>
              <w:pStyle w:val="TableText"/>
              <w:jc w:val="right"/>
              <w:rPr>
                <w:b/>
              </w:rPr>
            </w:pPr>
            <w:r w:rsidRPr="00BC0D1F">
              <w:rPr>
                <w:b/>
              </w:rPr>
              <w:t>Less than 6 months</w:t>
            </w:r>
            <w:r w:rsidRPr="00BC0D1F">
              <w:rPr>
                <w:b/>
              </w:rPr>
              <w:br/>
              <w:t>$000</w:t>
            </w:r>
          </w:p>
        </w:tc>
        <w:tc>
          <w:tcPr>
            <w:tcW w:w="2056" w:type="dxa"/>
            <w:tcBorders>
              <w:top w:val="single" w:sz="4" w:space="0" w:color="auto"/>
              <w:bottom w:val="single" w:sz="4" w:space="0" w:color="auto"/>
            </w:tcBorders>
            <w:shd w:val="clear" w:color="E3E3E3" w:fill="auto"/>
          </w:tcPr>
          <w:p w14:paraId="182915ED" w14:textId="77777777" w:rsidR="00382192" w:rsidRPr="00BC0D1F" w:rsidRDefault="00382192" w:rsidP="00382192">
            <w:pPr>
              <w:pStyle w:val="TableText"/>
              <w:jc w:val="right"/>
              <w:rPr>
                <w:b/>
              </w:rPr>
            </w:pPr>
            <w:r w:rsidRPr="00BC0D1F">
              <w:rPr>
                <w:b/>
              </w:rPr>
              <w:t>Between 6 months and 1 year</w:t>
            </w:r>
            <w:r w:rsidRPr="00BC0D1F">
              <w:rPr>
                <w:b/>
              </w:rPr>
              <w:br/>
              <w:t>$000</w:t>
            </w:r>
          </w:p>
        </w:tc>
        <w:tc>
          <w:tcPr>
            <w:tcW w:w="1417" w:type="dxa"/>
            <w:tcBorders>
              <w:top w:val="single" w:sz="4" w:space="0" w:color="auto"/>
              <w:bottom w:val="single" w:sz="4" w:space="0" w:color="auto"/>
            </w:tcBorders>
            <w:shd w:val="solid" w:color="FFFFFF" w:fill="auto"/>
          </w:tcPr>
          <w:p w14:paraId="7B3AE7C8" w14:textId="77777777" w:rsidR="00382192" w:rsidRPr="00BC0D1F" w:rsidRDefault="00382192" w:rsidP="00382192">
            <w:pPr>
              <w:pStyle w:val="TableText"/>
              <w:jc w:val="right"/>
              <w:rPr>
                <w:b/>
              </w:rPr>
            </w:pPr>
            <w:r w:rsidRPr="00BC0D1F">
              <w:rPr>
                <w:b/>
              </w:rPr>
              <w:t>Between</w:t>
            </w:r>
            <w:r w:rsidRPr="00BC0D1F">
              <w:rPr>
                <w:b/>
              </w:rPr>
              <w:br/>
              <w:t>1 and 5 years</w:t>
            </w:r>
            <w:r w:rsidRPr="00BC0D1F">
              <w:rPr>
                <w:b/>
              </w:rPr>
              <w:br/>
              <w:t>$000</w:t>
            </w:r>
          </w:p>
        </w:tc>
        <w:tc>
          <w:tcPr>
            <w:tcW w:w="1418" w:type="dxa"/>
            <w:tcBorders>
              <w:top w:val="single" w:sz="4" w:space="0" w:color="auto"/>
              <w:bottom w:val="single" w:sz="4" w:space="0" w:color="auto"/>
            </w:tcBorders>
            <w:shd w:val="clear" w:color="auto" w:fill="auto"/>
          </w:tcPr>
          <w:p w14:paraId="1DDAD6D3" w14:textId="77777777" w:rsidR="00382192" w:rsidRPr="00BC0D1F" w:rsidRDefault="00382192" w:rsidP="00382192">
            <w:pPr>
              <w:pStyle w:val="TableText"/>
              <w:ind w:right="113"/>
              <w:jc w:val="right"/>
              <w:rPr>
                <w:b/>
              </w:rPr>
            </w:pPr>
            <w:r w:rsidRPr="00BC0D1F">
              <w:rPr>
                <w:b/>
              </w:rPr>
              <w:t>Over</w:t>
            </w:r>
            <w:r w:rsidRPr="00BC0D1F">
              <w:rPr>
                <w:b/>
              </w:rPr>
              <w:br/>
              <w:t>5 years</w:t>
            </w:r>
            <w:r w:rsidRPr="00BC0D1F">
              <w:rPr>
                <w:b/>
              </w:rPr>
              <w:br/>
              <w:t>$000</w:t>
            </w:r>
          </w:p>
        </w:tc>
      </w:tr>
      <w:tr w:rsidR="00382192" w:rsidRPr="00BC0D1F" w14:paraId="79A2F9FC" w14:textId="77777777" w:rsidTr="00382192">
        <w:trPr>
          <w:cantSplit/>
        </w:trPr>
        <w:tc>
          <w:tcPr>
            <w:tcW w:w="2835" w:type="dxa"/>
            <w:tcBorders>
              <w:top w:val="single" w:sz="4" w:space="0" w:color="auto"/>
              <w:left w:val="nil"/>
              <w:bottom w:val="nil"/>
            </w:tcBorders>
            <w:shd w:val="solid" w:color="FFFFFF" w:fill="auto"/>
          </w:tcPr>
          <w:p w14:paraId="3A35C781" w14:textId="77777777" w:rsidR="00382192" w:rsidRPr="00BC0D1F" w:rsidRDefault="00382192" w:rsidP="00373692">
            <w:pPr>
              <w:pStyle w:val="TableText"/>
              <w:rPr>
                <w:b/>
              </w:rPr>
            </w:pPr>
            <w:r w:rsidRPr="00BC0D1F">
              <w:rPr>
                <w:b/>
              </w:rPr>
              <w:t>2015</w:t>
            </w:r>
          </w:p>
        </w:tc>
        <w:tc>
          <w:tcPr>
            <w:tcW w:w="1630" w:type="dxa"/>
            <w:tcBorders>
              <w:top w:val="single" w:sz="4" w:space="0" w:color="auto"/>
              <w:bottom w:val="nil"/>
            </w:tcBorders>
            <w:shd w:val="clear" w:color="E3E3E3" w:fill="auto"/>
          </w:tcPr>
          <w:p w14:paraId="3C337582" w14:textId="77777777" w:rsidR="00382192" w:rsidRPr="00BC0D1F" w:rsidRDefault="00382192" w:rsidP="00382192">
            <w:pPr>
              <w:pStyle w:val="TableText"/>
              <w:jc w:val="right"/>
            </w:pPr>
          </w:p>
        </w:tc>
        <w:tc>
          <w:tcPr>
            <w:tcW w:w="2056" w:type="dxa"/>
            <w:tcBorders>
              <w:top w:val="single" w:sz="4" w:space="0" w:color="auto"/>
              <w:bottom w:val="nil"/>
            </w:tcBorders>
            <w:shd w:val="clear" w:color="E3E3E3" w:fill="auto"/>
          </w:tcPr>
          <w:p w14:paraId="1D2FC74F" w14:textId="77777777" w:rsidR="00382192" w:rsidRPr="00BC0D1F" w:rsidRDefault="00382192" w:rsidP="00382192">
            <w:pPr>
              <w:pStyle w:val="TableText"/>
              <w:jc w:val="right"/>
            </w:pPr>
          </w:p>
        </w:tc>
        <w:tc>
          <w:tcPr>
            <w:tcW w:w="1417" w:type="dxa"/>
            <w:tcBorders>
              <w:top w:val="single" w:sz="4" w:space="0" w:color="auto"/>
              <w:bottom w:val="nil"/>
            </w:tcBorders>
          </w:tcPr>
          <w:p w14:paraId="4CFDD553" w14:textId="77777777" w:rsidR="00382192" w:rsidRPr="00BC0D1F" w:rsidRDefault="00382192" w:rsidP="00382192">
            <w:pPr>
              <w:pStyle w:val="TableText"/>
              <w:jc w:val="right"/>
            </w:pPr>
          </w:p>
        </w:tc>
        <w:tc>
          <w:tcPr>
            <w:tcW w:w="1418" w:type="dxa"/>
            <w:tcBorders>
              <w:top w:val="single" w:sz="4" w:space="0" w:color="auto"/>
              <w:bottom w:val="nil"/>
            </w:tcBorders>
            <w:shd w:val="clear" w:color="auto" w:fill="auto"/>
          </w:tcPr>
          <w:p w14:paraId="40EDB0C3" w14:textId="77777777" w:rsidR="00382192" w:rsidRPr="00BC0D1F" w:rsidRDefault="00382192" w:rsidP="00382192">
            <w:pPr>
              <w:pStyle w:val="TableText"/>
              <w:ind w:right="113"/>
              <w:jc w:val="right"/>
            </w:pPr>
          </w:p>
        </w:tc>
      </w:tr>
      <w:tr w:rsidR="00382192" w:rsidRPr="00BC0D1F" w14:paraId="567E5800" w14:textId="77777777" w:rsidTr="00F06348">
        <w:trPr>
          <w:cantSplit/>
        </w:trPr>
        <w:tc>
          <w:tcPr>
            <w:tcW w:w="2835" w:type="dxa"/>
            <w:tcBorders>
              <w:top w:val="nil"/>
              <w:left w:val="nil"/>
              <w:bottom w:val="single" w:sz="4" w:space="0" w:color="A6A6A6"/>
            </w:tcBorders>
            <w:shd w:val="solid" w:color="FFFFFF" w:fill="auto"/>
          </w:tcPr>
          <w:p w14:paraId="7C5D2DE2" w14:textId="77777777" w:rsidR="00382192" w:rsidRPr="00BC0D1F" w:rsidRDefault="00382192" w:rsidP="00382192">
            <w:pPr>
              <w:pStyle w:val="TableText"/>
              <w:spacing w:before="0"/>
            </w:pPr>
            <w:r w:rsidRPr="00BC0D1F">
              <w:t>Creditors and other payables</w:t>
            </w:r>
          </w:p>
        </w:tc>
        <w:tc>
          <w:tcPr>
            <w:tcW w:w="1630" w:type="dxa"/>
            <w:tcBorders>
              <w:top w:val="nil"/>
              <w:bottom w:val="single" w:sz="4" w:space="0" w:color="A6A6A6"/>
            </w:tcBorders>
            <w:shd w:val="clear" w:color="E3E3E3" w:fill="auto"/>
          </w:tcPr>
          <w:p w14:paraId="1DB62254" w14:textId="77777777" w:rsidR="00382192" w:rsidRPr="00BC0D1F" w:rsidRDefault="00382192" w:rsidP="00382192">
            <w:pPr>
              <w:pStyle w:val="TableText"/>
              <w:spacing w:before="0"/>
              <w:jc w:val="right"/>
            </w:pPr>
            <w:r w:rsidRPr="00BC0D1F">
              <w:t>15,365</w:t>
            </w:r>
          </w:p>
        </w:tc>
        <w:tc>
          <w:tcPr>
            <w:tcW w:w="2056" w:type="dxa"/>
            <w:tcBorders>
              <w:top w:val="nil"/>
              <w:bottom w:val="single" w:sz="4" w:space="0" w:color="A6A6A6"/>
            </w:tcBorders>
            <w:shd w:val="clear" w:color="E3E3E3" w:fill="auto"/>
          </w:tcPr>
          <w:p w14:paraId="6F4FA14B" w14:textId="77777777" w:rsidR="00382192" w:rsidRPr="00BC0D1F" w:rsidRDefault="00382192" w:rsidP="00382192">
            <w:pPr>
              <w:pStyle w:val="TableText"/>
              <w:spacing w:before="0"/>
              <w:jc w:val="right"/>
            </w:pPr>
            <w:r w:rsidRPr="00BC0D1F">
              <w:t>–</w:t>
            </w:r>
          </w:p>
        </w:tc>
        <w:tc>
          <w:tcPr>
            <w:tcW w:w="1417" w:type="dxa"/>
            <w:tcBorders>
              <w:top w:val="nil"/>
              <w:bottom w:val="single" w:sz="4" w:space="0" w:color="A6A6A6"/>
            </w:tcBorders>
          </w:tcPr>
          <w:p w14:paraId="5CEB9D99" w14:textId="77777777" w:rsidR="00382192" w:rsidRPr="00BC0D1F" w:rsidRDefault="00382192" w:rsidP="00382192">
            <w:pPr>
              <w:pStyle w:val="TableText"/>
              <w:spacing w:before="0"/>
              <w:jc w:val="right"/>
            </w:pPr>
            <w:r w:rsidRPr="00BC0D1F">
              <w:t>–</w:t>
            </w:r>
          </w:p>
        </w:tc>
        <w:tc>
          <w:tcPr>
            <w:tcW w:w="1418" w:type="dxa"/>
            <w:tcBorders>
              <w:top w:val="nil"/>
              <w:bottom w:val="single" w:sz="4" w:space="0" w:color="A6A6A6"/>
            </w:tcBorders>
            <w:shd w:val="clear" w:color="auto" w:fill="auto"/>
          </w:tcPr>
          <w:p w14:paraId="5609F163" w14:textId="77777777" w:rsidR="00382192" w:rsidRPr="00BC0D1F" w:rsidRDefault="00382192" w:rsidP="00382192">
            <w:pPr>
              <w:pStyle w:val="TableText"/>
              <w:spacing w:before="0"/>
              <w:ind w:right="113"/>
              <w:jc w:val="right"/>
            </w:pPr>
            <w:r w:rsidRPr="00BC0D1F">
              <w:t>–</w:t>
            </w:r>
          </w:p>
        </w:tc>
      </w:tr>
      <w:tr w:rsidR="00382192" w:rsidRPr="00BC0D1F" w14:paraId="7500D06E" w14:textId="77777777" w:rsidTr="00F06348">
        <w:trPr>
          <w:cantSplit/>
        </w:trPr>
        <w:tc>
          <w:tcPr>
            <w:tcW w:w="2835" w:type="dxa"/>
            <w:tcBorders>
              <w:top w:val="single" w:sz="4" w:space="0" w:color="A6A6A6"/>
              <w:left w:val="nil"/>
              <w:bottom w:val="nil"/>
            </w:tcBorders>
            <w:shd w:val="solid" w:color="FFFFFF" w:fill="auto"/>
          </w:tcPr>
          <w:p w14:paraId="4802ED90" w14:textId="77777777" w:rsidR="00382192" w:rsidRPr="00BC0D1F" w:rsidRDefault="00382192" w:rsidP="00373692">
            <w:pPr>
              <w:pStyle w:val="TableText"/>
              <w:rPr>
                <w:b/>
              </w:rPr>
            </w:pPr>
            <w:r w:rsidRPr="00BC0D1F">
              <w:rPr>
                <w:b/>
              </w:rPr>
              <w:t>2016</w:t>
            </w:r>
          </w:p>
        </w:tc>
        <w:tc>
          <w:tcPr>
            <w:tcW w:w="1630" w:type="dxa"/>
            <w:tcBorders>
              <w:top w:val="single" w:sz="4" w:space="0" w:color="A6A6A6"/>
              <w:bottom w:val="nil"/>
            </w:tcBorders>
            <w:shd w:val="clear" w:color="E3E3E3" w:fill="auto"/>
          </w:tcPr>
          <w:p w14:paraId="336086EE" w14:textId="77777777" w:rsidR="00382192" w:rsidRPr="00BC0D1F" w:rsidRDefault="00382192" w:rsidP="00382192">
            <w:pPr>
              <w:pStyle w:val="TableText"/>
              <w:jc w:val="right"/>
            </w:pPr>
          </w:p>
        </w:tc>
        <w:tc>
          <w:tcPr>
            <w:tcW w:w="2056" w:type="dxa"/>
            <w:tcBorders>
              <w:top w:val="single" w:sz="4" w:space="0" w:color="A6A6A6"/>
              <w:bottom w:val="nil"/>
            </w:tcBorders>
            <w:shd w:val="clear" w:color="E3E3E3" w:fill="auto"/>
          </w:tcPr>
          <w:p w14:paraId="1925153B" w14:textId="77777777" w:rsidR="00382192" w:rsidRPr="00BC0D1F" w:rsidRDefault="00382192" w:rsidP="00382192">
            <w:pPr>
              <w:pStyle w:val="TableText"/>
              <w:jc w:val="right"/>
            </w:pPr>
          </w:p>
        </w:tc>
        <w:tc>
          <w:tcPr>
            <w:tcW w:w="1417" w:type="dxa"/>
            <w:tcBorders>
              <w:top w:val="single" w:sz="4" w:space="0" w:color="A6A6A6"/>
              <w:bottom w:val="nil"/>
            </w:tcBorders>
          </w:tcPr>
          <w:p w14:paraId="3EAC37D3" w14:textId="77777777" w:rsidR="00382192" w:rsidRPr="00BC0D1F" w:rsidRDefault="00382192" w:rsidP="00382192">
            <w:pPr>
              <w:pStyle w:val="TableText"/>
              <w:jc w:val="right"/>
            </w:pPr>
          </w:p>
        </w:tc>
        <w:tc>
          <w:tcPr>
            <w:tcW w:w="1418" w:type="dxa"/>
            <w:tcBorders>
              <w:top w:val="single" w:sz="4" w:space="0" w:color="A6A6A6"/>
              <w:bottom w:val="nil"/>
            </w:tcBorders>
            <w:shd w:val="clear" w:color="auto" w:fill="auto"/>
          </w:tcPr>
          <w:p w14:paraId="6FE666C0" w14:textId="77777777" w:rsidR="00382192" w:rsidRPr="00BC0D1F" w:rsidRDefault="00382192" w:rsidP="00382192">
            <w:pPr>
              <w:pStyle w:val="TableText"/>
              <w:ind w:right="113"/>
              <w:jc w:val="right"/>
            </w:pPr>
          </w:p>
        </w:tc>
      </w:tr>
      <w:tr w:rsidR="00382192" w:rsidRPr="00BC0D1F" w14:paraId="1D405EF8" w14:textId="77777777" w:rsidTr="00382192">
        <w:trPr>
          <w:cantSplit/>
        </w:trPr>
        <w:tc>
          <w:tcPr>
            <w:tcW w:w="2835" w:type="dxa"/>
            <w:tcBorders>
              <w:top w:val="nil"/>
              <w:left w:val="nil"/>
              <w:bottom w:val="single" w:sz="4" w:space="0" w:color="auto"/>
            </w:tcBorders>
            <w:shd w:val="solid" w:color="FFFFFF" w:fill="auto"/>
          </w:tcPr>
          <w:p w14:paraId="3B48EF64" w14:textId="77777777" w:rsidR="00382192" w:rsidRPr="00BC0D1F" w:rsidRDefault="00382192" w:rsidP="00382192">
            <w:pPr>
              <w:pStyle w:val="TableText"/>
              <w:spacing w:before="0"/>
            </w:pPr>
            <w:r w:rsidRPr="00BC0D1F">
              <w:t>Creditors and other payables</w:t>
            </w:r>
          </w:p>
        </w:tc>
        <w:tc>
          <w:tcPr>
            <w:tcW w:w="1630" w:type="dxa"/>
            <w:tcBorders>
              <w:top w:val="nil"/>
              <w:bottom w:val="single" w:sz="4" w:space="0" w:color="auto"/>
            </w:tcBorders>
            <w:shd w:val="clear" w:color="E3E3E3" w:fill="auto"/>
          </w:tcPr>
          <w:p w14:paraId="7814AAAA" w14:textId="77777777" w:rsidR="00382192" w:rsidRPr="00BC0D1F" w:rsidRDefault="00382192" w:rsidP="00382192">
            <w:pPr>
              <w:pStyle w:val="TableText"/>
              <w:spacing w:before="0"/>
              <w:jc w:val="right"/>
            </w:pPr>
            <w:r w:rsidRPr="00BC0D1F">
              <w:t>11,731</w:t>
            </w:r>
          </w:p>
        </w:tc>
        <w:tc>
          <w:tcPr>
            <w:tcW w:w="2056" w:type="dxa"/>
            <w:tcBorders>
              <w:top w:val="nil"/>
              <w:bottom w:val="single" w:sz="4" w:space="0" w:color="auto"/>
            </w:tcBorders>
            <w:shd w:val="clear" w:color="E3E3E3" w:fill="auto"/>
          </w:tcPr>
          <w:p w14:paraId="4BE425B5" w14:textId="77777777" w:rsidR="00382192" w:rsidRPr="00BC0D1F" w:rsidRDefault="00382192" w:rsidP="00382192">
            <w:pPr>
              <w:pStyle w:val="TableText"/>
              <w:spacing w:before="0"/>
              <w:jc w:val="right"/>
            </w:pPr>
            <w:r w:rsidRPr="00BC0D1F">
              <w:t>–</w:t>
            </w:r>
          </w:p>
        </w:tc>
        <w:tc>
          <w:tcPr>
            <w:tcW w:w="1417" w:type="dxa"/>
            <w:tcBorders>
              <w:top w:val="nil"/>
              <w:bottom w:val="single" w:sz="4" w:space="0" w:color="auto"/>
            </w:tcBorders>
          </w:tcPr>
          <w:p w14:paraId="0A87649A" w14:textId="77777777" w:rsidR="00382192" w:rsidRPr="00BC0D1F" w:rsidRDefault="00382192" w:rsidP="00382192">
            <w:pPr>
              <w:pStyle w:val="TableText"/>
              <w:spacing w:before="0"/>
              <w:jc w:val="right"/>
            </w:pPr>
            <w:r w:rsidRPr="00BC0D1F">
              <w:t>–</w:t>
            </w:r>
          </w:p>
        </w:tc>
        <w:tc>
          <w:tcPr>
            <w:tcW w:w="1418" w:type="dxa"/>
            <w:tcBorders>
              <w:top w:val="nil"/>
              <w:bottom w:val="single" w:sz="4" w:space="0" w:color="auto"/>
            </w:tcBorders>
            <w:shd w:val="clear" w:color="auto" w:fill="auto"/>
          </w:tcPr>
          <w:p w14:paraId="072B253E" w14:textId="77777777" w:rsidR="00382192" w:rsidRPr="00BC0D1F" w:rsidRDefault="00382192" w:rsidP="00382192">
            <w:pPr>
              <w:pStyle w:val="TableText"/>
              <w:spacing w:before="0"/>
              <w:ind w:right="113"/>
              <w:jc w:val="right"/>
            </w:pPr>
            <w:r w:rsidRPr="00BC0D1F">
              <w:t>–</w:t>
            </w:r>
          </w:p>
        </w:tc>
      </w:tr>
    </w:tbl>
    <w:p w14:paraId="49880059" w14:textId="77777777" w:rsidR="00461C15" w:rsidRPr="00BC0D1F" w:rsidRDefault="00461C15" w:rsidP="00675A6F"/>
    <w:p w14:paraId="01822F47" w14:textId="688E3D10" w:rsidR="006A557B" w:rsidRPr="00BC0D1F" w:rsidRDefault="006A557B" w:rsidP="00382192">
      <w:pPr>
        <w:pStyle w:val="Heading3"/>
      </w:pPr>
      <w:r w:rsidRPr="00BC0D1F">
        <w:lastRenderedPageBreak/>
        <w:t>Note 1</w:t>
      </w:r>
      <w:r w:rsidR="00C13BF2">
        <w:t>7</w:t>
      </w:r>
      <w:r w:rsidRPr="00BC0D1F">
        <w:t>: Memorandum accounts</w:t>
      </w:r>
    </w:p>
    <w:p w14:paraId="7A5C5B34" w14:textId="77777777" w:rsidR="006A557B" w:rsidRPr="00BC0D1F" w:rsidRDefault="006A557B" w:rsidP="00382192">
      <w:pPr>
        <w:keepNext/>
        <w:rPr>
          <w:lang w:eastAsia="en-NZ"/>
        </w:rPr>
      </w:pPr>
      <w:r w:rsidRPr="00BC0D1F">
        <w:rPr>
          <w:lang w:eastAsia="en-NZ"/>
        </w:rPr>
        <w:t>The accumulated surpluses</w:t>
      </w:r>
      <w:proofErr w:type="gramStart"/>
      <w:r w:rsidRPr="00BC0D1F">
        <w:rPr>
          <w:lang w:eastAsia="en-NZ"/>
        </w:rPr>
        <w:t>/(</w:t>
      </w:r>
      <w:proofErr w:type="gramEnd"/>
      <w:r w:rsidRPr="00BC0D1F">
        <w:rPr>
          <w:lang w:eastAsia="en-NZ"/>
        </w:rPr>
        <w:t>losses) during the year result in a net increase/(decrease) in the memorandum accounts of ($1,300).</w:t>
      </w:r>
    </w:p>
    <w:p w14:paraId="4423E4BC" w14:textId="77777777" w:rsidR="006A557B" w:rsidRPr="00BC0D1F" w:rsidRDefault="006A557B" w:rsidP="00382192">
      <w:pPr>
        <w:keepNext/>
      </w:pPr>
    </w:p>
    <w:p w14:paraId="300AD5A4" w14:textId="4852CD8E" w:rsidR="006A557B" w:rsidRPr="00BC0D1F" w:rsidRDefault="006A557B" w:rsidP="00382192">
      <w:pPr>
        <w:pStyle w:val="Heading4"/>
      </w:pPr>
      <w:r w:rsidRPr="00BC0D1F">
        <w:t xml:space="preserve">Summary of </w:t>
      </w:r>
      <w:r w:rsidR="00382192" w:rsidRPr="00BC0D1F">
        <w:t>m</w:t>
      </w:r>
      <w:r w:rsidRPr="00BC0D1F">
        <w:t xml:space="preserve">emorandum </w:t>
      </w:r>
      <w:r w:rsidR="00382192" w:rsidRPr="00BC0D1F">
        <w:t>a</w:t>
      </w:r>
      <w:r w:rsidRPr="00BC0D1F">
        <w:t>ccounts</w:t>
      </w:r>
    </w:p>
    <w:tbl>
      <w:tblPr>
        <w:tblW w:w="5481"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4253"/>
        <w:gridCol w:w="1228"/>
      </w:tblGrid>
      <w:tr w:rsidR="00465C19" w:rsidRPr="00BC0D1F" w14:paraId="69C50A1E" w14:textId="77777777" w:rsidTr="00110096">
        <w:trPr>
          <w:cantSplit/>
        </w:trPr>
        <w:tc>
          <w:tcPr>
            <w:tcW w:w="4253" w:type="dxa"/>
            <w:tcBorders>
              <w:top w:val="nil"/>
              <w:bottom w:val="nil"/>
            </w:tcBorders>
            <w:shd w:val="solid" w:color="FFFFFF" w:fill="auto"/>
          </w:tcPr>
          <w:p w14:paraId="2AB2CA26" w14:textId="77777777" w:rsidR="00465C19" w:rsidRPr="00BC0D1F" w:rsidRDefault="00465C19" w:rsidP="00465C19">
            <w:pPr>
              <w:pStyle w:val="TableText"/>
              <w:rPr>
                <w:b/>
              </w:rPr>
            </w:pPr>
            <w:r w:rsidRPr="00BC0D1F">
              <w:rPr>
                <w:b/>
              </w:rPr>
              <w:t>Opening balance</w:t>
            </w:r>
          </w:p>
        </w:tc>
        <w:tc>
          <w:tcPr>
            <w:tcW w:w="1228" w:type="dxa"/>
            <w:tcBorders>
              <w:top w:val="nil"/>
              <w:bottom w:val="nil"/>
            </w:tcBorders>
            <w:shd w:val="clear" w:color="E3E3E3" w:fill="auto"/>
          </w:tcPr>
          <w:p w14:paraId="2801D7EB" w14:textId="77777777" w:rsidR="00465C19" w:rsidRPr="00BC0D1F" w:rsidRDefault="00465C19" w:rsidP="00465C19">
            <w:pPr>
              <w:pStyle w:val="TableText"/>
              <w:jc w:val="right"/>
            </w:pPr>
          </w:p>
        </w:tc>
      </w:tr>
      <w:tr w:rsidR="00110096" w:rsidRPr="00BC0D1F" w14:paraId="3ADEF5B9" w14:textId="77777777" w:rsidTr="00110096">
        <w:trPr>
          <w:cantSplit/>
        </w:trPr>
        <w:tc>
          <w:tcPr>
            <w:tcW w:w="4253" w:type="dxa"/>
            <w:shd w:val="solid" w:color="FFFFFF" w:fill="auto"/>
          </w:tcPr>
          <w:p w14:paraId="290F8DC8" w14:textId="77777777" w:rsidR="00110096" w:rsidRPr="00BC0D1F" w:rsidRDefault="00110096" w:rsidP="00FD1153">
            <w:pPr>
              <w:pStyle w:val="TableText"/>
            </w:pPr>
            <w:r w:rsidRPr="00BC0D1F">
              <w:t>Problem Gambling</w:t>
            </w:r>
          </w:p>
        </w:tc>
        <w:tc>
          <w:tcPr>
            <w:tcW w:w="1228" w:type="dxa"/>
            <w:tcBorders>
              <w:top w:val="nil"/>
              <w:bottom w:val="nil"/>
            </w:tcBorders>
            <w:shd w:val="clear" w:color="E3E3E3" w:fill="auto"/>
          </w:tcPr>
          <w:p w14:paraId="54BEE834" w14:textId="77777777" w:rsidR="00110096" w:rsidRPr="00BC0D1F" w:rsidRDefault="00110096" w:rsidP="00FD1153">
            <w:pPr>
              <w:pStyle w:val="TableText"/>
              <w:jc w:val="right"/>
            </w:pPr>
            <w:r w:rsidRPr="00BC0D1F">
              <w:t>(516)</w:t>
            </w:r>
          </w:p>
        </w:tc>
      </w:tr>
      <w:tr w:rsidR="00465C19" w:rsidRPr="00BC0D1F" w14:paraId="0D70BC66" w14:textId="77777777" w:rsidTr="00465C19">
        <w:trPr>
          <w:cantSplit/>
        </w:trPr>
        <w:tc>
          <w:tcPr>
            <w:tcW w:w="4253" w:type="dxa"/>
            <w:tcBorders>
              <w:top w:val="nil"/>
              <w:bottom w:val="nil"/>
            </w:tcBorders>
            <w:shd w:val="solid" w:color="FFFFFF" w:fill="auto"/>
          </w:tcPr>
          <w:p w14:paraId="47220022" w14:textId="77777777" w:rsidR="00465C19" w:rsidRPr="00BC0D1F" w:rsidRDefault="00465C19" w:rsidP="00465C19">
            <w:pPr>
              <w:pStyle w:val="TableText"/>
            </w:pPr>
            <w:r w:rsidRPr="00BC0D1F">
              <w:t>Office of Radiation Safety</w:t>
            </w:r>
          </w:p>
        </w:tc>
        <w:tc>
          <w:tcPr>
            <w:tcW w:w="1228" w:type="dxa"/>
            <w:tcBorders>
              <w:top w:val="nil"/>
              <w:bottom w:val="nil"/>
            </w:tcBorders>
            <w:shd w:val="clear" w:color="E3E3E3" w:fill="auto"/>
          </w:tcPr>
          <w:p w14:paraId="7E6BED04" w14:textId="77777777" w:rsidR="00465C19" w:rsidRPr="00BC0D1F" w:rsidRDefault="00465C19" w:rsidP="00465C19">
            <w:pPr>
              <w:pStyle w:val="TableText"/>
              <w:jc w:val="right"/>
            </w:pPr>
            <w:r w:rsidRPr="00BC0D1F">
              <w:t>973</w:t>
            </w:r>
          </w:p>
        </w:tc>
      </w:tr>
      <w:tr w:rsidR="00465C19" w:rsidRPr="00BC0D1F" w14:paraId="60731D21" w14:textId="77777777" w:rsidTr="00465C19">
        <w:trPr>
          <w:cantSplit/>
        </w:trPr>
        <w:tc>
          <w:tcPr>
            <w:tcW w:w="4253" w:type="dxa"/>
            <w:tcBorders>
              <w:top w:val="nil"/>
            </w:tcBorders>
            <w:shd w:val="solid" w:color="FFFFFF" w:fill="auto"/>
          </w:tcPr>
          <w:p w14:paraId="38F857F7" w14:textId="77777777" w:rsidR="00465C19" w:rsidRPr="00BC0D1F" w:rsidRDefault="00465C19" w:rsidP="00465C19">
            <w:pPr>
              <w:pStyle w:val="TableText"/>
            </w:pPr>
            <w:proofErr w:type="spellStart"/>
            <w:r w:rsidRPr="00BC0D1F">
              <w:t>Medsafe</w:t>
            </w:r>
            <w:proofErr w:type="spellEnd"/>
          </w:p>
        </w:tc>
        <w:tc>
          <w:tcPr>
            <w:tcW w:w="1228" w:type="dxa"/>
            <w:tcBorders>
              <w:top w:val="nil"/>
            </w:tcBorders>
            <w:shd w:val="clear" w:color="E3E3E3" w:fill="auto"/>
          </w:tcPr>
          <w:p w14:paraId="2A538070" w14:textId="77777777" w:rsidR="00465C19" w:rsidRPr="00BC0D1F" w:rsidRDefault="00465C19" w:rsidP="00465C19">
            <w:pPr>
              <w:pStyle w:val="TableText"/>
              <w:jc w:val="right"/>
            </w:pPr>
            <w:r w:rsidRPr="00BC0D1F">
              <w:t>2,636</w:t>
            </w:r>
          </w:p>
        </w:tc>
      </w:tr>
      <w:tr w:rsidR="00465C19" w:rsidRPr="00BC0D1F" w14:paraId="096C0C50" w14:textId="77777777" w:rsidTr="00465C19">
        <w:trPr>
          <w:cantSplit/>
        </w:trPr>
        <w:tc>
          <w:tcPr>
            <w:tcW w:w="4253" w:type="dxa"/>
            <w:shd w:val="solid" w:color="FFFFFF" w:fill="auto"/>
          </w:tcPr>
          <w:p w14:paraId="105B3D59" w14:textId="77777777" w:rsidR="00465C19" w:rsidRPr="00BC0D1F" w:rsidRDefault="00465C19" w:rsidP="00465C19">
            <w:pPr>
              <w:pStyle w:val="TableText"/>
              <w:rPr>
                <w:b/>
              </w:rPr>
            </w:pPr>
            <w:r w:rsidRPr="00BC0D1F">
              <w:rPr>
                <w:b/>
              </w:rPr>
              <w:t>Opening equity balance</w:t>
            </w:r>
          </w:p>
        </w:tc>
        <w:tc>
          <w:tcPr>
            <w:tcW w:w="1228" w:type="dxa"/>
            <w:tcBorders>
              <w:top w:val="single" w:sz="4" w:space="0" w:color="auto"/>
              <w:bottom w:val="double" w:sz="4" w:space="0" w:color="auto"/>
            </w:tcBorders>
            <w:shd w:val="clear" w:color="E3E3E3" w:fill="auto"/>
          </w:tcPr>
          <w:p w14:paraId="174D3EB9" w14:textId="77777777" w:rsidR="00465C19" w:rsidRPr="00BC0D1F" w:rsidRDefault="00465C19" w:rsidP="00465C19">
            <w:pPr>
              <w:pStyle w:val="TableText"/>
              <w:jc w:val="right"/>
            </w:pPr>
            <w:r w:rsidRPr="00BC0D1F">
              <w:t>3,093</w:t>
            </w:r>
          </w:p>
        </w:tc>
      </w:tr>
      <w:tr w:rsidR="00465C19" w:rsidRPr="00BC0D1F" w14:paraId="7D11D65C" w14:textId="77777777" w:rsidTr="00465C19">
        <w:trPr>
          <w:cantSplit/>
        </w:trPr>
        <w:tc>
          <w:tcPr>
            <w:tcW w:w="4253" w:type="dxa"/>
            <w:shd w:val="solid" w:color="FFFFFF" w:fill="auto"/>
          </w:tcPr>
          <w:p w14:paraId="11210905" w14:textId="77777777" w:rsidR="00465C19" w:rsidRPr="00BC0D1F" w:rsidRDefault="00465C19" w:rsidP="00465C19">
            <w:pPr>
              <w:pStyle w:val="TableText"/>
              <w:spacing w:before="240"/>
              <w:rPr>
                <w:b/>
              </w:rPr>
            </w:pPr>
            <w:r w:rsidRPr="00BC0D1F">
              <w:rPr>
                <w:b/>
              </w:rPr>
              <w:t>2015/16 revenue and appropriation</w:t>
            </w:r>
          </w:p>
        </w:tc>
        <w:tc>
          <w:tcPr>
            <w:tcW w:w="1228" w:type="dxa"/>
            <w:tcBorders>
              <w:top w:val="double" w:sz="4" w:space="0" w:color="auto"/>
            </w:tcBorders>
            <w:shd w:val="clear" w:color="E3E3E3" w:fill="auto"/>
          </w:tcPr>
          <w:p w14:paraId="3B63C1E2" w14:textId="77777777" w:rsidR="00465C19" w:rsidRPr="00BC0D1F" w:rsidRDefault="00465C19" w:rsidP="00465C19">
            <w:pPr>
              <w:pStyle w:val="TableText"/>
              <w:spacing w:before="240"/>
              <w:jc w:val="right"/>
              <w:rPr>
                <w:b/>
              </w:rPr>
            </w:pPr>
          </w:p>
        </w:tc>
      </w:tr>
      <w:tr w:rsidR="00110096" w:rsidRPr="00BC0D1F" w14:paraId="289BBD8E" w14:textId="77777777" w:rsidTr="00465C19">
        <w:trPr>
          <w:cantSplit/>
        </w:trPr>
        <w:tc>
          <w:tcPr>
            <w:tcW w:w="4253" w:type="dxa"/>
            <w:shd w:val="solid" w:color="FFFFFF" w:fill="auto"/>
          </w:tcPr>
          <w:p w14:paraId="13CE9F31" w14:textId="6DF70E16" w:rsidR="00110096" w:rsidRPr="00BC0D1F" w:rsidRDefault="00110096" w:rsidP="00465C19">
            <w:pPr>
              <w:pStyle w:val="TableText"/>
            </w:pPr>
            <w:r w:rsidRPr="00BC0D1F">
              <w:t>Problem Gambling appropriation</w:t>
            </w:r>
          </w:p>
        </w:tc>
        <w:tc>
          <w:tcPr>
            <w:tcW w:w="1228" w:type="dxa"/>
            <w:shd w:val="clear" w:color="E3E3E3" w:fill="auto"/>
          </w:tcPr>
          <w:p w14:paraId="78BDE8DF" w14:textId="39E45AA1" w:rsidR="00110096" w:rsidRPr="00BC0D1F" w:rsidRDefault="00110096" w:rsidP="00465C19">
            <w:pPr>
              <w:pStyle w:val="TableText"/>
              <w:jc w:val="right"/>
            </w:pPr>
            <w:r w:rsidRPr="00BC0D1F">
              <w:t>1,001</w:t>
            </w:r>
          </w:p>
        </w:tc>
      </w:tr>
      <w:tr w:rsidR="00110096" w:rsidRPr="00BC0D1F" w14:paraId="43328008" w14:textId="77777777" w:rsidTr="00465C19">
        <w:trPr>
          <w:cantSplit/>
        </w:trPr>
        <w:tc>
          <w:tcPr>
            <w:tcW w:w="4253" w:type="dxa"/>
            <w:shd w:val="solid" w:color="FFFFFF" w:fill="auto"/>
          </w:tcPr>
          <w:p w14:paraId="305990C4" w14:textId="77777777" w:rsidR="00110096" w:rsidRPr="00BC0D1F" w:rsidRDefault="00110096" w:rsidP="00465C19">
            <w:pPr>
              <w:pStyle w:val="TableText"/>
            </w:pPr>
            <w:r w:rsidRPr="00BC0D1F">
              <w:t>Office of Radiation Safety revenue</w:t>
            </w:r>
          </w:p>
        </w:tc>
        <w:tc>
          <w:tcPr>
            <w:tcW w:w="1228" w:type="dxa"/>
            <w:shd w:val="clear" w:color="E3E3E3" w:fill="auto"/>
          </w:tcPr>
          <w:p w14:paraId="77138717" w14:textId="77777777" w:rsidR="00110096" w:rsidRPr="00BC0D1F" w:rsidRDefault="00110096" w:rsidP="00465C19">
            <w:pPr>
              <w:pStyle w:val="TableText"/>
              <w:jc w:val="right"/>
            </w:pPr>
            <w:r w:rsidRPr="00BC0D1F">
              <w:t>919</w:t>
            </w:r>
          </w:p>
        </w:tc>
      </w:tr>
      <w:tr w:rsidR="00110096" w:rsidRPr="00BC0D1F" w14:paraId="35F4BE16" w14:textId="77777777" w:rsidTr="00465C19">
        <w:trPr>
          <w:cantSplit/>
        </w:trPr>
        <w:tc>
          <w:tcPr>
            <w:tcW w:w="4253" w:type="dxa"/>
            <w:shd w:val="solid" w:color="FFFFFF" w:fill="auto"/>
          </w:tcPr>
          <w:p w14:paraId="0366845B" w14:textId="77777777" w:rsidR="00110096" w:rsidRPr="00BC0D1F" w:rsidRDefault="00110096" w:rsidP="00465C19">
            <w:pPr>
              <w:pStyle w:val="TableText"/>
            </w:pPr>
            <w:proofErr w:type="spellStart"/>
            <w:r w:rsidRPr="00BC0D1F">
              <w:t>Medsafe</w:t>
            </w:r>
            <w:proofErr w:type="spellEnd"/>
            <w:r w:rsidRPr="00BC0D1F">
              <w:t xml:space="preserve"> revenue</w:t>
            </w:r>
          </w:p>
        </w:tc>
        <w:tc>
          <w:tcPr>
            <w:tcW w:w="1228" w:type="dxa"/>
            <w:shd w:val="clear" w:color="E3E3E3" w:fill="auto"/>
          </w:tcPr>
          <w:p w14:paraId="0EF05B8C" w14:textId="77777777" w:rsidR="00110096" w:rsidRPr="00BC0D1F" w:rsidRDefault="00110096" w:rsidP="00465C19">
            <w:pPr>
              <w:pStyle w:val="TableText"/>
              <w:jc w:val="right"/>
            </w:pPr>
            <w:r w:rsidRPr="00BC0D1F">
              <w:t>7,427</w:t>
            </w:r>
          </w:p>
        </w:tc>
      </w:tr>
      <w:tr w:rsidR="00110096" w:rsidRPr="00BC0D1F" w14:paraId="7F0CE72F" w14:textId="77777777" w:rsidTr="00465C19">
        <w:trPr>
          <w:cantSplit/>
        </w:trPr>
        <w:tc>
          <w:tcPr>
            <w:tcW w:w="4253" w:type="dxa"/>
            <w:shd w:val="solid" w:color="FFFFFF" w:fill="auto"/>
          </w:tcPr>
          <w:p w14:paraId="4D58E599" w14:textId="77777777" w:rsidR="00110096" w:rsidRPr="00BC0D1F" w:rsidRDefault="00110096" w:rsidP="00465C19">
            <w:pPr>
              <w:pStyle w:val="TableText"/>
            </w:pPr>
          </w:p>
        </w:tc>
        <w:tc>
          <w:tcPr>
            <w:tcW w:w="1228" w:type="dxa"/>
            <w:tcBorders>
              <w:top w:val="single" w:sz="4" w:space="0" w:color="auto"/>
              <w:bottom w:val="double" w:sz="4" w:space="0" w:color="auto"/>
            </w:tcBorders>
            <w:shd w:val="clear" w:color="E3E3E3" w:fill="auto"/>
          </w:tcPr>
          <w:p w14:paraId="666D02AF" w14:textId="77777777" w:rsidR="00110096" w:rsidRPr="00BC0D1F" w:rsidRDefault="00110096" w:rsidP="00465C19">
            <w:pPr>
              <w:pStyle w:val="TableText"/>
              <w:jc w:val="right"/>
            </w:pPr>
            <w:r w:rsidRPr="00BC0D1F">
              <w:t>9,347</w:t>
            </w:r>
          </w:p>
        </w:tc>
      </w:tr>
      <w:tr w:rsidR="00110096" w:rsidRPr="00BC0D1F" w14:paraId="06D7942B" w14:textId="77777777" w:rsidTr="00110096">
        <w:trPr>
          <w:cantSplit/>
        </w:trPr>
        <w:tc>
          <w:tcPr>
            <w:tcW w:w="4253" w:type="dxa"/>
            <w:shd w:val="solid" w:color="FFFFFF" w:fill="auto"/>
          </w:tcPr>
          <w:p w14:paraId="2D0E00B1" w14:textId="77777777" w:rsidR="00110096" w:rsidRPr="00BC0D1F" w:rsidRDefault="00110096" w:rsidP="00465C19">
            <w:pPr>
              <w:pStyle w:val="TableText"/>
              <w:rPr>
                <w:b/>
              </w:rPr>
            </w:pPr>
            <w:r w:rsidRPr="00BC0D1F">
              <w:rPr>
                <w:b/>
              </w:rPr>
              <w:t>2015/16 expenditure</w:t>
            </w:r>
          </w:p>
        </w:tc>
        <w:tc>
          <w:tcPr>
            <w:tcW w:w="1228" w:type="dxa"/>
            <w:tcBorders>
              <w:top w:val="double" w:sz="4" w:space="0" w:color="auto"/>
              <w:bottom w:val="nil"/>
            </w:tcBorders>
            <w:shd w:val="clear" w:color="E3E3E3" w:fill="auto"/>
          </w:tcPr>
          <w:p w14:paraId="0D3D61A4" w14:textId="77777777" w:rsidR="00110096" w:rsidRPr="00BC0D1F" w:rsidRDefault="00110096" w:rsidP="00465C19">
            <w:pPr>
              <w:pStyle w:val="TableText"/>
              <w:jc w:val="right"/>
              <w:rPr>
                <w:b/>
              </w:rPr>
            </w:pPr>
          </w:p>
        </w:tc>
      </w:tr>
      <w:tr w:rsidR="00110096" w:rsidRPr="00BC0D1F" w14:paraId="3F5C864D" w14:textId="77777777" w:rsidTr="00110096">
        <w:trPr>
          <w:cantSplit/>
        </w:trPr>
        <w:tc>
          <w:tcPr>
            <w:tcW w:w="4253" w:type="dxa"/>
            <w:shd w:val="solid" w:color="FFFFFF" w:fill="auto"/>
          </w:tcPr>
          <w:p w14:paraId="5E1C8163" w14:textId="77777777" w:rsidR="00110096" w:rsidRPr="00BC0D1F" w:rsidRDefault="00110096" w:rsidP="00FD1153">
            <w:pPr>
              <w:pStyle w:val="TableText"/>
            </w:pPr>
            <w:r w:rsidRPr="00BC0D1F">
              <w:t>Problem Gambling expenditure</w:t>
            </w:r>
          </w:p>
        </w:tc>
        <w:tc>
          <w:tcPr>
            <w:tcW w:w="1228" w:type="dxa"/>
            <w:tcBorders>
              <w:top w:val="nil"/>
              <w:bottom w:val="nil"/>
            </w:tcBorders>
            <w:shd w:val="clear" w:color="E3E3E3" w:fill="auto"/>
          </w:tcPr>
          <w:p w14:paraId="069C9067" w14:textId="77777777" w:rsidR="00110096" w:rsidRPr="00BC0D1F" w:rsidRDefault="00110096" w:rsidP="00FD1153">
            <w:pPr>
              <w:pStyle w:val="TableText"/>
              <w:jc w:val="right"/>
            </w:pPr>
            <w:r w:rsidRPr="00BC0D1F">
              <w:t>1,000</w:t>
            </w:r>
          </w:p>
        </w:tc>
      </w:tr>
      <w:tr w:rsidR="00110096" w:rsidRPr="00BC0D1F" w14:paraId="1C2F1B79" w14:textId="77777777" w:rsidTr="00110096">
        <w:trPr>
          <w:cantSplit/>
        </w:trPr>
        <w:tc>
          <w:tcPr>
            <w:tcW w:w="4253" w:type="dxa"/>
            <w:shd w:val="solid" w:color="FFFFFF" w:fill="auto"/>
          </w:tcPr>
          <w:p w14:paraId="175BE2F5" w14:textId="77777777" w:rsidR="00110096" w:rsidRPr="00BC0D1F" w:rsidRDefault="00110096" w:rsidP="00465C19">
            <w:pPr>
              <w:pStyle w:val="TableText"/>
            </w:pPr>
            <w:r w:rsidRPr="00BC0D1F">
              <w:t>Office of Radiation Safety expenditure</w:t>
            </w:r>
          </w:p>
        </w:tc>
        <w:tc>
          <w:tcPr>
            <w:tcW w:w="1228" w:type="dxa"/>
            <w:tcBorders>
              <w:top w:val="nil"/>
            </w:tcBorders>
            <w:shd w:val="clear" w:color="E3E3E3" w:fill="auto"/>
          </w:tcPr>
          <w:p w14:paraId="3B1E805C" w14:textId="77777777" w:rsidR="00110096" w:rsidRPr="00BC0D1F" w:rsidRDefault="00110096" w:rsidP="00465C19">
            <w:pPr>
              <w:pStyle w:val="TableText"/>
              <w:jc w:val="right"/>
            </w:pPr>
            <w:r w:rsidRPr="00BC0D1F">
              <w:t>873</w:t>
            </w:r>
          </w:p>
        </w:tc>
      </w:tr>
      <w:tr w:rsidR="00110096" w:rsidRPr="00BC0D1F" w14:paraId="13DDAED3" w14:textId="77777777" w:rsidTr="00110096">
        <w:trPr>
          <w:cantSplit/>
          <w:trHeight w:val="267"/>
        </w:trPr>
        <w:tc>
          <w:tcPr>
            <w:tcW w:w="4253" w:type="dxa"/>
            <w:shd w:val="solid" w:color="FFFFFF" w:fill="auto"/>
          </w:tcPr>
          <w:p w14:paraId="563DA076" w14:textId="77777777" w:rsidR="00110096" w:rsidRPr="00BC0D1F" w:rsidRDefault="00110096" w:rsidP="00465C19">
            <w:pPr>
              <w:pStyle w:val="TableText"/>
            </w:pPr>
            <w:proofErr w:type="spellStart"/>
            <w:r w:rsidRPr="00BC0D1F">
              <w:t>Medsafe</w:t>
            </w:r>
            <w:proofErr w:type="spellEnd"/>
            <w:r w:rsidRPr="00BC0D1F">
              <w:t xml:space="preserve"> expenditure</w:t>
            </w:r>
          </w:p>
        </w:tc>
        <w:tc>
          <w:tcPr>
            <w:tcW w:w="1228" w:type="dxa"/>
            <w:shd w:val="clear" w:color="E3E3E3" w:fill="auto"/>
          </w:tcPr>
          <w:p w14:paraId="1541AEDA" w14:textId="77777777" w:rsidR="00110096" w:rsidRPr="00BC0D1F" w:rsidRDefault="00110096" w:rsidP="00465C19">
            <w:pPr>
              <w:pStyle w:val="TableText"/>
              <w:jc w:val="right"/>
            </w:pPr>
            <w:r w:rsidRPr="00BC0D1F">
              <w:t>8,775</w:t>
            </w:r>
          </w:p>
        </w:tc>
      </w:tr>
      <w:tr w:rsidR="00110096" w:rsidRPr="00BC0D1F" w14:paraId="3DE842F3" w14:textId="77777777" w:rsidTr="00465C19">
        <w:trPr>
          <w:cantSplit/>
        </w:trPr>
        <w:tc>
          <w:tcPr>
            <w:tcW w:w="4253" w:type="dxa"/>
            <w:shd w:val="solid" w:color="FFFFFF" w:fill="auto"/>
          </w:tcPr>
          <w:p w14:paraId="13D17EE7" w14:textId="77777777" w:rsidR="00110096" w:rsidRPr="00BC0D1F" w:rsidRDefault="00110096" w:rsidP="00465C19">
            <w:pPr>
              <w:pStyle w:val="TableText"/>
            </w:pPr>
          </w:p>
        </w:tc>
        <w:tc>
          <w:tcPr>
            <w:tcW w:w="1228" w:type="dxa"/>
            <w:tcBorders>
              <w:top w:val="single" w:sz="4" w:space="0" w:color="auto"/>
              <w:bottom w:val="double" w:sz="4" w:space="0" w:color="auto"/>
            </w:tcBorders>
            <w:shd w:val="clear" w:color="E3E3E3" w:fill="auto"/>
          </w:tcPr>
          <w:p w14:paraId="66FE1E96" w14:textId="77777777" w:rsidR="00110096" w:rsidRPr="00BC0D1F" w:rsidRDefault="00110096" w:rsidP="00465C19">
            <w:pPr>
              <w:pStyle w:val="TableText"/>
              <w:jc w:val="right"/>
            </w:pPr>
            <w:r w:rsidRPr="00BC0D1F">
              <w:t>10,648</w:t>
            </w:r>
          </w:p>
        </w:tc>
      </w:tr>
      <w:tr w:rsidR="00110096" w:rsidRPr="00BC0D1F" w14:paraId="049FCE95" w14:textId="77777777" w:rsidTr="00465C19">
        <w:trPr>
          <w:cantSplit/>
        </w:trPr>
        <w:tc>
          <w:tcPr>
            <w:tcW w:w="4253" w:type="dxa"/>
            <w:shd w:val="solid" w:color="FFFFFF" w:fill="auto"/>
          </w:tcPr>
          <w:p w14:paraId="125D31AE" w14:textId="77777777" w:rsidR="00110096" w:rsidRPr="00BC0D1F" w:rsidRDefault="00110096" w:rsidP="00465C19">
            <w:pPr>
              <w:pStyle w:val="TableText"/>
              <w:rPr>
                <w:b/>
              </w:rPr>
            </w:pPr>
            <w:r w:rsidRPr="00BC0D1F">
              <w:rPr>
                <w:b/>
              </w:rPr>
              <w:t>2015/16 transfers</w:t>
            </w:r>
          </w:p>
        </w:tc>
        <w:tc>
          <w:tcPr>
            <w:tcW w:w="1228" w:type="dxa"/>
            <w:tcBorders>
              <w:top w:val="double" w:sz="4" w:space="0" w:color="auto"/>
              <w:bottom w:val="nil"/>
            </w:tcBorders>
            <w:shd w:val="clear" w:color="E3E3E3" w:fill="auto"/>
          </w:tcPr>
          <w:p w14:paraId="1C47AC0A" w14:textId="77777777" w:rsidR="00110096" w:rsidRPr="00BC0D1F" w:rsidRDefault="00110096" w:rsidP="00465C19">
            <w:pPr>
              <w:pStyle w:val="TableText"/>
              <w:jc w:val="right"/>
              <w:rPr>
                <w:b/>
              </w:rPr>
            </w:pPr>
          </w:p>
        </w:tc>
      </w:tr>
      <w:tr w:rsidR="00110096" w:rsidRPr="00BC0D1F" w14:paraId="3B611C50" w14:textId="77777777" w:rsidTr="00465C19">
        <w:trPr>
          <w:cantSplit/>
        </w:trPr>
        <w:tc>
          <w:tcPr>
            <w:tcW w:w="4253" w:type="dxa"/>
            <w:shd w:val="solid" w:color="FFFFFF" w:fill="auto"/>
          </w:tcPr>
          <w:p w14:paraId="01C4E088" w14:textId="77777777" w:rsidR="00110096" w:rsidRPr="00BC0D1F" w:rsidRDefault="00110096" w:rsidP="00465C19">
            <w:pPr>
              <w:pStyle w:val="TableText"/>
            </w:pPr>
            <w:proofErr w:type="spellStart"/>
            <w:r w:rsidRPr="00BC0D1F">
              <w:t>PsychoActive</w:t>
            </w:r>
            <w:proofErr w:type="spellEnd"/>
            <w:r w:rsidRPr="00BC0D1F">
              <w:t xml:space="preserve"> Substances</w:t>
            </w:r>
          </w:p>
        </w:tc>
        <w:tc>
          <w:tcPr>
            <w:tcW w:w="1228" w:type="dxa"/>
            <w:tcBorders>
              <w:top w:val="nil"/>
              <w:bottom w:val="double" w:sz="4" w:space="0" w:color="auto"/>
            </w:tcBorders>
            <w:shd w:val="clear" w:color="E3E3E3" w:fill="auto"/>
          </w:tcPr>
          <w:p w14:paraId="78E66FEF" w14:textId="77777777" w:rsidR="00110096" w:rsidRPr="00BC0D1F" w:rsidRDefault="00110096" w:rsidP="00465C19">
            <w:pPr>
              <w:pStyle w:val="TableText"/>
              <w:jc w:val="right"/>
            </w:pPr>
            <w:r w:rsidRPr="00BC0D1F">
              <w:t>–</w:t>
            </w:r>
          </w:p>
        </w:tc>
      </w:tr>
      <w:tr w:rsidR="00110096" w:rsidRPr="00BC0D1F" w14:paraId="4200892D" w14:textId="77777777" w:rsidTr="00110096">
        <w:trPr>
          <w:cantSplit/>
        </w:trPr>
        <w:tc>
          <w:tcPr>
            <w:tcW w:w="4253" w:type="dxa"/>
            <w:shd w:val="solid" w:color="FFFFFF" w:fill="auto"/>
          </w:tcPr>
          <w:p w14:paraId="1787F69E" w14:textId="77777777" w:rsidR="00110096" w:rsidRPr="00BC0D1F" w:rsidRDefault="00110096" w:rsidP="00465C19">
            <w:pPr>
              <w:pStyle w:val="TableText"/>
              <w:spacing w:before="240"/>
              <w:rPr>
                <w:b/>
              </w:rPr>
            </w:pPr>
            <w:r w:rsidRPr="00BC0D1F">
              <w:rPr>
                <w:b/>
              </w:rPr>
              <w:t>Closing balance</w:t>
            </w:r>
          </w:p>
        </w:tc>
        <w:tc>
          <w:tcPr>
            <w:tcW w:w="1228" w:type="dxa"/>
            <w:tcBorders>
              <w:top w:val="double" w:sz="4" w:space="0" w:color="auto"/>
              <w:bottom w:val="nil"/>
            </w:tcBorders>
            <w:shd w:val="clear" w:color="E3E3E3" w:fill="auto"/>
          </w:tcPr>
          <w:p w14:paraId="560CBECC" w14:textId="77777777" w:rsidR="00110096" w:rsidRPr="00BC0D1F" w:rsidRDefault="00110096" w:rsidP="00465C19">
            <w:pPr>
              <w:pStyle w:val="TableText"/>
              <w:spacing w:before="240"/>
              <w:jc w:val="right"/>
              <w:rPr>
                <w:b/>
              </w:rPr>
            </w:pPr>
          </w:p>
        </w:tc>
      </w:tr>
      <w:tr w:rsidR="00110096" w:rsidRPr="00BC0D1F" w14:paraId="78BEB63F" w14:textId="77777777" w:rsidTr="00110096">
        <w:trPr>
          <w:cantSplit/>
        </w:trPr>
        <w:tc>
          <w:tcPr>
            <w:tcW w:w="4253" w:type="dxa"/>
            <w:tcBorders>
              <w:bottom w:val="nil"/>
            </w:tcBorders>
            <w:shd w:val="solid" w:color="FFFFFF" w:fill="auto"/>
          </w:tcPr>
          <w:p w14:paraId="68129065" w14:textId="77777777" w:rsidR="00110096" w:rsidRPr="00BC0D1F" w:rsidRDefault="00110096" w:rsidP="00FD1153">
            <w:pPr>
              <w:pStyle w:val="TableText"/>
            </w:pPr>
            <w:r w:rsidRPr="00BC0D1F">
              <w:t>Problem Gambling</w:t>
            </w:r>
          </w:p>
        </w:tc>
        <w:tc>
          <w:tcPr>
            <w:tcW w:w="1228" w:type="dxa"/>
            <w:tcBorders>
              <w:top w:val="nil"/>
              <w:bottom w:val="nil"/>
            </w:tcBorders>
            <w:shd w:val="clear" w:color="E3E3E3" w:fill="auto"/>
          </w:tcPr>
          <w:p w14:paraId="2B3A5AEB" w14:textId="77777777" w:rsidR="00110096" w:rsidRPr="00BC0D1F" w:rsidRDefault="00110096" w:rsidP="00FD1153">
            <w:pPr>
              <w:pStyle w:val="TableText"/>
              <w:jc w:val="right"/>
            </w:pPr>
            <w:r w:rsidRPr="00BC0D1F">
              <w:t>(515)</w:t>
            </w:r>
          </w:p>
        </w:tc>
      </w:tr>
      <w:tr w:rsidR="00110096" w:rsidRPr="00BC0D1F" w14:paraId="46E76C34" w14:textId="77777777" w:rsidTr="00110096">
        <w:trPr>
          <w:cantSplit/>
        </w:trPr>
        <w:tc>
          <w:tcPr>
            <w:tcW w:w="4253" w:type="dxa"/>
            <w:shd w:val="solid" w:color="FFFFFF" w:fill="auto"/>
          </w:tcPr>
          <w:p w14:paraId="299B60DC" w14:textId="77777777" w:rsidR="00110096" w:rsidRPr="00BC0D1F" w:rsidRDefault="00110096" w:rsidP="00465C19">
            <w:pPr>
              <w:pStyle w:val="TableText"/>
            </w:pPr>
            <w:r w:rsidRPr="00BC0D1F">
              <w:t>Office of Radiation Safety</w:t>
            </w:r>
          </w:p>
        </w:tc>
        <w:tc>
          <w:tcPr>
            <w:tcW w:w="1228" w:type="dxa"/>
            <w:tcBorders>
              <w:top w:val="nil"/>
            </w:tcBorders>
            <w:shd w:val="clear" w:color="E3E3E3" w:fill="auto"/>
          </w:tcPr>
          <w:p w14:paraId="48DFA5C6" w14:textId="77777777" w:rsidR="00110096" w:rsidRPr="00BC0D1F" w:rsidRDefault="00110096" w:rsidP="00465C19">
            <w:pPr>
              <w:pStyle w:val="TableText"/>
              <w:jc w:val="right"/>
            </w:pPr>
            <w:r w:rsidRPr="00BC0D1F">
              <w:t>1,019</w:t>
            </w:r>
          </w:p>
        </w:tc>
      </w:tr>
      <w:tr w:rsidR="00110096" w:rsidRPr="00BC0D1F" w14:paraId="5CD348DB" w14:textId="77777777" w:rsidTr="00465C19">
        <w:trPr>
          <w:cantSplit/>
        </w:trPr>
        <w:tc>
          <w:tcPr>
            <w:tcW w:w="4253" w:type="dxa"/>
            <w:shd w:val="solid" w:color="FFFFFF" w:fill="auto"/>
          </w:tcPr>
          <w:p w14:paraId="372EE779" w14:textId="77777777" w:rsidR="00110096" w:rsidRPr="00BC0D1F" w:rsidRDefault="00110096" w:rsidP="00465C19">
            <w:pPr>
              <w:pStyle w:val="TableText"/>
            </w:pPr>
            <w:proofErr w:type="spellStart"/>
            <w:r w:rsidRPr="00BC0D1F">
              <w:t>Medsafe</w:t>
            </w:r>
            <w:proofErr w:type="spellEnd"/>
          </w:p>
        </w:tc>
        <w:tc>
          <w:tcPr>
            <w:tcW w:w="1228" w:type="dxa"/>
            <w:shd w:val="clear" w:color="E3E3E3" w:fill="auto"/>
          </w:tcPr>
          <w:p w14:paraId="1D72EBF8" w14:textId="77777777" w:rsidR="00110096" w:rsidRPr="00BC0D1F" w:rsidRDefault="00110096" w:rsidP="00465C19">
            <w:pPr>
              <w:pStyle w:val="TableText"/>
              <w:jc w:val="right"/>
            </w:pPr>
            <w:r w:rsidRPr="00BC0D1F">
              <w:t>1,288</w:t>
            </w:r>
          </w:p>
        </w:tc>
      </w:tr>
      <w:tr w:rsidR="00110096" w:rsidRPr="00BC0D1F" w14:paraId="06CFABD7" w14:textId="77777777" w:rsidTr="00465C19">
        <w:trPr>
          <w:cantSplit/>
        </w:trPr>
        <w:tc>
          <w:tcPr>
            <w:tcW w:w="4253" w:type="dxa"/>
            <w:tcBorders>
              <w:top w:val="nil"/>
              <w:bottom w:val="nil"/>
            </w:tcBorders>
            <w:shd w:val="solid" w:color="FFFFFF" w:fill="auto"/>
          </w:tcPr>
          <w:p w14:paraId="30717869" w14:textId="77777777" w:rsidR="00110096" w:rsidRPr="00BC0D1F" w:rsidRDefault="00110096" w:rsidP="00B13D2F">
            <w:pPr>
              <w:pStyle w:val="TableText"/>
              <w:rPr>
                <w:b/>
              </w:rPr>
            </w:pPr>
            <w:r w:rsidRPr="00BC0D1F">
              <w:rPr>
                <w:b/>
              </w:rPr>
              <w:t>Closing equity balance</w:t>
            </w:r>
          </w:p>
        </w:tc>
        <w:tc>
          <w:tcPr>
            <w:tcW w:w="1228" w:type="dxa"/>
            <w:tcBorders>
              <w:top w:val="single" w:sz="4" w:space="0" w:color="auto"/>
              <w:bottom w:val="double" w:sz="4" w:space="0" w:color="auto"/>
            </w:tcBorders>
            <w:shd w:val="clear" w:color="E3E3E3" w:fill="auto"/>
          </w:tcPr>
          <w:p w14:paraId="0C251CD4" w14:textId="77777777" w:rsidR="00110096" w:rsidRPr="00BC0D1F" w:rsidRDefault="00110096" w:rsidP="00465C19">
            <w:pPr>
              <w:pStyle w:val="TableText"/>
              <w:jc w:val="right"/>
              <w:rPr>
                <w:b/>
              </w:rPr>
            </w:pPr>
            <w:r w:rsidRPr="00BC0D1F">
              <w:rPr>
                <w:b/>
              </w:rPr>
              <w:t>1,792</w:t>
            </w:r>
          </w:p>
        </w:tc>
      </w:tr>
    </w:tbl>
    <w:p w14:paraId="67FFFAC5" w14:textId="77777777" w:rsidR="006A557B" w:rsidRPr="00BC0D1F" w:rsidRDefault="006A557B" w:rsidP="00382192"/>
    <w:p w14:paraId="62444316" w14:textId="77777777" w:rsidR="006A557B" w:rsidRPr="00BC0D1F" w:rsidRDefault="006A557B" w:rsidP="00B13D2F">
      <w:pPr>
        <w:pStyle w:val="Heading4"/>
      </w:pPr>
      <w:r w:rsidRPr="00BC0D1F">
        <w:t>Problem gambling departmental</w:t>
      </w:r>
    </w:p>
    <w:p w14:paraId="6FCE95EE" w14:textId="77777777" w:rsidR="006A557B" w:rsidRPr="00BC0D1F" w:rsidRDefault="006A557B" w:rsidP="00B13D2F">
      <w:r w:rsidRPr="00BC0D1F">
        <w:t>Since October 2004 the Ministry has, in accordance with the Gambling Act 2003, received an appropriation for problem gambling that over time is intended to be fully funded from the levies collected from the industry, on behalf of the Crown, by the IRD. The departmental balance in the problem gambling memorandum account as at 30 June 2016 is ($515,000).</w:t>
      </w:r>
    </w:p>
    <w:p w14:paraId="635ABDBA" w14:textId="77777777" w:rsidR="00B13D2F" w:rsidRPr="00BC0D1F" w:rsidRDefault="00B13D2F" w:rsidP="00B13D2F"/>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B13D2F" w:rsidRPr="00BC0D1F" w14:paraId="3215D00F" w14:textId="77777777" w:rsidTr="00373692">
        <w:trPr>
          <w:cantSplit/>
        </w:trPr>
        <w:tc>
          <w:tcPr>
            <w:tcW w:w="1134" w:type="dxa"/>
            <w:tcBorders>
              <w:top w:val="single" w:sz="4" w:space="0" w:color="auto"/>
              <w:bottom w:val="single" w:sz="4" w:space="0" w:color="auto"/>
              <w:right w:val="nil"/>
            </w:tcBorders>
            <w:shd w:val="solid" w:color="FFFFFF" w:fill="auto"/>
          </w:tcPr>
          <w:p w14:paraId="2B2D6290" w14:textId="77777777" w:rsidR="00B13D2F" w:rsidRPr="00BC0D1F" w:rsidRDefault="00B13D2F" w:rsidP="00B13D2F">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072AE790" w14:textId="77777777" w:rsidR="00B13D2F" w:rsidRPr="00BC0D1F" w:rsidRDefault="00B13D2F" w:rsidP="00B13D2F">
            <w:pPr>
              <w:pStyle w:val="TableText"/>
              <w:rPr>
                <w:b/>
                <w:lang w:eastAsia="en-NZ"/>
              </w:rPr>
            </w:pPr>
          </w:p>
        </w:tc>
        <w:tc>
          <w:tcPr>
            <w:tcW w:w="1228" w:type="dxa"/>
            <w:tcBorders>
              <w:top w:val="single" w:sz="4" w:space="0" w:color="auto"/>
              <w:bottom w:val="single" w:sz="4" w:space="0" w:color="auto"/>
            </w:tcBorders>
            <w:shd w:val="clear" w:color="E3E3E3" w:fill="D9D9D9"/>
          </w:tcPr>
          <w:p w14:paraId="14022A19" w14:textId="77777777" w:rsidR="00B13D2F" w:rsidRPr="00BC0D1F" w:rsidRDefault="00B13D2F" w:rsidP="00B13D2F">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B13D2F" w:rsidRPr="00BC0D1F" w14:paraId="01A700DF" w14:textId="77777777" w:rsidTr="00373692">
        <w:trPr>
          <w:cantSplit/>
        </w:trPr>
        <w:tc>
          <w:tcPr>
            <w:tcW w:w="1134" w:type="dxa"/>
            <w:tcBorders>
              <w:top w:val="single" w:sz="4" w:space="0" w:color="auto"/>
              <w:right w:val="nil"/>
            </w:tcBorders>
            <w:shd w:val="solid" w:color="FFFFFF" w:fill="auto"/>
          </w:tcPr>
          <w:p w14:paraId="09DB9429" w14:textId="77777777" w:rsidR="00B13D2F" w:rsidRPr="00BC0D1F" w:rsidRDefault="00B13D2F" w:rsidP="00B13D2F">
            <w:pPr>
              <w:pStyle w:val="TableText"/>
              <w:ind w:right="284"/>
              <w:jc w:val="right"/>
              <w:rPr>
                <w:b/>
              </w:rPr>
            </w:pPr>
          </w:p>
        </w:tc>
        <w:tc>
          <w:tcPr>
            <w:tcW w:w="5812" w:type="dxa"/>
            <w:tcBorders>
              <w:top w:val="single" w:sz="4" w:space="0" w:color="auto"/>
              <w:left w:val="nil"/>
            </w:tcBorders>
            <w:shd w:val="solid" w:color="FFFFFF" w:fill="auto"/>
          </w:tcPr>
          <w:p w14:paraId="47CFB206" w14:textId="77777777" w:rsidR="00B13D2F" w:rsidRPr="00BC0D1F" w:rsidRDefault="00B13D2F" w:rsidP="00B13D2F">
            <w:pPr>
              <w:pStyle w:val="TableText"/>
              <w:rPr>
                <w:b/>
              </w:rPr>
            </w:pPr>
            <w:r w:rsidRPr="00BC0D1F">
              <w:rPr>
                <w:b/>
              </w:rPr>
              <w:t>Problem gambling departmental expenditure</w:t>
            </w:r>
          </w:p>
        </w:tc>
        <w:tc>
          <w:tcPr>
            <w:tcW w:w="1228" w:type="dxa"/>
            <w:tcBorders>
              <w:top w:val="single" w:sz="4" w:space="0" w:color="auto"/>
            </w:tcBorders>
            <w:shd w:val="clear" w:color="E3E3E3" w:fill="D9D9D9"/>
          </w:tcPr>
          <w:p w14:paraId="05ED74D0" w14:textId="77777777" w:rsidR="00B13D2F" w:rsidRPr="00BC0D1F" w:rsidRDefault="00B13D2F" w:rsidP="00B13D2F">
            <w:pPr>
              <w:pStyle w:val="TableText"/>
              <w:ind w:right="113"/>
              <w:jc w:val="right"/>
              <w:rPr>
                <w:b/>
              </w:rPr>
            </w:pPr>
          </w:p>
        </w:tc>
      </w:tr>
      <w:tr w:rsidR="00B13D2F" w:rsidRPr="00BC0D1F" w14:paraId="43A9163F" w14:textId="77777777" w:rsidTr="00373692">
        <w:trPr>
          <w:cantSplit/>
        </w:trPr>
        <w:tc>
          <w:tcPr>
            <w:tcW w:w="1134" w:type="dxa"/>
            <w:tcBorders>
              <w:right w:val="nil"/>
            </w:tcBorders>
            <w:shd w:val="solid" w:color="FFFFFF" w:fill="auto"/>
          </w:tcPr>
          <w:p w14:paraId="7ED90C0D" w14:textId="77777777" w:rsidR="00B13D2F" w:rsidRPr="00BC0D1F" w:rsidRDefault="00B13D2F" w:rsidP="00B13D2F">
            <w:pPr>
              <w:pStyle w:val="TableText"/>
              <w:ind w:right="284"/>
              <w:jc w:val="right"/>
              <w:rPr>
                <w:b/>
              </w:rPr>
            </w:pPr>
            <w:r w:rsidRPr="00BC0D1F">
              <w:rPr>
                <w:b/>
              </w:rPr>
              <w:t>(433)</w:t>
            </w:r>
          </w:p>
        </w:tc>
        <w:tc>
          <w:tcPr>
            <w:tcW w:w="5812" w:type="dxa"/>
            <w:tcBorders>
              <w:left w:val="nil"/>
            </w:tcBorders>
            <w:shd w:val="solid" w:color="FFFFFF" w:fill="auto"/>
          </w:tcPr>
          <w:p w14:paraId="67B052E5" w14:textId="77777777" w:rsidR="00B13D2F" w:rsidRPr="00BC0D1F" w:rsidRDefault="00B13D2F" w:rsidP="00B13D2F">
            <w:pPr>
              <w:pStyle w:val="TableText"/>
              <w:rPr>
                <w:b/>
              </w:rPr>
            </w:pPr>
            <w:r w:rsidRPr="00BC0D1F">
              <w:rPr>
                <w:b/>
              </w:rPr>
              <w:t>Balance 1 July</w:t>
            </w:r>
          </w:p>
        </w:tc>
        <w:tc>
          <w:tcPr>
            <w:tcW w:w="1228" w:type="dxa"/>
            <w:shd w:val="clear" w:color="E3E3E3" w:fill="D9D9D9"/>
          </w:tcPr>
          <w:p w14:paraId="72691074" w14:textId="77777777" w:rsidR="00B13D2F" w:rsidRPr="00BC0D1F" w:rsidRDefault="00B13D2F" w:rsidP="00B13D2F">
            <w:pPr>
              <w:pStyle w:val="TableText"/>
              <w:ind w:right="113"/>
              <w:jc w:val="right"/>
              <w:rPr>
                <w:b/>
              </w:rPr>
            </w:pPr>
            <w:r w:rsidRPr="00BC0D1F">
              <w:rPr>
                <w:b/>
              </w:rPr>
              <w:t>(516)</w:t>
            </w:r>
          </w:p>
        </w:tc>
      </w:tr>
      <w:tr w:rsidR="00B13D2F" w:rsidRPr="00BC0D1F" w14:paraId="721C552A" w14:textId="77777777" w:rsidTr="00373692">
        <w:trPr>
          <w:cantSplit/>
        </w:trPr>
        <w:tc>
          <w:tcPr>
            <w:tcW w:w="1134" w:type="dxa"/>
            <w:tcBorders>
              <w:right w:val="nil"/>
            </w:tcBorders>
            <w:shd w:val="solid" w:color="FFFFFF" w:fill="auto"/>
          </w:tcPr>
          <w:p w14:paraId="48C73C23" w14:textId="77777777" w:rsidR="00B13D2F" w:rsidRPr="00BC0D1F" w:rsidRDefault="00B13D2F" w:rsidP="00B13D2F">
            <w:pPr>
              <w:pStyle w:val="TableText"/>
              <w:ind w:right="284"/>
              <w:jc w:val="right"/>
            </w:pPr>
            <w:r w:rsidRPr="00BC0D1F">
              <w:t>979</w:t>
            </w:r>
          </w:p>
        </w:tc>
        <w:tc>
          <w:tcPr>
            <w:tcW w:w="5812" w:type="dxa"/>
            <w:tcBorders>
              <w:left w:val="nil"/>
            </w:tcBorders>
            <w:shd w:val="solid" w:color="FFFFFF" w:fill="auto"/>
          </w:tcPr>
          <w:p w14:paraId="1E5AEEF9" w14:textId="77777777" w:rsidR="00B13D2F" w:rsidRPr="00BC0D1F" w:rsidRDefault="00B13D2F" w:rsidP="00B13D2F">
            <w:pPr>
              <w:pStyle w:val="TableText"/>
            </w:pPr>
            <w:r w:rsidRPr="00BC0D1F">
              <w:t>Revenue*</w:t>
            </w:r>
          </w:p>
        </w:tc>
        <w:tc>
          <w:tcPr>
            <w:tcW w:w="1228" w:type="dxa"/>
            <w:shd w:val="clear" w:color="E3E3E3" w:fill="D9D9D9"/>
          </w:tcPr>
          <w:p w14:paraId="218E7B49" w14:textId="77777777" w:rsidR="00B13D2F" w:rsidRPr="00BC0D1F" w:rsidRDefault="00B13D2F" w:rsidP="00B13D2F">
            <w:pPr>
              <w:pStyle w:val="TableText"/>
              <w:ind w:right="113"/>
              <w:jc w:val="right"/>
            </w:pPr>
            <w:r w:rsidRPr="00BC0D1F">
              <w:t>1,001</w:t>
            </w:r>
          </w:p>
        </w:tc>
      </w:tr>
      <w:tr w:rsidR="00B13D2F" w:rsidRPr="00BC0D1F" w14:paraId="24B7797A" w14:textId="77777777" w:rsidTr="00373692">
        <w:trPr>
          <w:cantSplit/>
        </w:trPr>
        <w:tc>
          <w:tcPr>
            <w:tcW w:w="1134" w:type="dxa"/>
            <w:tcBorders>
              <w:right w:val="nil"/>
            </w:tcBorders>
            <w:shd w:val="solid" w:color="FFFFFF" w:fill="auto"/>
          </w:tcPr>
          <w:p w14:paraId="43FC2E8F" w14:textId="77777777" w:rsidR="00B13D2F" w:rsidRPr="00BC0D1F" w:rsidRDefault="00B13D2F" w:rsidP="00B13D2F">
            <w:pPr>
              <w:pStyle w:val="TableText"/>
              <w:ind w:right="284"/>
              <w:jc w:val="right"/>
            </w:pPr>
            <w:r w:rsidRPr="00BC0D1F">
              <w:t>(1,062)</w:t>
            </w:r>
          </w:p>
        </w:tc>
        <w:tc>
          <w:tcPr>
            <w:tcW w:w="5812" w:type="dxa"/>
            <w:tcBorders>
              <w:left w:val="nil"/>
            </w:tcBorders>
            <w:shd w:val="solid" w:color="FFFFFF" w:fill="auto"/>
          </w:tcPr>
          <w:p w14:paraId="3C92F8FE" w14:textId="77777777" w:rsidR="00B13D2F" w:rsidRPr="00BC0D1F" w:rsidRDefault="00B13D2F" w:rsidP="00B13D2F">
            <w:pPr>
              <w:pStyle w:val="TableText"/>
            </w:pPr>
            <w:r w:rsidRPr="00BC0D1F">
              <w:t>Expenses</w:t>
            </w:r>
          </w:p>
        </w:tc>
        <w:tc>
          <w:tcPr>
            <w:tcW w:w="1228" w:type="dxa"/>
            <w:shd w:val="clear" w:color="E3E3E3" w:fill="D9D9D9"/>
          </w:tcPr>
          <w:p w14:paraId="6D670854" w14:textId="77777777" w:rsidR="00B13D2F" w:rsidRPr="00BC0D1F" w:rsidRDefault="00B13D2F" w:rsidP="00B13D2F">
            <w:pPr>
              <w:pStyle w:val="TableText"/>
              <w:ind w:right="113"/>
              <w:jc w:val="right"/>
            </w:pPr>
            <w:r w:rsidRPr="00BC0D1F">
              <w:t>(1,000)</w:t>
            </w:r>
          </w:p>
        </w:tc>
      </w:tr>
      <w:tr w:rsidR="00B13D2F" w:rsidRPr="00BC0D1F" w14:paraId="1470374B" w14:textId="77777777" w:rsidTr="00373692">
        <w:trPr>
          <w:cantSplit/>
        </w:trPr>
        <w:tc>
          <w:tcPr>
            <w:tcW w:w="1134" w:type="dxa"/>
            <w:tcBorders>
              <w:right w:val="nil"/>
            </w:tcBorders>
            <w:shd w:val="solid" w:color="FFFFFF" w:fill="auto"/>
          </w:tcPr>
          <w:p w14:paraId="2DBBF3A5" w14:textId="77777777" w:rsidR="00B13D2F" w:rsidRPr="00BC0D1F" w:rsidRDefault="00B13D2F" w:rsidP="00B13D2F">
            <w:pPr>
              <w:pStyle w:val="TableText"/>
              <w:ind w:right="284"/>
              <w:jc w:val="right"/>
              <w:rPr>
                <w:b/>
              </w:rPr>
            </w:pPr>
            <w:r w:rsidRPr="00BC0D1F">
              <w:rPr>
                <w:b/>
              </w:rPr>
              <w:t>(516)</w:t>
            </w:r>
          </w:p>
        </w:tc>
        <w:tc>
          <w:tcPr>
            <w:tcW w:w="5812" w:type="dxa"/>
            <w:tcBorders>
              <w:left w:val="nil"/>
            </w:tcBorders>
            <w:shd w:val="solid" w:color="FFFFFF" w:fill="auto"/>
          </w:tcPr>
          <w:p w14:paraId="1E7ECEDF" w14:textId="77777777" w:rsidR="00B13D2F" w:rsidRPr="00BC0D1F" w:rsidRDefault="00B13D2F" w:rsidP="00B13D2F">
            <w:pPr>
              <w:pStyle w:val="TableText"/>
              <w:rPr>
                <w:b/>
              </w:rPr>
            </w:pPr>
            <w:r w:rsidRPr="00BC0D1F">
              <w:rPr>
                <w:b/>
              </w:rPr>
              <w:t>Balance 30 June</w:t>
            </w:r>
          </w:p>
        </w:tc>
        <w:tc>
          <w:tcPr>
            <w:tcW w:w="1228" w:type="dxa"/>
            <w:shd w:val="clear" w:color="E3E3E3" w:fill="D9D9D9"/>
          </w:tcPr>
          <w:p w14:paraId="01D2F0E5" w14:textId="77777777" w:rsidR="00B13D2F" w:rsidRPr="00BC0D1F" w:rsidRDefault="00B13D2F" w:rsidP="00B13D2F">
            <w:pPr>
              <w:pStyle w:val="TableText"/>
              <w:ind w:right="113"/>
              <w:jc w:val="right"/>
              <w:rPr>
                <w:b/>
              </w:rPr>
            </w:pPr>
            <w:r w:rsidRPr="00BC0D1F">
              <w:rPr>
                <w:b/>
              </w:rPr>
              <w:t>(515)</w:t>
            </w:r>
          </w:p>
        </w:tc>
      </w:tr>
    </w:tbl>
    <w:p w14:paraId="3005F145" w14:textId="2BA4ADD5" w:rsidR="006A557B" w:rsidRPr="00BC0D1F" w:rsidRDefault="006A557B" w:rsidP="00B13D2F">
      <w:pPr>
        <w:pStyle w:val="Note"/>
      </w:pPr>
      <w:r w:rsidRPr="00BC0D1F">
        <w:t>*</w:t>
      </w:r>
      <w:r w:rsidR="00B13D2F" w:rsidRPr="00BC0D1F">
        <w:tab/>
      </w:r>
      <w:r w:rsidRPr="00BC0D1F">
        <w:t>Revenue is as specified in the “Preventing and Minimising Gambling Harm: Three-year service plan</w:t>
      </w:r>
      <w:r w:rsidR="00B13D2F" w:rsidRPr="00BC0D1F">
        <w:br/>
      </w:r>
      <w:r w:rsidRPr="00BC0D1F">
        <w:t>2013/14</w:t>
      </w:r>
      <w:r w:rsidR="00B13D2F" w:rsidRPr="00BC0D1F">
        <w:t>–</w:t>
      </w:r>
      <w:r w:rsidRPr="00BC0D1F">
        <w:t>2015/16”</w:t>
      </w:r>
      <w:r w:rsidR="00B13D2F" w:rsidRPr="00BC0D1F">
        <w:t>.</w:t>
      </w:r>
    </w:p>
    <w:p w14:paraId="6F05B74F" w14:textId="09A46724" w:rsidR="006A557B" w:rsidRPr="00BC0D1F" w:rsidRDefault="006A557B" w:rsidP="00B13D2F">
      <w:pPr>
        <w:pStyle w:val="Heading4"/>
        <w:spacing w:before="360"/>
      </w:pPr>
      <w:r w:rsidRPr="00BC0D1F">
        <w:lastRenderedPageBreak/>
        <w:t xml:space="preserve">Office of </w:t>
      </w:r>
      <w:r w:rsidR="00B13D2F" w:rsidRPr="00BC0D1F">
        <w:t>R</w:t>
      </w:r>
      <w:r w:rsidRPr="00BC0D1F">
        <w:t xml:space="preserve">adiation </w:t>
      </w:r>
      <w:r w:rsidR="00B13D2F" w:rsidRPr="00BC0D1F">
        <w:t>S</w:t>
      </w:r>
      <w:r w:rsidRPr="00BC0D1F">
        <w:t>afety: licensing activities</w:t>
      </w:r>
    </w:p>
    <w:p w14:paraId="49564A55" w14:textId="77777777" w:rsidR="006A557B" w:rsidRPr="00BC0D1F" w:rsidRDefault="006A557B" w:rsidP="00B13D2F">
      <w:pPr>
        <w:rPr>
          <w:bCs/>
        </w:rPr>
      </w:pPr>
      <w:r w:rsidRPr="00BC0D1F">
        <w:rPr>
          <w:bCs/>
        </w:rPr>
        <w:t xml:space="preserve">Following the sale of the National Radiation Laboratory to ESR the Ministry has retained </w:t>
      </w:r>
      <w:r w:rsidRPr="00BC0D1F">
        <w:t>a range of regulatory activities including licensing, issuing consents and maintenance of codes of safe practice, which now fall under the Office of Radiation Safety.</w:t>
      </w:r>
    </w:p>
    <w:p w14:paraId="0E6E89CE" w14:textId="77777777" w:rsidR="006A557B" w:rsidRPr="00BC0D1F" w:rsidRDefault="006A557B" w:rsidP="00B13D2F"/>
    <w:p w14:paraId="41A95F08" w14:textId="77777777" w:rsidR="006A557B" w:rsidRPr="00BC0D1F" w:rsidRDefault="006A557B" w:rsidP="00B13D2F">
      <w:r w:rsidRPr="00BC0D1F">
        <w:t>A memorandum account was established on 1 July 1998 for licensing activities required by the Radiation Protection Act 1965. The following table shows the amounts of revenue and expenses relating to licensing activities.</w:t>
      </w:r>
    </w:p>
    <w:p w14:paraId="19AF7C6B" w14:textId="77777777" w:rsidR="006A557B" w:rsidRPr="00BC0D1F" w:rsidRDefault="006A557B" w:rsidP="00B13D2F"/>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B13D2F" w:rsidRPr="00BC0D1F" w14:paraId="4CC85560" w14:textId="77777777" w:rsidTr="00373692">
        <w:trPr>
          <w:cantSplit/>
        </w:trPr>
        <w:tc>
          <w:tcPr>
            <w:tcW w:w="1134" w:type="dxa"/>
            <w:tcBorders>
              <w:top w:val="single" w:sz="4" w:space="0" w:color="auto"/>
              <w:bottom w:val="single" w:sz="4" w:space="0" w:color="auto"/>
              <w:right w:val="nil"/>
            </w:tcBorders>
            <w:shd w:val="solid" w:color="FFFFFF" w:fill="auto"/>
          </w:tcPr>
          <w:p w14:paraId="7C44C56C" w14:textId="77777777" w:rsidR="00B13D2F" w:rsidRPr="00BC0D1F" w:rsidRDefault="00B13D2F" w:rsidP="00373692">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7556B50B" w14:textId="77777777" w:rsidR="00B13D2F" w:rsidRPr="00BC0D1F" w:rsidRDefault="00B13D2F" w:rsidP="00373692">
            <w:pPr>
              <w:pStyle w:val="TableText"/>
              <w:rPr>
                <w:b/>
                <w:lang w:eastAsia="en-NZ"/>
              </w:rPr>
            </w:pPr>
          </w:p>
        </w:tc>
        <w:tc>
          <w:tcPr>
            <w:tcW w:w="1228" w:type="dxa"/>
            <w:tcBorders>
              <w:top w:val="single" w:sz="4" w:space="0" w:color="auto"/>
              <w:bottom w:val="single" w:sz="4" w:space="0" w:color="auto"/>
            </w:tcBorders>
            <w:shd w:val="clear" w:color="E3E3E3" w:fill="D9D9D9"/>
          </w:tcPr>
          <w:p w14:paraId="1A6C6E18" w14:textId="77777777" w:rsidR="00B13D2F" w:rsidRPr="00BC0D1F" w:rsidRDefault="00B13D2F" w:rsidP="00373692">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B13D2F" w:rsidRPr="00BC0D1F" w14:paraId="128BD5FC" w14:textId="77777777" w:rsidTr="00373692">
        <w:trPr>
          <w:cantSplit/>
        </w:trPr>
        <w:tc>
          <w:tcPr>
            <w:tcW w:w="1134" w:type="dxa"/>
            <w:tcBorders>
              <w:top w:val="single" w:sz="4" w:space="0" w:color="auto"/>
              <w:right w:val="nil"/>
            </w:tcBorders>
            <w:shd w:val="solid" w:color="FFFFFF" w:fill="auto"/>
          </w:tcPr>
          <w:p w14:paraId="3C8028BB" w14:textId="77777777" w:rsidR="00B13D2F" w:rsidRPr="00BC0D1F" w:rsidRDefault="00B13D2F" w:rsidP="00B13D2F">
            <w:pPr>
              <w:pStyle w:val="TableText"/>
              <w:ind w:right="284"/>
              <w:jc w:val="right"/>
              <w:rPr>
                <w:b/>
              </w:rPr>
            </w:pPr>
          </w:p>
        </w:tc>
        <w:tc>
          <w:tcPr>
            <w:tcW w:w="5812" w:type="dxa"/>
            <w:tcBorders>
              <w:top w:val="single" w:sz="4" w:space="0" w:color="auto"/>
              <w:left w:val="nil"/>
            </w:tcBorders>
            <w:shd w:val="solid" w:color="FFFFFF" w:fill="auto"/>
          </w:tcPr>
          <w:p w14:paraId="1BA75425" w14:textId="77777777" w:rsidR="00B13D2F" w:rsidRPr="00BC0D1F" w:rsidRDefault="00B13D2F" w:rsidP="00373692">
            <w:pPr>
              <w:pStyle w:val="TableText"/>
              <w:rPr>
                <w:b/>
              </w:rPr>
            </w:pPr>
            <w:r w:rsidRPr="00BC0D1F">
              <w:rPr>
                <w:b/>
              </w:rPr>
              <w:t>Licensing fees</w:t>
            </w:r>
          </w:p>
        </w:tc>
        <w:tc>
          <w:tcPr>
            <w:tcW w:w="1228" w:type="dxa"/>
            <w:tcBorders>
              <w:top w:val="single" w:sz="4" w:space="0" w:color="auto"/>
            </w:tcBorders>
            <w:shd w:val="clear" w:color="E3E3E3" w:fill="D9D9D9"/>
          </w:tcPr>
          <w:p w14:paraId="7D53CA7B" w14:textId="77777777" w:rsidR="00B13D2F" w:rsidRPr="00BC0D1F" w:rsidRDefault="00B13D2F" w:rsidP="00B13D2F">
            <w:pPr>
              <w:pStyle w:val="TableText"/>
              <w:ind w:right="113"/>
              <w:jc w:val="right"/>
              <w:rPr>
                <w:b/>
              </w:rPr>
            </w:pPr>
          </w:p>
        </w:tc>
      </w:tr>
      <w:tr w:rsidR="00B13D2F" w:rsidRPr="00BC0D1F" w14:paraId="216AB252" w14:textId="77777777" w:rsidTr="00373692">
        <w:trPr>
          <w:cantSplit/>
        </w:trPr>
        <w:tc>
          <w:tcPr>
            <w:tcW w:w="1134" w:type="dxa"/>
            <w:tcBorders>
              <w:right w:val="nil"/>
            </w:tcBorders>
            <w:shd w:val="solid" w:color="FFFFFF" w:fill="auto"/>
          </w:tcPr>
          <w:p w14:paraId="199CDD6C" w14:textId="77777777" w:rsidR="00B13D2F" w:rsidRPr="00BC0D1F" w:rsidRDefault="00B13D2F" w:rsidP="00B13D2F">
            <w:pPr>
              <w:pStyle w:val="TableText"/>
              <w:ind w:right="284"/>
              <w:jc w:val="right"/>
              <w:rPr>
                <w:b/>
              </w:rPr>
            </w:pPr>
            <w:r w:rsidRPr="00BC0D1F">
              <w:rPr>
                <w:b/>
              </w:rPr>
              <w:t>702</w:t>
            </w:r>
          </w:p>
        </w:tc>
        <w:tc>
          <w:tcPr>
            <w:tcW w:w="5812" w:type="dxa"/>
            <w:tcBorders>
              <w:left w:val="nil"/>
            </w:tcBorders>
            <w:shd w:val="solid" w:color="FFFFFF" w:fill="auto"/>
          </w:tcPr>
          <w:p w14:paraId="31E7268B" w14:textId="77777777" w:rsidR="00B13D2F" w:rsidRPr="00BC0D1F" w:rsidRDefault="00B13D2F" w:rsidP="00373692">
            <w:pPr>
              <w:pStyle w:val="TableText"/>
              <w:rPr>
                <w:b/>
              </w:rPr>
            </w:pPr>
            <w:r w:rsidRPr="00BC0D1F">
              <w:rPr>
                <w:b/>
              </w:rPr>
              <w:t>Balance at 1 July</w:t>
            </w:r>
          </w:p>
        </w:tc>
        <w:tc>
          <w:tcPr>
            <w:tcW w:w="1228" w:type="dxa"/>
            <w:shd w:val="clear" w:color="E3E3E3" w:fill="D9D9D9"/>
          </w:tcPr>
          <w:p w14:paraId="0BBE5FB7" w14:textId="77777777" w:rsidR="00B13D2F" w:rsidRPr="00BC0D1F" w:rsidRDefault="00B13D2F" w:rsidP="00B13D2F">
            <w:pPr>
              <w:pStyle w:val="TableText"/>
              <w:ind w:right="113"/>
              <w:jc w:val="right"/>
              <w:rPr>
                <w:b/>
              </w:rPr>
            </w:pPr>
            <w:r w:rsidRPr="00BC0D1F">
              <w:rPr>
                <w:b/>
              </w:rPr>
              <w:t>973</w:t>
            </w:r>
          </w:p>
        </w:tc>
      </w:tr>
      <w:tr w:rsidR="00B13D2F" w:rsidRPr="00BC0D1F" w14:paraId="6FE0626F" w14:textId="77777777" w:rsidTr="00373692">
        <w:trPr>
          <w:cantSplit/>
        </w:trPr>
        <w:tc>
          <w:tcPr>
            <w:tcW w:w="1134" w:type="dxa"/>
            <w:tcBorders>
              <w:right w:val="nil"/>
            </w:tcBorders>
            <w:shd w:val="solid" w:color="FFFFFF" w:fill="auto"/>
          </w:tcPr>
          <w:p w14:paraId="1547A82B" w14:textId="77777777" w:rsidR="00B13D2F" w:rsidRPr="00BC0D1F" w:rsidRDefault="00B13D2F" w:rsidP="00B13D2F">
            <w:pPr>
              <w:pStyle w:val="TableText"/>
              <w:ind w:right="284"/>
              <w:jc w:val="right"/>
            </w:pPr>
            <w:r w:rsidRPr="00BC0D1F">
              <w:t>897</w:t>
            </w:r>
          </w:p>
        </w:tc>
        <w:tc>
          <w:tcPr>
            <w:tcW w:w="5812" w:type="dxa"/>
            <w:tcBorders>
              <w:left w:val="nil"/>
            </w:tcBorders>
            <w:shd w:val="solid" w:color="FFFFFF" w:fill="auto"/>
          </w:tcPr>
          <w:p w14:paraId="790B2BD2" w14:textId="77777777" w:rsidR="00B13D2F" w:rsidRPr="00BC0D1F" w:rsidRDefault="00B13D2F" w:rsidP="00373692">
            <w:pPr>
              <w:pStyle w:val="TableText"/>
            </w:pPr>
            <w:r w:rsidRPr="00BC0D1F">
              <w:t>Revenue</w:t>
            </w:r>
          </w:p>
        </w:tc>
        <w:tc>
          <w:tcPr>
            <w:tcW w:w="1228" w:type="dxa"/>
            <w:shd w:val="clear" w:color="E3E3E3" w:fill="D9D9D9"/>
          </w:tcPr>
          <w:p w14:paraId="3C9D0BF4" w14:textId="77777777" w:rsidR="00B13D2F" w:rsidRPr="00BC0D1F" w:rsidRDefault="00B13D2F" w:rsidP="00B13D2F">
            <w:pPr>
              <w:pStyle w:val="TableText"/>
              <w:ind w:right="113"/>
              <w:jc w:val="right"/>
            </w:pPr>
            <w:r w:rsidRPr="00BC0D1F">
              <w:t>919</w:t>
            </w:r>
          </w:p>
        </w:tc>
      </w:tr>
      <w:tr w:rsidR="00B13D2F" w:rsidRPr="00BC0D1F" w14:paraId="46CBD494" w14:textId="77777777" w:rsidTr="00373692">
        <w:trPr>
          <w:cantSplit/>
        </w:trPr>
        <w:tc>
          <w:tcPr>
            <w:tcW w:w="1134" w:type="dxa"/>
            <w:tcBorders>
              <w:right w:val="nil"/>
            </w:tcBorders>
            <w:shd w:val="solid" w:color="FFFFFF" w:fill="auto"/>
          </w:tcPr>
          <w:p w14:paraId="0E2D3184" w14:textId="77777777" w:rsidR="00B13D2F" w:rsidRPr="00BC0D1F" w:rsidRDefault="00B13D2F" w:rsidP="00B13D2F">
            <w:pPr>
              <w:pStyle w:val="TableText"/>
              <w:ind w:right="284"/>
              <w:jc w:val="right"/>
            </w:pPr>
            <w:r w:rsidRPr="00BC0D1F">
              <w:t>(626)</w:t>
            </w:r>
          </w:p>
        </w:tc>
        <w:tc>
          <w:tcPr>
            <w:tcW w:w="5812" w:type="dxa"/>
            <w:tcBorders>
              <w:left w:val="nil"/>
            </w:tcBorders>
            <w:shd w:val="solid" w:color="FFFFFF" w:fill="auto"/>
          </w:tcPr>
          <w:p w14:paraId="76D14BB9" w14:textId="77777777" w:rsidR="00B13D2F" w:rsidRPr="00BC0D1F" w:rsidRDefault="00B13D2F" w:rsidP="00373692">
            <w:pPr>
              <w:pStyle w:val="TableText"/>
            </w:pPr>
            <w:r w:rsidRPr="00BC0D1F">
              <w:t>Expenses</w:t>
            </w:r>
          </w:p>
        </w:tc>
        <w:tc>
          <w:tcPr>
            <w:tcW w:w="1228" w:type="dxa"/>
            <w:shd w:val="clear" w:color="E3E3E3" w:fill="D9D9D9"/>
          </w:tcPr>
          <w:p w14:paraId="5652EFF1" w14:textId="77777777" w:rsidR="00B13D2F" w:rsidRPr="00BC0D1F" w:rsidRDefault="00B13D2F" w:rsidP="00B13D2F">
            <w:pPr>
              <w:pStyle w:val="TableText"/>
              <w:ind w:right="113"/>
              <w:jc w:val="right"/>
            </w:pPr>
            <w:r w:rsidRPr="00BC0D1F">
              <w:t>(873)</w:t>
            </w:r>
          </w:p>
        </w:tc>
      </w:tr>
      <w:tr w:rsidR="00B13D2F" w:rsidRPr="00BC0D1F" w14:paraId="4F153085" w14:textId="77777777" w:rsidTr="00373692">
        <w:trPr>
          <w:cantSplit/>
        </w:trPr>
        <w:tc>
          <w:tcPr>
            <w:tcW w:w="1134" w:type="dxa"/>
            <w:tcBorders>
              <w:right w:val="nil"/>
            </w:tcBorders>
            <w:shd w:val="solid" w:color="FFFFFF" w:fill="auto"/>
          </w:tcPr>
          <w:p w14:paraId="14A71E6A" w14:textId="77777777" w:rsidR="00B13D2F" w:rsidRPr="00BC0D1F" w:rsidRDefault="00B13D2F" w:rsidP="00B13D2F">
            <w:pPr>
              <w:pStyle w:val="TableText"/>
              <w:ind w:right="284"/>
              <w:jc w:val="right"/>
              <w:rPr>
                <w:b/>
              </w:rPr>
            </w:pPr>
            <w:r w:rsidRPr="00BC0D1F">
              <w:rPr>
                <w:b/>
              </w:rPr>
              <w:t>973</w:t>
            </w:r>
          </w:p>
        </w:tc>
        <w:tc>
          <w:tcPr>
            <w:tcW w:w="5812" w:type="dxa"/>
            <w:tcBorders>
              <w:left w:val="nil"/>
            </w:tcBorders>
            <w:shd w:val="solid" w:color="FFFFFF" w:fill="auto"/>
          </w:tcPr>
          <w:p w14:paraId="6A468A84" w14:textId="77777777" w:rsidR="00B13D2F" w:rsidRPr="00BC0D1F" w:rsidRDefault="00B13D2F" w:rsidP="00373692">
            <w:pPr>
              <w:pStyle w:val="TableText"/>
              <w:rPr>
                <w:b/>
              </w:rPr>
            </w:pPr>
            <w:r w:rsidRPr="00BC0D1F">
              <w:rPr>
                <w:b/>
              </w:rPr>
              <w:t>Balance at 30 June</w:t>
            </w:r>
          </w:p>
        </w:tc>
        <w:tc>
          <w:tcPr>
            <w:tcW w:w="1228" w:type="dxa"/>
            <w:shd w:val="clear" w:color="E3E3E3" w:fill="D9D9D9"/>
          </w:tcPr>
          <w:p w14:paraId="2F3CEB21" w14:textId="77777777" w:rsidR="00B13D2F" w:rsidRPr="00BC0D1F" w:rsidRDefault="00B13D2F" w:rsidP="00B13D2F">
            <w:pPr>
              <w:pStyle w:val="TableText"/>
              <w:ind w:right="113"/>
              <w:jc w:val="right"/>
              <w:rPr>
                <w:b/>
              </w:rPr>
            </w:pPr>
            <w:r w:rsidRPr="00BC0D1F">
              <w:rPr>
                <w:b/>
              </w:rPr>
              <w:t>1,019</w:t>
            </w:r>
          </w:p>
        </w:tc>
      </w:tr>
    </w:tbl>
    <w:p w14:paraId="2270813A" w14:textId="3D896597" w:rsidR="006A557B" w:rsidRPr="00BC0D1F" w:rsidRDefault="006A557B" w:rsidP="00081FF0">
      <w:pPr>
        <w:jc w:val="both"/>
        <w:rPr>
          <w:highlight w:val="yellow"/>
        </w:rPr>
      </w:pPr>
    </w:p>
    <w:p w14:paraId="511A61B1" w14:textId="77777777" w:rsidR="006A557B" w:rsidRPr="00BC0D1F" w:rsidRDefault="006A557B" w:rsidP="00B13D2F">
      <w:pPr>
        <w:pStyle w:val="Heading4"/>
      </w:pPr>
      <w:proofErr w:type="spellStart"/>
      <w:r w:rsidRPr="00BC0D1F">
        <w:t>Medsafe</w:t>
      </w:r>
      <w:proofErr w:type="spellEnd"/>
    </w:p>
    <w:p w14:paraId="7C22920C" w14:textId="77777777" w:rsidR="006A557B" w:rsidRPr="00BC0D1F" w:rsidRDefault="006A557B" w:rsidP="00B13D2F">
      <w:r w:rsidRPr="00BC0D1F">
        <w:t xml:space="preserve">Pursuant to the Medicines Act 1981, </w:t>
      </w:r>
      <w:proofErr w:type="spellStart"/>
      <w:r w:rsidRPr="00BC0D1F">
        <w:t>Medsafe</w:t>
      </w:r>
      <w:proofErr w:type="spellEnd"/>
      <w:r w:rsidRPr="00BC0D1F">
        <w:t xml:space="preserve"> derives third-party fee revenue from the medicines and pharmaceutical industry from licence applications to approve new or changed medicines, and for clinical trials. A memorandum account has been established effective from 1 July 2007 to match accumulated licence revenue collected against the expenses incurred to process applications. This information will be used to ensure that, over time, fees will be set at a level as to ensure revenue collected equates to equivalent levels of costs incurred.</w:t>
      </w:r>
    </w:p>
    <w:p w14:paraId="5549D2E4" w14:textId="77777777" w:rsidR="00B13D2F" w:rsidRPr="00BC0D1F" w:rsidRDefault="00B13D2F" w:rsidP="00B13D2F"/>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B13D2F" w:rsidRPr="00BC0D1F" w14:paraId="52BFD196" w14:textId="77777777" w:rsidTr="00373692">
        <w:trPr>
          <w:cantSplit/>
        </w:trPr>
        <w:tc>
          <w:tcPr>
            <w:tcW w:w="1134" w:type="dxa"/>
            <w:tcBorders>
              <w:top w:val="single" w:sz="4" w:space="0" w:color="auto"/>
              <w:bottom w:val="single" w:sz="4" w:space="0" w:color="auto"/>
              <w:right w:val="nil"/>
            </w:tcBorders>
            <w:shd w:val="solid" w:color="FFFFFF" w:fill="auto"/>
          </w:tcPr>
          <w:p w14:paraId="0C2C4A7A" w14:textId="77777777" w:rsidR="00B13D2F" w:rsidRPr="00BC0D1F" w:rsidRDefault="00B13D2F" w:rsidP="00373692">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1A31CF0A" w14:textId="77777777" w:rsidR="00B13D2F" w:rsidRPr="00BC0D1F" w:rsidRDefault="00B13D2F" w:rsidP="00373692">
            <w:pPr>
              <w:pStyle w:val="TableText"/>
              <w:rPr>
                <w:b/>
                <w:lang w:eastAsia="en-NZ"/>
              </w:rPr>
            </w:pPr>
          </w:p>
        </w:tc>
        <w:tc>
          <w:tcPr>
            <w:tcW w:w="1228" w:type="dxa"/>
            <w:tcBorders>
              <w:top w:val="single" w:sz="4" w:space="0" w:color="auto"/>
              <w:bottom w:val="single" w:sz="4" w:space="0" w:color="auto"/>
            </w:tcBorders>
            <w:shd w:val="clear" w:color="E3E3E3" w:fill="D9D9D9"/>
          </w:tcPr>
          <w:p w14:paraId="03E06643" w14:textId="77777777" w:rsidR="00B13D2F" w:rsidRPr="00BC0D1F" w:rsidRDefault="00B13D2F" w:rsidP="00373692">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B13D2F" w:rsidRPr="00BC0D1F" w14:paraId="52EB92BD" w14:textId="77777777" w:rsidTr="00373692">
        <w:trPr>
          <w:cantSplit/>
        </w:trPr>
        <w:tc>
          <w:tcPr>
            <w:tcW w:w="1134" w:type="dxa"/>
            <w:tcBorders>
              <w:top w:val="single" w:sz="4" w:space="0" w:color="auto"/>
              <w:right w:val="nil"/>
            </w:tcBorders>
            <w:shd w:val="solid" w:color="FFFFFF" w:fill="auto"/>
          </w:tcPr>
          <w:p w14:paraId="23D838A4" w14:textId="77777777" w:rsidR="00B13D2F" w:rsidRPr="00BC0D1F" w:rsidRDefault="00B13D2F" w:rsidP="00B13D2F">
            <w:pPr>
              <w:pStyle w:val="TableText"/>
              <w:ind w:right="284"/>
              <w:jc w:val="right"/>
              <w:rPr>
                <w:b/>
              </w:rPr>
            </w:pPr>
          </w:p>
        </w:tc>
        <w:tc>
          <w:tcPr>
            <w:tcW w:w="5812" w:type="dxa"/>
            <w:tcBorders>
              <w:top w:val="single" w:sz="4" w:space="0" w:color="auto"/>
              <w:left w:val="nil"/>
            </w:tcBorders>
            <w:shd w:val="solid" w:color="FFFFFF" w:fill="auto"/>
          </w:tcPr>
          <w:p w14:paraId="3901BA8E" w14:textId="77777777" w:rsidR="00B13D2F" w:rsidRPr="00BC0D1F" w:rsidRDefault="00B13D2F" w:rsidP="00B13D2F">
            <w:pPr>
              <w:pStyle w:val="TableText"/>
              <w:rPr>
                <w:b/>
              </w:rPr>
            </w:pPr>
            <w:proofErr w:type="spellStart"/>
            <w:r w:rsidRPr="00BC0D1F">
              <w:rPr>
                <w:b/>
              </w:rPr>
              <w:t>Medsafe</w:t>
            </w:r>
            <w:proofErr w:type="spellEnd"/>
          </w:p>
        </w:tc>
        <w:tc>
          <w:tcPr>
            <w:tcW w:w="1228" w:type="dxa"/>
            <w:tcBorders>
              <w:top w:val="single" w:sz="4" w:space="0" w:color="auto"/>
            </w:tcBorders>
            <w:shd w:val="clear" w:color="E3E3E3" w:fill="D9D9D9"/>
          </w:tcPr>
          <w:p w14:paraId="125E9E4C" w14:textId="77777777" w:rsidR="00B13D2F" w:rsidRPr="00BC0D1F" w:rsidRDefault="00B13D2F" w:rsidP="00B13D2F">
            <w:pPr>
              <w:pStyle w:val="TableText"/>
              <w:ind w:right="113"/>
              <w:jc w:val="right"/>
              <w:rPr>
                <w:b/>
              </w:rPr>
            </w:pPr>
          </w:p>
        </w:tc>
      </w:tr>
      <w:tr w:rsidR="00B13D2F" w:rsidRPr="00BC0D1F" w14:paraId="4B3C694C" w14:textId="77777777" w:rsidTr="00373692">
        <w:trPr>
          <w:cantSplit/>
        </w:trPr>
        <w:tc>
          <w:tcPr>
            <w:tcW w:w="1134" w:type="dxa"/>
            <w:tcBorders>
              <w:right w:val="nil"/>
            </w:tcBorders>
            <w:shd w:val="solid" w:color="FFFFFF" w:fill="auto"/>
          </w:tcPr>
          <w:p w14:paraId="3269414A" w14:textId="77777777" w:rsidR="00B13D2F" w:rsidRPr="00BC0D1F" w:rsidRDefault="00B13D2F" w:rsidP="00B13D2F">
            <w:pPr>
              <w:pStyle w:val="TableText"/>
              <w:ind w:right="284"/>
              <w:jc w:val="right"/>
              <w:rPr>
                <w:b/>
              </w:rPr>
            </w:pPr>
            <w:r w:rsidRPr="00BC0D1F">
              <w:rPr>
                <w:b/>
              </w:rPr>
              <w:t>3,059</w:t>
            </w:r>
          </w:p>
        </w:tc>
        <w:tc>
          <w:tcPr>
            <w:tcW w:w="5812" w:type="dxa"/>
            <w:tcBorders>
              <w:left w:val="nil"/>
            </w:tcBorders>
            <w:shd w:val="solid" w:color="FFFFFF" w:fill="auto"/>
          </w:tcPr>
          <w:p w14:paraId="0AFA8B8D" w14:textId="77777777" w:rsidR="00B13D2F" w:rsidRPr="00BC0D1F" w:rsidRDefault="00B13D2F" w:rsidP="00B13D2F">
            <w:pPr>
              <w:pStyle w:val="TableText"/>
              <w:rPr>
                <w:b/>
              </w:rPr>
            </w:pPr>
            <w:r w:rsidRPr="00BC0D1F">
              <w:rPr>
                <w:b/>
              </w:rPr>
              <w:t>Balance 1 July</w:t>
            </w:r>
          </w:p>
        </w:tc>
        <w:tc>
          <w:tcPr>
            <w:tcW w:w="1228" w:type="dxa"/>
            <w:shd w:val="clear" w:color="E3E3E3" w:fill="D9D9D9"/>
          </w:tcPr>
          <w:p w14:paraId="48C867A1" w14:textId="77777777" w:rsidR="00B13D2F" w:rsidRPr="00BC0D1F" w:rsidRDefault="00B13D2F" w:rsidP="00B13D2F">
            <w:pPr>
              <w:pStyle w:val="TableText"/>
              <w:ind w:right="113"/>
              <w:jc w:val="right"/>
              <w:rPr>
                <w:b/>
              </w:rPr>
            </w:pPr>
            <w:r w:rsidRPr="00BC0D1F">
              <w:rPr>
                <w:b/>
              </w:rPr>
              <w:t>2,636</w:t>
            </w:r>
          </w:p>
        </w:tc>
      </w:tr>
      <w:tr w:rsidR="00B13D2F" w:rsidRPr="00BC0D1F" w14:paraId="6D346AD5" w14:textId="77777777" w:rsidTr="00373692">
        <w:trPr>
          <w:cantSplit/>
        </w:trPr>
        <w:tc>
          <w:tcPr>
            <w:tcW w:w="1134" w:type="dxa"/>
            <w:tcBorders>
              <w:right w:val="nil"/>
            </w:tcBorders>
            <w:shd w:val="solid" w:color="FFFFFF" w:fill="auto"/>
          </w:tcPr>
          <w:p w14:paraId="67A07255" w14:textId="77777777" w:rsidR="00B13D2F" w:rsidRPr="00BC0D1F" w:rsidRDefault="00B13D2F" w:rsidP="00B13D2F">
            <w:pPr>
              <w:pStyle w:val="TableText"/>
              <w:ind w:right="284"/>
              <w:jc w:val="right"/>
            </w:pPr>
            <w:r w:rsidRPr="00BC0D1F">
              <w:t>8,318</w:t>
            </w:r>
          </w:p>
        </w:tc>
        <w:tc>
          <w:tcPr>
            <w:tcW w:w="5812" w:type="dxa"/>
            <w:tcBorders>
              <w:left w:val="nil"/>
            </w:tcBorders>
            <w:shd w:val="solid" w:color="FFFFFF" w:fill="auto"/>
          </w:tcPr>
          <w:p w14:paraId="114F0C09" w14:textId="77777777" w:rsidR="00B13D2F" w:rsidRPr="00BC0D1F" w:rsidRDefault="00B13D2F" w:rsidP="00B13D2F">
            <w:pPr>
              <w:pStyle w:val="TableText"/>
            </w:pPr>
            <w:r w:rsidRPr="00BC0D1F">
              <w:t>Revenue</w:t>
            </w:r>
          </w:p>
        </w:tc>
        <w:tc>
          <w:tcPr>
            <w:tcW w:w="1228" w:type="dxa"/>
            <w:shd w:val="clear" w:color="E3E3E3" w:fill="D9D9D9"/>
          </w:tcPr>
          <w:p w14:paraId="208D70FD" w14:textId="77777777" w:rsidR="00B13D2F" w:rsidRPr="00BC0D1F" w:rsidRDefault="00B13D2F" w:rsidP="00B13D2F">
            <w:pPr>
              <w:pStyle w:val="TableText"/>
              <w:ind w:right="113"/>
              <w:jc w:val="right"/>
            </w:pPr>
            <w:r w:rsidRPr="00BC0D1F">
              <w:t>7,427</w:t>
            </w:r>
          </w:p>
        </w:tc>
      </w:tr>
      <w:tr w:rsidR="00B13D2F" w:rsidRPr="00BC0D1F" w14:paraId="143B5B6E" w14:textId="77777777" w:rsidTr="00373692">
        <w:trPr>
          <w:cantSplit/>
        </w:trPr>
        <w:tc>
          <w:tcPr>
            <w:tcW w:w="1134" w:type="dxa"/>
            <w:tcBorders>
              <w:right w:val="nil"/>
            </w:tcBorders>
            <w:shd w:val="solid" w:color="FFFFFF" w:fill="auto"/>
          </w:tcPr>
          <w:p w14:paraId="0EF34DD1" w14:textId="77777777" w:rsidR="00B13D2F" w:rsidRPr="00BC0D1F" w:rsidRDefault="00B13D2F" w:rsidP="00B13D2F">
            <w:pPr>
              <w:pStyle w:val="TableText"/>
              <w:ind w:right="284"/>
              <w:jc w:val="right"/>
            </w:pPr>
            <w:r w:rsidRPr="00BC0D1F">
              <w:t>(8,741)</w:t>
            </w:r>
          </w:p>
        </w:tc>
        <w:tc>
          <w:tcPr>
            <w:tcW w:w="5812" w:type="dxa"/>
            <w:tcBorders>
              <w:left w:val="nil"/>
            </w:tcBorders>
            <w:shd w:val="solid" w:color="FFFFFF" w:fill="auto"/>
          </w:tcPr>
          <w:p w14:paraId="26FCF5B6" w14:textId="77777777" w:rsidR="00B13D2F" w:rsidRPr="00BC0D1F" w:rsidRDefault="00B13D2F" w:rsidP="00B13D2F">
            <w:pPr>
              <w:pStyle w:val="TableText"/>
            </w:pPr>
            <w:r w:rsidRPr="00BC0D1F">
              <w:t>Expenses</w:t>
            </w:r>
          </w:p>
        </w:tc>
        <w:tc>
          <w:tcPr>
            <w:tcW w:w="1228" w:type="dxa"/>
            <w:shd w:val="clear" w:color="E3E3E3" w:fill="D9D9D9"/>
          </w:tcPr>
          <w:p w14:paraId="516B1617" w14:textId="77777777" w:rsidR="00B13D2F" w:rsidRPr="00BC0D1F" w:rsidRDefault="00B13D2F" w:rsidP="00B13D2F">
            <w:pPr>
              <w:pStyle w:val="TableText"/>
              <w:ind w:right="113"/>
              <w:jc w:val="right"/>
            </w:pPr>
            <w:r w:rsidRPr="00BC0D1F">
              <w:t>(8,775)</w:t>
            </w:r>
          </w:p>
        </w:tc>
      </w:tr>
      <w:tr w:rsidR="00B13D2F" w:rsidRPr="00BC0D1F" w14:paraId="03577E64" w14:textId="77777777" w:rsidTr="00373692">
        <w:trPr>
          <w:cantSplit/>
        </w:trPr>
        <w:tc>
          <w:tcPr>
            <w:tcW w:w="1134" w:type="dxa"/>
            <w:tcBorders>
              <w:right w:val="nil"/>
            </w:tcBorders>
            <w:shd w:val="solid" w:color="FFFFFF" w:fill="auto"/>
          </w:tcPr>
          <w:p w14:paraId="442F5417" w14:textId="77777777" w:rsidR="00B13D2F" w:rsidRPr="00BC0D1F" w:rsidRDefault="00B13D2F" w:rsidP="00B13D2F">
            <w:pPr>
              <w:pStyle w:val="TableText"/>
              <w:ind w:right="284"/>
              <w:jc w:val="right"/>
              <w:rPr>
                <w:b/>
              </w:rPr>
            </w:pPr>
            <w:r w:rsidRPr="00BC0D1F">
              <w:rPr>
                <w:b/>
              </w:rPr>
              <w:t>2,636</w:t>
            </w:r>
          </w:p>
        </w:tc>
        <w:tc>
          <w:tcPr>
            <w:tcW w:w="5812" w:type="dxa"/>
            <w:tcBorders>
              <w:left w:val="nil"/>
            </w:tcBorders>
            <w:shd w:val="solid" w:color="FFFFFF" w:fill="auto"/>
          </w:tcPr>
          <w:p w14:paraId="66B9DAFB" w14:textId="77777777" w:rsidR="00B13D2F" w:rsidRPr="00BC0D1F" w:rsidRDefault="00B13D2F" w:rsidP="00B13D2F">
            <w:pPr>
              <w:pStyle w:val="TableText"/>
              <w:rPr>
                <w:b/>
              </w:rPr>
            </w:pPr>
            <w:r w:rsidRPr="00BC0D1F">
              <w:rPr>
                <w:b/>
              </w:rPr>
              <w:t>Balance 30 June</w:t>
            </w:r>
          </w:p>
        </w:tc>
        <w:tc>
          <w:tcPr>
            <w:tcW w:w="1228" w:type="dxa"/>
            <w:shd w:val="clear" w:color="E3E3E3" w:fill="D9D9D9"/>
          </w:tcPr>
          <w:p w14:paraId="0312CD38" w14:textId="77777777" w:rsidR="00B13D2F" w:rsidRPr="00BC0D1F" w:rsidRDefault="00B13D2F" w:rsidP="00B13D2F">
            <w:pPr>
              <w:pStyle w:val="TableText"/>
              <w:ind w:right="113"/>
              <w:jc w:val="right"/>
              <w:rPr>
                <w:b/>
              </w:rPr>
            </w:pPr>
            <w:r w:rsidRPr="00BC0D1F">
              <w:rPr>
                <w:b/>
              </w:rPr>
              <w:t>1,288</w:t>
            </w:r>
          </w:p>
        </w:tc>
      </w:tr>
    </w:tbl>
    <w:p w14:paraId="4E9879C7" w14:textId="77777777" w:rsidR="00B13D2F" w:rsidRPr="00BC0D1F" w:rsidRDefault="00B13D2F" w:rsidP="00B13D2F"/>
    <w:p w14:paraId="4A84A1A6" w14:textId="56A89C50" w:rsidR="006A557B" w:rsidRPr="00BC0D1F" w:rsidRDefault="006A557B" w:rsidP="00B13D2F">
      <w:pPr>
        <w:pStyle w:val="Heading3"/>
      </w:pPr>
      <w:r w:rsidRPr="00BC0D1F">
        <w:t>Note 1</w:t>
      </w:r>
      <w:r w:rsidR="00C13BF2">
        <w:t>8</w:t>
      </w:r>
      <w:r w:rsidRPr="00BC0D1F">
        <w:t>: Explanation of major variances against budget</w:t>
      </w:r>
    </w:p>
    <w:p w14:paraId="5D3A2A1B" w14:textId="77777777" w:rsidR="006A557B" w:rsidRPr="00BC0D1F" w:rsidRDefault="006A557B" w:rsidP="00B13D2F">
      <w:pPr>
        <w:keepNext/>
      </w:pPr>
      <w:r w:rsidRPr="00BC0D1F">
        <w:t>Explanations for major variances from the Ministry’s estimated figures are as follows.</w:t>
      </w:r>
    </w:p>
    <w:p w14:paraId="1B6E2E9E" w14:textId="77777777" w:rsidR="00B13D2F" w:rsidRPr="00BC0D1F" w:rsidRDefault="00B13D2F" w:rsidP="00B13D2F">
      <w:pPr>
        <w:keepNext/>
      </w:pPr>
    </w:p>
    <w:p w14:paraId="6CFF30F2" w14:textId="77777777" w:rsidR="006A557B" w:rsidRPr="00BC0D1F" w:rsidRDefault="006A557B" w:rsidP="00B13D2F">
      <w:pPr>
        <w:pStyle w:val="Heading4"/>
      </w:pPr>
      <w:r w:rsidRPr="00BC0D1F">
        <w:t>Statement of Comprehensive Revenue and Expense</w:t>
      </w:r>
    </w:p>
    <w:p w14:paraId="1505B40B" w14:textId="77777777" w:rsidR="006A557B" w:rsidRPr="00BC0D1F" w:rsidRDefault="006A557B" w:rsidP="00B13D2F">
      <w:pPr>
        <w:pStyle w:val="Heading5"/>
      </w:pPr>
      <w:r w:rsidRPr="00BC0D1F">
        <w:t>Revenue Crown</w:t>
      </w:r>
    </w:p>
    <w:p w14:paraId="16D8D4DA" w14:textId="77777777" w:rsidR="006A557B" w:rsidRPr="00BC0D1F" w:rsidRDefault="006A557B" w:rsidP="00B13D2F">
      <w:r w:rsidRPr="00BC0D1F">
        <w:t>Revenue Crown was $645,000 higher than the unaudited budget. This was mainly due to additional funding for social bonds and the transfer to the Ministry of elements of Canterbury Earthquake Authority (CERA) following its disestablishment, offset by the Ministry’s contribution to the Budget 2015 Systems Package.</w:t>
      </w:r>
    </w:p>
    <w:p w14:paraId="176A7448" w14:textId="77777777" w:rsidR="006A557B" w:rsidRPr="00BC0D1F" w:rsidRDefault="006A557B" w:rsidP="00B13D2F"/>
    <w:p w14:paraId="69FBB3C3" w14:textId="77777777" w:rsidR="006A557B" w:rsidRPr="00BC0D1F" w:rsidRDefault="006A557B" w:rsidP="00B13D2F">
      <w:pPr>
        <w:pStyle w:val="Heading5"/>
      </w:pPr>
      <w:r w:rsidRPr="00BC0D1F">
        <w:lastRenderedPageBreak/>
        <w:t>Revenue other</w:t>
      </w:r>
    </w:p>
    <w:p w14:paraId="782C3639" w14:textId="77777777" w:rsidR="006A557B" w:rsidRPr="00BC0D1F" w:rsidRDefault="006A557B" w:rsidP="00B13D2F">
      <w:r w:rsidRPr="00BC0D1F">
        <w:t>Revenue other was $3.469 million lower than the unaudited budget, mostly because the Natural Health and Supplementary Products and Psychoactive Substances regulators are not yet generating revenue.</w:t>
      </w:r>
    </w:p>
    <w:p w14:paraId="5329289C" w14:textId="77777777" w:rsidR="006A557B" w:rsidRPr="00BC0D1F" w:rsidRDefault="006A557B" w:rsidP="00B13D2F"/>
    <w:p w14:paraId="6D07C4E8" w14:textId="77777777" w:rsidR="006A557B" w:rsidRPr="00BC0D1F" w:rsidRDefault="006A557B" w:rsidP="00B13D2F">
      <w:pPr>
        <w:pStyle w:val="Heading5"/>
      </w:pPr>
      <w:r w:rsidRPr="00BC0D1F">
        <w:t>Depreciation</w:t>
      </w:r>
    </w:p>
    <w:p w14:paraId="5E19E91F" w14:textId="77777777" w:rsidR="006A557B" w:rsidRPr="00BC0D1F" w:rsidRDefault="006A557B" w:rsidP="00B13D2F">
      <w:r w:rsidRPr="00BC0D1F">
        <w:t>Depreciation costs were $793,000 higher than the unaudited budget mainly due to the impairment of assets.</w:t>
      </w:r>
    </w:p>
    <w:p w14:paraId="23113962" w14:textId="77777777" w:rsidR="00B13D2F" w:rsidRPr="00BC0D1F" w:rsidRDefault="00B13D2F" w:rsidP="00B13D2F"/>
    <w:p w14:paraId="66D32663" w14:textId="77777777" w:rsidR="006A557B" w:rsidRPr="00BC0D1F" w:rsidRDefault="006A557B" w:rsidP="00B13D2F">
      <w:pPr>
        <w:pStyle w:val="Heading4"/>
      </w:pPr>
      <w:r w:rsidRPr="00BC0D1F">
        <w:t>Statement of financial position</w:t>
      </w:r>
    </w:p>
    <w:p w14:paraId="4D74903C" w14:textId="0C2987A4" w:rsidR="006A557B" w:rsidRPr="00BC0D1F" w:rsidRDefault="006A557B" w:rsidP="00B13D2F">
      <w:pPr>
        <w:pStyle w:val="Heading5"/>
      </w:pPr>
      <w:r w:rsidRPr="00BC0D1F">
        <w:t xml:space="preserve">Current </w:t>
      </w:r>
      <w:r w:rsidR="00B13D2F" w:rsidRPr="00BC0D1F">
        <w:t>a</w:t>
      </w:r>
      <w:r w:rsidRPr="00BC0D1F">
        <w:t>ssets</w:t>
      </w:r>
    </w:p>
    <w:p w14:paraId="0BCE39B2" w14:textId="7105089E" w:rsidR="006A557B" w:rsidRPr="00BC0D1F" w:rsidRDefault="006A557B" w:rsidP="00B13D2F">
      <w:pPr>
        <w:rPr>
          <w:rFonts w:eastAsia="SimSun"/>
          <w:lang w:eastAsia="zh-CN"/>
        </w:rPr>
      </w:pPr>
      <w:r w:rsidRPr="00BC0D1F">
        <w:rPr>
          <w:rFonts w:eastAsia="SimSun"/>
          <w:lang w:eastAsia="zh-CN"/>
        </w:rPr>
        <w:t>Current assets, comprising cash and cash equivalents, debtors and other receivables and prepayments were $</w:t>
      </w:r>
      <w:r w:rsidR="00C13BF2">
        <w:rPr>
          <w:rFonts w:eastAsia="SimSun"/>
          <w:lang w:eastAsia="zh-CN"/>
        </w:rPr>
        <w:t>3.45</w:t>
      </w:r>
      <w:r w:rsidR="00666CAB">
        <w:rPr>
          <w:rFonts w:eastAsia="SimSun"/>
          <w:lang w:eastAsia="zh-CN"/>
        </w:rPr>
        <w:t>5</w:t>
      </w:r>
      <w:r w:rsidRPr="00BC0D1F">
        <w:rPr>
          <w:rFonts w:eastAsia="SimSun"/>
          <w:lang w:eastAsia="zh-CN"/>
        </w:rPr>
        <w:t xml:space="preserve"> million lower than </w:t>
      </w:r>
      <w:r w:rsidRPr="00BC0D1F">
        <w:t>the unaudited budget. This was</w:t>
      </w:r>
      <w:r w:rsidRPr="00BC0D1F">
        <w:rPr>
          <w:rFonts w:eastAsia="SimSun"/>
          <w:lang w:eastAsia="zh-CN"/>
        </w:rPr>
        <w:t xml:space="preserve"> mainly due to debtors and receivables being lower than expected, partially offset by cash and cash equivalents being $4.423 million higher than expected.</w:t>
      </w:r>
    </w:p>
    <w:p w14:paraId="01882AB9" w14:textId="77777777" w:rsidR="006A557B" w:rsidRPr="00BC0D1F" w:rsidRDefault="006A557B" w:rsidP="00B13D2F"/>
    <w:p w14:paraId="5FDBB281" w14:textId="77777777" w:rsidR="006A557B" w:rsidRPr="00BC0D1F" w:rsidRDefault="006A557B" w:rsidP="00B13D2F">
      <w:pPr>
        <w:pStyle w:val="Heading5"/>
      </w:pPr>
      <w:r w:rsidRPr="00BC0D1F">
        <w:t>Property, plant and equipment, and intangible assets</w:t>
      </w:r>
    </w:p>
    <w:p w14:paraId="0A5BDAA8" w14:textId="77777777" w:rsidR="006A557B" w:rsidRDefault="006A557B" w:rsidP="00B13D2F">
      <w:pPr>
        <w:rPr>
          <w:rFonts w:eastAsia="SimSun"/>
          <w:lang w:eastAsia="zh-CN"/>
        </w:rPr>
      </w:pPr>
      <w:r w:rsidRPr="00BC0D1F">
        <w:t>Property, plant and equipment, and intangible assets</w:t>
      </w:r>
      <w:r w:rsidRPr="00BC0D1F">
        <w:rPr>
          <w:rFonts w:eastAsia="SimSun"/>
          <w:lang w:eastAsia="zh-CN"/>
        </w:rPr>
        <w:t xml:space="preserve"> were $1.811 million lower than </w:t>
      </w:r>
      <w:r w:rsidRPr="00BC0D1F">
        <w:t xml:space="preserve">the unaudited budget. This is </w:t>
      </w:r>
      <w:r w:rsidRPr="00BC0D1F">
        <w:rPr>
          <w:rFonts w:eastAsia="SimSun"/>
          <w:lang w:eastAsia="zh-CN"/>
        </w:rPr>
        <w:t>mainly because intangible assets were lower than the Main Estimates due delays in completion of projects.</w:t>
      </w:r>
    </w:p>
    <w:p w14:paraId="36EBC1CD" w14:textId="77777777" w:rsidR="00B8024B" w:rsidRDefault="00B8024B" w:rsidP="00B13D2F">
      <w:pPr>
        <w:rPr>
          <w:rFonts w:eastAsia="SimSun"/>
          <w:lang w:eastAsia="zh-CN"/>
        </w:rPr>
      </w:pPr>
    </w:p>
    <w:p w14:paraId="11D8DDD4" w14:textId="77777777" w:rsidR="00B8024B" w:rsidRPr="00B8024B" w:rsidRDefault="00B8024B" w:rsidP="00B8024B">
      <w:pPr>
        <w:spacing w:before="252" w:after="180" w:line="316" w:lineRule="auto"/>
        <w:jc w:val="both"/>
        <w:rPr>
          <w:rFonts w:cs="Arial"/>
          <w:b/>
          <w:bCs/>
          <w:spacing w:val="5"/>
          <w:sz w:val="24"/>
          <w:szCs w:val="24"/>
        </w:rPr>
      </w:pPr>
      <w:r w:rsidRPr="00B8024B">
        <w:rPr>
          <w:rFonts w:cs="Arial"/>
          <w:b/>
          <w:bCs/>
          <w:spacing w:val="5"/>
          <w:sz w:val="24"/>
          <w:szCs w:val="24"/>
        </w:rPr>
        <w:t>Statement of cash flows</w:t>
      </w:r>
    </w:p>
    <w:p w14:paraId="47C2CA1C" w14:textId="77777777" w:rsidR="00B8024B" w:rsidRPr="00F025F9" w:rsidRDefault="00B8024B" w:rsidP="00B8024B">
      <w:pPr>
        <w:spacing w:line="288" w:lineRule="auto"/>
        <w:ind w:left="1656" w:hanging="1656"/>
        <w:jc w:val="both"/>
        <w:rPr>
          <w:rFonts w:cs="Arial"/>
          <w:b/>
          <w:iCs/>
          <w:spacing w:val="3"/>
          <w:szCs w:val="22"/>
        </w:rPr>
      </w:pPr>
      <w:r w:rsidRPr="00F025F9">
        <w:rPr>
          <w:rFonts w:cs="Arial"/>
          <w:b/>
          <w:iCs/>
          <w:spacing w:val="3"/>
          <w:szCs w:val="22"/>
        </w:rPr>
        <w:t>Net Increase in cash and cash equivalents held</w:t>
      </w:r>
    </w:p>
    <w:p w14:paraId="16D06193" w14:textId="660118E2" w:rsidR="00B8024B" w:rsidRPr="00B50D55" w:rsidRDefault="00B8024B" w:rsidP="00B8024B">
      <w:pPr>
        <w:rPr>
          <w:rFonts w:eastAsia="SimSun"/>
          <w:lang w:eastAsia="zh-CN"/>
        </w:rPr>
      </w:pPr>
      <w:r>
        <w:rPr>
          <w:color w:val="000000"/>
          <w:lang w:eastAsia="en-NZ"/>
        </w:rPr>
        <w:t>Cash and cash equivalents increased $4.423 million higher than the Main Estimates.  This was mainly due to net cash provided from operating activities being  $3.198 million higher than the Main Estimates, because Receipts from the Crown Revenue were $7.388 million  higher than the Main Estimates</w:t>
      </w:r>
      <w:r w:rsidR="00361228">
        <w:rPr>
          <w:color w:val="000000"/>
          <w:lang w:eastAsia="en-NZ"/>
        </w:rPr>
        <w:t xml:space="preserve">, </w:t>
      </w:r>
      <w:r>
        <w:rPr>
          <w:color w:val="000000"/>
          <w:lang w:eastAsia="en-NZ"/>
        </w:rPr>
        <w:t>partially offset by Receipts from Other Revenue being $3.601 million lowe</w:t>
      </w:r>
      <w:r w:rsidR="00361228">
        <w:rPr>
          <w:color w:val="000000"/>
          <w:lang w:eastAsia="en-NZ"/>
        </w:rPr>
        <w:t>r due to lower revenue received</w:t>
      </w:r>
      <w:r w:rsidR="005F77CF">
        <w:rPr>
          <w:color w:val="000000"/>
          <w:lang w:eastAsia="en-NZ"/>
        </w:rPr>
        <w:t>;</w:t>
      </w:r>
      <w:r w:rsidR="00361228">
        <w:rPr>
          <w:color w:val="000000"/>
          <w:lang w:eastAsia="en-NZ"/>
        </w:rPr>
        <w:t xml:space="preserve"> and unbudgeted receipts from sales of assets of $1.575</w:t>
      </w:r>
      <w:r w:rsidR="005F77CF">
        <w:rPr>
          <w:color w:val="000000"/>
          <w:lang w:eastAsia="en-NZ"/>
        </w:rPr>
        <w:t xml:space="preserve"> million</w:t>
      </w:r>
      <w:r w:rsidR="00361228">
        <w:rPr>
          <w:color w:val="000000"/>
          <w:lang w:eastAsia="en-NZ"/>
        </w:rPr>
        <w:t>.</w:t>
      </w:r>
    </w:p>
    <w:p w14:paraId="19F1BE1D" w14:textId="77777777" w:rsidR="00B8024B" w:rsidRPr="00BC0D1F" w:rsidRDefault="00B8024B" w:rsidP="00B13D2F">
      <w:pPr>
        <w:rPr>
          <w:rFonts w:eastAsia="SimSun"/>
          <w:lang w:eastAsia="zh-CN"/>
        </w:rPr>
      </w:pPr>
    </w:p>
    <w:p w14:paraId="00E00B2B" w14:textId="77777777" w:rsidR="00AD72CC" w:rsidRPr="00BC0D1F" w:rsidRDefault="00AD72CC" w:rsidP="00B13D2F"/>
    <w:p w14:paraId="2E192393" w14:textId="77777777" w:rsidR="004C0035" w:rsidRPr="00BC0D1F" w:rsidRDefault="004C0035" w:rsidP="004C0035">
      <w:pPr>
        <w:pStyle w:val="Heading1"/>
        <w:sectPr w:rsidR="004C0035" w:rsidRPr="00BC0D1F" w:rsidSect="008E3728">
          <w:footerReference w:type="even" r:id="rId41"/>
          <w:footerReference w:type="default" r:id="rId42"/>
          <w:pgSz w:w="11907" w:h="16834" w:code="9"/>
          <w:pgMar w:top="851" w:right="1134" w:bottom="1134" w:left="1134" w:header="284" w:footer="567" w:gutter="284"/>
          <w:cols w:space="720"/>
        </w:sectPr>
      </w:pPr>
      <w:bookmarkStart w:id="174" w:name="_Toc430883611"/>
      <w:bookmarkStart w:id="175" w:name="_Toc459730028"/>
      <w:bookmarkStart w:id="176" w:name="_Toc461544301"/>
    </w:p>
    <w:p w14:paraId="157685AA" w14:textId="77777777" w:rsidR="00AD72CC" w:rsidRPr="00BC0D1F" w:rsidRDefault="00AD72CC" w:rsidP="004C0035">
      <w:pPr>
        <w:pStyle w:val="Heading1"/>
      </w:pPr>
      <w:bookmarkStart w:id="177" w:name="_Toc463507937"/>
      <w:r w:rsidRPr="00BC0D1F">
        <w:lastRenderedPageBreak/>
        <w:t>Non-departmental statements and schedules for the year ended 30 June 201</w:t>
      </w:r>
      <w:bookmarkEnd w:id="174"/>
      <w:r w:rsidRPr="00BC0D1F">
        <w:t>6</w:t>
      </w:r>
      <w:bookmarkEnd w:id="175"/>
      <w:bookmarkEnd w:id="176"/>
      <w:bookmarkEnd w:id="177"/>
    </w:p>
    <w:p w14:paraId="7EF27FC4" w14:textId="77777777" w:rsidR="00FA5E17" w:rsidRPr="00BC0D1F" w:rsidRDefault="00FA5E17" w:rsidP="00FA5E17">
      <w:r w:rsidRPr="00BC0D1F">
        <w:t>The following non-departmental statements and schedules record the revenue, expenses, assets, liabilities, commitments, contingent liabilities, contingent assets and trust accounts that the Ministry manages on behalf of the Crown.</w:t>
      </w:r>
    </w:p>
    <w:p w14:paraId="381C82D1" w14:textId="77777777" w:rsidR="00FA5E17" w:rsidRPr="00BC0D1F" w:rsidRDefault="00FA5E17" w:rsidP="00FA5E17"/>
    <w:p w14:paraId="38D370DB" w14:textId="77777777" w:rsidR="00FA5E17" w:rsidRPr="00BC0D1F" w:rsidRDefault="00FA5E17" w:rsidP="00FA5E17">
      <w:pPr>
        <w:pStyle w:val="Heading2"/>
      </w:pPr>
      <w:bookmarkStart w:id="178" w:name="_Toc463507938"/>
      <w:r w:rsidRPr="00BC0D1F">
        <w:t>Statement of non-departmental expenses and capital expenditure against appropriations for the year ended 30 June 2016</w:t>
      </w:r>
      <w:bookmarkEnd w:id="178"/>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418"/>
        <w:gridCol w:w="3969"/>
        <w:gridCol w:w="1276"/>
        <w:gridCol w:w="1275"/>
        <w:gridCol w:w="1418"/>
      </w:tblGrid>
      <w:tr w:rsidR="00FA5E17" w:rsidRPr="00BC0D1F" w14:paraId="31FA4F3F" w14:textId="77777777" w:rsidTr="00FA5E17">
        <w:trPr>
          <w:cantSplit/>
        </w:trPr>
        <w:tc>
          <w:tcPr>
            <w:tcW w:w="1418" w:type="dxa"/>
            <w:tcBorders>
              <w:top w:val="single" w:sz="4" w:space="0" w:color="auto"/>
              <w:bottom w:val="single" w:sz="4" w:space="0" w:color="auto"/>
              <w:right w:val="nil"/>
            </w:tcBorders>
            <w:shd w:val="solid" w:color="FFFFFF" w:fill="auto"/>
          </w:tcPr>
          <w:p w14:paraId="229D4EBD" w14:textId="77777777" w:rsidR="00FA5E17" w:rsidRPr="00BC0D1F" w:rsidRDefault="00FA5E17" w:rsidP="0037369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3969" w:type="dxa"/>
            <w:tcBorders>
              <w:top w:val="single" w:sz="4" w:space="0" w:color="auto"/>
              <w:left w:val="nil"/>
              <w:bottom w:val="single" w:sz="4" w:space="0" w:color="auto"/>
            </w:tcBorders>
            <w:shd w:val="solid" w:color="FFFFFF" w:fill="auto"/>
          </w:tcPr>
          <w:p w14:paraId="07E25F96" w14:textId="77777777" w:rsidR="00FA5E17" w:rsidRPr="00BC0D1F" w:rsidRDefault="00FA5E17" w:rsidP="00FA5E17">
            <w:pPr>
              <w:pStyle w:val="TableText"/>
              <w:ind w:right="284"/>
              <w:rPr>
                <w:b/>
                <w:lang w:eastAsia="en-NZ"/>
              </w:rPr>
            </w:pPr>
          </w:p>
        </w:tc>
        <w:tc>
          <w:tcPr>
            <w:tcW w:w="1276" w:type="dxa"/>
            <w:tcBorders>
              <w:top w:val="single" w:sz="4" w:space="0" w:color="auto"/>
              <w:bottom w:val="single" w:sz="4" w:space="0" w:color="auto"/>
            </w:tcBorders>
            <w:shd w:val="clear" w:color="E3E3E3" w:fill="D9D9D9"/>
          </w:tcPr>
          <w:p w14:paraId="1279B671" w14:textId="77777777" w:rsidR="00FA5E17" w:rsidRPr="00BC0D1F" w:rsidRDefault="00FA5E17" w:rsidP="0037369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75" w:type="dxa"/>
            <w:tcBorders>
              <w:top w:val="single" w:sz="4" w:space="0" w:color="auto"/>
              <w:bottom w:val="single" w:sz="4" w:space="0" w:color="auto"/>
            </w:tcBorders>
            <w:shd w:val="solid" w:color="FFFFFF" w:fill="auto"/>
          </w:tcPr>
          <w:p w14:paraId="6258C253" w14:textId="77777777" w:rsidR="00FA5E17" w:rsidRPr="00BC0D1F" w:rsidRDefault="00FA5E17" w:rsidP="00FA5E17">
            <w:pPr>
              <w:pStyle w:val="TableText"/>
              <w:jc w:val="right"/>
              <w:rPr>
                <w:b/>
                <w:lang w:eastAsia="en-NZ"/>
              </w:rPr>
            </w:pPr>
            <w:r w:rsidRPr="00BC0D1F">
              <w:rPr>
                <w:b/>
                <w:lang w:eastAsia="en-NZ"/>
              </w:rPr>
              <w:t>Main estimates</w:t>
            </w:r>
            <w:r w:rsidRPr="00BC0D1F">
              <w:rPr>
                <w:b/>
                <w:lang w:eastAsia="en-NZ"/>
              </w:rPr>
              <w:br/>
              <w:t>2016</w:t>
            </w:r>
            <w:r w:rsidRPr="00BC0D1F">
              <w:rPr>
                <w:b/>
                <w:lang w:eastAsia="en-NZ"/>
              </w:rPr>
              <w:br/>
              <w:t>$000</w:t>
            </w:r>
          </w:p>
        </w:tc>
        <w:tc>
          <w:tcPr>
            <w:tcW w:w="1418" w:type="dxa"/>
            <w:tcBorders>
              <w:top w:val="single" w:sz="4" w:space="0" w:color="auto"/>
              <w:bottom w:val="single" w:sz="4" w:space="0" w:color="auto"/>
            </w:tcBorders>
            <w:shd w:val="solid" w:color="FFFFFF" w:fill="auto"/>
          </w:tcPr>
          <w:p w14:paraId="0223C99D" w14:textId="77777777" w:rsidR="00FA5E17" w:rsidRPr="00BC0D1F" w:rsidRDefault="00FA5E17" w:rsidP="00FA5E17">
            <w:pPr>
              <w:pStyle w:val="TableText"/>
              <w:jc w:val="right"/>
              <w:rPr>
                <w:b/>
                <w:lang w:eastAsia="en-NZ"/>
              </w:rPr>
            </w:pPr>
            <w:r w:rsidRPr="00BC0D1F">
              <w:rPr>
                <w:b/>
                <w:lang w:eastAsia="en-NZ"/>
              </w:rPr>
              <w:t>Voted^ appropriation</w:t>
            </w:r>
            <w:r w:rsidRPr="00BC0D1F">
              <w:rPr>
                <w:b/>
                <w:lang w:eastAsia="en-NZ"/>
              </w:rPr>
              <w:br/>
              <w:t>2017</w:t>
            </w:r>
            <w:r w:rsidRPr="00BC0D1F">
              <w:rPr>
                <w:b/>
                <w:lang w:eastAsia="en-NZ"/>
              </w:rPr>
              <w:br/>
              <w:t>$000</w:t>
            </w:r>
          </w:p>
        </w:tc>
      </w:tr>
      <w:tr w:rsidR="00FA5E17" w:rsidRPr="00BC0D1F" w14:paraId="2DD492C2" w14:textId="77777777" w:rsidTr="00FA5E17">
        <w:trPr>
          <w:cantSplit/>
        </w:trPr>
        <w:tc>
          <w:tcPr>
            <w:tcW w:w="1418" w:type="dxa"/>
            <w:tcBorders>
              <w:right w:val="nil"/>
            </w:tcBorders>
            <w:shd w:val="solid" w:color="FFFFFF" w:fill="auto"/>
          </w:tcPr>
          <w:p w14:paraId="6ABEFB1A" w14:textId="77777777" w:rsidR="00FA5E17" w:rsidRPr="00BC0D1F" w:rsidRDefault="00FA5E17" w:rsidP="00FA5E17">
            <w:pPr>
              <w:pStyle w:val="TableText"/>
              <w:ind w:right="284"/>
              <w:jc w:val="right"/>
              <w:rPr>
                <w:b/>
              </w:rPr>
            </w:pPr>
          </w:p>
        </w:tc>
        <w:tc>
          <w:tcPr>
            <w:tcW w:w="3969" w:type="dxa"/>
            <w:tcBorders>
              <w:left w:val="nil"/>
            </w:tcBorders>
            <w:shd w:val="solid" w:color="FFFFFF" w:fill="auto"/>
          </w:tcPr>
          <w:p w14:paraId="3BB415C6" w14:textId="77777777" w:rsidR="00FA5E17" w:rsidRPr="00BC0D1F" w:rsidRDefault="00FA5E17" w:rsidP="00FA5E17">
            <w:pPr>
              <w:pStyle w:val="TableText"/>
              <w:ind w:right="284"/>
              <w:rPr>
                <w:b/>
              </w:rPr>
            </w:pPr>
            <w:r w:rsidRPr="00BC0D1F">
              <w:rPr>
                <w:b/>
              </w:rPr>
              <w:t xml:space="preserve">Non </w:t>
            </w:r>
            <w:r w:rsidR="00373692" w:rsidRPr="00BC0D1F">
              <w:rPr>
                <w:b/>
              </w:rPr>
              <w:t>-</w:t>
            </w:r>
            <w:r w:rsidRPr="00BC0D1F">
              <w:rPr>
                <w:b/>
              </w:rPr>
              <w:t>departmental output expenses</w:t>
            </w:r>
          </w:p>
        </w:tc>
        <w:tc>
          <w:tcPr>
            <w:tcW w:w="1276" w:type="dxa"/>
            <w:shd w:val="clear" w:color="E3E3E3" w:fill="D9D9D9"/>
          </w:tcPr>
          <w:p w14:paraId="06B4140A" w14:textId="77777777" w:rsidR="00FA5E17" w:rsidRPr="00BC0D1F" w:rsidRDefault="00FA5E17" w:rsidP="00FA5E17">
            <w:pPr>
              <w:pStyle w:val="TableText"/>
              <w:ind w:right="113"/>
              <w:jc w:val="right"/>
              <w:rPr>
                <w:b/>
              </w:rPr>
            </w:pPr>
          </w:p>
        </w:tc>
        <w:tc>
          <w:tcPr>
            <w:tcW w:w="1275" w:type="dxa"/>
          </w:tcPr>
          <w:p w14:paraId="45718592" w14:textId="77777777" w:rsidR="00FA5E17" w:rsidRPr="00BC0D1F" w:rsidRDefault="00FA5E17" w:rsidP="00FA5E17">
            <w:pPr>
              <w:pStyle w:val="TableText"/>
              <w:jc w:val="right"/>
              <w:rPr>
                <w:b/>
              </w:rPr>
            </w:pPr>
          </w:p>
        </w:tc>
        <w:tc>
          <w:tcPr>
            <w:tcW w:w="1418" w:type="dxa"/>
          </w:tcPr>
          <w:p w14:paraId="2F1E05E3" w14:textId="77777777" w:rsidR="00FA5E17" w:rsidRPr="00BC0D1F" w:rsidRDefault="00FA5E17" w:rsidP="00FA5E17">
            <w:pPr>
              <w:pStyle w:val="TableText"/>
              <w:jc w:val="right"/>
              <w:rPr>
                <w:b/>
              </w:rPr>
            </w:pPr>
          </w:p>
        </w:tc>
      </w:tr>
      <w:tr w:rsidR="00FA5E17" w:rsidRPr="00BC0D1F" w14:paraId="01AB8C05" w14:textId="77777777" w:rsidTr="00FA5E17">
        <w:trPr>
          <w:cantSplit/>
        </w:trPr>
        <w:tc>
          <w:tcPr>
            <w:tcW w:w="1418" w:type="dxa"/>
            <w:tcBorders>
              <w:right w:val="nil"/>
            </w:tcBorders>
            <w:shd w:val="solid" w:color="FFFFFF" w:fill="auto"/>
          </w:tcPr>
          <w:p w14:paraId="4F0EE648" w14:textId="77777777" w:rsidR="00FA5E17" w:rsidRPr="00BC0D1F" w:rsidRDefault="00FA5E17" w:rsidP="00FA5E17">
            <w:pPr>
              <w:pStyle w:val="TableText"/>
              <w:ind w:right="284"/>
              <w:jc w:val="right"/>
            </w:pPr>
            <w:r w:rsidRPr="00BC0D1F">
              <w:t>11,444,185</w:t>
            </w:r>
          </w:p>
        </w:tc>
        <w:tc>
          <w:tcPr>
            <w:tcW w:w="3969" w:type="dxa"/>
            <w:tcBorders>
              <w:left w:val="nil"/>
            </w:tcBorders>
            <w:shd w:val="solid" w:color="FFFFFF" w:fill="auto"/>
          </w:tcPr>
          <w:p w14:paraId="09A52EC7" w14:textId="77777777" w:rsidR="00FA5E17" w:rsidRPr="00BC0D1F" w:rsidRDefault="00FA5E17" w:rsidP="00FA5E17">
            <w:pPr>
              <w:pStyle w:val="TableText"/>
              <w:ind w:right="284"/>
            </w:pPr>
            <w:r w:rsidRPr="00BC0D1F">
              <w:t>Health and disability support services for District Health Boards</w:t>
            </w:r>
          </w:p>
        </w:tc>
        <w:tc>
          <w:tcPr>
            <w:tcW w:w="1276" w:type="dxa"/>
            <w:shd w:val="clear" w:color="E3E3E3" w:fill="D9D9D9"/>
          </w:tcPr>
          <w:p w14:paraId="21003ADF" w14:textId="77777777" w:rsidR="00FA5E17" w:rsidRPr="00BC0D1F" w:rsidRDefault="00FA5E17" w:rsidP="00FA5E17">
            <w:pPr>
              <w:pStyle w:val="TableText"/>
              <w:ind w:right="113"/>
              <w:jc w:val="right"/>
            </w:pPr>
            <w:r w:rsidRPr="00BC0D1F">
              <w:t>11,791,121</w:t>
            </w:r>
          </w:p>
        </w:tc>
        <w:tc>
          <w:tcPr>
            <w:tcW w:w="1275" w:type="dxa"/>
          </w:tcPr>
          <w:p w14:paraId="20DF47CB" w14:textId="77777777" w:rsidR="00FA5E17" w:rsidRPr="00BC0D1F" w:rsidRDefault="00FA5E17" w:rsidP="00FA5E17">
            <w:pPr>
              <w:pStyle w:val="TableText"/>
              <w:jc w:val="right"/>
            </w:pPr>
            <w:r w:rsidRPr="00BC0D1F">
              <w:t>11,719,827</w:t>
            </w:r>
          </w:p>
        </w:tc>
        <w:tc>
          <w:tcPr>
            <w:tcW w:w="1418" w:type="dxa"/>
          </w:tcPr>
          <w:p w14:paraId="30D1F4DD" w14:textId="77777777" w:rsidR="00FA5E17" w:rsidRPr="00BC0D1F" w:rsidRDefault="00FA5E17" w:rsidP="00FA5E17">
            <w:pPr>
              <w:pStyle w:val="TableText"/>
              <w:jc w:val="right"/>
            </w:pPr>
            <w:r w:rsidRPr="00BC0D1F">
              <w:t>11,797,847</w:t>
            </w:r>
          </w:p>
        </w:tc>
      </w:tr>
      <w:tr w:rsidR="00FA5E17" w:rsidRPr="00BC0D1F" w14:paraId="77261469" w14:textId="77777777" w:rsidTr="00FA5E17">
        <w:trPr>
          <w:cantSplit/>
        </w:trPr>
        <w:tc>
          <w:tcPr>
            <w:tcW w:w="1418" w:type="dxa"/>
            <w:tcBorders>
              <w:right w:val="nil"/>
            </w:tcBorders>
          </w:tcPr>
          <w:p w14:paraId="2D27451A" w14:textId="77777777" w:rsidR="00FA5E17" w:rsidRPr="00BC0D1F" w:rsidRDefault="00FA5E17" w:rsidP="00FA5E17">
            <w:pPr>
              <w:pStyle w:val="TableText"/>
              <w:ind w:right="284"/>
              <w:jc w:val="right"/>
            </w:pPr>
            <w:r w:rsidRPr="00BC0D1F">
              <w:t>2,680,741</w:t>
            </w:r>
          </w:p>
        </w:tc>
        <w:tc>
          <w:tcPr>
            <w:tcW w:w="3969" w:type="dxa"/>
            <w:tcBorders>
              <w:left w:val="nil"/>
            </w:tcBorders>
            <w:shd w:val="solid" w:color="FFFFFF" w:fill="auto"/>
          </w:tcPr>
          <w:p w14:paraId="5692D382" w14:textId="77777777" w:rsidR="00FA5E17" w:rsidRPr="00BC0D1F" w:rsidRDefault="00FA5E17" w:rsidP="00FA5E17">
            <w:pPr>
              <w:pStyle w:val="TableText"/>
              <w:ind w:right="284"/>
            </w:pPr>
            <w:r w:rsidRPr="00BC0D1F">
              <w:t>National Services</w:t>
            </w:r>
          </w:p>
        </w:tc>
        <w:tc>
          <w:tcPr>
            <w:tcW w:w="1276" w:type="dxa"/>
            <w:shd w:val="clear" w:color="E3E3E3" w:fill="D9D9D9"/>
          </w:tcPr>
          <w:p w14:paraId="59C903A2" w14:textId="77777777" w:rsidR="00FA5E17" w:rsidRPr="00BC0D1F" w:rsidRDefault="00FA5E17" w:rsidP="00FA5E17">
            <w:pPr>
              <w:pStyle w:val="TableText"/>
              <w:ind w:right="113"/>
              <w:jc w:val="right"/>
            </w:pPr>
            <w:r w:rsidRPr="00BC0D1F">
              <w:t>2,785,840</w:t>
            </w:r>
          </w:p>
        </w:tc>
        <w:tc>
          <w:tcPr>
            <w:tcW w:w="1275" w:type="dxa"/>
          </w:tcPr>
          <w:p w14:paraId="0F9D3CCA" w14:textId="77777777" w:rsidR="00FA5E17" w:rsidRPr="00BC0D1F" w:rsidRDefault="00FA5E17" w:rsidP="00FA5E17">
            <w:pPr>
              <w:pStyle w:val="TableText"/>
              <w:jc w:val="right"/>
            </w:pPr>
            <w:r w:rsidRPr="00BC0D1F">
              <w:t>2,824,540</w:t>
            </w:r>
          </w:p>
        </w:tc>
        <w:tc>
          <w:tcPr>
            <w:tcW w:w="1418" w:type="dxa"/>
          </w:tcPr>
          <w:p w14:paraId="1E31CA2E" w14:textId="77777777" w:rsidR="00FA5E17" w:rsidRPr="00BC0D1F" w:rsidRDefault="00FA5E17" w:rsidP="00FA5E17">
            <w:pPr>
              <w:pStyle w:val="TableText"/>
              <w:jc w:val="right"/>
            </w:pPr>
            <w:r w:rsidRPr="00BC0D1F">
              <w:t>2,802,197</w:t>
            </w:r>
          </w:p>
        </w:tc>
      </w:tr>
      <w:tr w:rsidR="00FA5E17" w:rsidRPr="00BC0D1F" w14:paraId="2B1E2CFF" w14:textId="77777777" w:rsidTr="00FA5E17">
        <w:trPr>
          <w:cantSplit/>
        </w:trPr>
        <w:tc>
          <w:tcPr>
            <w:tcW w:w="1418" w:type="dxa"/>
            <w:tcBorders>
              <w:bottom w:val="nil"/>
              <w:right w:val="nil"/>
            </w:tcBorders>
            <w:shd w:val="solid" w:color="FFFFFF" w:fill="auto"/>
          </w:tcPr>
          <w:p w14:paraId="0AE9E7D9" w14:textId="77777777" w:rsidR="00FA5E17" w:rsidRPr="00BC0D1F" w:rsidRDefault="00FA5E17" w:rsidP="00FA5E17">
            <w:pPr>
              <w:pStyle w:val="TableText"/>
              <w:ind w:right="284"/>
              <w:jc w:val="right"/>
            </w:pPr>
            <w:r w:rsidRPr="00BC0D1F">
              <w:t>26,480</w:t>
            </w:r>
          </w:p>
        </w:tc>
        <w:tc>
          <w:tcPr>
            <w:tcW w:w="3969" w:type="dxa"/>
            <w:tcBorders>
              <w:left w:val="nil"/>
              <w:bottom w:val="nil"/>
            </w:tcBorders>
            <w:shd w:val="solid" w:color="FFFFFF" w:fill="auto"/>
          </w:tcPr>
          <w:p w14:paraId="4A70324B" w14:textId="11D696E6" w:rsidR="00FA5E17" w:rsidRPr="00BC0D1F" w:rsidRDefault="00FA5E17" w:rsidP="00FA5E17">
            <w:pPr>
              <w:pStyle w:val="TableText"/>
              <w:ind w:right="284"/>
            </w:pPr>
            <w:r w:rsidRPr="00BC0D1F">
              <w:t>Non-departmental other expenses</w:t>
            </w:r>
            <w:r w:rsidR="007B047F">
              <w:t xml:space="preserve"> *</w:t>
            </w:r>
          </w:p>
        </w:tc>
        <w:tc>
          <w:tcPr>
            <w:tcW w:w="1276" w:type="dxa"/>
            <w:tcBorders>
              <w:bottom w:val="nil"/>
            </w:tcBorders>
            <w:shd w:val="clear" w:color="E3E3E3" w:fill="D9D9D9"/>
          </w:tcPr>
          <w:p w14:paraId="4D464581" w14:textId="44C07603" w:rsidR="00FA5E17" w:rsidRPr="00BC0D1F" w:rsidRDefault="00A34148" w:rsidP="00FA5E17">
            <w:pPr>
              <w:pStyle w:val="TableText"/>
              <w:ind w:right="113"/>
              <w:jc w:val="right"/>
            </w:pPr>
            <w:r>
              <w:t>35,191</w:t>
            </w:r>
          </w:p>
        </w:tc>
        <w:tc>
          <w:tcPr>
            <w:tcW w:w="1275" w:type="dxa"/>
            <w:tcBorders>
              <w:bottom w:val="nil"/>
            </w:tcBorders>
          </w:tcPr>
          <w:p w14:paraId="1BE55309" w14:textId="77777777" w:rsidR="00FA5E17" w:rsidRPr="00BC0D1F" w:rsidRDefault="00FA5E17" w:rsidP="00FA5E17">
            <w:pPr>
              <w:pStyle w:val="TableText"/>
              <w:jc w:val="right"/>
            </w:pPr>
            <w:r w:rsidRPr="00BC0D1F">
              <w:t>28,472</w:t>
            </w:r>
          </w:p>
        </w:tc>
        <w:tc>
          <w:tcPr>
            <w:tcW w:w="1418" w:type="dxa"/>
            <w:tcBorders>
              <w:bottom w:val="nil"/>
            </w:tcBorders>
          </w:tcPr>
          <w:p w14:paraId="47AF4CB2" w14:textId="77777777" w:rsidR="00FA5E17" w:rsidRPr="00BC0D1F" w:rsidRDefault="00FA5E17" w:rsidP="00FA5E17">
            <w:pPr>
              <w:pStyle w:val="TableText"/>
              <w:jc w:val="right"/>
            </w:pPr>
            <w:r w:rsidRPr="00BC0D1F">
              <w:t>25,653</w:t>
            </w:r>
          </w:p>
        </w:tc>
      </w:tr>
      <w:tr w:rsidR="00FA5E17" w:rsidRPr="00BC0D1F" w14:paraId="699D96C2" w14:textId="77777777" w:rsidTr="00FA5E17">
        <w:trPr>
          <w:cantSplit/>
        </w:trPr>
        <w:tc>
          <w:tcPr>
            <w:tcW w:w="1418" w:type="dxa"/>
            <w:tcBorders>
              <w:top w:val="nil"/>
              <w:bottom w:val="nil"/>
              <w:right w:val="nil"/>
            </w:tcBorders>
            <w:shd w:val="solid" w:color="FFFFFF" w:fill="auto"/>
          </w:tcPr>
          <w:p w14:paraId="3FB0EE6E" w14:textId="77777777" w:rsidR="00FA5E17" w:rsidRPr="00BC0D1F" w:rsidRDefault="00FA5E17" w:rsidP="00FA5E17">
            <w:pPr>
              <w:pStyle w:val="TableText"/>
              <w:ind w:right="284"/>
              <w:jc w:val="right"/>
            </w:pPr>
            <w:r w:rsidRPr="00BC0D1F">
              <w:t>676,384</w:t>
            </w:r>
          </w:p>
        </w:tc>
        <w:tc>
          <w:tcPr>
            <w:tcW w:w="3969" w:type="dxa"/>
            <w:tcBorders>
              <w:top w:val="nil"/>
              <w:left w:val="nil"/>
              <w:bottom w:val="nil"/>
            </w:tcBorders>
            <w:shd w:val="solid" w:color="FFFFFF" w:fill="auto"/>
          </w:tcPr>
          <w:p w14:paraId="01B7C9DB" w14:textId="77777777" w:rsidR="00FA5E17" w:rsidRPr="00BC0D1F" w:rsidRDefault="00FA5E17" w:rsidP="00FA5E17">
            <w:pPr>
              <w:pStyle w:val="TableText"/>
              <w:ind w:right="284"/>
            </w:pPr>
            <w:r w:rsidRPr="00BC0D1F">
              <w:t>Non-departmental capital contributions to other persons or organisations</w:t>
            </w:r>
          </w:p>
        </w:tc>
        <w:tc>
          <w:tcPr>
            <w:tcW w:w="1276" w:type="dxa"/>
            <w:tcBorders>
              <w:top w:val="nil"/>
              <w:bottom w:val="nil"/>
            </w:tcBorders>
            <w:shd w:val="clear" w:color="E3E3E3" w:fill="D9D9D9"/>
          </w:tcPr>
          <w:p w14:paraId="02C78C83" w14:textId="77777777" w:rsidR="00FA5E17" w:rsidRPr="00BC0D1F" w:rsidRDefault="00FA5E17" w:rsidP="00FA5E17">
            <w:pPr>
              <w:pStyle w:val="TableText"/>
              <w:ind w:right="113"/>
              <w:jc w:val="right"/>
            </w:pPr>
            <w:r w:rsidRPr="00BC0D1F">
              <w:t>485,621</w:t>
            </w:r>
          </w:p>
        </w:tc>
        <w:tc>
          <w:tcPr>
            <w:tcW w:w="1275" w:type="dxa"/>
            <w:tcBorders>
              <w:top w:val="nil"/>
              <w:bottom w:val="nil"/>
            </w:tcBorders>
          </w:tcPr>
          <w:p w14:paraId="3C6628AD" w14:textId="77777777" w:rsidR="00FA5E17" w:rsidRPr="00BC0D1F" w:rsidRDefault="00FA5E17" w:rsidP="00FA5E17">
            <w:pPr>
              <w:pStyle w:val="TableText"/>
              <w:jc w:val="right"/>
            </w:pPr>
            <w:r w:rsidRPr="00BC0D1F">
              <w:t>1,088,100</w:t>
            </w:r>
          </w:p>
        </w:tc>
        <w:tc>
          <w:tcPr>
            <w:tcW w:w="1418" w:type="dxa"/>
            <w:tcBorders>
              <w:top w:val="nil"/>
              <w:bottom w:val="nil"/>
            </w:tcBorders>
          </w:tcPr>
          <w:p w14:paraId="36335055" w14:textId="77777777" w:rsidR="00FA5E17" w:rsidRPr="00BC0D1F" w:rsidRDefault="00FA5E17" w:rsidP="00FA5E17">
            <w:pPr>
              <w:pStyle w:val="TableText"/>
              <w:jc w:val="right"/>
            </w:pPr>
            <w:r w:rsidRPr="00BC0D1F">
              <w:t>650,458</w:t>
            </w:r>
          </w:p>
        </w:tc>
      </w:tr>
      <w:tr w:rsidR="00FA5E17" w:rsidRPr="00BC0D1F" w14:paraId="6901EF50" w14:textId="77777777" w:rsidTr="00FA5E17">
        <w:trPr>
          <w:cantSplit/>
        </w:trPr>
        <w:tc>
          <w:tcPr>
            <w:tcW w:w="1418" w:type="dxa"/>
            <w:tcBorders>
              <w:top w:val="nil"/>
              <w:bottom w:val="single" w:sz="4" w:space="0" w:color="auto"/>
              <w:right w:val="nil"/>
            </w:tcBorders>
            <w:shd w:val="solid" w:color="FFFFFF" w:fill="auto"/>
          </w:tcPr>
          <w:p w14:paraId="5DAD6E0F" w14:textId="77777777" w:rsidR="00FA5E17" w:rsidRPr="00BC0D1F" w:rsidRDefault="00FA5E17" w:rsidP="00FA5E17">
            <w:pPr>
              <w:pStyle w:val="TableText"/>
              <w:ind w:right="284"/>
              <w:jc w:val="right"/>
              <w:rPr>
                <w:b/>
              </w:rPr>
            </w:pPr>
            <w:r w:rsidRPr="00BC0D1F">
              <w:rPr>
                <w:b/>
              </w:rPr>
              <w:t>14,827,790</w:t>
            </w:r>
          </w:p>
        </w:tc>
        <w:tc>
          <w:tcPr>
            <w:tcW w:w="3969" w:type="dxa"/>
            <w:tcBorders>
              <w:top w:val="nil"/>
              <w:left w:val="nil"/>
              <w:bottom w:val="single" w:sz="4" w:space="0" w:color="auto"/>
            </w:tcBorders>
            <w:shd w:val="solid" w:color="FFFFFF" w:fill="auto"/>
          </w:tcPr>
          <w:p w14:paraId="616430A1" w14:textId="77777777" w:rsidR="00FA5E17" w:rsidRPr="00BC0D1F" w:rsidRDefault="00FA5E17" w:rsidP="00373692">
            <w:pPr>
              <w:pStyle w:val="TableText"/>
              <w:ind w:right="284"/>
              <w:rPr>
                <w:b/>
              </w:rPr>
            </w:pPr>
            <w:r w:rsidRPr="00BC0D1F">
              <w:rPr>
                <w:b/>
              </w:rPr>
              <w:t>Total non</w:t>
            </w:r>
            <w:r w:rsidR="00373692" w:rsidRPr="00BC0D1F">
              <w:rPr>
                <w:b/>
              </w:rPr>
              <w:t>-</w:t>
            </w:r>
            <w:r w:rsidRPr="00BC0D1F">
              <w:rPr>
                <w:b/>
              </w:rPr>
              <w:t>departmental appropriations</w:t>
            </w:r>
          </w:p>
        </w:tc>
        <w:tc>
          <w:tcPr>
            <w:tcW w:w="1276" w:type="dxa"/>
            <w:tcBorders>
              <w:top w:val="nil"/>
              <w:bottom w:val="single" w:sz="4" w:space="0" w:color="auto"/>
            </w:tcBorders>
            <w:shd w:val="clear" w:color="E3E3E3" w:fill="D9D9D9"/>
          </w:tcPr>
          <w:p w14:paraId="5BAA8201" w14:textId="186911A5" w:rsidR="00FA5E17" w:rsidRPr="00BC0D1F" w:rsidRDefault="00FA5E17" w:rsidP="007B047F">
            <w:pPr>
              <w:pStyle w:val="TableText"/>
              <w:ind w:right="113"/>
              <w:jc w:val="right"/>
              <w:rPr>
                <w:b/>
              </w:rPr>
            </w:pPr>
            <w:r w:rsidRPr="00BC0D1F">
              <w:rPr>
                <w:b/>
              </w:rPr>
              <w:t>15,</w:t>
            </w:r>
            <w:r w:rsidR="007B047F">
              <w:rPr>
                <w:b/>
              </w:rPr>
              <w:t>097,773</w:t>
            </w:r>
          </w:p>
        </w:tc>
        <w:tc>
          <w:tcPr>
            <w:tcW w:w="1275" w:type="dxa"/>
            <w:tcBorders>
              <w:top w:val="nil"/>
              <w:bottom w:val="single" w:sz="4" w:space="0" w:color="auto"/>
            </w:tcBorders>
          </w:tcPr>
          <w:p w14:paraId="374A4152" w14:textId="77777777" w:rsidR="00FA5E17" w:rsidRPr="00BC0D1F" w:rsidRDefault="00FA5E17" w:rsidP="00FA5E17">
            <w:pPr>
              <w:pStyle w:val="TableText"/>
              <w:jc w:val="right"/>
              <w:rPr>
                <w:b/>
              </w:rPr>
            </w:pPr>
            <w:r w:rsidRPr="00BC0D1F">
              <w:rPr>
                <w:b/>
              </w:rPr>
              <w:t>15,660,939</w:t>
            </w:r>
          </w:p>
        </w:tc>
        <w:tc>
          <w:tcPr>
            <w:tcW w:w="1418" w:type="dxa"/>
            <w:tcBorders>
              <w:top w:val="nil"/>
              <w:bottom w:val="single" w:sz="4" w:space="0" w:color="auto"/>
            </w:tcBorders>
          </w:tcPr>
          <w:p w14:paraId="36B8C247" w14:textId="77777777" w:rsidR="00FA5E17" w:rsidRPr="00BC0D1F" w:rsidRDefault="00FA5E17" w:rsidP="00FA5E17">
            <w:pPr>
              <w:pStyle w:val="TableText"/>
              <w:jc w:val="right"/>
              <w:rPr>
                <w:b/>
              </w:rPr>
            </w:pPr>
            <w:r w:rsidRPr="00BC0D1F">
              <w:rPr>
                <w:b/>
              </w:rPr>
              <w:t>15,276,155</w:t>
            </w:r>
          </w:p>
        </w:tc>
      </w:tr>
    </w:tbl>
    <w:p w14:paraId="0A46C1E2" w14:textId="77777777" w:rsidR="00FA5E17" w:rsidRPr="00BC0D1F" w:rsidRDefault="00FA5E17" w:rsidP="00FA5E17">
      <w:pPr>
        <w:pStyle w:val="Note"/>
      </w:pPr>
      <w:r w:rsidRPr="00BC0D1F">
        <w:rPr>
          <w:sz w:val="20"/>
        </w:rPr>
        <w:t>^</w:t>
      </w:r>
      <w:r w:rsidRPr="00BC0D1F">
        <w:rPr>
          <w:sz w:val="20"/>
        </w:rPr>
        <w:tab/>
      </w:r>
      <w:r w:rsidRPr="00BC0D1F">
        <w:t>These amounts include adjustments made in the Supplementary Estimates and adjustments made under the Public Finance Act 1989.</w:t>
      </w:r>
    </w:p>
    <w:p w14:paraId="3BC36372" w14:textId="0B3BDF4C" w:rsidR="007B047F" w:rsidRPr="00BC0D1F" w:rsidRDefault="007B047F" w:rsidP="007B047F">
      <w:pPr>
        <w:pStyle w:val="Note"/>
      </w:pPr>
      <w:r>
        <w:rPr>
          <w:sz w:val="20"/>
        </w:rPr>
        <w:t>*</w:t>
      </w:r>
      <w:r w:rsidRPr="00BC0D1F">
        <w:rPr>
          <w:sz w:val="20"/>
        </w:rPr>
        <w:tab/>
      </w:r>
      <w:r w:rsidRPr="00BC0D1F">
        <w:t>Th</w:t>
      </w:r>
      <w:r>
        <w:t xml:space="preserve">is amount includes $9.884 million of unappropriated expenditure as disclosed in the Statement of non-departmental unappropriated expenses and capital expenditure. </w:t>
      </w:r>
    </w:p>
    <w:p w14:paraId="5788AB34" w14:textId="77777777" w:rsidR="00FA5E17" w:rsidRPr="00BC0D1F" w:rsidRDefault="00FA5E17" w:rsidP="00FA5E17"/>
    <w:p w14:paraId="311CDB42" w14:textId="553C5906" w:rsidR="00FA5E17" w:rsidRPr="00BC0D1F" w:rsidRDefault="00FA5E17" w:rsidP="007B047F">
      <w:pPr>
        <w:pStyle w:val="Bullet"/>
        <w:numPr>
          <w:ilvl w:val="0"/>
          <w:numId w:val="0"/>
        </w:numPr>
        <w:ind w:left="284"/>
        <w:rPr>
          <w:sz w:val="40"/>
        </w:rPr>
      </w:pPr>
      <w:r w:rsidRPr="00BC0D1F">
        <w:br w:type="page"/>
      </w:r>
    </w:p>
    <w:p w14:paraId="3B1445FF" w14:textId="77777777" w:rsidR="00FA5E17" w:rsidRPr="00BC0D1F" w:rsidRDefault="00FA5E17" w:rsidP="00FA5E17">
      <w:pPr>
        <w:pStyle w:val="Heading2"/>
        <w:spacing w:before="0"/>
      </w:pPr>
      <w:bookmarkStart w:id="179" w:name="_Toc463507939"/>
      <w:r w:rsidRPr="00BC0D1F">
        <w:lastRenderedPageBreak/>
        <w:t>Schedule of non-departmental revenue and capital receipts for the year ended 30 June 2016</w:t>
      </w:r>
      <w:bookmarkEnd w:id="179"/>
    </w:p>
    <w:p w14:paraId="13CE2B5F" w14:textId="77777777" w:rsidR="00FA5E17" w:rsidRPr="00BC0D1F" w:rsidRDefault="00FA5E17" w:rsidP="00FA5E17">
      <w:r w:rsidRPr="00BC0D1F">
        <w:t>Non-departmental revenues and capital receipts are administered by the Ministry on behalf of the Crown. As these revenues are not established by the Ministry nor earned in the production of the Ministry’s outputs, they are not reported in the Ministry’s financial statements.</w:t>
      </w:r>
    </w:p>
    <w:p w14:paraId="676285EB" w14:textId="77777777" w:rsidR="00373692" w:rsidRPr="00BC0D1F" w:rsidRDefault="00373692" w:rsidP="00FA5E17"/>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4536"/>
        <w:gridCol w:w="1275"/>
        <w:gridCol w:w="1205"/>
        <w:gridCol w:w="1206"/>
      </w:tblGrid>
      <w:tr w:rsidR="00373692" w:rsidRPr="00BC0D1F" w14:paraId="1142D345" w14:textId="77777777" w:rsidTr="00313412">
        <w:trPr>
          <w:cantSplit/>
        </w:trPr>
        <w:tc>
          <w:tcPr>
            <w:tcW w:w="1134" w:type="dxa"/>
            <w:tcBorders>
              <w:top w:val="single" w:sz="4" w:space="0" w:color="auto"/>
              <w:bottom w:val="single" w:sz="4" w:space="0" w:color="auto"/>
              <w:right w:val="nil"/>
            </w:tcBorders>
            <w:shd w:val="solid" w:color="FFFFFF" w:fill="auto"/>
          </w:tcPr>
          <w:p w14:paraId="49B8813B" w14:textId="77777777" w:rsidR="00373692" w:rsidRPr="00BC0D1F" w:rsidRDefault="00373692" w:rsidP="00313412">
            <w:pPr>
              <w:pStyle w:val="TableText"/>
              <w:spacing w:before="50" w:after="50"/>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4536" w:type="dxa"/>
            <w:tcBorders>
              <w:top w:val="single" w:sz="4" w:space="0" w:color="auto"/>
              <w:left w:val="nil"/>
              <w:bottom w:val="single" w:sz="4" w:space="0" w:color="auto"/>
            </w:tcBorders>
            <w:shd w:val="solid" w:color="FFFFFF" w:fill="auto"/>
          </w:tcPr>
          <w:p w14:paraId="46428DC0" w14:textId="77777777" w:rsidR="00373692" w:rsidRPr="00BC0D1F" w:rsidRDefault="00373692" w:rsidP="00313412">
            <w:pPr>
              <w:pStyle w:val="TableText"/>
              <w:spacing w:before="50" w:after="50"/>
              <w:ind w:right="284"/>
              <w:rPr>
                <w:b/>
                <w:lang w:eastAsia="en-NZ"/>
              </w:rPr>
            </w:pPr>
          </w:p>
        </w:tc>
        <w:tc>
          <w:tcPr>
            <w:tcW w:w="1275" w:type="dxa"/>
            <w:tcBorders>
              <w:top w:val="single" w:sz="4" w:space="0" w:color="auto"/>
              <w:bottom w:val="single" w:sz="4" w:space="0" w:color="auto"/>
            </w:tcBorders>
            <w:shd w:val="clear" w:color="E3E3E3" w:fill="D9D9D9"/>
          </w:tcPr>
          <w:p w14:paraId="0244C603" w14:textId="77777777" w:rsidR="00373692" w:rsidRPr="00BC0D1F" w:rsidRDefault="00373692" w:rsidP="00313412">
            <w:pPr>
              <w:pStyle w:val="TableText"/>
              <w:spacing w:before="50" w:after="50"/>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05" w:type="dxa"/>
            <w:tcBorders>
              <w:top w:val="single" w:sz="4" w:space="0" w:color="auto"/>
              <w:bottom w:val="single" w:sz="4" w:space="0" w:color="auto"/>
            </w:tcBorders>
            <w:shd w:val="solid" w:color="FFFFFF" w:fill="auto"/>
          </w:tcPr>
          <w:p w14:paraId="236D0A9A" w14:textId="77777777" w:rsidR="00373692" w:rsidRPr="00BC0D1F" w:rsidRDefault="00373692" w:rsidP="00313412">
            <w:pPr>
              <w:pStyle w:val="TableText"/>
              <w:spacing w:before="50" w:after="50"/>
              <w:jc w:val="right"/>
              <w:rPr>
                <w:b/>
                <w:lang w:eastAsia="en-NZ"/>
              </w:rPr>
            </w:pPr>
            <w:r w:rsidRPr="00BC0D1F">
              <w:rPr>
                <w:b/>
                <w:lang w:eastAsia="en-NZ"/>
              </w:rPr>
              <w:t>Main estimates</w:t>
            </w:r>
            <w:r w:rsidRPr="00BC0D1F">
              <w:rPr>
                <w:b/>
                <w:lang w:eastAsia="en-NZ"/>
              </w:rPr>
              <w:br/>
              <w:t>2016</w:t>
            </w:r>
            <w:r w:rsidRPr="00BC0D1F">
              <w:rPr>
                <w:b/>
                <w:lang w:eastAsia="en-NZ"/>
              </w:rPr>
              <w:br/>
              <w:t>$000</w:t>
            </w:r>
          </w:p>
        </w:tc>
        <w:tc>
          <w:tcPr>
            <w:tcW w:w="1206" w:type="dxa"/>
            <w:tcBorders>
              <w:top w:val="single" w:sz="4" w:space="0" w:color="auto"/>
              <w:bottom w:val="single" w:sz="4" w:space="0" w:color="auto"/>
            </w:tcBorders>
            <w:shd w:val="solid" w:color="FFFFFF" w:fill="auto"/>
          </w:tcPr>
          <w:p w14:paraId="293C818D" w14:textId="77777777" w:rsidR="00373692" w:rsidRPr="00BC0D1F" w:rsidRDefault="00313412" w:rsidP="00313412">
            <w:pPr>
              <w:pStyle w:val="TableText"/>
              <w:spacing w:before="50" w:after="50"/>
              <w:jc w:val="right"/>
              <w:rPr>
                <w:b/>
                <w:lang w:eastAsia="en-NZ"/>
              </w:rPr>
            </w:pPr>
            <w:r w:rsidRPr="00BC0D1F">
              <w:rPr>
                <w:b/>
                <w:lang w:eastAsia="en-NZ"/>
              </w:rPr>
              <w:t>Supp. estimates</w:t>
            </w:r>
            <w:r w:rsidR="00373692" w:rsidRPr="00BC0D1F">
              <w:rPr>
                <w:b/>
                <w:lang w:eastAsia="en-NZ"/>
              </w:rPr>
              <w:br/>
              <w:t>2017</w:t>
            </w:r>
            <w:r w:rsidR="00373692" w:rsidRPr="00BC0D1F">
              <w:rPr>
                <w:b/>
                <w:lang w:eastAsia="en-NZ"/>
              </w:rPr>
              <w:br/>
              <w:t>$000</w:t>
            </w:r>
          </w:p>
        </w:tc>
      </w:tr>
      <w:tr w:rsidR="00373692" w:rsidRPr="00BC0D1F" w14:paraId="66071812" w14:textId="77777777" w:rsidTr="00313412">
        <w:trPr>
          <w:cantSplit/>
        </w:trPr>
        <w:tc>
          <w:tcPr>
            <w:tcW w:w="1134" w:type="dxa"/>
            <w:tcBorders>
              <w:right w:val="nil"/>
            </w:tcBorders>
            <w:shd w:val="solid" w:color="FFFFFF" w:fill="auto"/>
          </w:tcPr>
          <w:p w14:paraId="4BAFB7C3" w14:textId="77777777" w:rsidR="00373692" w:rsidRPr="00BC0D1F" w:rsidRDefault="00373692" w:rsidP="00313412">
            <w:pPr>
              <w:pStyle w:val="TableText"/>
              <w:spacing w:before="50" w:after="50"/>
              <w:ind w:right="284"/>
              <w:jc w:val="right"/>
              <w:rPr>
                <w:b/>
              </w:rPr>
            </w:pPr>
          </w:p>
        </w:tc>
        <w:tc>
          <w:tcPr>
            <w:tcW w:w="4536" w:type="dxa"/>
            <w:tcBorders>
              <w:left w:val="nil"/>
            </w:tcBorders>
            <w:shd w:val="solid" w:color="FFFFFF" w:fill="auto"/>
          </w:tcPr>
          <w:p w14:paraId="2F29886F" w14:textId="77777777" w:rsidR="00373692" w:rsidRPr="00BC0D1F" w:rsidRDefault="00373692" w:rsidP="00313412">
            <w:pPr>
              <w:pStyle w:val="TableText"/>
              <w:spacing w:before="50" w:after="50"/>
              <w:rPr>
                <w:b/>
              </w:rPr>
            </w:pPr>
            <w:r w:rsidRPr="00BC0D1F">
              <w:rPr>
                <w:b/>
              </w:rPr>
              <w:t>Revenue</w:t>
            </w:r>
          </w:p>
        </w:tc>
        <w:tc>
          <w:tcPr>
            <w:tcW w:w="1275" w:type="dxa"/>
            <w:shd w:val="clear" w:color="E3E3E3" w:fill="D9D9D9"/>
          </w:tcPr>
          <w:p w14:paraId="6763E6EF" w14:textId="77777777" w:rsidR="00373692" w:rsidRPr="00BC0D1F" w:rsidRDefault="00373692" w:rsidP="00313412">
            <w:pPr>
              <w:pStyle w:val="TableText"/>
              <w:spacing w:before="50" w:after="50"/>
              <w:ind w:right="113"/>
              <w:jc w:val="right"/>
              <w:rPr>
                <w:b/>
              </w:rPr>
            </w:pPr>
          </w:p>
        </w:tc>
        <w:tc>
          <w:tcPr>
            <w:tcW w:w="1205" w:type="dxa"/>
          </w:tcPr>
          <w:p w14:paraId="7E9F4C24" w14:textId="77777777" w:rsidR="00373692" w:rsidRPr="00BC0D1F" w:rsidRDefault="00373692" w:rsidP="00313412">
            <w:pPr>
              <w:pStyle w:val="TableText"/>
              <w:spacing w:before="50" w:after="50"/>
              <w:jc w:val="right"/>
              <w:rPr>
                <w:b/>
              </w:rPr>
            </w:pPr>
          </w:p>
        </w:tc>
        <w:tc>
          <w:tcPr>
            <w:tcW w:w="1206" w:type="dxa"/>
          </w:tcPr>
          <w:p w14:paraId="403901CE" w14:textId="77777777" w:rsidR="00373692" w:rsidRPr="00BC0D1F" w:rsidRDefault="00373692" w:rsidP="00313412">
            <w:pPr>
              <w:pStyle w:val="TableText"/>
              <w:spacing w:before="50" w:after="50"/>
              <w:jc w:val="right"/>
              <w:rPr>
                <w:b/>
              </w:rPr>
            </w:pPr>
          </w:p>
        </w:tc>
      </w:tr>
      <w:tr w:rsidR="00373692" w:rsidRPr="00BC0D1F" w14:paraId="690C3361" w14:textId="77777777" w:rsidTr="00313412">
        <w:trPr>
          <w:cantSplit/>
        </w:trPr>
        <w:tc>
          <w:tcPr>
            <w:tcW w:w="1134" w:type="dxa"/>
            <w:tcBorders>
              <w:right w:val="nil"/>
            </w:tcBorders>
            <w:shd w:val="solid" w:color="FFFFFF" w:fill="auto"/>
          </w:tcPr>
          <w:p w14:paraId="39335B62" w14:textId="77777777" w:rsidR="00373692" w:rsidRPr="00BC0D1F" w:rsidRDefault="00373692" w:rsidP="00313412">
            <w:pPr>
              <w:pStyle w:val="TableText"/>
              <w:spacing w:before="50" w:after="50"/>
              <w:ind w:right="284"/>
              <w:jc w:val="right"/>
              <w:rPr>
                <w:b/>
              </w:rPr>
            </w:pPr>
          </w:p>
        </w:tc>
        <w:tc>
          <w:tcPr>
            <w:tcW w:w="4536" w:type="dxa"/>
            <w:tcBorders>
              <w:left w:val="nil"/>
            </w:tcBorders>
            <w:shd w:val="solid" w:color="FFFFFF" w:fill="auto"/>
          </w:tcPr>
          <w:p w14:paraId="02458736" w14:textId="77777777" w:rsidR="00373692" w:rsidRPr="00BC0D1F" w:rsidRDefault="00373692" w:rsidP="00313412">
            <w:pPr>
              <w:pStyle w:val="TableText"/>
              <w:spacing w:before="50" w:after="50"/>
              <w:rPr>
                <w:b/>
              </w:rPr>
            </w:pPr>
            <w:r w:rsidRPr="00BC0D1F">
              <w:rPr>
                <w:b/>
              </w:rPr>
              <w:t>Reimbursement from the ACC</w:t>
            </w:r>
            <w:r w:rsidRPr="00BC0D1F">
              <w:rPr>
                <w:b/>
                <w:vertAlign w:val="superscript"/>
              </w:rPr>
              <w:t>+</w:t>
            </w:r>
          </w:p>
        </w:tc>
        <w:tc>
          <w:tcPr>
            <w:tcW w:w="1275" w:type="dxa"/>
            <w:shd w:val="clear" w:color="E3E3E3" w:fill="D9D9D9"/>
          </w:tcPr>
          <w:p w14:paraId="4060D678" w14:textId="77777777" w:rsidR="00373692" w:rsidRPr="00BC0D1F" w:rsidRDefault="00373692" w:rsidP="00313412">
            <w:pPr>
              <w:pStyle w:val="TableText"/>
              <w:spacing w:before="50" w:after="50"/>
              <w:ind w:right="113"/>
              <w:jc w:val="right"/>
              <w:rPr>
                <w:b/>
              </w:rPr>
            </w:pPr>
          </w:p>
        </w:tc>
        <w:tc>
          <w:tcPr>
            <w:tcW w:w="1205" w:type="dxa"/>
          </w:tcPr>
          <w:p w14:paraId="5E1087BF" w14:textId="77777777" w:rsidR="00373692" w:rsidRPr="00BC0D1F" w:rsidRDefault="00373692" w:rsidP="00313412">
            <w:pPr>
              <w:pStyle w:val="TableText"/>
              <w:spacing w:before="50" w:after="50"/>
              <w:jc w:val="right"/>
              <w:rPr>
                <w:b/>
              </w:rPr>
            </w:pPr>
          </w:p>
        </w:tc>
        <w:tc>
          <w:tcPr>
            <w:tcW w:w="1206" w:type="dxa"/>
          </w:tcPr>
          <w:p w14:paraId="3B34862D" w14:textId="77777777" w:rsidR="00373692" w:rsidRPr="00BC0D1F" w:rsidRDefault="00373692" w:rsidP="00313412">
            <w:pPr>
              <w:pStyle w:val="TableText"/>
              <w:spacing w:before="50" w:after="50"/>
              <w:jc w:val="right"/>
              <w:rPr>
                <w:b/>
              </w:rPr>
            </w:pPr>
          </w:p>
        </w:tc>
      </w:tr>
      <w:tr w:rsidR="00373692" w:rsidRPr="00BC0D1F" w14:paraId="70A47C29" w14:textId="77777777" w:rsidTr="00313412">
        <w:trPr>
          <w:cantSplit/>
        </w:trPr>
        <w:tc>
          <w:tcPr>
            <w:tcW w:w="1134" w:type="dxa"/>
            <w:tcBorders>
              <w:right w:val="nil"/>
            </w:tcBorders>
          </w:tcPr>
          <w:p w14:paraId="141BF193" w14:textId="77777777" w:rsidR="00373692" w:rsidRPr="00BC0D1F" w:rsidRDefault="00373692" w:rsidP="00313412">
            <w:pPr>
              <w:pStyle w:val="TableText"/>
              <w:spacing w:before="50" w:after="50"/>
              <w:ind w:right="284"/>
              <w:jc w:val="right"/>
            </w:pPr>
            <w:r w:rsidRPr="00BC0D1F">
              <w:t>5,599</w:t>
            </w:r>
          </w:p>
        </w:tc>
        <w:tc>
          <w:tcPr>
            <w:tcW w:w="4536" w:type="dxa"/>
            <w:tcBorders>
              <w:left w:val="nil"/>
            </w:tcBorders>
            <w:shd w:val="solid" w:color="FFFFFF" w:fill="auto"/>
          </w:tcPr>
          <w:p w14:paraId="0F0F4602" w14:textId="77777777" w:rsidR="00373692" w:rsidRPr="00BC0D1F" w:rsidRDefault="00373692" w:rsidP="00313412">
            <w:pPr>
              <w:pStyle w:val="TableText"/>
              <w:spacing w:before="50" w:after="50"/>
            </w:pPr>
            <w:r w:rsidRPr="00BC0D1F">
              <w:t>ACC – reimbursement of complex burns costs</w:t>
            </w:r>
          </w:p>
        </w:tc>
        <w:tc>
          <w:tcPr>
            <w:tcW w:w="1275" w:type="dxa"/>
            <w:shd w:val="clear" w:color="E3E3E3" w:fill="D9D9D9"/>
          </w:tcPr>
          <w:p w14:paraId="57FD77A4" w14:textId="77777777" w:rsidR="00373692" w:rsidRPr="00BC0D1F" w:rsidRDefault="00373692" w:rsidP="00313412">
            <w:pPr>
              <w:pStyle w:val="TableText"/>
              <w:spacing w:before="50" w:after="50"/>
              <w:ind w:right="113"/>
              <w:jc w:val="right"/>
            </w:pPr>
            <w:r w:rsidRPr="00BC0D1F">
              <w:t>4,839</w:t>
            </w:r>
          </w:p>
        </w:tc>
        <w:tc>
          <w:tcPr>
            <w:tcW w:w="1205" w:type="dxa"/>
          </w:tcPr>
          <w:p w14:paraId="31E3C245" w14:textId="77777777" w:rsidR="00373692" w:rsidRPr="00BC0D1F" w:rsidRDefault="00373692" w:rsidP="00313412">
            <w:pPr>
              <w:pStyle w:val="TableText"/>
              <w:spacing w:before="50" w:after="50"/>
              <w:jc w:val="right"/>
            </w:pPr>
            <w:r w:rsidRPr="00BC0D1F">
              <w:t>5,599</w:t>
            </w:r>
          </w:p>
        </w:tc>
        <w:tc>
          <w:tcPr>
            <w:tcW w:w="1206" w:type="dxa"/>
          </w:tcPr>
          <w:p w14:paraId="09A095EE" w14:textId="77777777" w:rsidR="00373692" w:rsidRPr="00BC0D1F" w:rsidRDefault="00373692" w:rsidP="00313412">
            <w:pPr>
              <w:pStyle w:val="TableText"/>
              <w:spacing w:before="50" w:after="50"/>
              <w:jc w:val="right"/>
            </w:pPr>
            <w:r w:rsidRPr="00BC0D1F">
              <w:t>5,734</w:t>
            </w:r>
          </w:p>
        </w:tc>
      </w:tr>
      <w:tr w:rsidR="00373692" w:rsidRPr="00BC0D1F" w14:paraId="45A3CF8A" w14:textId="77777777" w:rsidTr="00313412">
        <w:trPr>
          <w:cantSplit/>
        </w:trPr>
        <w:tc>
          <w:tcPr>
            <w:tcW w:w="1134" w:type="dxa"/>
            <w:tcBorders>
              <w:bottom w:val="nil"/>
              <w:right w:val="nil"/>
            </w:tcBorders>
            <w:shd w:val="solid" w:color="FFFFFF" w:fill="auto"/>
          </w:tcPr>
          <w:p w14:paraId="713C33A4" w14:textId="77777777" w:rsidR="00373692" w:rsidRPr="00BC0D1F" w:rsidRDefault="00373692" w:rsidP="00313412">
            <w:pPr>
              <w:pStyle w:val="TableText"/>
              <w:spacing w:before="50" w:after="50"/>
              <w:ind w:right="284"/>
              <w:jc w:val="right"/>
            </w:pPr>
            <w:r w:rsidRPr="00BC0D1F">
              <w:t>29,271</w:t>
            </w:r>
          </w:p>
        </w:tc>
        <w:tc>
          <w:tcPr>
            <w:tcW w:w="4536" w:type="dxa"/>
            <w:tcBorders>
              <w:left w:val="nil"/>
              <w:bottom w:val="nil"/>
            </w:tcBorders>
            <w:shd w:val="solid" w:color="FFFFFF" w:fill="auto"/>
          </w:tcPr>
          <w:p w14:paraId="2D96196F" w14:textId="77777777" w:rsidR="00373692" w:rsidRPr="00BC0D1F" w:rsidRDefault="00373692" w:rsidP="00313412">
            <w:pPr>
              <w:pStyle w:val="TableText"/>
              <w:spacing w:before="50" w:after="50"/>
            </w:pPr>
            <w:r w:rsidRPr="00BC0D1F">
              <w:t>ACC – reimbursement of work-related public hospital costs</w:t>
            </w:r>
          </w:p>
        </w:tc>
        <w:tc>
          <w:tcPr>
            <w:tcW w:w="1275" w:type="dxa"/>
            <w:tcBorders>
              <w:bottom w:val="nil"/>
            </w:tcBorders>
            <w:shd w:val="clear" w:color="E3E3E3" w:fill="D9D9D9"/>
          </w:tcPr>
          <w:p w14:paraId="725A7EBA" w14:textId="77777777" w:rsidR="00373692" w:rsidRPr="00BC0D1F" w:rsidRDefault="00373692" w:rsidP="00313412">
            <w:pPr>
              <w:pStyle w:val="TableText"/>
              <w:spacing w:before="50" w:after="50"/>
              <w:ind w:right="113"/>
              <w:jc w:val="right"/>
            </w:pPr>
            <w:r w:rsidRPr="00BC0D1F">
              <w:t>29,036</w:t>
            </w:r>
          </w:p>
        </w:tc>
        <w:tc>
          <w:tcPr>
            <w:tcW w:w="1205" w:type="dxa"/>
            <w:tcBorders>
              <w:bottom w:val="nil"/>
            </w:tcBorders>
          </w:tcPr>
          <w:p w14:paraId="14BCA9BF" w14:textId="77777777" w:rsidR="00373692" w:rsidRPr="00BC0D1F" w:rsidRDefault="00373692" w:rsidP="00313412">
            <w:pPr>
              <w:pStyle w:val="TableText"/>
              <w:spacing w:before="50" w:after="50"/>
              <w:jc w:val="right"/>
            </w:pPr>
            <w:r w:rsidRPr="00BC0D1F">
              <w:t>29,994</w:t>
            </w:r>
          </w:p>
        </w:tc>
        <w:tc>
          <w:tcPr>
            <w:tcW w:w="1206" w:type="dxa"/>
            <w:tcBorders>
              <w:bottom w:val="nil"/>
            </w:tcBorders>
          </w:tcPr>
          <w:p w14:paraId="24C8C7C0" w14:textId="77777777" w:rsidR="00373692" w:rsidRPr="00BC0D1F" w:rsidRDefault="00373692" w:rsidP="00313412">
            <w:pPr>
              <w:pStyle w:val="TableText"/>
              <w:spacing w:before="50" w:after="50"/>
              <w:jc w:val="right"/>
            </w:pPr>
            <w:r w:rsidRPr="00BC0D1F">
              <w:t>29,902</w:t>
            </w:r>
          </w:p>
        </w:tc>
      </w:tr>
      <w:tr w:rsidR="00373692" w:rsidRPr="00BC0D1F" w14:paraId="4DAB89A5" w14:textId="77777777" w:rsidTr="00313412">
        <w:trPr>
          <w:cantSplit/>
        </w:trPr>
        <w:tc>
          <w:tcPr>
            <w:tcW w:w="1134" w:type="dxa"/>
            <w:tcBorders>
              <w:top w:val="nil"/>
              <w:bottom w:val="nil"/>
              <w:right w:val="nil"/>
            </w:tcBorders>
            <w:shd w:val="solid" w:color="FFFFFF" w:fill="auto"/>
          </w:tcPr>
          <w:p w14:paraId="385DC337" w14:textId="77777777" w:rsidR="00373692" w:rsidRPr="00BC0D1F" w:rsidRDefault="00373692" w:rsidP="00313412">
            <w:pPr>
              <w:pStyle w:val="TableText"/>
              <w:spacing w:before="50" w:after="50"/>
              <w:ind w:right="284"/>
              <w:jc w:val="right"/>
            </w:pPr>
            <w:r w:rsidRPr="00BC0D1F">
              <w:t>276,398</w:t>
            </w:r>
          </w:p>
        </w:tc>
        <w:tc>
          <w:tcPr>
            <w:tcW w:w="4536" w:type="dxa"/>
            <w:tcBorders>
              <w:top w:val="nil"/>
              <w:left w:val="nil"/>
              <w:bottom w:val="nil"/>
            </w:tcBorders>
            <w:shd w:val="solid" w:color="FFFFFF" w:fill="auto"/>
          </w:tcPr>
          <w:p w14:paraId="0016E5E8" w14:textId="77777777" w:rsidR="00373692" w:rsidRPr="00BC0D1F" w:rsidRDefault="00373692" w:rsidP="00313412">
            <w:pPr>
              <w:pStyle w:val="TableText"/>
              <w:spacing w:before="50" w:after="50"/>
            </w:pPr>
            <w:r w:rsidRPr="00BC0D1F">
              <w:t>ACC – reimbursement of non-earners</w:t>
            </w:r>
            <w:r w:rsidR="00313412" w:rsidRPr="00BC0D1F">
              <w:t>’</w:t>
            </w:r>
            <w:r w:rsidRPr="00BC0D1F">
              <w:t xml:space="preserve"> account</w:t>
            </w:r>
          </w:p>
        </w:tc>
        <w:tc>
          <w:tcPr>
            <w:tcW w:w="1275" w:type="dxa"/>
            <w:tcBorders>
              <w:top w:val="nil"/>
              <w:bottom w:val="nil"/>
            </w:tcBorders>
            <w:shd w:val="clear" w:color="E3E3E3" w:fill="D9D9D9"/>
          </w:tcPr>
          <w:p w14:paraId="097EAF5B" w14:textId="77777777" w:rsidR="00373692" w:rsidRPr="00BC0D1F" w:rsidRDefault="00373692" w:rsidP="00313412">
            <w:pPr>
              <w:pStyle w:val="TableText"/>
              <w:spacing w:before="50" w:after="50"/>
              <w:ind w:right="113"/>
              <w:jc w:val="right"/>
            </w:pPr>
            <w:r w:rsidRPr="00BC0D1F">
              <w:t>275,846</w:t>
            </w:r>
          </w:p>
        </w:tc>
        <w:tc>
          <w:tcPr>
            <w:tcW w:w="1205" w:type="dxa"/>
            <w:tcBorders>
              <w:top w:val="nil"/>
              <w:bottom w:val="nil"/>
            </w:tcBorders>
          </w:tcPr>
          <w:p w14:paraId="5C19E0C5" w14:textId="77777777" w:rsidR="00373692" w:rsidRPr="00BC0D1F" w:rsidRDefault="00373692" w:rsidP="00313412">
            <w:pPr>
              <w:pStyle w:val="TableText"/>
              <w:spacing w:before="50" w:after="50"/>
              <w:jc w:val="right"/>
            </w:pPr>
            <w:r w:rsidRPr="00BC0D1F">
              <w:t>281,722</w:t>
            </w:r>
          </w:p>
        </w:tc>
        <w:tc>
          <w:tcPr>
            <w:tcW w:w="1206" w:type="dxa"/>
            <w:tcBorders>
              <w:top w:val="nil"/>
              <w:bottom w:val="nil"/>
            </w:tcBorders>
          </w:tcPr>
          <w:p w14:paraId="67D0BB3A" w14:textId="77777777" w:rsidR="00373692" w:rsidRPr="00BC0D1F" w:rsidRDefault="00373692" w:rsidP="00313412">
            <w:pPr>
              <w:pStyle w:val="TableText"/>
              <w:spacing w:before="50" w:after="50"/>
              <w:jc w:val="right"/>
            </w:pPr>
            <w:r w:rsidRPr="00BC0D1F">
              <w:t>280,818</w:t>
            </w:r>
          </w:p>
        </w:tc>
      </w:tr>
      <w:tr w:rsidR="00373692" w:rsidRPr="00BC0D1F" w14:paraId="0DB4C050" w14:textId="77777777" w:rsidTr="00313412">
        <w:trPr>
          <w:cantSplit/>
        </w:trPr>
        <w:tc>
          <w:tcPr>
            <w:tcW w:w="1134" w:type="dxa"/>
            <w:tcBorders>
              <w:top w:val="nil"/>
              <w:bottom w:val="nil"/>
              <w:right w:val="nil"/>
            </w:tcBorders>
            <w:shd w:val="solid" w:color="FFFFFF" w:fill="auto"/>
          </w:tcPr>
          <w:p w14:paraId="48CC5628" w14:textId="77777777" w:rsidR="00373692" w:rsidRPr="00BC0D1F" w:rsidRDefault="00373692" w:rsidP="00313412">
            <w:pPr>
              <w:pStyle w:val="TableText"/>
              <w:spacing w:before="50" w:after="50"/>
              <w:ind w:right="284"/>
              <w:jc w:val="right"/>
            </w:pPr>
            <w:r w:rsidRPr="00BC0D1F">
              <w:t>83,901</w:t>
            </w:r>
          </w:p>
        </w:tc>
        <w:tc>
          <w:tcPr>
            <w:tcW w:w="4536" w:type="dxa"/>
            <w:tcBorders>
              <w:top w:val="nil"/>
              <w:left w:val="nil"/>
              <w:bottom w:val="nil"/>
            </w:tcBorders>
            <w:shd w:val="solid" w:color="FFFFFF" w:fill="auto"/>
          </w:tcPr>
          <w:p w14:paraId="621226DA" w14:textId="77777777" w:rsidR="00373692" w:rsidRPr="00BC0D1F" w:rsidRDefault="00373692" w:rsidP="00313412">
            <w:pPr>
              <w:pStyle w:val="TableText"/>
              <w:spacing w:before="50" w:after="50"/>
            </w:pPr>
            <w:r w:rsidRPr="00BC0D1F">
              <w:t>ACC – reimbursement of earners</w:t>
            </w:r>
            <w:r w:rsidR="00313412" w:rsidRPr="00BC0D1F">
              <w:t>’</w:t>
            </w:r>
            <w:r w:rsidRPr="00BC0D1F">
              <w:t xml:space="preserve"> non-work-related public hospital costs</w:t>
            </w:r>
          </w:p>
        </w:tc>
        <w:tc>
          <w:tcPr>
            <w:tcW w:w="1275" w:type="dxa"/>
            <w:tcBorders>
              <w:top w:val="nil"/>
              <w:bottom w:val="nil"/>
            </w:tcBorders>
            <w:shd w:val="clear" w:color="E3E3E3" w:fill="D9D9D9"/>
          </w:tcPr>
          <w:p w14:paraId="6D696FBB" w14:textId="77777777" w:rsidR="00373692" w:rsidRPr="00BC0D1F" w:rsidRDefault="00373692" w:rsidP="00313412">
            <w:pPr>
              <w:pStyle w:val="TableText"/>
              <w:spacing w:before="50" w:after="50"/>
              <w:ind w:right="113"/>
              <w:jc w:val="right"/>
            </w:pPr>
            <w:r w:rsidRPr="00BC0D1F">
              <w:t>87,109</w:t>
            </w:r>
          </w:p>
        </w:tc>
        <w:tc>
          <w:tcPr>
            <w:tcW w:w="1205" w:type="dxa"/>
            <w:tcBorders>
              <w:top w:val="nil"/>
              <w:bottom w:val="nil"/>
            </w:tcBorders>
          </w:tcPr>
          <w:p w14:paraId="00F0406A" w14:textId="77777777" w:rsidR="00373692" w:rsidRPr="00BC0D1F" w:rsidRDefault="00373692" w:rsidP="00313412">
            <w:pPr>
              <w:pStyle w:val="TableText"/>
              <w:spacing w:before="50" w:after="50"/>
              <w:jc w:val="right"/>
            </w:pPr>
            <w:r w:rsidRPr="00BC0D1F">
              <w:t>85,972</w:t>
            </w:r>
          </w:p>
        </w:tc>
        <w:tc>
          <w:tcPr>
            <w:tcW w:w="1206" w:type="dxa"/>
            <w:tcBorders>
              <w:top w:val="nil"/>
              <w:bottom w:val="nil"/>
            </w:tcBorders>
          </w:tcPr>
          <w:p w14:paraId="1BE3D024" w14:textId="77777777" w:rsidR="00373692" w:rsidRPr="00BC0D1F" w:rsidRDefault="00373692" w:rsidP="00313412">
            <w:pPr>
              <w:pStyle w:val="TableText"/>
              <w:spacing w:before="50" w:after="50"/>
              <w:jc w:val="right"/>
            </w:pPr>
            <w:r w:rsidRPr="00BC0D1F">
              <w:t>85,709</w:t>
            </w:r>
          </w:p>
        </w:tc>
      </w:tr>
      <w:tr w:rsidR="00373692" w:rsidRPr="00BC0D1F" w14:paraId="158DC51E" w14:textId="77777777" w:rsidTr="00313412">
        <w:trPr>
          <w:cantSplit/>
        </w:trPr>
        <w:tc>
          <w:tcPr>
            <w:tcW w:w="1134" w:type="dxa"/>
            <w:tcBorders>
              <w:top w:val="nil"/>
              <w:bottom w:val="nil"/>
              <w:right w:val="nil"/>
            </w:tcBorders>
            <w:shd w:val="solid" w:color="FFFFFF" w:fill="auto"/>
          </w:tcPr>
          <w:p w14:paraId="6A4263C3" w14:textId="77777777" w:rsidR="00373692" w:rsidRPr="00BC0D1F" w:rsidRDefault="00373692" w:rsidP="00313412">
            <w:pPr>
              <w:pStyle w:val="TableText"/>
              <w:spacing w:before="50" w:after="50"/>
              <w:ind w:right="284"/>
              <w:jc w:val="right"/>
            </w:pPr>
            <w:r w:rsidRPr="00BC0D1F">
              <w:t>69,506</w:t>
            </w:r>
          </w:p>
        </w:tc>
        <w:tc>
          <w:tcPr>
            <w:tcW w:w="4536" w:type="dxa"/>
            <w:tcBorders>
              <w:top w:val="nil"/>
              <w:left w:val="nil"/>
              <w:bottom w:val="nil"/>
            </w:tcBorders>
            <w:shd w:val="solid" w:color="FFFFFF" w:fill="auto"/>
          </w:tcPr>
          <w:p w14:paraId="0FFA15DC" w14:textId="77777777" w:rsidR="00373692" w:rsidRPr="00BC0D1F" w:rsidRDefault="00373692" w:rsidP="00313412">
            <w:pPr>
              <w:pStyle w:val="TableText"/>
              <w:spacing w:before="50" w:after="50"/>
            </w:pPr>
            <w:r w:rsidRPr="00BC0D1F">
              <w:t>ACC – reimbursement of motor vehicle-related public hospital costs</w:t>
            </w:r>
          </w:p>
        </w:tc>
        <w:tc>
          <w:tcPr>
            <w:tcW w:w="1275" w:type="dxa"/>
            <w:tcBorders>
              <w:top w:val="nil"/>
              <w:bottom w:val="nil"/>
            </w:tcBorders>
            <w:shd w:val="clear" w:color="E3E3E3" w:fill="D9D9D9"/>
          </w:tcPr>
          <w:p w14:paraId="082544D5" w14:textId="77777777" w:rsidR="00373692" w:rsidRPr="00BC0D1F" w:rsidRDefault="00373692" w:rsidP="00313412">
            <w:pPr>
              <w:pStyle w:val="TableText"/>
              <w:spacing w:before="50" w:after="50"/>
              <w:ind w:right="113"/>
              <w:jc w:val="right"/>
            </w:pPr>
            <w:r w:rsidRPr="00BC0D1F">
              <w:t>72,591</w:t>
            </w:r>
          </w:p>
        </w:tc>
        <w:tc>
          <w:tcPr>
            <w:tcW w:w="1205" w:type="dxa"/>
            <w:tcBorders>
              <w:top w:val="nil"/>
              <w:bottom w:val="nil"/>
            </w:tcBorders>
          </w:tcPr>
          <w:p w14:paraId="18CE63CB" w14:textId="77777777" w:rsidR="00373692" w:rsidRPr="00BC0D1F" w:rsidRDefault="00373692" w:rsidP="00313412">
            <w:pPr>
              <w:pStyle w:val="TableText"/>
              <w:spacing w:before="50" w:after="50"/>
              <w:jc w:val="right"/>
            </w:pPr>
            <w:r w:rsidRPr="00BC0D1F">
              <w:t>71,221</w:t>
            </w:r>
          </w:p>
        </w:tc>
        <w:tc>
          <w:tcPr>
            <w:tcW w:w="1206" w:type="dxa"/>
            <w:tcBorders>
              <w:top w:val="nil"/>
              <w:bottom w:val="nil"/>
            </w:tcBorders>
          </w:tcPr>
          <w:p w14:paraId="40D71001" w14:textId="77777777" w:rsidR="00373692" w:rsidRPr="00BC0D1F" w:rsidRDefault="00373692" w:rsidP="00313412">
            <w:pPr>
              <w:pStyle w:val="TableText"/>
              <w:spacing w:before="50" w:after="50"/>
              <w:jc w:val="right"/>
            </w:pPr>
            <w:r w:rsidRPr="00BC0D1F">
              <w:t>71,003</w:t>
            </w:r>
          </w:p>
        </w:tc>
      </w:tr>
      <w:tr w:rsidR="00373692" w:rsidRPr="00BC0D1F" w14:paraId="7627D6BD" w14:textId="77777777" w:rsidTr="00313412">
        <w:trPr>
          <w:cantSplit/>
        </w:trPr>
        <w:tc>
          <w:tcPr>
            <w:tcW w:w="1134" w:type="dxa"/>
            <w:tcBorders>
              <w:top w:val="nil"/>
              <w:bottom w:val="nil"/>
              <w:right w:val="nil"/>
            </w:tcBorders>
            <w:shd w:val="solid" w:color="FFFFFF" w:fill="auto"/>
          </w:tcPr>
          <w:p w14:paraId="7ACFBFB3" w14:textId="77777777" w:rsidR="00373692" w:rsidRPr="00BC0D1F" w:rsidRDefault="00373692" w:rsidP="00313412">
            <w:pPr>
              <w:pStyle w:val="TableText"/>
              <w:spacing w:before="50" w:after="50"/>
              <w:ind w:right="284"/>
              <w:jc w:val="right"/>
            </w:pPr>
            <w:r w:rsidRPr="00BC0D1F">
              <w:t>2,554</w:t>
            </w:r>
          </w:p>
        </w:tc>
        <w:tc>
          <w:tcPr>
            <w:tcW w:w="4536" w:type="dxa"/>
            <w:tcBorders>
              <w:top w:val="nil"/>
              <w:left w:val="nil"/>
              <w:bottom w:val="nil"/>
            </w:tcBorders>
            <w:shd w:val="solid" w:color="FFFFFF" w:fill="auto"/>
          </w:tcPr>
          <w:p w14:paraId="0EFA31E3" w14:textId="77777777" w:rsidR="00373692" w:rsidRPr="00BC0D1F" w:rsidRDefault="00373692" w:rsidP="00313412">
            <w:pPr>
              <w:pStyle w:val="TableText"/>
              <w:spacing w:before="50" w:after="50"/>
            </w:pPr>
            <w:r w:rsidRPr="00BC0D1F">
              <w:t>ACC – reimbursement of medical misadventure costs</w:t>
            </w:r>
          </w:p>
        </w:tc>
        <w:tc>
          <w:tcPr>
            <w:tcW w:w="1275" w:type="dxa"/>
            <w:tcBorders>
              <w:top w:val="nil"/>
              <w:bottom w:val="nil"/>
            </w:tcBorders>
            <w:shd w:val="clear" w:color="E3E3E3" w:fill="D9D9D9"/>
          </w:tcPr>
          <w:p w14:paraId="2F588EAF" w14:textId="77777777" w:rsidR="00373692" w:rsidRPr="00BC0D1F" w:rsidRDefault="00373692" w:rsidP="00313412">
            <w:pPr>
              <w:pStyle w:val="TableText"/>
              <w:spacing w:before="50" w:after="50"/>
              <w:ind w:right="113"/>
              <w:jc w:val="right"/>
            </w:pPr>
            <w:r w:rsidRPr="00BC0D1F">
              <w:t>4,839</w:t>
            </w:r>
          </w:p>
        </w:tc>
        <w:tc>
          <w:tcPr>
            <w:tcW w:w="1205" w:type="dxa"/>
            <w:tcBorders>
              <w:top w:val="nil"/>
              <w:bottom w:val="nil"/>
            </w:tcBorders>
          </w:tcPr>
          <w:p w14:paraId="73669268" w14:textId="77777777" w:rsidR="00373692" w:rsidRPr="00BC0D1F" w:rsidRDefault="00373692" w:rsidP="00313412">
            <w:pPr>
              <w:pStyle w:val="TableText"/>
              <w:spacing w:before="50" w:after="50"/>
              <w:jc w:val="right"/>
            </w:pPr>
            <w:r w:rsidRPr="00BC0D1F">
              <w:t>2,618</w:t>
            </w:r>
          </w:p>
        </w:tc>
        <w:tc>
          <w:tcPr>
            <w:tcW w:w="1206" w:type="dxa"/>
            <w:tcBorders>
              <w:top w:val="nil"/>
              <w:bottom w:val="nil"/>
            </w:tcBorders>
          </w:tcPr>
          <w:p w14:paraId="410BA0E2" w14:textId="77777777" w:rsidR="00373692" w:rsidRPr="00BC0D1F" w:rsidRDefault="00373692" w:rsidP="00313412">
            <w:pPr>
              <w:pStyle w:val="TableText"/>
              <w:spacing w:before="50" w:after="50"/>
              <w:jc w:val="right"/>
            </w:pPr>
            <w:r w:rsidRPr="00BC0D1F">
              <w:t>2,610</w:t>
            </w:r>
          </w:p>
        </w:tc>
      </w:tr>
      <w:tr w:rsidR="00373692" w:rsidRPr="00BC0D1F" w14:paraId="1EE85525" w14:textId="77777777" w:rsidTr="00313412">
        <w:trPr>
          <w:cantSplit/>
        </w:trPr>
        <w:tc>
          <w:tcPr>
            <w:tcW w:w="1134" w:type="dxa"/>
            <w:tcBorders>
              <w:top w:val="nil"/>
              <w:bottom w:val="nil"/>
              <w:right w:val="nil"/>
            </w:tcBorders>
            <w:shd w:val="solid" w:color="FFFFFF" w:fill="auto"/>
          </w:tcPr>
          <w:p w14:paraId="71660C4A" w14:textId="77777777" w:rsidR="00373692" w:rsidRPr="00BC0D1F" w:rsidRDefault="00373692" w:rsidP="00313412">
            <w:pPr>
              <w:pStyle w:val="TableText"/>
              <w:spacing w:before="50" w:after="50"/>
              <w:ind w:right="284"/>
              <w:jc w:val="right"/>
            </w:pPr>
            <w:r w:rsidRPr="00BC0D1F">
              <w:t>7,992</w:t>
            </w:r>
          </w:p>
        </w:tc>
        <w:tc>
          <w:tcPr>
            <w:tcW w:w="4536" w:type="dxa"/>
            <w:tcBorders>
              <w:top w:val="nil"/>
              <w:left w:val="nil"/>
              <w:bottom w:val="nil"/>
            </w:tcBorders>
            <w:shd w:val="solid" w:color="FFFFFF" w:fill="auto"/>
          </w:tcPr>
          <w:p w14:paraId="72F267FE" w14:textId="77777777" w:rsidR="00373692" w:rsidRPr="00BC0D1F" w:rsidRDefault="00373692" w:rsidP="00313412">
            <w:pPr>
              <w:pStyle w:val="TableText"/>
              <w:spacing w:before="50" w:after="50"/>
            </w:pPr>
            <w:r w:rsidRPr="00BC0D1F">
              <w:t>ACC – reimbursement of self-employed public hospital costs</w:t>
            </w:r>
          </w:p>
        </w:tc>
        <w:tc>
          <w:tcPr>
            <w:tcW w:w="1275" w:type="dxa"/>
            <w:tcBorders>
              <w:top w:val="nil"/>
              <w:bottom w:val="nil"/>
            </w:tcBorders>
            <w:shd w:val="clear" w:color="E3E3E3" w:fill="D9D9D9"/>
          </w:tcPr>
          <w:p w14:paraId="588C77E1" w14:textId="77777777" w:rsidR="00373692" w:rsidRPr="00BC0D1F" w:rsidRDefault="00373692" w:rsidP="00313412">
            <w:pPr>
              <w:pStyle w:val="TableText"/>
              <w:spacing w:before="50" w:after="50"/>
              <w:ind w:right="113"/>
              <w:jc w:val="right"/>
            </w:pPr>
            <w:r w:rsidRPr="00BC0D1F">
              <w:t>9,679</w:t>
            </w:r>
          </w:p>
        </w:tc>
        <w:tc>
          <w:tcPr>
            <w:tcW w:w="1205" w:type="dxa"/>
            <w:tcBorders>
              <w:top w:val="nil"/>
              <w:bottom w:val="nil"/>
            </w:tcBorders>
          </w:tcPr>
          <w:p w14:paraId="1FDFCF47" w14:textId="77777777" w:rsidR="00373692" w:rsidRPr="00BC0D1F" w:rsidRDefault="00373692" w:rsidP="00313412">
            <w:pPr>
              <w:pStyle w:val="TableText"/>
              <w:spacing w:before="50" w:after="50"/>
              <w:jc w:val="right"/>
            </w:pPr>
            <w:r w:rsidRPr="00BC0D1F">
              <w:t>8,190</w:t>
            </w:r>
          </w:p>
        </w:tc>
        <w:tc>
          <w:tcPr>
            <w:tcW w:w="1206" w:type="dxa"/>
            <w:tcBorders>
              <w:top w:val="nil"/>
              <w:bottom w:val="nil"/>
            </w:tcBorders>
          </w:tcPr>
          <w:p w14:paraId="681F96C8" w14:textId="77777777" w:rsidR="00373692" w:rsidRPr="00BC0D1F" w:rsidRDefault="00373692" w:rsidP="00313412">
            <w:pPr>
              <w:pStyle w:val="TableText"/>
              <w:spacing w:before="50" w:after="50"/>
              <w:jc w:val="right"/>
            </w:pPr>
            <w:r w:rsidRPr="00BC0D1F">
              <w:t>8,165</w:t>
            </w:r>
          </w:p>
        </w:tc>
      </w:tr>
      <w:tr w:rsidR="00373692" w:rsidRPr="00BC0D1F" w14:paraId="46EB9E39" w14:textId="77777777" w:rsidTr="00313412">
        <w:trPr>
          <w:cantSplit/>
        </w:trPr>
        <w:tc>
          <w:tcPr>
            <w:tcW w:w="1134" w:type="dxa"/>
            <w:tcBorders>
              <w:top w:val="nil"/>
              <w:bottom w:val="nil"/>
              <w:right w:val="nil"/>
            </w:tcBorders>
            <w:shd w:val="solid" w:color="FFFFFF" w:fill="auto"/>
          </w:tcPr>
          <w:p w14:paraId="521721CA" w14:textId="77777777" w:rsidR="00373692" w:rsidRPr="00BC0D1F" w:rsidRDefault="00373692" w:rsidP="00313412">
            <w:pPr>
              <w:pStyle w:val="TableText"/>
              <w:spacing w:before="50" w:after="50"/>
              <w:ind w:right="284"/>
              <w:jc w:val="right"/>
              <w:rPr>
                <w:b/>
              </w:rPr>
            </w:pPr>
            <w:r w:rsidRPr="00BC0D1F">
              <w:rPr>
                <w:b/>
              </w:rPr>
              <w:t>475,221</w:t>
            </w:r>
          </w:p>
        </w:tc>
        <w:tc>
          <w:tcPr>
            <w:tcW w:w="4536" w:type="dxa"/>
            <w:tcBorders>
              <w:top w:val="nil"/>
              <w:left w:val="nil"/>
              <w:bottom w:val="nil"/>
            </w:tcBorders>
            <w:shd w:val="solid" w:color="FFFFFF" w:fill="auto"/>
          </w:tcPr>
          <w:p w14:paraId="5C7828CF" w14:textId="77777777" w:rsidR="00373692" w:rsidRPr="00BC0D1F" w:rsidRDefault="00373692" w:rsidP="00313412">
            <w:pPr>
              <w:pStyle w:val="TableText"/>
              <w:spacing w:before="50" w:after="50"/>
              <w:rPr>
                <w:b/>
              </w:rPr>
            </w:pPr>
            <w:r w:rsidRPr="00BC0D1F">
              <w:rPr>
                <w:b/>
              </w:rPr>
              <w:t>Total ACC reimbursements</w:t>
            </w:r>
          </w:p>
        </w:tc>
        <w:tc>
          <w:tcPr>
            <w:tcW w:w="1275" w:type="dxa"/>
            <w:tcBorders>
              <w:top w:val="nil"/>
              <w:bottom w:val="nil"/>
            </w:tcBorders>
            <w:shd w:val="clear" w:color="E3E3E3" w:fill="D9D9D9"/>
          </w:tcPr>
          <w:p w14:paraId="08C272A8" w14:textId="77777777" w:rsidR="00373692" w:rsidRPr="00BC0D1F" w:rsidRDefault="00373692" w:rsidP="00313412">
            <w:pPr>
              <w:pStyle w:val="TableText"/>
              <w:spacing w:before="50" w:after="50"/>
              <w:ind w:right="113"/>
              <w:jc w:val="right"/>
              <w:rPr>
                <w:b/>
              </w:rPr>
            </w:pPr>
            <w:r w:rsidRPr="00BC0D1F">
              <w:rPr>
                <w:b/>
              </w:rPr>
              <w:t>483,939</w:t>
            </w:r>
          </w:p>
        </w:tc>
        <w:tc>
          <w:tcPr>
            <w:tcW w:w="1205" w:type="dxa"/>
            <w:tcBorders>
              <w:top w:val="nil"/>
              <w:bottom w:val="nil"/>
            </w:tcBorders>
          </w:tcPr>
          <w:p w14:paraId="26B54843" w14:textId="77777777" w:rsidR="00373692" w:rsidRPr="00BC0D1F" w:rsidRDefault="00373692" w:rsidP="00313412">
            <w:pPr>
              <w:pStyle w:val="TableText"/>
              <w:spacing w:before="50" w:after="50"/>
              <w:jc w:val="right"/>
              <w:rPr>
                <w:b/>
              </w:rPr>
            </w:pPr>
            <w:r w:rsidRPr="00BC0D1F">
              <w:rPr>
                <w:b/>
              </w:rPr>
              <w:t>485,316</w:t>
            </w:r>
          </w:p>
        </w:tc>
        <w:tc>
          <w:tcPr>
            <w:tcW w:w="1206" w:type="dxa"/>
            <w:tcBorders>
              <w:top w:val="nil"/>
              <w:bottom w:val="nil"/>
            </w:tcBorders>
          </w:tcPr>
          <w:p w14:paraId="13A1F2C8" w14:textId="77777777" w:rsidR="00373692" w:rsidRPr="00BC0D1F" w:rsidRDefault="00373692" w:rsidP="00313412">
            <w:pPr>
              <w:pStyle w:val="TableText"/>
              <w:spacing w:before="50" w:after="50"/>
              <w:jc w:val="right"/>
              <w:rPr>
                <w:b/>
              </w:rPr>
            </w:pPr>
            <w:r w:rsidRPr="00BC0D1F">
              <w:rPr>
                <w:b/>
              </w:rPr>
              <w:t>483,941</w:t>
            </w:r>
          </w:p>
        </w:tc>
      </w:tr>
      <w:tr w:rsidR="00373692" w:rsidRPr="00BC0D1F" w14:paraId="073B70A3" w14:textId="77777777" w:rsidTr="00313412">
        <w:trPr>
          <w:cantSplit/>
        </w:trPr>
        <w:tc>
          <w:tcPr>
            <w:tcW w:w="1134" w:type="dxa"/>
            <w:tcBorders>
              <w:top w:val="nil"/>
              <w:bottom w:val="nil"/>
              <w:right w:val="nil"/>
            </w:tcBorders>
            <w:shd w:val="solid" w:color="FFFFFF" w:fill="auto"/>
          </w:tcPr>
          <w:p w14:paraId="5821DA0E" w14:textId="77777777" w:rsidR="00373692" w:rsidRPr="00BC0D1F" w:rsidRDefault="00373692" w:rsidP="00313412">
            <w:pPr>
              <w:pStyle w:val="TableText"/>
              <w:spacing w:before="240" w:after="50"/>
              <w:ind w:right="284"/>
              <w:jc w:val="right"/>
            </w:pPr>
            <w:r w:rsidRPr="00BC0D1F">
              <w:t>194,350</w:t>
            </w:r>
          </w:p>
        </w:tc>
        <w:tc>
          <w:tcPr>
            <w:tcW w:w="4536" w:type="dxa"/>
            <w:tcBorders>
              <w:top w:val="nil"/>
              <w:left w:val="nil"/>
              <w:bottom w:val="nil"/>
            </w:tcBorders>
            <w:shd w:val="solid" w:color="FFFFFF" w:fill="auto"/>
          </w:tcPr>
          <w:p w14:paraId="25B733C3" w14:textId="77777777" w:rsidR="00373692" w:rsidRPr="00BC0D1F" w:rsidRDefault="00373692" w:rsidP="00313412">
            <w:pPr>
              <w:pStyle w:val="TableText"/>
              <w:spacing w:before="240" w:after="50"/>
            </w:pPr>
            <w:r w:rsidRPr="00BC0D1F">
              <w:t>Payment of capital charge by DHBs</w:t>
            </w:r>
          </w:p>
        </w:tc>
        <w:tc>
          <w:tcPr>
            <w:tcW w:w="1275" w:type="dxa"/>
            <w:tcBorders>
              <w:top w:val="nil"/>
              <w:bottom w:val="nil"/>
            </w:tcBorders>
            <w:shd w:val="clear" w:color="E3E3E3" w:fill="D9D9D9"/>
          </w:tcPr>
          <w:p w14:paraId="0049902B" w14:textId="77777777" w:rsidR="00373692" w:rsidRPr="00BC0D1F" w:rsidRDefault="00373692" w:rsidP="00313412">
            <w:pPr>
              <w:pStyle w:val="TableText"/>
              <w:spacing w:before="240" w:after="50"/>
              <w:ind w:right="113"/>
              <w:jc w:val="right"/>
            </w:pPr>
            <w:r w:rsidRPr="00BC0D1F">
              <w:t>203,941</w:t>
            </w:r>
          </w:p>
        </w:tc>
        <w:tc>
          <w:tcPr>
            <w:tcW w:w="1205" w:type="dxa"/>
            <w:tcBorders>
              <w:top w:val="nil"/>
              <w:bottom w:val="nil"/>
            </w:tcBorders>
          </w:tcPr>
          <w:p w14:paraId="212C6A4F" w14:textId="77777777" w:rsidR="00373692" w:rsidRPr="00BC0D1F" w:rsidRDefault="00373692" w:rsidP="00313412">
            <w:pPr>
              <w:pStyle w:val="TableText"/>
              <w:spacing w:before="240" w:after="50"/>
              <w:jc w:val="right"/>
            </w:pPr>
            <w:r w:rsidRPr="00BC0D1F">
              <w:t>204,143</w:t>
            </w:r>
          </w:p>
        </w:tc>
        <w:tc>
          <w:tcPr>
            <w:tcW w:w="1206" w:type="dxa"/>
            <w:tcBorders>
              <w:top w:val="nil"/>
              <w:bottom w:val="nil"/>
            </w:tcBorders>
          </w:tcPr>
          <w:p w14:paraId="3FF72461" w14:textId="77777777" w:rsidR="00373692" w:rsidRPr="00BC0D1F" w:rsidRDefault="00373692" w:rsidP="00313412">
            <w:pPr>
              <w:pStyle w:val="TableText"/>
              <w:spacing w:before="240" w:after="50"/>
              <w:jc w:val="right"/>
            </w:pPr>
            <w:r w:rsidRPr="00BC0D1F">
              <w:t>205,247</w:t>
            </w:r>
          </w:p>
        </w:tc>
      </w:tr>
      <w:tr w:rsidR="00373692" w:rsidRPr="00BC0D1F" w14:paraId="25CD5BEB" w14:textId="77777777" w:rsidTr="00313412">
        <w:trPr>
          <w:cantSplit/>
        </w:trPr>
        <w:tc>
          <w:tcPr>
            <w:tcW w:w="1134" w:type="dxa"/>
            <w:tcBorders>
              <w:top w:val="nil"/>
              <w:bottom w:val="nil"/>
              <w:right w:val="nil"/>
            </w:tcBorders>
            <w:shd w:val="solid" w:color="FFFFFF" w:fill="auto"/>
          </w:tcPr>
          <w:p w14:paraId="0E5CD710" w14:textId="77777777" w:rsidR="00373692" w:rsidRPr="00BC0D1F" w:rsidRDefault="00373692" w:rsidP="00313412">
            <w:pPr>
              <w:pStyle w:val="TableText"/>
              <w:spacing w:before="50" w:after="50"/>
              <w:ind w:right="284"/>
              <w:jc w:val="right"/>
            </w:pPr>
            <w:r w:rsidRPr="00BC0D1F">
              <w:t>(37,207)</w:t>
            </w:r>
          </w:p>
        </w:tc>
        <w:tc>
          <w:tcPr>
            <w:tcW w:w="4536" w:type="dxa"/>
            <w:tcBorders>
              <w:top w:val="nil"/>
              <w:left w:val="nil"/>
              <w:bottom w:val="nil"/>
            </w:tcBorders>
            <w:shd w:val="solid" w:color="FFFFFF" w:fill="auto"/>
          </w:tcPr>
          <w:p w14:paraId="1AB33CFC" w14:textId="77777777" w:rsidR="00373692" w:rsidRPr="00BC0D1F" w:rsidRDefault="00373692" w:rsidP="00313412">
            <w:pPr>
              <w:pStyle w:val="TableText"/>
              <w:spacing w:before="50" w:after="50"/>
            </w:pPr>
            <w:r w:rsidRPr="00BC0D1F">
              <w:t>Net surplus/(deficit) from DHBs*</w:t>
            </w:r>
          </w:p>
        </w:tc>
        <w:tc>
          <w:tcPr>
            <w:tcW w:w="1275" w:type="dxa"/>
            <w:tcBorders>
              <w:top w:val="nil"/>
              <w:bottom w:val="nil"/>
            </w:tcBorders>
            <w:shd w:val="clear" w:color="E3E3E3" w:fill="D9D9D9"/>
          </w:tcPr>
          <w:p w14:paraId="69373D8D" w14:textId="77777777" w:rsidR="00373692" w:rsidRPr="00BC0D1F" w:rsidRDefault="00373692" w:rsidP="00313412">
            <w:pPr>
              <w:pStyle w:val="TableText"/>
              <w:spacing w:before="50" w:after="50"/>
              <w:ind w:right="113"/>
              <w:jc w:val="right"/>
            </w:pPr>
            <w:r w:rsidRPr="00BC0D1F">
              <w:t>(55,032)</w:t>
            </w:r>
          </w:p>
        </w:tc>
        <w:tc>
          <w:tcPr>
            <w:tcW w:w="1205" w:type="dxa"/>
            <w:tcBorders>
              <w:top w:val="nil"/>
              <w:bottom w:val="nil"/>
            </w:tcBorders>
          </w:tcPr>
          <w:p w14:paraId="0741384C" w14:textId="77777777" w:rsidR="00373692" w:rsidRPr="00BC0D1F" w:rsidRDefault="00373692" w:rsidP="00313412">
            <w:pPr>
              <w:pStyle w:val="TableText"/>
              <w:spacing w:before="50" w:after="50"/>
              <w:jc w:val="right"/>
            </w:pPr>
            <w:r w:rsidRPr="00BC0D1F">
              <w:t>–</w:t>
            </w:r>
          </w:p>
        </w:tc>
        <w:tc>
          <w:tcPr>
            <w:tcW w:w="1206" w:type="dxa"/>
            <w:tcBorders>
              <w:top w:val="nil"/>
              <w:bottom w:val="nil"/>
            </w:tcBorders>
          </w:tcPr>
          <w:p w14:paraId="6C196890" w14:textId="77777777" w:rsidR="00373692" w:rsidRPr="00BC0D1F" w:rsidRDefault="00373692" w:rsidP="00313412">
            <w:pPr>
              <w:pStyle w:val="TableText"/>
              <w:spacing w:before="50" w:after="50"/>
              <w:jc w:val="right"/>
            </w:pPr>
            <w:r w:rsidRPr="00BC0D1F">
              <w:t>–</w:t>
            </w:r>
          </w:p>
        </w:tc>
      </w:tr>
      <w:tr w:rsidR="00373692" w:rsidRPr="00BC0D1F" w14:paraId="686092CE" w14:textId="77777777" w:rsidTr="00313412">
        <w:trPr>
          <w:cantSplit/>
        </w:trPr>
        <w:tc>
          <w:tcPr>
            <w:tcW w:w="1134" w:type="dxa"/>
            <w:tcBorders>
              <w:top w:val="nil"/>
              <w:bottom w:val="nil"/>
              <w:right w:val="nil"/>
            </w:tcBorders>
            <w:shd w:val="solid" w:color="FFFFFF" w:fill="auto"/>
          </w:tcPr>
          <w:p w14:paraId="524C06BC" w14:textId="77777777" w:rsidR="00373692" w:rsidRPr="00BC0D1F" w:rsidRDefault="00373692" w:rsidP="00313412">
            <w:pPr>
              <w:pStyle w:val="TableText"/>
              <w:spacing w:before="50" w:after="50"/>
              <w:ind w:right="284"/>
              <w:jc w:val="right"/>
            </w:pPr>
            <w:r w:rsidRPr="00BC0D1F">
              <w:t>4,492</w:t>
            </w:r>
          </w:p>
        </w:tc>
        <w:tc>
          <w:tcPr>
            <w:tcW w:w="4536" w:type="dxa"/>
            <w:tcBorders>
              <w:top w:val="nil"/>
              <w:left w:val="nil"/>
              <w:bottom w:val="nil"/>
            </w:tcBorders>
            <w:shd w:val="solid" w:color="FFFFFF" w:fill="auto"/>
          </w:tcPr>
          <w:p w14:paraId="49AB3542" w14:textId="77777777" w:rsidR="00373692" w:rsidRPr="00BC0D1F" w:rsidRDefault="00373692" w:rsidP="00313412">
            <w:pPr>
              <w:pStyle w:val="TableText"/>
              <w:spacing w:before="50" w:after="50"/>
            </w:pPr>
            <w:r w:rsidRPr="00BC0D1F">
              <w:t>Other Crown entities surplus/(deficits)**</w:t>
            </w:r>
          </w:p>
        </w:tc>
        <w:tc>
          <w:tcPr>
            <w:tcW w:w="1275" w:type="dxa"/>
            <w:tcBorders>
              <w:top w:val="nil"/>
              <w:bottom w:val="nil"/>
            </w:tcBorders>
            <w:shd w:val="clear" w:color="E3E3E3" w:fill="D9D9D9"/>
          </w:tcPr>
          <w:p w14:paraId="48271272" w14:textId="77777777" w:rsidR="00373692" w:rsidRPr="00BC0D1F" w:rsidRDefault="00373692" w:rsidP="00313412">
            <w:pPr>
              <w:pStyle w:val="TableText"/>
              <w:spacing w:before="50" w:after="50"/>
              <w:ind w:right="113"/>
              <w:jc w:val="right"/>
            </w:pPr>
            <w:r w:rsidRPr="00BC0D1F">
              <w:t>3,041</w:t>
            </w:r>
          </w:p>
        </w:tc>
        <w:tc>
          <w:tcPr>
            <w:tcW w:w="1205" w:type="dxa"/>
            <w:tcBorders>
              <w:top w:val="nil"/>
              <w:bottom w:val="nil"/>
            </w:tcBorders>
          </w:tcPr>
          <w:p w14:paraId="1DFB87B7" w14:textId="77777777" w:rsidR="00373692" w:rsidRPr="00BC0D1F" w:rsidRDefault="00373692" w:rsidP="00313412">
            <w:pPr>
              <w:pStyle w:val="TableText"/>
              <w:spacing w:before="50" w:after="50"/>
              <w:jc w:val="right"/>
            </w:pPr>
            <w:r w:rsidRPr="00BC0D1F">
              <w:t>–</w:t>
            </w:r>
          </w:p>
        </w:tc>
        <w:tc>
          <w:tcPr>
            <w:tcW w:w="1206" w:type="dxa"/>
            <w:tcBorders>
              <w:top w:val="nil"/>
              <w:bottom w:val="nil"/>
            </w:tcBorders>
          </w:tcPr>
          <w:p w14:paraId="55924B53" w14:textId="77777777" w:rsidR="00373692" w:rsidRPr="00BC0D1F" w:rsidRDefault="00373692" w:rsidP="00313412">
            <w:pPr>
              <w:pStyle w:val="TableText"/>
              <w:spacing w:before="50" w:after="50"/>
              <w:jc w:val="right"/>
            </w:pPr>
            <w:r w:rsidRPr="00BC0D1F">
              <w:t>–</w:t>
            </w:r>
          </w:p>
        </w:tc>
      </w:tr>
      <w:tr w:rsidR="00373692" w:rsidRPr="00BC0D1F" w14:paraId="5C231D49" w14:textId="77777777" w:rsidTr="00313412">
        <w:trPr>
          <w:cantSplit/>
        </w:trPr>
        <w:tc>
          <w:tcPr>
            <w:tcW w:w="1134" w:type="dxa"/>
            <w:tcBorders>
              <w:top w:val="nil"/>
              <w:bottom w:val="nil"/>
              <w:right w:val="nil"/>
            </w:tcBorders>
            <w:shd w:val="solid" w:color="FFFFFF" w:fill="auto"/>
          </w:tcPr>
          <w:p w14:paraId="5BECD901" w14:textId="77777777" w:rsidR="00373692" w:rsidRPr="00BC0D1F" w:rsidRDefault="00373692" w:rsidP="00313412">
            <w:pPr>
              <w:pStyle w:val="TableText"/>
              <w:spacing w:before="50" w:after="50"/>
              <w:ind w:right="284"/>
              <w:jc w:val="right"/>
              <w:rPr>
                <w:b/>
              </w:rPr>
            </w:pPr>
            <w:r w:rsidRPr="00BC0D1F">
              <w:rPr>
                <w:b/>
              </w:rPr>
              <w:t>636,856</w:t>
            </w:r>
          </w:p>
        </w:tc>
        <w:tc>
          <w:tcPr>
            <w:tcW w:w="4536" w:type="dxa"/>
            <w:tcBorders>
              <w:top w:val="nil"/>
              <w:left w:val="nil"/>
              <w:bottom w:val="nil"/>
            </w:tcBorders>
            <w:shd w:val="solid" w:color="FFFFFF" w:fill="auto"/>
          </w:tcPr>
          <w:p w14:paraId="284DD1FB" w14:textId="77777777" w:rsidR="00373692" w:rsidRPr="00BC0D1F" w:rsidRDefault="00373692" w:rsidP="00313412">
            <w:pPr>
              <w:pStyle w:val="TableText"/>
              <w:spacing w:before="50" w:after="50"/>
              <w:rPr>
                <w:b/>
              </w:rPr>
            </w:pPr>
            <w:r w:rsidRPr="00BC0D1F">
              <w:rPr>
                <w:b/>
              </w:rPr>
              <w:t>Total non-departmental revenue</w:t>
            </w:r>
          </w:p>
        </w:tc>
        <w:tc>
          <w:tcPr>
            <w:tcW w:w="1275" w:type="dxa"/>
            <w:tcBorders>
              <w:top w:val="nil"/>
              <w:bottom w:val="nil"/>
            </w:tcBorders>
            <w:shd w:val="clear" w:color="E3E3E3" w:fill="D9D9D9"/>
          </w:tcPr>
          <w:p w14:paraId="4C7D631F" w14:textId="77777777" w:rsidR="00373692" w:rsidRPr="00BC0D1F" w:rsidRDefault="00373692" w:rsidP="00313412">
            <w:pPr>
              <w:pStyle w:val="TableText"/>
              <w:spacing w:before="50" w:after="50"/>
              <w:ind w:right="113"/>
              <w:jc w:val="right"/>
              <w:rPr>
                <w:b/>
              </w:rPr>
            </w:pPr>
            <w:r w:rsidRPr="00BC0D1F">
              <w:rPr>
                <w:b/>
              </w:rPr>
              <w:t>635,889</w:t>
            </w:r>
          </w:p>
        </w:tc>
        <w:tc>
          <w:tcPr>
            <w:tcW w:w="1205" w:type="dxa"/>
            <w:tcBorders>
              <w:top w:val="nil"/>
              <w:bottom w:val="nil"/>
            </w:tcBorders>
          </w:tcPr>
          <w:p w14:paraId="01508D68" w14:textId="77777777" w:rsidR="00373692" w:rsidRPr="00BC0D1F" w:rsidRDefault="00373692" w:rsidP="00313412">
            <w:pPr>
              <w:pStyle w:val="TableText"/>
              <w:spacing w:before="50" w:after="50"/>
              <w:jc w:val="right"/>
              <w:rPr>
                <w:b/>
              </w:rPr>
            </w:pPr>
            <w:r w:rsidRPr="00BC0D1F">
              <w:rPr>
                <w:b/>
              </w:rPr>
              <w:t>689,459</w:t>
            </w:r>
          </w:p>
        </w:tc>
        <w:tc>
          <w:tcPr>
            <w:tcW w:w="1206" w:type="dxa"/>
            <w:tcBorders>
              <w:top w:val="nil"/>
              <w:bottom w:val="nil"/>
            </w:tcBorders>
          </w:tcPr>
          <w:p w14:paraId="0A4D8CE7" w14:textId="77777777" w:rsidR="00373692" w:rsidRPr="00BC0D1F" w:rsidRDefault="00373692" w:rsidP="00313412">
            <w:pPr>
              <w:pStyle w:val="TableText"/>
              <w:spacing w:before="50" w:after="50"/>
              <w:jc w:val="right"/>
              <w:rPr>
                <w:b/>
              </w:rPr>
            </w:pPr>
            <w:r w:rsidRPr="00BC0D1F">
              <w:rPr>
                <w:b/>
              </w:rPr>
              <w:t>689,188</w:t>
            </w:r>
          </w:p>
        </w:tc>
      </w:tr>
      <w:tr w:rsidR="00373692" w:rsidRPr="00BC0D1F" w14:paraId="5FD1AFB9" w14:textId="77777777" w:rsidTr="00313412">
        <w:trPr>
          <w:cantSplit/>
        </w:trPr>
        <w:tc>
          <w:tcPr>
            <w:tcW w:w="1134" w:type="dxa"/>
            <w:tcBorders>
              <w:top w:val="nil"/>
              <w:bottom w:val="nil"/>
              <w:right w:val="nil"/>
            </w:tcBorders>
            <w:shd w:val="solid" w:color="FFFFFF" w:fill="auto"/>
          </w:tcPr>
          <w:p w14:paraId="4A2754AB" w14:textId="77777777" w:rsidR="00373692" w:rsidRPr="00BC0D1F" w:rsidRDefault="00373692" w:rsidP="00313412">
            <w:pPr>
              <w:pStyle w:val="TableText"/>
              <w:spacing w:before="240" w:after="50"/>
              <w:ind w:right="284"/>
              <w:jc w:val="right"/>
              <w:rPr>
                <w:b/>
              </w:rPr>
            </w:pPr>
          </w:p>
        </w:tc>
        <w:tc>
          <w:tcPr>
            <w:tcW w:w="4536" w:type="dxa"/>
            <w:tcBorders>
              <w:top w:val="nil"/>
              <w:left w:val="nil"/>
              <w:bottom w:val="nil"/>
            </w:tcBorders>
            <w:shd w:val="solid" w:color="FFFFFF" w:fill="auto"/>
          </w:tcPr>
          <w:p w14:paraId="61E80FDE" w14:textId="77777777" w:rsidR="00373692" w:rsidRPr="00BC0D1F" w:rsidRDefault="00373692" w:rsidP="00313412">
            <w:pPr>
              <w:pStyle w:val="TableText"/>
              <w:spacing w:before="240" w:after="50"/>
              <w:rPr>
                <w:b/>
              </w:rPr>
            </w:pPr>
            <w:r w:rsidRPr="00BC0D1F">
              <w:rPr>
                <w:b/>
              </w:rPr>
              <w:t>Capital receipts</w:t>
            </w:r>
          </w:p>
        </w:tc>
        <w:tc>
          <w:tcPr>
            <w:tcW w:w="1275" w:type="dxa"/>
            <w:tcBorders>
              <w:top w:val="nil"/>
              <w:bottom w:val="nil"/>
            </w:tcBorders>
            <w:shd w:val="clear" w:color="E3E3E3" w:fill="D9D9D9"/>
          </w:tcPr>
          <w:p w14:paraId="1EB59922" w14:textId="77777777" w:rsidR="00373692" w:rsidRPr="00BC0D1F" w:rsidRDefault="00373692" w:rsidP="00313412">
            <w:pPr>
              <w:pStyle w:val="TableText"/>
              <w:spacing w:before="240" w:after="50"/>
              <w:ind w:right="113"/>
              <w:jc w:val="right"/>
              <w:rPr>
                <w:b/>
              </w:rPr>
            </w:pPr>
          </w:p>
        </w:tc>
        <w:tc>
          <w:tcPr>
            <w:tcW w:w="1205" w:type="dxa"/>
            <w:tcBorders>
              <w:top w:val="nil"/>
              <w:bottom w:val="nil"/>
            </w:tcBorders>
          </w:tcPr>
          <w:p w14:paraId="37C06CE4" w14:textId="77777777" w:rsidR="00373692" w:rsidRPr="00BC0D1F" w:rsidRDefault="00373692" w:rsidP="00313412">
            <w:pPr>
              <w:pStyle w:val="TableText"/>
              <w:spacing w:before="240" w:after="50"/>
              <w:jc w:val="right"/>
              <w:rPr>
                <w:b/>
              </w:rPr>
            </w:pPr>
          </w:p>
        </w:tc>
        <w:tc>
          <w:tcPr>
            <w:tcW w:w="1206" w:type="dxa"/>
            <w:tcBorders>
              <w:top w:val="nil"/>
              <w:bottom w:val="nil"/>
            </w:tcBorders>
          </w:tcPr>
          <w:p w14:paraId="6C1E41DD" w14:textId="77777777" w:rsidR="00373692" w:rsidRPr="00BC0D1F" w:rsidRDefault="00373692" w:rsidP="00313412">
            <w:pPr>
              <w:pStyle w:val="TableText"/>
              <w:spacing w:before="240" w:after="50"/>
              <w:jc w:val="right"/>
              <w:rPr>
                <w:b/>
              </w:rPr>
            </w:pPr>
          </w:p>
        </w:tc>
      </w:tr>
      <w:tr w:rsidR="00373692" w:rsidRPr="00BC0D1F" w14:paraId="08A79505" w14:textId="77777777" w:rsidTr="00313412">
        <w:trPr>
          <w:cantSplit/>
        </w:trPr>
        <w:tc>
          <w:tcPr>
            <w:tcW w:w="1134" w:type="dxa"/>
            <w:tcBorders>
              <w:top w:val="nil"/>
              <w:bottom w:val="nil"/>
              <w:right w:val="nil"/>
            </w:tcBorders>
            <w:shd w:val="solid" w:color="FFFFFF" w:fill="auto"/>
          </w:tcPr>
          <w:p w14:paraId="0A4F308A" w14:textId="77777777" w:rsidR="00373692" w:rsidRPr="00BC0D1F" w:rsidRDefault="00373692" w:rsidP="00313412">
            <w:pPr>
              <w:pStyle w:val="TableText"/>
              <w:spacing w:before="50" w:after="50"/>
              <w:ind w:right="284"/>
              <w:jc w:val="right"/>
            </w:pPr>
            <w:r w:rsidRPr="00BC0D1F">
              <w:t>14,701</w:t>
            </w:r>
          </w:p>
        </w:tc>
        <w:tc>
          <w:tcPr>
            <w:tcW w:w="4536" w:type="dxa"/>
            <w:tcBorders>
              <w:top w:val="nil"/>
              <w:left w:val="nil"/>
              <w:bottom w:val="nil"/>
            </w:tcBorders>
            <w:shd w:val="solid" w:color="FFFFFF" w:fill="auto"/>
          </w:tcPr>
          <w:p w14:paraId="1B05D9EE" w14:textId="77777777" w:rsidR="00373692" w:rsidRPr="00BC0D1F" w:rsidRDefault="00373692" w:rsidP="00313412">
            <w:pPr>
              <w:pStyle w:val="TableText"/>
              <w:spacing w:before="50" w:after="50"/>
            </w:pPr>
            <w:r w:rsidRPr="00BC0D1F">
              <w:t>Repayment of residential care loans</w:t>
            </w:r>
          </w:p>
        </w:tc>
        <w:tc>
          <w:tcPr>
            <w:tcW w:w="1275" w:type="dxa"/>
            <w:tcBorders>
              <w:top w:val="nil"/>
              <w:bottom w:val="nil"/>
            </w:tcBorders>
            <w:shd w:val="clear" w:color="E3E3E3" w:fill="D9D9D9"/>
          </w:tcPr>
          <w:p w14:paraId="4A8630FD" w14:textId="77777777" w:rsidR="00373692" w:rsidRPr="00BC0D1F" w:rsidRDefault="00373692" w:rsidP="00313412">
            <w:pPr>
              <w:pStyle w:val="TableText"/>
              <w:spacing w:before="50" w:after="50"/>
              <w:ind w:right="113"/>
              <w:jc w:val="right"/>
            </w:pPr>
            <w:r w:rsidRPr="00BC0D1F">
              <w:t>11,549</w:t>
            </w:r>
          </w:p>
        </w:tc>
        <w:tc>
          <w:tcPr>
            <w:tcW w:w="1205" w:type="dxa"/>
            <w:tcBorders>
              <w:top w:val="nil"/>
              <w:bottom w:val="nil"/>
            </w:tcBorders>
          </w:tcPr>
          <w:p w14:paraId="19123639" w14:textId="77777777" w:rsidR="00373692" w:rsidRPr="00BC0D1F" w:rsidRDefault="00373692" w:rsidP="00313412">
            <w:pPr>
              <w:pStyle w:val="TableText"/>
              <w:spacing w:before="50" w:after="50"/>
              <w:jc w:val="right"/>
            </w:pPr>
            <w:r w:rsidRPr="00BC0D1F">
              <w:t>15,000</w:t>
            </w:r>
          </w:p>
        </w:tc>
        <w:tc>
          <w:tcPr>
            <w:tcW w:w="1206" w:type="dxa"/>
            <w:tcBorders>
              <w:top w:val="nil"/>
              <w:bottom w:val="nil"/>
            </w:tcBorders>
          </w:tcPr>
          <w:p w14:paraId="6AB6FA27" w14:textId="77777777" w:rsidR="00373692" w:rsidRPr="00BC0D1F" w:rsidRDefault="00373692" w:rsidP="00313412">
            <w:pPr>
              <w:pStyle w:val="TableText"/>
              <w:spacing w:before="50" w:after="50"/>
              <w:jc w:val="right"/>
            </w:pPr>
            <w:r w:rsidRPr="00BC0D1F">
              <w:t>15,000</w:t>
            </w:r>
          </w:p>
        </w:tc>
      </w:tr>
      <w:tr w:rsidR="00373692" w:rsidRPr="00BC0D1F" w14:paraId="6FE0EF80" w14:textId="77777777" w:rsidTr="00313412">
        <w:trPr>
          <w:cantSplit/>
        </w:trPr>
        <w:tc>
          <w:tcPr>
            <w:tcW w:w="1134" w:type="dxa"/>
            <w:tcBorders>
              <w:top w:val="nil"/>
              <w:bottom w:val="nil"/>
              <w:right w:val="nil"/>
            </w:tcBorders>
            <w:shd w:val="solid" w:color="FFFFFF" w:fill="auto"/>
          </w:tcPr>
          <w:p w14:paraId="200C950B" w14:textId="77777777" w:rsidR="00373692" w:rsidRPr="00BC0D1F" w:rsidRDefault="00373692" w:rsidP="00313412">
            <w:pPr>
              <w:pStyle w:val="TableText"/>
              <w:spacing w:before="50" w:after="50"/>
              <w:ind w:right="284"/>
              <w:jc w:val="right"/>
            </w:pPr>
            <w:r w:rsidRPr="00BC0D1F">
              <w:t>600</w:t>
            </w:r>
          </w:p>
        </w:tc>
        <w:tc>
          <w:tcPr>
            <w:tcW w:w="4536" w:type="dxa"/>
            <w:tcBorders>
              <w:top w:val="nil"/>
              <w:left w:val="nil"/>
              <w:bottom w:val="nil"/>
            </w:tcBorders>
            <w:shd w:val="solid" w:color="FFFFFF" w:fill="auto"/>
          </w:tcPr>
          <w:p w14:paraId="1DBE91A1" w14:textId="77777777" w:rsidR="00373692" w:rsidRPr="00BC0D1F" w:rsidRDefault="00373692" w:rsidP="00313412">
            <w:pPr>
              <w:pStyle w:val="TableText"/>
              <w:spacing w:before="50" w:after="50"/>
            </w:pPr>
            <w:r w:rsidRPr="00BC0D1F">
              <w:t>Repayment of DHB debt</w:t>
            </w:r>
          </w:p>
        </w:tc>
        <w:tc>
          <w:tcPr>
            <w:tcW w:w="1275" w:type="dxa"/>
            <w:tcBorders>
              <w:top w:val="nil"/>
              <w:bottom w:val="nil"/>
            </w:tcBorders>
            <w:shd w:val="clear" w:color="E3E3E3" w:fill="D9D9D9"/>
          </w:tcPr>
          <w:p w14:paraId="32E57DAB" w14:textId="77777777" w:rsidR="00373692" w:rsidRPr="00BC0D1F" w:rsidRDefault="00373692" w:rsidP="00313412">
            <w:pPr>
              <w:pStyle w:val="TableText"/>
              <w:spacing w:before="50" w:after="50"/>
              <w:ind w:right="113"/>
              <w:jc w:val="right"/>
            </w:pPr>
            <w:r w:rsidRPr="00BC0D1F">
              <w:t>600</w:t>
            </w:r>
          </w:p>
        </w:tc>
        <w:tc>
          <w:tcPr>
            <w:tcW w:w="1205" w:type="dxa"/>
            <w:tcBorders>
              <w:top w:val="nil"/>
              <w:bottom w:val="nil"/>
            </w:tcBorders>
          </w:tcPr>
          <w:p w14:paraId="2912DB18" w14:textId="77777777" w:rsidR="00373692" w:rsidRPr="00BC0D1F" w:rsidRDefault="00373692" w:rsidP="00313412">
            <w:pPr>
              <w:pStyle w:val="TableText"/>
              <w:spacing w:before="50" w:after="50"/>
              <w:jc w:val="right"/>
            </w:pPr>
            <w:r w:rsidRPr="00BC0D1F">
              <w:t>–</w:t>
            </w:r>
          </w:p>
        </w:tc>
        <w:tc>
          <w:tcPr>
            <w:tcW w:w="1206" w:type="dxa"/>
            <w:tcBorders>
              <w:top w:val="nil"/>
              <w:bottom w:val="nil"/>
            </w:tcBorders>
          </w:tcPr>
          <w:p w14:paraId="536BF69E" w14:textId="77777777" w:rsidR="00373692" w:rsidRPr="00BC0D1F" w:rsidRDefault="00373692" w:rsidP="00313412">
            <w:pPr>
              <w:pStyle w:val="TableText"/>
              <w:spacing w:before="50" w:after="50"/>
              <w:jc w:val="right"/>
            </w:pPr>
            <w:r w:rsidRPr="00BC0D1F">
              <w:t>–</w:t>
            </w:r>
          </w:p>
        </w:tc>
      </w:tr>
      <w:tr w:rsidR="00373692" w:rsidRPr="00BC0D1F" w14:paraId="49047BAA" w14:textId="77777777" w:rsidTr="00313412">
        <w:trPr>
          <w:cantSplit/>
        </w:trPr>
        <w:tc>
          <w:tcPr>
            <w:tcW w:w="1134" w:type="dxa"/>
            <w:tcBorders>
              <w:top w:val="nil"/>
              <w:bottom w:val="nil"/>
              <w:right w:val="nil"/>
            </w:tcBorders>
            <w:shd w:val="solid" w:color="FFFFFF" w:fill="auto"/>
          </w:tcPr>
          <w:p w14:paraId="2350F51E" w14:textId="77777777" w:rsidR="00373692" w:rsidRPr="00BC0D1F" w:rsidRDefault="00373692" w:rsidP="00313412">
            <w:pPr>
              <w:pStyle w:val="TableText"/>
              <w:spacing w:before="50" w:after="50"/>
              <w:ind w:right="284"/>
              <w:jc w:val="right"/>
            </w:pPr>
            <w:r w:rsidRPr="00BC0D1F">
              <w:t>132,499</w:t>
            </w:r>
          </w:p>
        </w:tc>
        <w:tc>
          <w:tcPr>
            <w:tcW w:w="4536" w:type="dxa"/>
            <w:tcBorders>
              <w:top w:val="nil"/>
              <w:left w:val="nil"/>
              <w:bottom w:val="nil"/>
            </w:tcBorders>
            <w:shd w:val="solid" w:color="FFFFFF" w:fill="auto"/>
          </w:tcPr>
          <w:p w14:paraId="73D83DDC" w14:textId="77777777" w:rsidR="00373692" w:rsidRPr="00BC0D1F" w:rsidRDefault="00373692" w:rsidP="00313412">
            <w:pPr>
              <w:pStyle w:val="TableText"/>
              <w:spacing w:before="50" w:after="50"/>
            </w:pPr>
            <w:r w:rsidRPr="00BC0D1F">
              <w:t>Equity repayments by DHBs</w:t>
            </w:r>
          </w:p>
        </w:tc>
        <w:tc>
          <w:tcPr>
            <w:tcW w:w="1275" w:type="dxa"/>
            <w:tcBorders>
              <w:top w:val="nil"/>
              <w:bottom w:val="nil"/>
            </w:tcBorders>
            <w:shd w:val="clear" w:color="E3E3E3" w:fill="D9D9D9"/>
          </w:tcPr>
          <w:p w14:paraId="49CA2971" w14:textId="77777777" w:rsidR="00373692" w:rsidRPr="00BC0D1F" w:rsidRDefault="00373692" w:rsidP="00313412">
            <w:pPr>
              <w:pStyle w:val="TableText"/>
              <w:spacing w:before="50" w:after="50"/>
              <w:ind w:right="113"/>
              <w:jc w:val="right"/>
            </w:pPr>
            <w:r w:rsidRPr="00BC0D1F">
              <w:t>12,499</w:t>
            </w:r>
          </w:p>
        </w:tc>
        <w:tc>
          <w:tcPr>
            <w:tcW w:w="1205" w:type="dxa"/>
            <w:tcBorders>
              <w:top w:val="nil"/>
              <w:bottom w:val="nil"/>
            </w:tcBorders>
          </w:tcPr>
          <w:p w14:paraId="6BA4AC17" w14:textId="77777777" w:rsidR="00373692" w:rsidRPr="00BC0D1F" w:rsidRDefault="00373692" w:rsidP="00313412">
            <w:pPr>
              <w:pStyle w:val="TableText"/>
              <w:spacing w:before="50" w:after="50"/>
              <w:jc w:val="right"/>
            </w:pPr>
            <w:r w:rsidRPr="00BC0D1F">
              <w:t>12,499</w:t>
            </w:r>
          </w:p>
        </w:tc>
        <w:tc>
          <w:tcPr>
            <w:tcW w:w="1206" w:type="dxa"/>
            <w:tcBorders>
              <w:top w:val="nil"/>
              <w:bottom w:val="nil"/>
            </w:tcBorders>
          </w:tcPr>
          <w:p w14:paraId="276AD89B" w14:textId="77777777" w:rsidR="00373692" w:rsidRPr="00BC0D1F" w:rsidRDefault="00373692" w:rsidP="00313412">
            <w:pPr>
              <w:pStyle w:val="TableText"/>
              <w:spacing w:before="50" w:after="50"/>
              <w:jc w:val="right"/>
            </w:pPr>
            <w:r w:rsidRPr="00BC0D1F">
              <w:t>12,499</w:t>
            </w:r>
          </w:p>
        </w:tc>
      </w:tr>
      <w:tr w:rsidR="00373692" w:rsidRPr="00BC0D1F" w14:paraId="510C75FA" w14:textId="77777777" w:rsidTr="00313412">
        <w:trPr>
          <w:cantSplit/>
        </w:trPr>
        <w:tc>
          <w:tcPr>
            <w:tcW w:w="1134" w:type="dxa"/>
            <w:tcBorders>
              <w:top w:val="nil"/>
              <w:bottom w:val="nil"/>
              <w:right w:val="nil"/>
            </w:tcBorders>
            <w:shd w:val="solid" w:color="FFFFFF" w:fill="auto"/>
          </w:tcPr>
          <w:p w14:paraId="4C08FBEE" w14:textId="77777777" w:rsidR="00373692" w:rsidRPr="00BC0D1F" w:rsidRDefault="00373692" w:rsidP="00313412">
            <w:pPr>
              <w:pStyle w:val="TableText"/>
              <w:spacing w:before="50" w:after="50"/>
              <w:ind w:right="284"/>
              <w:jc w:val="right"/>
              <w:rPr>
                <w:b/>
              </w:rPr>
            </w:pPr>
            <w:r w:rsidRPr="00BC0D1F">
              <w:rPr>
                <w:b/>
              </w:rPr>
              <w:t>147,800</w:t>
            </w:r>
          </w:p>
        </w:tc>
        <w:tc>
          <w:tcPr>
            <w:tcW w:w="4536" w:type="dxa"/>
            <w:tcBorders>
              <w:top w:val="nil"/>
              <w:left w:val="nil"/>
              <w:bottom w:val="nil"/>
            </w:tcBorders>
            <w:shd w:val="solid" w:color="FFFFFF" w:fill="auto"/>
          </w:tcPr>
          <w:p w14:paraId="0FB5A4C4" w14:textId="77777777" w:rsidR="00373692" w:rsidRPr="00BC0D1F" w:rsidRDefault="00373692" w:rsidP="00313412">
            <w:pPr>
              <w:pStyle w:val="TableText"/>
              <w:spacing w:before="50" w:after="50"/>
              <w:rPr>
                <w:b/>
              </w:rPr>
            </w:pPr>
            <w:r w:rsidRPr="00BC0D1F">
              <w:rPr>
                <w:b/>
              </w:rPr>
              <w:t>Total non-departmental capital receipts</w:t>
            </w:r>
          </w:p>
        </w:tc>
        <w:tc>
          <w:tcPr>
            <w:tcW w:w="1275" w:type="dxa"/>
            <w:tcBorders>
              <w:top w:val="nil"/>
              <w:bottom w:val="nil"/>
            </w:tcBorders>
            <w:shd w:val="clear" w:color="E3E3E3" w:fill="D9D9D9"/>
          </w:tcPr>
          <w:p w14:paraId="467EBBBC" w14:textId="77777777" w:rsidR="00373692" w:rsidRPr="00BC0D1F" w:rsidRDefault="00373692" w:rsidP="00313412">
            <w:pPr>
              <w:pStyle w:val="TableText"/>
              <w:spacing w:before="50" w:after="50"/>
              <w:ind w:right="113"/>
              <w:jc w:val="right"/>
              <w:rPr>
                <w:b/>
              </w:rPr>
            </w:pPr>
            <w:r w:rsidRPr="00BC0D1F">
              <w:rPr>
                <w:b/>
              </w:rPr>
              <w:t>24,648</w:t>
            </w:r>
          </w:p>
        </w:tc>
        <w:tc>
          <w:tcPr>
            <w:tcW w:w="1205" w:type="dxa"/>
            <w:tcBorders>
              <w:top w:val="nil"/>
              <w:bottom w:val="nil"/>
            </w:tcBorders>
          </w:tcPr>
          <w:p w14:paraId="06F4EE8C" w14:textId="77777777" w:rsidR="00373692" w:rsidRPr="00BC0D1F" w:rsidRDefault="00373692" w:rsidP="00313412">
            <w:pPr>
              <w:pStyle w:val="TableText"/>
              <w:spacing w:before="50" w:after="50"/>
              <w:jc w:val="right"/>
              <w:rPr>
                <w:b/>
              </w:rPr>
            </w:pPr>
            <w:r w:rsidRPr="00BC0D1F">
              <w:rPr>
                <w:b/>
              </w:rPr>
              <w:t>27,499</w:t>
            </w:r>
          </w:p>
        </w:tc>
        <w:tc>
          <w:tcPr>
            <w:tcW w:w="1206" w:type="dxa"/>
            <w:tcBorders>
              <w:top w:val="nil"/>
              <w:bottom w:val="nil"/>
            </w:tcBorders>
          </w:tcPr>
          <w:p w14:paraId="7D701CC4" w14:textId="77777777" w:rsidR="00373692" w:rsidRPr="00BC0D1F" w:rsidRDefault="00373692" w:rsidP="00313412">
            <w:pPr>
              <w:pStyle w:val="TableText"/>
              <w:spacing w:before="50" w:after="50"/>
              <w:jc w:val="right"/>
              <w:rPr>
                <w:b/>
              </w:rPr>
            </w:pPr>
            <w:r w:rsidRPr="00BC0D1F">
              <w:rPr>
                <w:b/>
              </w:rPr>
              <w:t>27,499</w:t>
            </w:r>
          </w:p>
        </w:tc>
      </w:tr>
      <w:tr w:rsidR="00373692" w:rsidRPr="00BC0D1F" w14:paraId="5B90BC22" w14:textId="77777777" w:rsidTr="00313412">
        <w:trPr>
          <w:cantSplit/>
        </w:trPr>
        <w:tc>
          <w:tcPr>
            <w:tcW w:w="1134" w:type="dxa"/>
            <w:tcBorders>
              <w:top w:val="nil"/>
              <w:bottom w:val="single" w:sz="4" w:space="0" w:color="auto"/>
              <w:right w:val="nil"/>
            </w:tcBorders>
            <w:shd w:val="solid" w:color="FFFFFF" w:fill="auto"/>
          </w:tcPr>
          <w:p w14:paraId="6616CB83" w14:textId="77777777" w:rsidR="00373692" w:rsidRPr="00BC0D1F" w:rsidRDefault="00373692" w:rsidP="00313412">
            <w:pPr>
              <w:pStyle w:val="TableText"/>
              <w:spacing w:before="240" w:after="50"/>
              <w:ind w:right="284"/>
              <w:jc w:val="right"/>
              <w:rPr>
                <w:b/>
              </w:rPr>
            </w:pPr>
            <w:r w:rsidRPr="00BC0D1F">
              <w:rPr>
                <w:b/>
              </w:rPr>
              <w:t>784,656</w:t>
            </w:r>
          </w:p>
        </w:tc>
        <w:tc>
          <w:tcPr>
            <w:tcW w:w="4536" w:type="dxa"/>
            <w:tcBorders>
              <w:top w:val="nil"/>
              <w:left w:val="nil"/>
              <w:bottom w:val="single" w:sz="4" w:space="0" w:color="auto"/>
            </w:tcBorders>
            <w:shd w:val="solid" w:color="FFFFFF" w:fill="auto"/>
          </w:tcPr>
          <w:p w14:paraId="138A5CAD" w14:textId="77777777" w:rsidR="00373692" w:rsidRPr="00BC0D1F" w:rsidRDefault="00373692" w:rsidP="00313412">
            <w:pPr>
              <w:pStyle w:val="TableText"/>
              <w:spacing w:before="240" w:after="50"/>
              <w:rPr>
                <w:b/>
              </w:rPr>
            </w:pPr>
            <w:r w:rsidRPr="00BC0D1F">
              <w:rPr>
                <w:b/>
              </w:rPr>
              <w:t>Total non-departmental revenue and capital receipts</w:t>
            </w:r>
          </w:p>
        </w:tc>
        <w:tc>
          <w:tcPr>
            <w:tcW w:w="1275" w:type="dxa"/>
            <w:tcBorders>
              <w:top w:val="nil"/>
              <w:bottom w:val="single" w:sz="4" w:space="0" w:color="auto"/>
            </w:tcBorders>
            <w:shd w:val="clear" w:color="E3E3E3" w:fill="D9D9D9"/>
          </w:tcPr>
          <w:p w14:paraId="3E120488" w14:textId="77777777" w:rsidR="00373692" w:rsidRPr="00BC0D1F" w:rsidRDefault="00373692" w:rsidP="00313412">
            <w:pPr>
              <w:pStyle w:val="TableText"/>
              <w:spacing w:before="240" w:after="50"/>
              <w:ind w:right="113"/>
              <w:jc w:val="right"/>
              <w:rPr>
                <w:b/>
              </w:rPr>
            </w:pPr>
            <w:r w:rsidRPr="00BC0D1F">
              <w:rPr>
                <w:b/>
              </w:rPr>
              <w:t>660,537</w:t>
            </w:r>
          </w:p>
        </w:tc>
        <w:tc>
          <w:tcPr>
            <w:tcW w:w="1205" w:type="dxa"/>
            <w:tcBorders>
              <w:top w:val="nil"/>
              <w:bottom w:val="single" w:sz="4" w:space="0" w:color="auto"/>
            </w:tcBorders>
          </w:tcPr>
          <w:p w14:paraId="5444AB46" w14:textId="77777777" w:rsidR="00373692" w:rsidRPr="00BC0D1F" w:rsidRDefault="00373692" w:rsidP="00313412">
            <w:pPr>
              <w:pStyle w:val="TableText"/>
              <w:spacing w:before="240" w:after="50"/>
              <w:jc w:val="right"/>
              <w:rPr>
                <w:b/>
              </w:rPr>
            </w:pPr>
            <w:r w:rsidRPr="00BC0D1F">
              <w:rPr>
                <w:b/>
              </w:rPr>
              <w:t>716,958</w:t>
            </w:r>
          </w:p>
        </w:tc>
        <w:tc>
          <w:tcPr>
            <w:tcW w:w="1206" w:type="dxa"/>
            <w:tcBorders>
              <w:top w:val="nil"/>
              <w:bottom w:val="single" w:sz="4" w:space="0" w:color="auto"/>
            </w:tcBorders>
          </w:tcPr>
          <w:p w14:paraId="696B7C69" w14:textId="77777777" w:rsidR="00373692" w:rsidRPr="00BC0D1F" w:rsidRDefault="00373692" w:rsidP="00313412">
            <w:pPr>
              <w:pStyle w:val="TableText"/>
              <w:spacing w:before="240" w:after="50"/>
              <w:jc w:val="right"/>
              <w:rPr>
                <w:b/>
              </w:rPr>
            </w:pPr>
            <w:r w:rsidRPr="00BC0D1F">
              <w:rPr>
                <w:b/>
              </w:rPr>
              <w:t>716,687</w:t>
            </w:r>
          </w:p>
        </w:tc>
      </w:tr>
    </w:tbl>
    <w:p w14:paraId="5A8E4515" w14:textId="77777777" w:rsidR="00FA5E17" w:rsidRPr="00BC0D1F" w:rsidRDefault="00FA5E17" w:rsidP="00313412">
      <w:pPr>
        <w:pStyle w:val="Note"/>
      </w:pPr>
      <w:r w:rsidRPr="00BC0D1F">
        <w:t>+</w:t>
      </w:r>
      <w:r w:rsidR="00313412" w:rsidRPr="00BC0D1F">
        <w:tab/>
      </w:r>
      <w:r w:rsidRPr="00BC0D1F">
        <w:t>Accident Compensation Corporation.</w:t>
      </w:r>
    </w:p>
    <w:p w14:paraId="1EFD2394" w14:textId="77777777" w:rsidR="00FA5E17" w:rsidRPr="00BC0D1F" w:rsidRDefault="00FA5E17" w:rsidP="00313412">
      <w:pPr>
        <w:pStyle w:val="Note"/>
      </w:pPr>
      <w:r w:rsidRPr="00BC0D1F">
        <w:t>*</w:t>
      </w:r>
      <w:r w:rsidR="00313412" w:rsidRPr="00BC0D1F">
        <w:tab/>
      </w:r>
      <w:r w:rsidRPr="00BC0D1F">
        <w:t>Based on unaudited financial statements of the 20 DHBs: accordingly these have not been reflected in the investments in Crown entities figure within the schedule of non-departmental assets.</w:t>
      </w:r>
    </w:p>
    <w:p w14:paraId="704A9C49" w14:textId="77777777" w:rsidR="00FA5E17" w:rsidRPr="00BC0D1F" w:rsidRDefault="00FA5E17" w:rsidP="00313412">
      <w:pPr>
        <w:pStyle w:val="Note"/>
      </w:pPr>
      <w:r w:rsidRPr="00BC0D1F">
        <w:t>**</w:t>
      </w:r>
      <w:r w:rsidR="00313412" w:rsidRPr="00BC0D1F">
        <w:tab/>
      </w:r>
      <w:r w:rsidRPr="00BC0D1F">
        <w:t>Based on unaudited financial statements of the other non-DHB health sector Crown entities: accordingly these have not been reflected in the Investments in Crown entities figure within the schedule of non-departmental assets.</w:t>
      </w:r>
    </w:p>
    <w:p w14:paraId="795A8D35" w14:textId="77777777" w:rsidR="00FA5E17" w:rsidRPr="00BC0D1F" w:rsidRDefault="00FA5E17" w:rsidP="00313412">
      <w:pPr>
        <w:pStyle w:val="Heading2"/>
        <w:spacing w:before="360"/>
      </w:pPr>
      <w:bookmarkStart w:id="180" w:name="_Toc463507940"/>
      <w:r w:rsidRPr="00BC0D1F">
        <w:lastRenderedPageBreak/>
        <w:t>Schedule of non-departmental assets and liabilities as at 30 June 2016</w:t>
      </w:r>
      <w:bookmarkEnd w:id="180"/>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3969"/>
        <w:gridCol w:w="709"/>
        <w:gridCol w:w="1133"/>
        <w:gridCol w:w="1205"/>
        <w:gridCol w:w="1206"/>
      </w:tblGrid>
      <w:tr w:rsidR="00313412" w:rsidRPr="00BC0D1F" w14:paraId="58F58F68" w14:textId="77777777" w:rsidTr="00313412">
        <w:trPr>
          <w:cantSplit/>
        </w:trPr>
        <w:tc>
          <w:tcPr>
            <w:tcW w:w="1134" w:type="dxa"/>
            <w:tcBorders>
              <w:top w:val="single" w:sz="4" w:space="0" w:color="auto"/>
              <w:bottom w:val="single" w:sz="4" w:space="0" w:color="auto"/>
              <w:right w:val="nil"/>
            </w:tcBorders>
            <w:shd w:val="solid" w:color="FFFFFF" w:fill="auto"/>
          </w:tcPr>
          <w:p w14:paraId="21E831A7" w14:textId="77777777" w:rsidR="00313412" w:rsidRPr="00BC0D1F" w:rsidRDefault="00313412" w:rsidP="00313412">
            <w:pPr>
              <w:pStyle w:val="TableText"/>
              <w:ind w:right="284"/>
              <w:jc w:val="right"/>
              <w:rPr>
                <w:b/>
                <w:lang w:eastAsia="en-NZ"/>
              </w:rPr>
            </w:pPr>
            <w:r w:rsidRPr="00BC0D1F">
              <w:rPr>
                <w:b/>
                <w:lang w:eastAsia="en-NZ"/>
              </w:rPr>
              <w:t>Actual</w:t>
            </w:r>
            <w:r w:rsidRPr="00BC0D1F">
              <w:rPr>
                <w:b/>
                <w:lang w:eastAsia="en-NZ"/>
              </w:rPr>
              <w:br/>
            </w:r>
            <w:r w:rsidRPr="00BC0D1F">
              <w:rPr>
                <w:b/>
                <w:lang w:eastAsia="en-NZ"/>
              </w:rPr>
              <w:br/>
              <w:t>2015</w:t>
            </w:r>
            <w:r w:rsidRPr="00BC0D1F">
              <w:rPr>
                <w:b/>
                <w:lang w:eastAsia="en-NZ"/>
              </w:rPr>
              <w:br/>
              <w:t>$000</w:t>
            </w:r>
          </w:p>
        </w:tc>
        <w:tc>
          <w:tcPr>
            <w:tcW w:w="3969" w:type="dxa"/>
            <w:tcBorders>
              <w:top w:val="single" w:sz="4" w:space="0" w:color="auto"/>
              <w:left w:val="nil"/>
              <w:bottom w:val="single" w:sz="4" w:space="0" w:color="auto"/>
            </w:tcBorders>
            <w:shd w:val="solid" w:color="FFFFFF" w:fill="auto"/>
          </w:tcPr>
          <w:p w14:paraId="63C58FD5" w14:textId="77777777" w:rsidR="00313412" w:rsidRPr="00BC0D1F" w:rsidRDefault="00313412" w:rsidP="00313412">
            <w:pPr>
              <w:pStyle w:val="TableText"/>
              <w:rPr>
                <w:b/>
                <w:lang w:eastAsia="en-NZ"/>
              </w:rPr>
            </w:pPr>
          </w:p>
        </w:tc>
        <w:tc>
          <w:tcPr>
            <w:tcW w:w="709" w:type="dxa"/>
            <w:tcBorders>
              <w:top w:val="single" w:sz="4" w:space="0" w:color="auto"/>
              <w:left w:val="nil"/>
              <w:bottom w:val="single" w:sz="4" w:space="0" w:color="auto"/>
            </w:tcBorders>
            <w:shd w:val="solid" w:color="FFFFFF" w:fill="auto"/>
          </w:tcPr>
          <w:p w14:paraId="2D2BD91D" w14:textId="77777777" w:rsidR="00313412" w:rsidRPr="00BC0D1F" w:rsidRDefault="00313412" w:rsidP="00313412">
            <w:pPr>
              <w:pStyle w:val="TableText"/>
              <w:jc w:val="center"/>
              <w:rPr>
                <w:b/>
                <w:lang w:eastAsia="en-NZ"/>
              </w:rPr>
            </w:pPr>
            <w:r w:rsidRPr="00BC0D1F">
              <w:rPr>
                <w:b/>
                <w:lang w:eastAsia="en-NZ"/>
              </w:rPr>
              <w:t>Note</w:t>
            </w:r>
          </w:p>
        </w:tc>
        <w:tc>
          <w:tcPr>
            <w:tcW w:w="1133" w:type="dxa"/>
            <w:tcBorders>
              <w:top w:val="single" w:sz="4" w:space="0" w:color="auto"/>
              <w:bottom w:val="single" w:sz="4" w:space="0" w:color="auto"/>
            </w:tcBorders>
            <w:shd w:val="clear" w:color="E3E3E3" w:fill="D9D9D9"/>
          </w:tcPr>
          <w:p w14:paraId="0634F53F" w14:textId="77777777" w:rsidR="00313412" w:rsidRPr="00BC0D1F" w:rsidRDefault="00313412" w:rsidP="00313412">
            <w:pPr>
              <w:pStyle w:val="TableText"/>
              <w:ind w:right="113"/>
              <w:jc w:val="right"/>
              <w:rPr>
                <w:b/>
                <w:lang w:eastAsia="en-NZ"/>
              </w:rPr>
            </w:pPr>
            <w:r w:rsidRPr="00BC0D1F">
              <w:rPr>
                <w:b/>
                <w:lang w:eastAsia="en-NZ"/>
              </w:rPr>
              <w:t>Actual</w:t>
            </w:r>
            <w:r w:rsidRPr="00BC0D1F">
              <w:rPr>
                <w:b/>
                <w:lang w:eastAsia="en-NZ"/>
              </w:rPr>
              <w:br/>
            </w:r>
            <w:r w:rsidRPr="00BC0D1F">
              <w:rPr>
                <w:b/>
                <w:lang w:eastAsia="en-NZ"/>
              </w:rPr>
              <w:br/>
              <w:t>2016</w:t>
            </w:r>
            <w:r w:rsidRPr="00BC0D1F">
              <w:rPr>
                <w:b/>
                <w:lang w:eastAsia="en-NZ"/>
              </w:rPr>
              <w:br/>
              <w:t>$000</w:t>
            </w:r>
          </w:p>
        </w:tc>
        <w:tc>
          <w:tcPr>
            <w:tcW w:w="1205" w:type="dxa"/>
            <w:tcBorders>
              <w:top w:val="single" w:sz="4" w:space="0" w:color="auto"/>
              <w:bottom w:val="single" w:sz="4" w:space="0" w:color="auto"/>
            </w:tcBorders>
            <w:shd w:val="solid" w:color="FFFFFF" w:fill="auto"/>
          </w:tcPr>
          <w:p w14:paraId="38B11ED8" w14:textId="77777777" w:rsidR="00313412" w:rsidRPr="00BC0D1F" w:rsidRDefault="00313412" w:rsidP="00313412">
            <w:pPr>
              <w:pStyle w:val="TableText"/>
              <w:jc w:val="right"/>
              <w:rPr>
                <w:b/>
                <w:lang w:eastAsia="en-NZ"/>
              </w:rPr>
            </w:pPr>
            <w:r w:rsidRPr="00BC0D1F">
              <w:rPr>
                <w:b/>
                <w:lang w:eastAsia="en-NZ"/>
              </w:rPr>
              <w:t>Main estimates</w:t>
            </w:r>
            <w:r w:rsidRPr="00BC0D1F">
              <w:rPr>
                <w:b/>
                <w:lang w:eastAsia="en-NZ"/>
              </w:rPr>
              <w:br/>
              <w:t>2016</w:t>
            </w:r>
            <w:r w:rsidRPr="00BC0D1F">
              <w:rPr>
                <w:b/>
                <w:lang w:eastAsia="en-NZ"/>
              </w:rPr>
              <w:br/>
              <w:t>$000</w:t>
            </w:r>
          </w:p>
        </w:tc>
        <w:tc>
          <w:tcPr>
            <w:tcW w:w="1206" w:type="dxa"/>
            <w:tcBorders>
              <w:top w:val="single" w:sz="4" w:space="0" w:color="auto"/>
              <w:bottom w:val="single" w:sz="4" w:space="0" w:color="auto"/>
            </w:tcBorders>
            <w:shd w:val="solid" w:color="FFFFFF" w:fill="auto"/>
          </w:tcPr>
          <w:p w14:paraId="7DF91DB4" w14:textId="77777777" w:rsidR="00313412" w:rsidRPr="00BC0D1F" w:rsidRDefault="00313412" w:rsidP="00313412">
            <w:pPr>
              <w:pStyle w:val="TableText"/>
              <w:jc w:val="right"/>
              <w:rPr>
                <w:b/>
                <w:lang w:eastAsia="en-NZ"/>
              </w:rPr>
            </w:pPr>
            <w:r w:rsidRPr="00BC0D1F">
              <w:rPr>
                <w:b/>
                <w:lang w:eastAsia="en-NZ"/>
              </w:rPr>
              <w:t>Supp. estimates</w:t>
            </w:r>
            <w:r w:rsidRPr="00BC0D1F">
              <w:rPr>
                <w:b/>
                <w:lang w:eastAsia="en-NZ"/>
              </w:rPr>
              <w:br/>
              <w:t>2017</w:t>
            </w:r>
            <w:r w:rsidRPr="00BC0D1F">
              <w:rPr>
                <w:b/>
                <w:lang w:eastAsia="en-NZ"/>
              </w:rPr>
              <w:br/>
              <w:t>$000</w:t>
            </w:r>
          </w:p>
        </w:tc>
      </w:tr>
      <w:tr w:rsidR="00313412" w:rsidRPr="00BC0D1F" w14:paraId="463CBC30" w14:textId="77777777" w:rsidTr="00313412">
        <w:trPr>
          <w:cantSplit/>
        </w:trPr>
        <w:tc>
          <w:tcPr>
            <w:tcW w:w="1134" w:type="dxa"/>
            <w:tcBorders>
              <w:right w:val="nil"/>
            </w:tcBorders>
            <w:shd w:val="solid" w:color="FFFFFF" w:fill="auto"/>
          </w:tcPr>
          <w:p w14:paraId="5F8B5CED" w14:textId="77777777" w:rsidR="00313412" w:rsidRPr="00BC0D1F" w:rsidRDefault="00313412" w:rsidP="00313412">
            <w:pPr>
              <w:pStyle w:val="TableText"/>
              <w:ind w:right="284"/>
              <w:jc w:val="right"/>
              <w:rPr>
                <w:b/>
              </w:rPr>
            </w:pPr>
          </w:p>
        </w:tc>
        <w:tc>
          <w:tcPr>
            <w:tcW w:w="3969" w:type="dxa"/>
            <w:tcBorders>
              <w:left w:val="nil"/>
            </w:tcBorders>
            <w:shd w:val="solid" w:color="FFFFFF" w:fill="auto"/>
          </w:tcPr>
          <w:p w14:paraId="0078C944" w14:textId="77777777" w:rsidR="00313412" w:rsidRPr="00BC0D1F" w:rsidRDefault="00313412" w:rsidP="00313412">
            <w:pPr>
              <w:pStyle w:val="TableText"/>
              <w:rPr>
                <w:b/>
              </w:rPr>
            </w:pPr>
            <w:r w:rsidRPr="00BC0D1F">
              <w:rPr>
                <w:b/>
              </w:rPr>
              <w:t>Assets</w:t>
            </w:r>
          </w:p>
        </w:tc>
        <w:tc>
          <w:tcPr>
            <w:tcW w:w="709" w:type="dxa"/>
            <w:tcBorders>
              <w:left w:val="nil"/>
            </w:tcBorders>
            <w:shd w:val="solid" w:color="FFFFFF" w:fill="auto"/>
          </w:tcPr>
          <w:p w14:paraId="34CDEF06" w14:textId="77777777" w:rsidR="00313412" w:rsidRPr="00BC0D1F" w:rsidRDefault="00313412" w:rsidP="00313412">
            <w:pPr>
              <w:pStyle w:val="TableText"/>
              <w:jc w:val="center"/>
              <w:rPr>
                <w:b/>
              </w:rPr>
            </w:pPr>
          </w:p>
        </w:tc>
        <w:tc>
          <w:tcPr>
            <w:tcW w:w="1133" w:type="dxa"/>
            <w:shd w:val="clear" w:color="E3E3E3" w:fill="D9D9D9"/>
          </w:tcPr>
          <w:p w14:paraId="5B57914C" w14:textId="77777777" w:rsidR="00313412" w:rsidRPr="00BC0D1F" w:rsidRDefault="00313412" w:rsidP="00313412">
            <w:pPr>
              <w:pStyle w:val="TableText"/>
              <w:ind w:right="113"/>
              <w:jc w:val="right"/>
              <w:rPr>
                <w:b/>
              </w:rPr>
            </w:pPr>
          </w:p>
        </w:tc>
        <w:tc>
          <w:tcPr>
            <w:tcW w:w="1205" w:type="dxa"/>
          </w:tcPr>
          <w:p w14:paraId="496DE6F7" w14:textId="77777777" w:rsidR="00313412" w:rsidRPr="00BC0D1F" w:rsidRDefault="00313412" w:rsidP="00313412">
            <w:pPr>
              <w:pStyle w:val="TableText"/>
              <w:jc w:val="right"/>
              <w:rPr>
                <w:b/>
              </w:rPr>
            </w:pPr>
          </w:p>
        </w:tc>
        <w:tc>
          <w:tcPr>
            <w:tcW w:w="1206" w:type="dxa"/>
          </w:tcPr>
          <w:p w14:paraId="18426581" w14:textId="77777777" w:rsidR="00313412" w:rsidRPr="00BC0D1F" w:rsidRDefault="00313412" w:rsidP="00313412">
            <w:pPr>
              <w:pStyle w:val="TableText"/>
              <w:jc w:val="right"/>
              <w:rPr>
                <w:b/>
              </w:rPr>
            </w:pPr>
          </w:p>
        </w:tc>
      </w:tr>
      <w:tr w:rsidR="00313412" w:rsidRPr="00BC0D1F" w14:paraId="07374F84" w14:textId="77777777" w:rsidTr="00313412">
        <w:trPr>
          <w:cantSplit/>
        </w:trPr>
        <w:tc>
          <w:tcPr>
            <w:tcW w:w="1134" w:type="dxa"/>
            <w:tcBorders>
              <w:right w:val="nil"/>
            </w:tcBorders>
            <w:shd w:val="solid" w:color="FFFFFF" w:fill="auto"/>
          </w:tcPr>
          <w:p w14:paraId="230C4B5D" w14:textId="77777777" w:rsidR="00313412" w:rsidRPr="00BC0D1F" w:rsidRDefault="00313412" w:rsidP="00313412">
            <w:pPr>
              <w:pStyle w:val="TableText"/>
              <w:ind w:right="284"/>
              <w:jc w:val="right"/>
              <w:rPr>
                <w:b/>
              </w:rPr>
            </w:pPr>
          </w:p>
        </w:tc>
        <w:tc>
          <w:tcPr>
            <w:tcW w:w="3969" w:type="dxa"/>
            <w:tcBorders>
              <w:left w:val="nil"/>
            </w:tcBorders>
            <w:shd w:val="solid" w:color="FFFFFF" w:fill="auto"/>
          </w:tcPr>
          <w:p w14:paraId="29B40508" w14:textId="77777777" w:rsidR="00313412" w:rsidRPr="00BC0D1F" w:rsidRDefault="00313412" w:rsidP="00313412">
            <w:pPr>
              <w:pStyle w:val="TableText"/>
              <w:rPr>
                <w:b/>
              </w:rPr>
            </w:pPr>
            <w:r w:rsidRPr="00BC0D1F">
              <w:rPr>
                <w:b/>
              </w:rPr>
              <w:t>Current assets</w:t>
            </w:r>
          </w:p>
        </w:tc>
        <w:tc>
          <w:tcPr>
            <w:tcW w:w="709" w:type="dxa"/>
            <w:tcBorders>
              <w:left w:val="nil"/>
            </w:tcBorders>
            <w:shd w:val="solid" w:color="FFFFFF" w:fill="auto"/>
          </w:tcPr>
          <w:p w14:paraId="7A31BA00" w14:textId="77777777" w:rsidR="00313412" w:rsidRPr="00BC0D1F" w:rsidRDefault="00313412" w:rsidP="00313412">
            <w:pPr>
              <w:pStyle w:val="TableText"/>
              <w:jc w:val="center"/>
              <w:rPr>
                <w:b/>
              </w:rPr>
            </w:pPr>
          </w:p>
        </w:tc>
        <w:tc>
          <w:tcPr>
            <w:tcW w:w="1133" w:type="dxa"/>
            <w:shd w:val="clear" w:color="E3E3E3" w:fill="D9D9D9"/>
          </w:tcPr>
          <w:p w14:paraId="60B997BF" w14:textId="77777777" w:rsidR="00313412" w:rsidRPr="00BC0D1F" w:rsidRDefault="00313412" w:rsidP="00313412">
            <w:pPr>
              <w:pStyle w:val="TableText"/>
              <w:ind w:right="113"/>
              <w:jc w:val="right"/>
              <w:rPr>
                <w:b/>
              </w:rPr>
            </w:pPr>
          </w:p>
        </w:tc>
        <w:tc>
          <w:tcPr>
            <w:tcW w:w="1205" w:type="dxa"/>
          </w:tcPr>
          <w:p w14:paraId="4AFF5D11" w14:textId="77777777" w:rsidR="00313412" w:rsidRPr="00BC0D1F" w:rsidRDefault="00313412" w:rsidP="00313412">
            <w:pPr>
              <w:pStyle w:val="TableText"/>
              <w:jc w:val="right"/>
              <w:rPr>
                <w:b/>
              </w:rPr>
            </w:pPr>
          </w:p>
        </w:tc>
        <w:tc>
          <w:tcPr>
            <w:tcW w:w="1206" w:type="dxa"/>
          </w:tcPr>
          <w:p w14:paraId="41A2377B" w14:textId="77777777" w:rsidR="00313412" w:rsidRPr="00BC0D1F" w:rsidRDefault="00313412" w:rsidP="00313412">
            <w:pPr>
              <w:pStyle w:val="TableText"/>
              <w:jc w:val="right"/>
              <w:rPr>
                <w:b/>
              </w:rPr>
            </w:pPr>
          </w:p>
        </w:tc>
      </w:tr>
      <w:tr w:rsidR="00313412" w:rsidRPr="00BC0D1F" w14:paraId="28BBFC77" w14:textId="77777777" w:rsidTr="00313412">
        <w:trPr>
          <w:cantSplit/>
        </w:trPr>
        <w:tc>
          <w:tcPr>
            <w:tcW w:w="1134" w:type="dxa"/>
            <w:tcBorders>
              <w:right w:val="nil"/>
            </w:tcBorders>
          </w:tcPr>
          <w:p w14:paraId="6FF228A8" w14:textId="77777777" w:rsidR="00313412" w:rsidRPr="00BC0D1F" w:rsidRDefault="00313412" w:rsidP="00313412">
            <w:pPr>
              <w:pStyle w:val="TableText"/>
              <w:ind w:right="284"/>
              <w:jc w:val="right"/>
            </w:pPr>
            <w:r w:rsidRPr="00BC0D1F">
              <w:t>125,654</w:t>
            </w:r>
          </w:p>
        </w:tc>
        <w:tc>
          <w:tcPr>
            <w:tcW w:w="3969" w:type="dxa"/>
            <w:tcBorders>
              <w:left w:val="nil"/>
            </w:tcBorders>
            <w:shd w:val="solid" w:color="FFFFFF" w:fill="auto"/>
          </w:tcPr>
          <w:p w14:paraId="380EAD97" w14:textId="77777777" w:rsidR="00313412" w:rsidRPr="00BC0D1F" w:rsidRDefault="00313412" w:rsidP="00313412">
            <w:pPr>
              <w:pStyle w:val="TableText"/>
            </w:pPr>
            <w:r w:rsidRPr="00BC0D1F">
              <w:t>Cash and cash equivalents</w:t>
            </w:r>
          </w:p>
        </w:tc>
        <w:tc>
          <w:tcPr>
            <w:tcW w:w="709" w:type="dxa"/>
            <w:tcBorders>
              <w:left w:val="nil"/>
            </w:tcBorders>
            <w:shd w:val="solid" w:color="FFFFFF" w:fill="auto"/>
          </w:tcPr>
          <w:p w14:paraId="26265DBD" w14:textId="77777777" w:rsidR="00313412" w:rsidRPr="00BC0D1F" w:rsidRDefault="00313412" w:rsidP="00313412">
            <w:pPr>
              <w:pStyle w:val="TableText"/>
              <w:jc w:val="center"/>
            </w:pPr>
          </w:p>
        </w:tc>
        <w:tc>
          <w:tcPr>
            <w:tcW w:w="1133" w:type="dxa"/>
            <w:shd w:val="clear" w:color="E3E3E3" w:fill="D9D9D9"/>
          </w:tcPr>
          <w:p w14:paraId="28E6D402" w14:textId="77777777" w:rsidR="00313412" w:rsidRPr="00BC0D1F" w:rsidRDefault="00313412" w:rsidP="00313412">
            <w:pPr>
              <w:pStyle w:val="TableText"/>
              <w:ind w:right="113"/>
              <w:jc w:val="right"/>
            </w:pPr>
            <w:r w:rsidRPr="00BC0D1F">
              <w:t>107,514</w:t>
            </w:r>
          </w:p>
        </w:tc>
        <w:tc>
          <w:tcPr>
            <w:tcW w:w="1205" w:type="dxa"/>
          </w:tcPr>
          <w:p w14:paraId="3A601AFB" w14:textId="77777777" w:rsidR="00313412" w:rsidRPr="00BC0D1F" w:rsidRDefault="00313412" w:rsidP="00313412">
            <w:pPr>
              <w:pStyle w:val="TableText"/>
              <w:jc w:val="right"/>
            </w:pPr>
            <w:r w:rsidRPr="00BC0D1F">
              <w:t>95,000</w:t>
            </w:r>
          </w:p>
        </w:tc>
        <w:tc>
          <w:tcPr>
            <w:tcW w:w="1206" w:type="dxa"/>
          </w:tcPr>
          <w:p w14:paraId="13F7E940" w14:textId="77777777" w:rsidR="00313412" w:rsidRPr="00BC0D1F" w:rsidRDefault="00313412" w:rsidP="00313412">
            <w:pPr>
              <w:pStyle w:val="TableText"/>
              <w:jc w:val="right"/>
            </w:pPr>
            <w:r w:rsidRPr="00BC0D1F">
              <w:t>95,000</w:t>
            </w:r>
          </w:p>
        </w:tc>
      </w:tr>
      <w:tr w:rsidR="00313412" w:rsidRPr="00BC0D1F" w14:paraId="1E047C7C" w14:textId="77777777" w:rsidTr="00313412">
        <w:trPr>
          <w:cantSplit/>
        </w:trPr>
        <w:tc>
          <w:tcPr>
            <w:tcW w:w="1134" w:type="dxa"/>
            <w:tcBorders>
              <w:bottom w:val="nil"/>
              <w:right w:val="nil"/>
            </w:tcBorders>
            <w:shd w:val="solid" w:color="FFFFFF" w:fill="auto"/>
          </w:tcPr>
          <w:p w14:paraId="4ED12E42" w14:textId="77777777" w:rsidR="00313412" w:rsidRPr="00BC0D1F" w:rsidRDefault="00313412" w:rsidP="00313412">
            <w:pPr>
              <w:pStyle w:val="TableText"/>
              <w:ind w:right="284"/>
              <w:jc w:val="right"/>
            </w:pPr>
            <w:r w:rsidRPr="00BC0D1F">
              <w:t>20,558</w:t>
            </w:r>
          </w:p>
        </w:tc>
        <w:tc>
          <w:tcPr>
            <w:tcW w:w="3969" w:type="dxa"/>
            <w:tcBorders>
              <w:left w:val="nil"/>
              <w:bottom w:val="nil"/>
            </w:tcBorders>
            <w:shd w:val="solid" w:color="FFFFFF" w:fill="auto"/>
          </w:tcPr>
          <w:p w14:paraId="49E86953" w14:textId="77777777" w:rsidR="00313412" w:rsidRPr="00BC0D1F" w:rsidRDefault="00313412" w:rsidP="00313412">
            <w:pPr>
              <w:pStyle w:val="TableText"/>
            </w:pPr>
            <w:r w:rsidRPr="00BC0D1F">
              <w:t>Inventory</w:t>
            </w:r>
          </w:p>
        </w:tc>
        <w:tc>
          <w:tcPr>
            <w:tcW w:w="709" w:type="dxa"/>
            <w:tcBorders>
              <w:left w:val="nil"/>
              <w:bottom w:val="nil"/>
            </w:tcBorders>
            <w:shd w:val="solid" w:color="FFFFFF" w:fill="auto"/>
          </w:tcPr>
          <w:p w14:paraId="741D7CB3" w14:textId="77777777" w:rsidR="00313412" w:rsidRPr="00BC0D1F" w:rsidRDefault="00313412" w:rsidP="00313412">
            <w:pPr>
              <w:pStyle w:val="TableText"/>
              <w:jc w:val="center"/>
            </w:pPr>
            <w:r w:rsidRPr="00BC0D1F">
              <w:t>2.12</w:t>
            </w:r>
          </w:p>
        </w:tc>
        <w:tc>
          <w:tcPr>
            <w:tcW w:w="1133" w:type="dxa"/>
            <w:tcBorders>
              <w:bottom w:val="nil"/>
            </w:tcBorders>
            <w:shd w:val="clear" w:color="E3E3E3" w:fill="D9D9D9"/>
          </w:tcPr>
          <w:p w14:paraId="2A45E048" w14:textId="77777777" w:rsidR="00313412" w:rsidRPr="00BC0D1F" w:rsidRDefault="00313412" w:rsidP="00313412">
            <w:pPr>
              <w:pStyle w:val="TableText"/>
              <w:ind w:right="113"/>
              <w:jc w:val="right"/>
            </w:pPr>
            <w:r w:rsidRPr="00BC0D1F">
              <w:t>17,383</w:t>
            </w:r>
          </w:p>
        </w:tc>
        <w:tc>
          <w:tcPr>
            <w:tcW w:w="1205" w:type="dxa"/>
            <w:tcBorders>
              <w:bottom w:val="nil"/>
            </w:tcBorders>
          </w:tcPr>
          <w:p w14:paraId="55B9EA5E" w14:textId="77777777" w:rsidR="00313412" w:rsidRPr="00BC0D1F" w:rsidRDefault="00313412" w:rsidP="00313412">
            <w:pPr>
              <w:pStyle w:val="TableText"/>
              <w:jc w:val="right"/>
            </w:pPr>
            <w:r w:rsidRPr="00BC0D1F">
              <w:t>21,903</w:t>
            </w:r>
          </w:p>
        </w:tc>
        <w:tc>
          <w:tcPr>
            <w:tcW w:w="1206" w:type="dxa"/>
            <w:tcBorders>
              <w:bottom w:val="nil"/>
            </w:tcBorders>
          </w:tcPr>
          <w:p w14:paraId="58610B89" w14:textId="77777777" w:rsidR="00313412" w:rsidRPr="00BC0D1F" w:rsidRDefault="00313412" w:rsidP="00313412">
            <w:pPr>
              <w:pStyle w:val="TableText"/>
              <w:jc w:val="right"/>
            </w:pPr>
            <w:r w:rsidRPr="00BC0D1F">
              <w:t>20,558</w:t>
            </w:r>
          </w:p>
        </w:tc>
      </w:tr>
      <w:tr w:rsidR="00313412" w:rsidRPr="00BC0D1F" w14:paraId="261C03DA" w14:textId="77777777" w:rsidTr="00313412">
        <w:trPr>
          <w:cantSplit/>
        </w:trPr>
        <w:tc>
          <w:tcPr>
            <w:tcW w:w="1134" w:type="dxa"/>
            <w:tcBorders>
              <w:top w:val="nil"/>
              <w:bottom w:val="nil"/>
              <w:right w:val="nil"/>
            </w:tcBorders>
            <w:shd w:val="solid" w:color="FFFFFF" w:fill="auto"/>
          </w:tcPr>
          <w:p w14:paraId="2D28623C" w14:textId="77777777" w:rsidR="00313412" w:rsidRPr="00BC0D1F" w:rsidRDefault="00313412" w:rsidP="00313412">
            <w:pPr>
              <w:pStyle w:val="TableText"/>
              <w:ind w:right="284"/>
              <w:jc w:val="right"/>
            </w:pPr>
          </w:p>
        </w:tc>
        <w:tc>
          <w:tcPr>
            <w:tcW w:w="3969" w:type="dxa"/>
            <w:tcBorders>
              <w:top w:val="nil"/>
              <w:left w:val="nil"/>
              <w:bottom w:val="nil"/>
            </w:tcBorders>
            <w:shd w:val="solid" w:color="FFFFFF" w:fill="auto"/>
          </w:tcPr>
          <w:p w14:paraId="014D72B0" w14:textId="77777777" w:rsidR="00313412" w:rsidRPr="00BC0D1F" w:rsidRDefault="00313412" w:rsidP="00313412">
            <w:pPr>
              <w:pStyle w:val="TableText"/>
            </w:pPr>
            <w:r w:rsidRPr="00BC0D1F">
              <w:t>Debtors and other receivables:</w:t>
            </w:r>
          </w:p>
        </w:tc>
        <w:tc>
          <w:tcPr>
            <w:tcW w:w="709" w:type="dxa"/>
            <w:tcBorders>
              <w:top w:val="nil"/>
              <w:left w:val="nil"/>
              <w:bottom w:val="nil"/>
            </w:tcBorders>
            <w:shd w:val="solid" w:color="FFFFFF" w:fill="auto"/>
          </w:tcPr>
          <w:p w14:paraId="13358A14" w14:textId="77777777" w:rsidR="00313412" w:rsidRPr="00BC0D1F" w:rsidRDefault="00313412" w:rsidP="00313412">
            <w:pPr>
              <w:pStyle w:val="TableText"/>
              <w:jc w:val="center"/>
            </w:pPr>
          </w:p>
        </w:tc>
        <w:tc>
          <w:tcPr>
            <w:tcW w:w="1133" w:type="dxa"/>
            <w:tcBorders>
              <w:top w:val="nil"/>
              <w:bottom w:val="nil"/>
            </w:tcBorders>
            <w:shd w:val="clear" w:color="E3E3E3" w:fill="D9D9D9"/>
          </w:tcPr>
          <w:p w14:paraId="07FEE754" w14:textId="77777777" w:rsidR="00313412" w:rsidRPr="00BC0D1F" w:rsidRDefault="00313412" w:rsidP="00313412">
            <w:pPr>
              <w:pStyle w:val="TableText"/>
              <w:ind w:right="113"/>
              <w:jc w:val="right"/>
            </w:pPr>
          </w:p>
        </w:tc>
        <w:tc>
          <w:tcPr>
            <w:tcW w:w="1205" w:type="dxa"/>
            <w:tcBorders>
              <w:top w:val="nil"/>
              <w:bottom w:val="nil"/>
            </w:tcBorders>
          </w:tcPr>
          <w:p w14:paraId="58FD3A1F" w14:textId="77777777" w:rsidR="00313412" w:rsidRPr="00BC0D1F" w:rsidRDefault="00313412" w:rsidP="00313412">
            <w:pPr>
              <w:pStyle w:val="TableText"/>
              <w:jc w:val="right"/>
            </w:pPr>
          </w:p>
        </w:tc>
        <w:tc>
          <w:tcPr>
            <w:tcW w:w="1206" w:type="dxa"/>
            <w:tcBorders>
              <w:top w:val="nil"/>
              <w:bottom w:val="nil"/>
            </w:tcBorders>
          </w:tcPr>
          <w:p w14:paraId="05ABAD17" w14:textId="77777777" w:rsidR="00313412" w:rsidRPr="00BC0D1F" w:rsidRDefault="00313412" w:rsidP="00313412">
            <w:pPr>
              <w:pStyle w:val="TableText"/>
              <w:jc w:val="right"/>
            </w:pPr>
          </w:p>
        </w:tc>
      </w:tr>
      <w:tr w:rsidR="00313412" w:rsidRPr="00BC0D1F" w14:paraId="4A7CF1AC" w14:textId="77777777" w:rsidTr="00313412">
        <w:trPr>
          <w:cantSplit/>
        </w:trPr>
        <w:tc>
          <w:tcPr>
            <w:tcW w:w="1134" w:type="dxa"/>
            <w:tcBorders>
              <w:top w:val="nil"/>
              <w:bottom w:val="nil"/>
              <w:right w:val="nil"/>
            </w:tcBorders>
            <w:shd w:val="solid" w:color="FFFFFF" w:fill="auto"/>
          </w:tcPr>
          <w:p w14:paraId="1BCC9A63" w14:textId="77777777" w:rsidR="00313412" w:rsidRPr="00BC0D1F" w:rsidRDefault="00313412" w:rsidP="00313412">
            <w:pPr>
              <w:pStyle w:val="TableText"/>
              <w:spacing w:before="0"/>
              <w:ind w:right="284"/>
              <w:jc w:val="right"/>
            </w:pPr>
            <w:r w:rsidRPr="00BC0D1F">
              <w:t>275</w:t>
            </w:r>
          </w:p>
        </w:tc>
        <w:tc>
          <w:tcPr>
            <w:tcW w:w="3969" w:type="dxa"/>
            <w:tcBorders>
              <w:top w:val="nil"/>
              <w:left w:val="nil"/>
              <w:bottom w:val="nil"/>
            </w:tcBorders>
            <w:shd w:val="solid" w:color="FFFFFF" w:fill="auto"/>
          </w:tcPr>
          <w:p w14:paraId="134B99CA" w14:textId="77777777" w:rsidR="00313412" w:rsidRPr="00BC0D1F" w:rsidRDefault="00313412" w:rsidP="00313412">
            <w:pPr>
              <w:pStyle w:val="TableText"/>
              <w:spacing w:before="0"/>
              <w:ind w:left="284"/>
            </w:pPr>
            <w:r w:rsidRPr="00BC0D1F">
              <w:t>District Health Boards</w:t>
            </w:r>
          </w:p>
        </w:tc>
        <w:tc>
          <w:tcPr>
            <w:tcW w:w="709" w:type="dxa"/>
            <w:tcBorders>
              <w:top w:val="nil"/>
              <w:left w:val="nil"/>
              <w:bottom w:val="nil"/>
            </w:tcBorders>
            <w:shd w:val="solid" w:color="FFFFFF" w:fill="auto"/>
          </w:tcPr>
          <w:p w14:paraId="56579B58"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79EF6B50" w14:textId="77777777" w:rsidR="00313412" w:rsidRPr="00BC0D1F" w:rsidRDefault="00313412" w:rsidP="00313412">
            <w:pPr>
              <w:pStyle w:val="TableText"/>
              <w:spacing w:before="0"/>
              <w:ind w:right="113"/>
              <w:jc w:val="right"/>
            </w:pPr>
            <w:r w:rsidRPr="00BC0D1F">
              <w:t>55</w:t>
            </w:r>
          </w:p>
        </w:tc>
        <w:tc>
          <w:tcPr>
            <w:tcW w:w="1205" w:type="dxa"/>
            <w:tcBorders>
              <w:top w:val="nil"/>
              <w:bottom w:val="nil"/>
            </w:tcBorders>
          </w:tcPr>
          <w:p w14:paraId="70F4CEED" w14:textId="77777777" w:rsidR="00313412" w:rsidRPr="00BC0D1F" w:rsidRDefault="00313412" w:rsidP="00313412">
            <w:pPr>
              <w:pStyle w:val="TableText"/>
              <w:spacing w:before="0"/>
              <w:jc w:val="right"/>
            </w:pPr>
            <w:r w:rsidRPr="00BC0D1F">
              <w:t>10,000</w:t>
            </w:r>
          </w:p>
        </w:tc>
        <w:tc>
          <w:tcPr>
            <w:tcW w:w="1206" w:type="dxa"/>
            <w:tcBorders>
              <w:top w:val="nil"/>
              <w:bottom w:val="nil"/>
            </w:tcBorders>
          </w:tcPr>
          <w:p w14:paraId="7AB34577" w14:textId="77777777" w:rsidR="00313412" w:rsidRPr="00BC0D1F" w:rsidRDefault="00313412" w:rsidP="00313412">
            <w:pPr>
              <w:pStyle w:val="TableText"/>
              <w:spacing w:before="0"/>
              <w:jc w:val="right"/>
            </w:pPr>
            <w:r w:rsidRPr="00BC0D1F">
              <w:t>-</w:t>
            </w:r>
          </w:p>
        </w:tc>
      </w:tr>
      <w:tr w:rsidR="00313412" w:rsidRPr="00BC0D1F" w14:paraId="760F6821" w14:textId="77777777" w:rsidTr="00313412">
        <w:trPr>
          <w:cantSplit/>
        </w:trPr>
        <w:tc>
          <w:tcPr>
            <w:tcW w:w="1134" w:type="dxa"/>
            <w:tcBorders>
              <w:top w:val="nil"/>
              <w:bottom w:val="nil"/>
              <w:right w:val="nil"/>
            </w:tcBorders>
            <w:shd w:val="solid" w:color="FFFFFF" w:fill="auto"/>
          </w:tcPr>
          <w:p w14:paraId="36502EAC" w14:textId="77777777" w:rsidR="00313412" w:rsidRPr="00BC0D1F" w:rsidRDefault="00313412" w:rsidP="00313412">
            <w:pPr>
              <w:pStyle w:val="TableText"/>
              <w:spacing w:before="0"/>
              <w:ind w:right="284"/>
              <w:jc w:val="right"/>
            </w:pPr>
          </w:p>
        </w:tc>
        <w:tc>
          <w:tcPr>
            <w:tcW w:w="3969" w:type="dxa"/>
            <w:tcBorders>
              <w:top w:val="nil"/>
              <w:left w:val="nil"/>
              <w:bottom w:val="nil"/>
            </w:tcBorders>
            <w:shd w:val="solid" w:color="FFFFFF" w:fill="auto"/>
          </w:tcPr>
          <w:p w14:paraId="3D1B587F" w14:textId="77777777" w:rsidR="00313412" w:rsidRPr="00BC0D1F" w:rsidRDefault="00313412" w:rsidP="00313412">
            <w:pPr>
              <w:pStyle w:val="TableText"/>
              <w:spacing w:before="0"/>
              <w:ind w:left="284"/>
            </w:pPr>
            <w:r w:rsidRPr="00BC0D1F">
              <w:t>ACC</w:t>
            </w:r>
          </w:p>
        </w:tc>
        <w:tc>
          <w:tcPr>
            <w:tcW w:w="709" w:type="dxa"/>
            <w:tcBorders>
              <w:top w:val="nil"/>
              <w:left w:val="nil"/>
              <w:bottom w:val="nil"/>
            </w:tcBorders>
            <w:shd w:val="solid" w:color="FFFFFF" w:fill="auto"/>
          </w:tcPr>
          <w:p w14:paraId="5D1EDC13"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03ED99E0" w14:textId="77777777" w:rsidR="00313412" w:rsidRPr="00BC0D1F" w:rsidRDefault="00313412" w:rsidP="00313412">
            <w:pPr>
              <w:pStyle w:val="TableText"/>
              <w:spacing w:before="0"/>
              <w:ind w:right="113"/>
              <w:jc w:val="right"/>
            </w:pPr>
            <w:r w:rsidRPr="00BC0D1F">
              <w:t>18,552</w:t>
            </w:r>
          </w:p>
        </w:tc>
        <w:tc>
          <w:tcPr>
            <w:tcW w:w="1205" w:type="dxa"/>
            <w:tcBorders>
              <w:top w:val="nil"/>
              <w:bottom w:val="nil"/>
            </w:tcBorders>
          </w:tcPr>
          <w:p w14:paraId="4D34D91A" w14:textId="77777777" w:rsidR="00313412" w:rsidRPr="00BC0D1F" w:rsidRDefault="00313412" w:rsidP="00313412">
            <w:pPr>
              <w:pStyle w:val="TableText"/>
              <w:spacing w:before="0"/>
              <w:jc w:val="right"/>
            </w:pPr>
            <w:r w:rsidRPr="00BC0D1F">
              <w:t>-</w:t>
            </w:r>
          </w:p>
        </w:tc>
        <w:tc>
          <w:tcPr>
            <w:tcW w:w="1206" w:type="dxa"/>
            <w:tcBorders>
              <w:top w:val="nil"/>
              <w:bottom w:val="nil"/>
            </w:tcBorders>
          </w:tcPr>
          <w:p w14:paraId="7F799328" w14:textId="77777777" w:rsidR="00313412" w:rsidRPr="00BC0D1F" w:rsidRDefault="00313412" w:rsidP="00313412">
            <w:pPr>
              <w:pStyle w:val="TableText"/>
              <w:spacing w:before="0"/>
              <w:jc w:val="right"/>
            </w:pPr>
            <w:r w:rsidRPr="00BC0D1F">
              <w:t>-</w:t>
            </w:r>
          </w:p>
        </w:tc>
      </w:tr>
      <w:tr w:rsidR="00313412" w:rsidRPr="00BC0D1F" w14:paraId="69092A80" w14:textId="77777777" w:rsidTr="00313412">
        <w:trPr>
          <w:cantSplit/>
        </w:trPr>
        <w:tc>
          <w:tcPr>
            <w:tcW w:w="1134" w:type="dxa"/>
            <w:tcBorders>
              <w:top w:val="nil"/>
              <w:bottom w:val="nil"/>
              <w:right w:val="nil"/>
            </w:tcBorders>
            <w:shd w:val="solid" w:color="FFFFFF" w:fill="auto"/>
          </w:tcPr>
          <w:p w14:paraId="481AAAE8" w14:textId="77777777" w:rsidR="00313412" w:rsidRPr="00BC0D1F" w:rsidRDefault="00313412" w:rsidP="00313412">
            <w:pPr>
              <w:pStyle w:val="TableText"/>
              <w:spacing w:before="0"/>
              <w:ind w:right="284"/>
              <w:jc w:val="right"/>
            </w:pPr>
            <w:r w:rsidRPr="00BC0D1F">
              <w:t>945</w:t>
            </w:r>
          </w:p>
        </w:tc>
        <w:tc>
          <w:tcPr>
            <w:tcW w:w="3969" w:type="dxa"/>
            <w:tcBorders>
              <w:top w:val="nil"/>
              <w:left w:val="nil"/>
              <w:bottom w:val="nil"/>
            </w:tcBorders>
            <w:shd w:val="solid" w:color="FFFFFF" w:fill="auto"/>
          </w:tcPr>
          <w:p w14:paraId="421B55EE" w14:textId="77777777" w:rsidR="00313412" w:rsidRPr="00BC0D1F" w:rsidRDefault="00313412" w:rsidP="00313412">
            <w:pPr>
              <w:pStyle w:val="TableText"/>
              <w:spacing w:before="0"/>
              <w:ind w:left="284"/>
            </w:pPr>
            <w:r w:rsidRPr="00BC0D1F">
              <w:t>Government departments</w:t>
            </w:r>
          </w:p>
        </w:tc>
        <w:tc>
          <w:tcPr>
            <w:tcW w:w="709" w:type="dxa"/>
            <w:tcBorders>
              <w:top w:val="nil"/>
              <w:left w:val="nil"/>
              <w:bottom w:val="nil"/>
            </w:tcBorders>
            <w:shd w:val="solid" w:color="FFFFFF" w:fill="auto"/>
          </w:tcPr>
          <w:p w14:paraId="2DBC6886"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3002A716" w14:textId="77777777" w:rsidR="00313412" w:rsidRPr="00BC0D1F" w:rsidRDefault="00313412" w:rsidP="00313412">
            <w:pPr>
              <w:pStyle w:val="TableText"/>
              <w:spacing w:before="0"/>
              <w:ind w:right="113"/>
              <w:jc w:val="right"/>
            </w:pPr>
            <w:r w:rsidRPr="00BC0D1F">
              <w:t>1,195</w:t>
            </w:r>
          </w:p>
        </w:tc>
        <w:tc>
          <w:tcPr>
            <w:tcW w:w="1205" w:type="dxa"/>
            <w:tcBorders>
              <w:top w:val="nil"/>
              <w:bottom w:val="nil"/>
            </w:tcBorders>
          </w:tcPr>
          <w:p w14:paraId="70D0B8A0" w14:textId="77777777" w:rsidR="00313412" w:rsidRPr="00BC0D1F" w:rsidRDefault="00313412" w:rsidP="00313412">
            <w:pPr>
              <w:pStyle w:val="TableText"/>
              <w:spacing w:before="0"/>
              <w:jc w:val="right"/>
            </w:pPr>
            <w:r w:rsidRPr="00BC0D1F">
              <w:t>134</w:t>
            </w:r>
          </w:p>
        </w:tc>
        <w:tc>
          <w:tcPr>
            <w:tcW w:w="1206" w:type="dxa"/>
            <w:tcBorders>
              <w:top w:val="nil"/>
              <w:bottom w:val="nil"/>
            </w:tcBorders>
          </w:tcPr>
          <w:p w14:paraId="1247D6D3" w14:textId="77777777" w:rsidR="00313412" w:rsidRPr="00BC0D1F" w:rsidRDefault="00313412" w:rsidP="00313412">
            <w:pPr>
              <w:pStyle w:val="TableText"/>
              <w:spacing w:before="0"/>
              <w:jc w:val="right"/>
            </w:pPr>
            <w:r w:rsidRPr="00BC0D1F">
              <w:t>945</w:t>
            </w:r>
          </w:p>
        </w:tc>
      </w:tr>
      <w:tr w:rsidR="00313412" w:rsidRPr="00BC0D1F" w14:paraId="52B6740B" w14:textId="77777777" w:rsidTr="00313412">
        <w:trPr>
          <w:cantSplit/>
        </w:trPr>
        <w:tc>
          <w:tcPr>
            <w:tcW w:w="1134" w:type="dxa"/>
            <w:tcBorders>
              <w:top w:val="nil"/>
              <w:bottom w:val="nil"/>
              <w:right w:val="nil"/>
            </w:tcBorders>
            <w:shd w:val="solid" w:color="FFFFFF" w:fill="auto"/>
          </w:tcPr>
          <w:p w14:paraId="1FB06624" w14:textId="77777777" w:rsidR="00313412" w:rsidRPr="00BC0D1F" w:rsidRDefault="00313412" w:rsidP="00313412">
            <w:pPr>
              <w:pStyle w:val="TableText"/>
              <w:spacing w:before="0"/>
              <w:ind w:right="284"/>
              <w:jc w:val="right"/>
            </w:pPr>
            <w:r w:rsidRPr="00BC0D1F">
              <w:t>3,012</w:t>
            </w:r>
          </w:p>
        </w:tc>
        <w:tc>
          <w:tcPr>
            <w:tcW w:w="3969" w:type="dxa"/>
            <w:tcBorders>
              <w:top w:val="nil"/>
              <w:left w:val="nil"/>
              <w:bottom w:val="nil"/>
            </w:tcBorders>
            <w:shd w:val="solid" w:color="FFFFFF" w:fill="auto"/>
          </w:tcPr>
          <w:p w14:paraId="4D4B2D4C" w14:textId="77777777" w:rsidR="00313412" w:rsidRPr="00BC0D1F" w:rsidRDefault="00313412" w:rsidP="00313412">
            <w:pPr>
              <w:pStyle w:val="TableText"/>
              <w:spacing w:before="0"/>
              <w:ind w:left="284"/>
            </w:pPr>
            <w:r w:rsidRPr="00BC0D1F">
              <w:t>Others</w:t>
            </w:r>
          </w:p>
        </w:tc>
        <w:tc>
          <w:tcPr>
            <w:tcW w:w="709" w:type="dxa"/>
            <w:tcBorders>
              <w:top w:val="nil"/>
              <w:left w:val="nil"/>
              <w:bottom w:val="nil"/>
            </w:tcBorders>
            <w:shd w:val="solid" w:color="FFFFFF" w:fill="auto"/>
          </w:tcPr>
          <w:p w14:paraId="58159B9E"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4FFFE286" w14:textId="77777777" w:rsidR="00313412" w:rsidRPr="00BC0D1F" w:rsidRDefault="00313412" w:rsidP="00313412">
            <w:pPr>
              <w:pStyle w:val="TableText"/>
              <w:spacing w:before="0"/>
              <w:ind w:right="113"/>
              <w:jc w:val="right"/>
            </w:pPr>
            <w:r w:rsidRPr="00BC0D1F">
              <w:t>2,251</w:t>
            </w:r>
          </w:p>
        </w:tc>
        <w:tc>
          <w:tcPr>
            <w:tcW w:w="1205" w:type="dxa"/>
            <w:tcBorders>
              <w:top w:val="nil"/>
              <w:bottom w:val="nil"/>
            </w:tcBorders>
          </w:tcPr>
          <w:p w14:paraId="26A21EA0" w14:textId="77777777" w:rsidR="00313412" w:rsidRPr="00BC0D1F" w:rsidRDefault="00313412" w:rsidP="00313412">
            <w:pPr>
              <w:pStyle w:val="TableText"/>
              <w:spacing w:before="0"/>
              <w:jc w:val="right"/>
            </w:pPr>
            <w:r w:rsidRPr="00BC0D1F">
              <w:t>2,922</w:t>
            </w:r>
          </w:p>
        </w:tc>
        <w:tc>
          <w:tcPr>
            <w:tcW w:w="1206" w:type="dxa"/>
            <w:tcBorders>
              <w:top w:val="nil"/>
              <w:bottom w:val="nil"/>
            </w:tcBorders>
          </w:tcPr>
          <w:p w14:paraId="347DA1D7" w14:textId="77777777" w:rsidR="00313412" w:rsidRPr="00BC0D1F" w:rsidRDefault="00313412" w:rsidP="00313412">
            <w:pPr>
              <w:pStyle w:val="TableText"/>
              <w:spacing w:before="0"/>
              <w:jc w:val="right"/>
            </w:pPr>
            <w:r w:rsidRPr="00BC0D1F">
              <w:t>1,962</w:t>
            </w:r>
          </w:p>
        </w:tc>
      </w:tr>
      <w:tr w:rsidR="00313412" w:rsidRPr="00BC0D1F" w14:paraId="710B15DC" w14:textId="77777777" w:rsidTr="00313412">
        <w:trPr>
          <w:cantSplit/>
        </w:trPr>
        <w:tc>
          <w:tcPr>
            <w:tcW w:w="1134" w:type="dxa"/>
            <w:tcBorders>
              <w:top w:val="nil"/>
              <w:bottom w:val="nil"/>
              <w:right w:val="nil"/>
            </w:tcBorders>
            <w:shd w:val="solid" w:color="FFFFFF" w:fill="auto"/>
          </w:tcPr>
          <w:p w14:paraId="3C8EBA04" w14:textId="77777777" w:rsidR="00313412" w:rsidRPr="00BC0D1F" w:rsidRDefault="00313412" w:rsidP="00313412">
            <w:pPr>
              <w:pStyle w:val="TableText"/>
              <w:ind w:right="284"/>
              <w:jc w:val="right"/>
            </w:pPr>
            <w:r w:rsidRPr="00BC0D1F">
              <w:t>12,496</w:t>
            </w:r>
          </w:p>
        </w:tc>
        <w:tc>
          <w:tcPr>
            <w:tcW w:w="3969" w:type="dxa"/>
            <w:tcBorders>
              <w:top w:val="nil"/>
              <w:left w:val="nil"/>
              <w:bottom w:val="nil"/>
            </w:tcBorders>
            <w:shd w:val="solid" w:color="FFFFFF" w:fill="auto"/>
          </w:tcPr>
          <w:p w14:paraId="4A82F422" w14:textId="77777777" w:rsidR="00313412" w:rsidRPr="00BC0D1F" w:rsidRDefault="00313412" w:rsidP="00313412">
            <w:pPr>
              <w:pStyle w:val="TableText"/>
            </w:pPr>
            <w:r w:rsidRPr="00BC0D1F">
              <w:t>Prepayments</w:t>
            </w:r>
          </w:p>
        </w:tc>
        <w:tc>
          <w:tcPr>
            <w:tcW w:w="709" w:type="dxa"/>
            <w:tcBorders>
              <w:top w:val="nil"/>
              <w:left w:val="nil"/>
              <w:bottom w:val="nil"/>
            </w:tcBorders>
            <w:shd w:val="solid" w:color="FFFFFF" w:fill="auto"/>
          </w:tcPr>
          <w:p w14:paraId="1CDC9D89" w14:textId="77777777" w:rsidR="00313412" w:rsidRPr="00BC0D1F" w:rsidRDefault="00313412" w:rsidP="00313412">
            <w:pPr>
              <w:pStyle w:val="TableText"/>
              <w:jc w:val="center"/>
            </w:pPr>
          </w:p>
        </w:tc>
        <w:tc>
          <w:tcPr>
            <w:tcW w:w="1133" w:type="dxa"/>
            <w:tcBorders>
              <w:top w:val="nil"/>
              <w:bottom w:val="nil"/>
            </w:tcBorders>
            <w:shd w:val="clear" w:color="E3E3E3" w:fill="D9D9D9"/>
          </w:tcPr>
          <w:p w14:paraId="56945ACC" w14:textId="77777777" w:rsidR="00313412" w:rsidRPr="00BC0D1F" w:rsidRDefault="00313412" w:rsidP="00313412">
            <w:pPr>
              <w:pStyle w:val="TableText"/>
              <w:ind w:right="113"/>
              <w:jc w:val="right"/>
            </w:pPr>
            <w:r w:rsidRPr="00BC0D1F">
              <w:t>33,239</w:t>
            </w:r>
          </w:p>
        </w:tc>
        <w:tc>
          <w:tcPr>
            <w:tcW w:w="1205" w:type="dxa"/>
            <w:tcBorders>
              <w:top w:val="nil"/>
              <w:bottom w:val="nil"/>
            </w:tcBorders>
          </w:tcPr>
          <w:p w14:paraId="146C2FA2" w14:textId="77777777" w:rsidR="00313412" w:rsidRPr="00BC0D1F" w:rsidRDefault="00313412" w:rsidP="00313412">
            <w:pPr>
              <w:pStyle w:val="TableText"/>
              <w:jc w:val="right"/>
            </w:pPr>
            <w:r w:rsidRPr="00BC0D1F">
              <w:t>21,455</w:t>
            </w:r>
          </w:p>
        </w:tc>
        <w:tc>
          <w:tcPr>
            <w:tcW w:w="1206" w:type="dxa"/>
            <w:tcBorders>
              <w:top w:val="nil"/>
              <w:bottom w:val="nil"/>
            </w:tcBorders>
          </w:tcPr>
          <w:p w14:paraId="156C266E" w14:textId="77777777" w:rsidR="00313412" w:rsidRPr="00BC0D1F" w:rsidRDefault="00313412" w:rsidP="00313412">
            <w:pPr>
              <w:pStyle w:val="TableText"/>
              <w:jc w:val="right"/>
            </w:pPr>
            <w:r w:rsidRPr="00BC0D1F">
              <w:t>12,496</w:t>
            </w:r>
          </w:p>
        </w:tc>
      </w:tr>
      <w:tr w:rsidR="00313412" w:rsidRPr="00BC0D1F" w14:paraId="3049266B" w14:textId="77777777" w:rsidTr="00313412">
        <w:trPr>
          <w:cantSplit/>
        </w:trPr>
        <w:tc>
          <w:tcPr>
            <w:tcW w:w="1134" w:type="dxa"/>
            <w:tcBorders>
              <w:top w:val="nil"/>
              <w:bottom w:val="nil"/>
              <w:right w:val="nil"/>
            </w:tcBorders>
            <w:shd w:val="solid" w:color="FFFFFF" w:fill="auto"/>
          </w:tcPr>
          <w:p w14:paraId="51529933" w14:textId="77777777" w:rsidR="00313412" w:rsidRPr="00BC0D1F" w:rsidRDefault="00313412" w:rsidP="00313412">
            <w:pPr>
              <w:pStyle w:val="TableText"/>
              <w:ind w:right="284"/>
              <w:jc w:val="right"/>
              <w:rPr>
                <w:b/>
              </w:rPr>
            </w:pPr>
            <w:r w:rsidRPr="00BC0D1F">
              <w:rPr>
                <w:b/>
              </w:rPr>
              <w:t>162,940</w:t>
            </w:r>
          </w:p>
        </w:tc>
        <w:tc>
          <w:tcPr>
            <w:tcW w:w="3969" w:type="dxa"/>
            <w:tcBorders>
              <w:top w:val="nil"/>
              <w:left w:val="nil"/>
              <w:bottom w:val="nil"/>
            </w:tcBorders>
            <w:shd w:val="solid" w:color="FFFFFF" w:fill="auto"/>
          </w:tcPr>
          <w:p w14:paraId="68CC122A" w14:textId="77777777" w:rsidR="00313412" w:rsidRPr="00BC0D1F" w:rsidRDefault="00313412" w:rsidP="00313412">
            <w:pPr>
              <w:pStyle w:val="TableText"/>
              <w:rPr>
                <w:b/>
              </w:rPr>
            </w:pPr>
            <w:r w:rsidRPr="00BC0D1F">
              <w:rPr>
                <w:b/>
              </w:rPr>
              <w:t>Total current assets</w:t>
            </w:r>
          </w:p>
        </w:tc>
        <w:tc>
          <w:tcPr>
            <w:tcW w:w="709" w:type="dxa"/>
            <w:tcBorders>
              <w:top w:val="nil"/>
              <w:left w:val="nil"/>
              <w:bottom w:val="nil"/>
            </w:tcBorders>
            <w:shd w:val="solid" w:color="FFFFFF" w:fill="auto"/>
          </w:tcPr>
          <w:p w14:paraId="77E1D0E3" w14:textId="77777777" w:rsidR="00313412" w:rsidRPr="00BC0D1F" w:rsidRDefault="00313412" w:rsidP="00313412">
            <w:pPr>
              <w:pStyle w:val="TableText"/>
              <w:jc w:val="center"/>
              <w:rPr>
                <w:b/>
              </w:rPr>
            </w:pPr>
          </w:p>
        </w:tc>
        <w:tc>
          <w:tcPr>
            <w:tcW w:w="1133" w:type="dxa"/>
            <w:tcBorders>
              <w:top w:val="nil"/>
              <w:bottom w:val="nil"/>
            </w:tcBorders>
            <w:shd w:val="clear" w:color="E3E3E3" w:fill="D9D9D9"/>
          </w:tcPr>
          <w:p w14:paraId="2D17896E" w14:textId="77777777" w:rsidR="00313412" w:rsidRPr="00BC0D1F" w:rsidRDefault="00313412" w:rsidP="00313412">
            <w:pPr>
              <w:pStyle w:val="TableText"/>
              <w:ind w:right="113"/>
              <w:jc w:val="right"/>
              <w:rPr>
                <w:b/>
              </w:rPr>
            </w:pPr>
            <w:r w:rsidRPr="00BC0D1F">
              <w:rPr>
                <w:b/>
              </w:rPr>
              <w:t>180,189</w:t>
            </w:r>
          </w:p>
        </w:tc>
        <w:tc>
          <w:tcPr>
            <w:tcW w:w="1205" w:type="dxa"/>
            <w:tcBorders>
              <w:top w:val="nil"/>
              <w:bottom w:val="nil"/>
            </w:tcBorders>
          </w:tcPr>
          <w:p w14:paraId="7B000943" w14:textId="77777777" w:rsidR="00313412" w:rsidRPr="00BC0D1F" w:rsidRDefault="00313412" w:rsidP="00313412">
            <w:pPr>
              <w:pStyle w:val="TableText"/>
              <w:jc w:val="right"/>
              <w:rPr>
                <w:b/>
              </w:rPr>
            </w:pPr>
            <w:r w:rsidRPr="00BC0D1F">
              <w:rPr>
                <w:b/>
              </w:rPr>
              <w:t>151,414</w:t>
            </w:r>
          </w:p>
        </w:tc>
        <w:tc>
          <w:tcPr>
            <w:tcW w:w="1206" w:type="dxa"/>
            <w:tcBorders>
              <w:top w:val="nil"/>
              <w:bottom w:val="nil"/>
            </w:tcBorders>
          </w:tcPr>
          <w:p w14:paraId="4B705A68" w14:textId="77777777" w:rsidR="00313412" w:rsidRPr="00BC0D1F" w:rsidRDefault="00313412" w:rsidP="00313412">
            <w:pPr>
              <w:pStyle w:val="TableText"/>
              <w:jc w:val="right"/>
              <w:rPr>
                <w:b/>
              </w:rPr>
            </w:pPr>
            <w:r w:rsidRPr="00BC0D1F">
              <w:rPr>
                <w:b/>
              </w:rPr>
              <w:t>130,961</w:t>
            </w:r>
          </w:p>
        </w:tc>
      </w:tr>
      <w:tr w:rsidR="00313412" w:rsidRPr="00BC0D1F" w14:paraId="67A37AC0" w14:textId="77777777" w:rsidTr="00313412">
        <w:trPr>
          <w:cantSplit/>
        </w:trPr>
        <w:tc>
          <w:tcPr>
            <w:tcW w:w="1134" w:type="dxa"/>
            <w:tcBorders>
              <w:top w:val="nil"/>
              <w:bottom w:val="nil"/>
              <w:right w:val="nil"/>
            </w:tcBorders>
            <w:shd w:val="solid" w:color="FFFFFF" w:fill="auto"/>
          </w:tcPr>
          <w:p w14:paraId="01539A29" w14:textId="77777777" w:rsidR="00313412" w:rsidRPr="00BC0D1F" w:rsidRDefault="00313412" w:rsidP="005B63E2">
            <w:pPr>
              <w:pStyle w:val="TableText"/>
              <w:spacing w:before="180"/>
              <w:ind w:right="284"/>
              <w:jc w:val="right"/>
              <w:rPr>
                <w:b/>
              </w:rPr>
            </w:pPr>
          </w:p>
        </w:tc>
        <w:tc>
          <w:tcPr>
            <w:tcW w:w="3969" w:type="dxa"/>
            <w:tcBorders>
              <w:top w:val="nil"/>
              <w:left w:val="nil"/>
              <w:bottom w:val="nil"/>
            </w:tcBorders>
            <w:shd w:val="solid" w:color="FFFFFF" w:fill="auto"/>
          </w:tcPr>
          <w:p w14:paraId="7F4DCEB6" w14:textId="77777777" w:rsidR="00313412" w:rsidRPr="00BC0D1F" w:rsidRDefault="00313412" w:rsidP="005B63E2">
            <w:pPr>
              <w:pStyle w:val="TableText"/>
              <w:spacing w:before="180"/>
              <w:rPr>
                <w:b/>
              </w:rPr>
            </w:pPr>
            <w:r w:rsidRPr="00BC0D1F">
              <w:rPr>
                <w:b/>
              </w:rPr>
              <w:t>Non-current assets</w:t>
            </w:r>
          </w:p>
        </w:tc>
        <w:tc>
          <w:tcPr>
            <w:tcW w:w="709" w:type="dxa"/>
            <w:tcBorders>
              <w:top w:val="nil"/>
              <w:left w:val="nil"/>
              <w:bottom w:val="nil"/>
            </w:tcBorders>
            <w:shd w:val="solid" w:color="FFFFFF" w:fill="auto"/>
          </w:tcPr>
          <w:p w14:paraId="670028AF" w14:textId="77777777" w:rsidR="00313412" w:rsidRPr="00BC0D1F" w:rsidRDefault="00313412" w:rsidP="005B63E2">
            <w:pPr>
              <w:pStyle w:val="TableText"/>
              <w:spacing w:before="180"/>
              <w:jc w:val="center"/>
              <w:rPr>
                <w:b/>
              </w:rPr>
            </w:pPr>
          </w:p>
        </w:tc>
        <w:tc>
          <w:tcPr>
            <w:tcW w:w="1133" w:type="dxa"/>
            <w:tcBorders>
              <w:top w:val="nil"/>
              <w:bottom w:val="nil"/>
            </w:tcBorders>
            <w:shd w:val="clear" w:color="E3E3E3" w:fill="D9D9D9"/>
          </w:tcPr>
          <w:p w14:paraId="0C259DAA" w14:textId="77777777" w:rsidR="00313412" w:rsidRPr="00BC0D1F" w:rsidRDefault="00313412" w:rsidP="005B63E2">
            <w:pPr>
              <w:pStyle w:val="TableText"/>
              <w:spacing w:before="180"/>
              <w:ind w:right="113"/>
              <w:jc w:val="right"/>
              <w:rPr>
                <w:b/>
              </w:rPr>
            </w:pPr>
          </w:p>
        </w:tc>
        <w:tc>
          <w:tcPr>
            <w:tcW w:w="1205" w:type="dxa"/>
            <w:tcBorders>
              <w:top w:val="nil"/>
              <w:bottom w:val="nil"/>
            </w:tcBorders>
          </w:tcPr>
          <w:p w14:paraId="1A1E3F4D" w14:textId="77777777" w:rsidR="00313412" w:rsidRPr="00BC0D1F" w:rsidRDefault="00313412" w:rsidP="005B63E2">
            <w:pPr>
              <w:pStyle w:val="TableText"/>
              <w:spacing w:before="180"/>
              <w:jc w:val="right"/>
              <w:rPr>
                <w:b/>
              </w:rPr>
            </w:pPr>
          </w:p>
        </w:tc>
        <w:tc>
          <w:tcPr>
            <w:tcW w:w="1206" w:type="dxa"/>
            <w:tcBorders>
              <w:top w:val="nil"/>
              <w:bottom w:val="nil"/>
            </w:tcBorders>
          </w:tcPr>
          <w:p w14:paraId="156F3DD3" w14:textId="77777777" w:rsidR="00313412" w:rsidRPr="00BC0D1F" w:rsidRDefault="00313412" w:rsidP="005B63E2">
            <w:pPr>
              <w:pStyle w:val="TableText"/>
              <w:spacing w:before="180"/>
              <w:jc w:val="right"/>
              <w:rPr>
                <w:b/>
              </w:rPr>
            </w:pPr>
          </w:p>
        </w:tc>
      </w:tr>
      <w:tr w:rsidR="00313412" w:rsidRPr="00BC0D1F" w14:paraId="2F8CF55F" w14:textId="77777777" w:rsidTr="00313412">
        <w:trPr>
          <w:cantSplit/>
        </w:trPr>
        <w:tc>
          <w:tcPr>
            <w:tcW w:w="1134" w:type="dxa"/>
            <w:tcBorders>
              <w:top w:val="nil"/>
              <w:bottom w:val="nil"/>
              <w:right w:val="nil"/>
            </w:tcBorders>
            <w:shd w:val="solid" w:color="FFFFFF" w:fill="auto"/>
          </w:tcPr>
          <w:p w14:paraId="05A91350" w14:textId="77777777" w:rsidR="00313412" w:rsidRPr="00BC0D1F" w:rsidRDefault="00313412" w:rsidP="00313412">
            <w:pPr>
              <w:pStyle w:val="TableText"/>
              <w:ind w:right="284"/>
              <w:jc w:val="right"/>
            </w:pPr>
          </w:p>
        </w:tc>
        <w:tc>
          <w:tcPr>
            <w:tcW w:w="3969" w:type="dxa"/>
            <w:tcBorders>
              <w:top w:val="nil"/>
              <w:left w:val="nil"/>
              <w:bottom w:val="nil"/>
            </w:tcBorders>
            <w:shd w:val="solid" w:color="FFFFFF" w:fill="auto"/>
          </w:tcPr>
          <w:p w14:paraId="42568555" w14:textId="77777777" w:rsidR="00313412" w:rsidRPr="00BC0D1F" w:rsidRDefault="00313412" w:rsidP="00313412">
            <w:pPr>
              <w:pStyle w:val="TableText"/>
            </w:pPr>
            <w:r w:rsidRPr="00BC0D1F">
              <w:t>Advances:</w:t>
            </w:r>
          </w:p>
        </w:tc>
        <w:tc>
          <w:tcPr>
            <w:tcW w:w="709" w:type="dxa"/>
            <w:tcBorders>
              <w:top w:val="nil"/>
              <w:left w:val="nil"/>
              <w:bottom w:val="nil"/>
            </w:tcBorders>
            <w:shd w:val="solid" w:color="FFFFFF" w:fill="auto"/>
          </w:tcPr>
          <w:p w14:paraId="0C45DA3C" w14:textId="77777777" w:rsidR="00313412" w:rsidRPr="00BC0D1F" w:rsidRDefault="00313412" w:rsidP="00313412">
            <w:pPr>
              <w:pStyle w:val="TableText"/>
              <w:jc w:val="center"/>
            </w:pPr>
          </w:p>
        </w:tc>
        <w:tc>
          <w:tcPr>
            <w:tcW w:w="1133" w:type="dxa"/>
            <w:tcBorders>
              <w:top w:val="nil"/>
              <w:bottom w:val="nil"/>
            </w:tcBorders>
            <w:shd w:val="clear" w:color="E3E3E3" w:fill="D9D9D9"/>
          </w:tcPr>
          <w:p w14:paraId="6ED1E6CB" w14:textId="77777777" w:rsidR="00313412" w:rsidRPr="00BC0D1F" w:rsidRDefault="00313412" w:rsidP="00313412">
            <w:pPr>
              <w:pStyle w:val="TableText"/>
              <w:ind w:right="113"/>
              <w:jc w:val="right"/>
            </w:pPr>
          </w:p>
        </w:tc>
        <w:tc>
          <w:tcPr>
            <w:tcW w:w="1205" w:type="dxa"/>
            <w:tcBorders>
              <w:top w:val="nil"/>
              <w:bottom w:val="nil"/>
            </w:tcBorders>
          </w:tcPr>
          <w:p w14:paraId="058FE007" w14:textId="77777777" w:rsidR="00313412" w:rsidRPr="00BC0D1F" w:rsidRDefault="00313412" w:rsidP="00313412">
            <w:pPr>
              <w:pStyle w:val="TableText"/>
              <w:jc w:val="right"/>
            </w:pPr>
          </w:p>
        </w:tc>
        <w:tc>
          <w:tcPr>
            <w:tcW w:w="1206" w:type="dxa"/>
            <w:tcBorders>
              <w:top w:val="nil"/>
              <w:bottom w:val="nil"/>
            </w:tcBorders>
          </w:tcPr>
          <w:p w14:paraId="7B921DC4" w14:textId="77777777" w:rsidR="00313412" w:rsidRPr="00BC0D1F" w:rsidRDefault="00313412" w:rsidP="00313412">
            <w:pPr>
              <w:pStyle w:val="TableText"/>
              <w:jc w:val="right"/>
            </w:pPr>
          </w:p>
        </w:tc>
      </w:tr>
      <w:tr w:rsidR="00313412" w:rsidRPr="00BC0D1F" w14:paraId="5541A9EE" w14:textId="77777777" w:rsidTr="00313412">
        <w:trPr>
          <w:cantSplit/>
        </w:trPr>
        <w:tc>
          <w:tcPr>
            <w:tcW w:w="1134" w:type="dxa"/>
            <w:tcBorders>
              <w:top w:val="nil"/>
              <w:bottom w:val="nil"/>
              <w:right w:val="nil"/>
            </w:tcBorders>
            <w:shd w:val="solid" w:color="FFFFFF" w:fill="auto"/>
          </w:tcPr>
          <w:p w14:paraId="4DADF914" w14:textId="77777777" w:rsidR="00313412" w:rsidRPr="00BC0D1F" w:rsidRDefault="00313412" w:rsidP="00313412">
            <w:pPr>
              <w:pStyle w:val="TableText"/>
              <w:spacing w:before="0"/>
              <w:ind w:right="284"/>
              <w:jc w:val="right"/>
            </w:pPr>
            <w:r w:rsidRPr="00BC0D1F">
              <w:t>35,426</w:t>
            </w:r>
          </w:p>
        </w:tc>
        <w:tc>
          <w:tcPr>
            <w:tcW w:w="3969" w:type="dxa"/>
            <w:tcBorders>
              <w:top w:val="nil"/>
              <w:left w:val="nil"/>
              <w:bottom w:val="nil"/>
            </w:tcBorders>
            <w:shd w:val="solid" w:color="FFFFFF" w:fill="auto"/>
          </w:tcPr>
          <w:p w14:paraId="26395D9E" w14:textId="77777777" w:rsidR="00313412" w:rsidRPr="00BC0D1F" w:rsidRDefault="00313412" w:rsidP="00313412">
            <w:pPr>
              <w:pStyle w:val="TableText"/>
              <w:spacing w:before="0"/>
              <w:ind w:left="284"/>
            </w:pPr>
            <w:r w:rsidRPr="00BC0D1F">
              <w:t>Residential care loans</w:t>
            </w:r>
          </w:p>
        </w:tc>
        <w:tc>
          <w:tcPr>
            <w:tcW w:w="709" w:type="dxa"/>
            <w:tcBorders>
              <w:top w:val="nil"/>
              <w:left w:val="nil"/>
              <w:bottom w:val="nil"/>
            </w:tcBorders>
            <w:shd w:val="solid" w:color="FFFFFF" w:fill="auto"/>
          </w:tcPr>
          <w:p w14:paraId="01C938B7" w14:textId="77777777" w:rsidR="00313412" w:rsidRPr="00BC0D1F" w:rsidRDefault="00313412" w:rsidP="00313412">
            <w:pPr>
              <w:pStyle w:val="TableText"/>
              <w:spacing w:before="0"/>
              <w:jc w:val="center"/>
            </w:pPr>
            <w:r w:rsidRPr="00BC0D1F">
              <w:t>2.13</w:t>
            </w:r>
          </w:p>
        </w:tc>
        <w:tc>
          <w:tcPr>
            <w:tcW w:w="1133" w:type="dxa"/>
            <w:tcBorders>
              <w:top w:val="nil"/>
              <w:bottom w:val="nil"/>
            </w:tcBorders>
            <w:shd w:val="clear" w:color="E3E3E3" w:fill="D9D9D9"/>
          </w:tcPr>
          <w:p w14:paraId="1F916E71" w14:textId="77777777" w:rsidR="00313412" w:rsidRPr="00BC0D1F" w:rsidRDefault="00313412" w:rsidP="00313412">
            <w:pPr>
              <w:pStyle w:val="TableText"/>
              <w:spacing w:before="0"/>
              <w:ind w:right="113"/>
              <w:jc w:val="right"/>
            </w:pPr>
            <w:r w:rsidRPr="00BC0D1F">
              <w:t>36,355</w:t>
            </w:r>
          </w:p>
        </w:tc>
        <w:tc>
          <w:tcPr>
            <w:tcW w:w="1205" w:type="dxa"/>
            <w:tcBorders>
              <w:top w:val="nil"/>
              <w:bottom w:val="nil"/>
            </w:tcBorders>
          </w:tcPr>
          <w:p w14:paraId="2946B41B" w14:textId="77777777" w:rsidR="00313412" w:rsidRPr="00BC0D1F" w:rsidRDefault="00313412" w:rsidP="00313412">
            <w:pPr>
              <w:pStyle w:val="TableText"/>
              <w:spacing w:before="0"/>
              <w:jc w:val="right"/>
            </w:pPr>
            <w:r w:rsidRPr="00BC0D1F">
              <w:t>39,702</w:t>
            </w:r>
          </w:p>
        </w:tc>
        <w:tc>
          <w:tcPr>
            <w:tcW w:w="1206" w:type="dxa"/>
            <w:tcBorders>
              <w:top w:val="nil"/>
              <w:bottom w:val="nil"/>
            </w:tcBorders>
          </w:tcPr>
          <w:p w14:paraId="18782C21" w14:textId="77777777" w:rsidR="00313412" w:rsidRPr="00BC0D1F" w:rsidRDefault="00313412" w:rsidP="00313412">
            <w:pPr>
              <w:pStyle w:val="TableText"/>
              <w:spacing w:before="0"/>
              <w:jc w:val="right"/>
            </w:pPr>
            <w:r w:rsidRPr="00BC0D1F">
              <w:t>40,000</w:t>
            </w:r>
          </w:p>
        </w:tc>
      </w:tr>
      <w:tr w:rsidR="00313412" w:rsidRPr="00BC0D1F" w14:paraId="0591797B" w14:textId="77777777" w:rsidTr="00313412">
        <w:trPr>
          <w:cantSplit/>
        </w:trPr>
        <w:tc>
          <w:tcPr>
            <w:tcW w:w="1134" w:type="dxa"/>
            <w:tcBorders>
              <w:top w:val="nil"/>
              <w:bottom w:val="nil"/>
              <w:right w:val="nil"/>
            </w:tcBorders>
            <w:shd w:val="solid" w:color="FFFFFF" w:fill="auto"/>
          </w:tcPr>
          <w:p w14:paraId="5320F54A" w14:textId="77777777" w:rsidR="00313412" w:rsidRPr="00BC0D1F" w:rsidRDefault="00313412" w:rsidP="00313412">
            <w:pPr>
              <w:pStyle w:val="TableText"/>
              <w:spacing w:before="0"/>
              <w:ind w:right="284"/>
              <w:jc w:val="right"/>
            </w:pPr>
            <w:r w:rsidRPr="00BC0D1F">
              <w:t>3,038</w:t>
            </w:r>
          </w:p>
        </w:tc>
        <w:tc>
          <w:tcPr>
            <w:tcW w:w="3969" w:type="dxa"/>
            <w:tcBorders>
              <w:top w:val="nil"/>
              <w:left w:val="nil"/>
              <w:bottom w:val="nil"/>
            </w:tcBorders>
            <w:shd w:val="solid" w:color="FFFFFF" w:fill="auto"/>
          </w:tcPr>
          <w:p w14:paraId="326EEBF4" w14:textId="77777777" w:rsidR="00313412" w:rsidRPr="00BC0D1F" w:rsidRDefault="00313412" w:rsidP="00313412">
            <w:pPr>
              <w:pStyle w:val="TableText"/>
              <w:spacing w:before="0"/>
              <w:ind w:left="284"/>
            </w:pPr>
            <w:r w:rsidRPr="00BC0D1F">
              <w:t>Other advances</w:t>
            </w:r>
          </w:p>
        </w:tc>
        <w:tc>
          <w:tcPr>
            <w:tcW w:w="709" w:type="dxa"/>
            <w:tcBorders>
              <w:top w:val="nil"/>
              <w:left w:val="nil"/>
              <w:bottom w:val="nil"/>
            </w:tcBorders>
            <w:shd w:val="solid" w:color="FFFFFF" w:fill="auto"/>
          </w:tcPr>
          <w:p w14:paraId="645EC1D6"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223F128C" w14:textId="77777777" w:rsidR="00313412" w:rsidRPr="00BC0D1F" w:rsidRDefault="00313412" w:rsidP="00313412">
            <w:pPr>
              <w:pStyle w:val="TableText"/>
              <w:spacing w:before="0"/>
              <w:ind w:right="113"/>
              <w:jc w:val="right"/>
            </w:pPr>
            <w:r w:rsidRPr="00BC0D1F">
              <w:t>2,438</w:t>
            </w:r>
          </w:p>
        </w:tc>
        <w:tc>
          <w:tcPr>
            <w:tcW w:w="1205" w:type="dxa"/>
            <w:tcBorders>
              <w:top w:val="nil"/>
              <w:bottom w:val="nil"/>
            </w:tcBorders>
          </w:tcPr>
          <w:p w14:paraId="68B75C99" w14:textId="77777777" w:rsidR="00313412" w:rsidRPr="00BC0D1F" w:rsidRDefault="00313412" w:rsidP="00313412">
            <w:pPr>
              <w:pStyle w:val="TableText"/>
              <w:spacing w:before="0"/>
              <w:jc w:val="right"/>
            </w:pPr>
            <w:r w:rsidRPr="00BC0D1F">
              <w:t>7,053</w:t>
            </w:r>
          </w:p>
        </w:tc>
        <w:tc>
          <w:tcPr>
            <w:tcW w:w="1206" w:type="dxa"/>
            <w:tcBorders>
              <w:top w:val="nil"/>
              <w:bottom w:val="nil"/>
            </w:tcBorders>
          </w:tcPr>
          <w:p w14:paraId="5D684E52" w14:textId="77777777" w:rsidR="00313412" w:rsidRPr="00BC0D1F" w:rsidRDefault="00313412" w:rsidP="00313412">
            <w:pPr>
              <w:pStyle w:val="TableText"/>
              <w:spacing w:before="0"/>
              <w:jc w:val="right"/>
            </w:pPr>
            <w:r w:rsidRPr="00BC0D1F">
              <w:t>2,554</w:t>
            </w:r>
          </w:p>
        </w:tc>
      </w:tr>
      <w:tr w:rsidR="00313412" w:rsidRPr="00BC0D1F" w14:paraId="36C87CC4" w14:textId="77777777" w:rsidTr="00313412">
        <w:trPr>
          <w:cantSplit/>
        </w:trPr>
        <w:tc>
          <w:tcPr>
            <w:tcW w:w="1134" w:type="dxa"/>
            <w:tcBorders>
              <w:top w:val="nil"/>
              <w:bottom w:val="nil"/>
              <w:right w:val="nil"/>
            </w:tcBorders>
            <w:shd w:val="solid" w:color="FFFFFF" w:fill="auto"/>
          </w:tcPr>
          <w:p w14:paraId="38EE276B" w14:textId="77777777" w:rsidR="00313412" w:rsidRPr="00BC0D1F" w:rsidRDefault="00313412" w:rsidP="00313412">
            <w:pPr>
              <w:pStyle w:val="TableText"/>
              <w:ind w:right="284"/>
              <w:jc w:val="right"/>
            </w:pPr>
          </w:p>
        </w:tc>
        <w:tc>
          <w:tcPr>
            <w:tcW w:w="3969" w:type="dxa"/>
            <w:tcBorders>
              <w:top w:val="nil"/>
              <w:left w:val="nil"/>
              <w:bottom w:val="nil"/>
            </w:tcBorders>
            <w:shd w:val="solid" w:color="FFFFFF" w:fill="auto"/>
          </w:tcPr>
          <w:p w14:paraId="236B1581" w14:textId="77777777" w:rsidR="00313412" w:rsidRPr="00BC0D1F" w:rsidRDefault="00313412" w:rsidP="00313412">
            <w:pPr>
              <w:pStyle w:val="TableText"/>
            </w:pPr>
            <w:r w:rsidRPr="00BC0D1F">
              <w:t>Investments:</w:t>
            </w:r>
          </w:p>
        </w:tc>
        <w:tc>
          <w:tcPr>
            <w:tcW w:w="709" w:type="dxa"/>
            <w:tcBorders>
              <w:top w:val="nil"/>
              <w:left w:val="nil"/>
              <w:bottom w:val="nil"/>
            </w:tcBorders>
            <w:shd w:val="solid" w:color="FFFFFF" w:fill="auto"/>
          </w:tcPr>
          <w:p w14:paraId="5E24C356" w14:textId="77777777" w:rsidR="00313412" w:rsidRPr="00BC0D1F" w:rsidRDefault="00313412" w:rsidP="00313412">
            <w:pPr>
              <w:pStyle w:val="TableText"/>
              <w:jc w:val="center"/>
            </w:pPr>
          </w:p>
        </w:tc>
        <w:tc>
          <w:tcPr>
            <w:tcW w:w="1133" w:type="dxa"/>
            <w:tcBorders>
              <w:top w:val="nil"/>
              <w:bottom w:val="nil"/>
            </w:tcBorders>
            <w:shd w:val="clear" w:color="E3E3E3" w:fill="D9D9D9"/>
          </w:tcPr>
          <w:p w14:paraId="4366B367" w14:textId="77777777" w:rsidR="00313412" w:rsidRPr="00BC0D1F" w:rsidRDefault="00313412" w:rsidP="00313412">
            <w:pPr>
              <w:pStyle w:val="TableText"/>
              <w:ind w:right="113"/>
              <w:jc w:val="right"/>
            </w:pPr>
          </w:p>
        </w:tc>
        <w:tc>
          <w:tcPr>
            <w:tcW w:w="1205" w:type="dxa"/>
            <w:tcBorders>
              <w:top w:val="nil"/>
              <w:bottom w:val="nil"/>
            </w:tcBorders>
          </w:tcPr>
          <w:p w14:paraId="55FD453E" w14:textId="77777777" w:rsidR="00313412" w:rsidRPr="00BC0D1F" w:rsidRDefault="00313412" w:rsidP="00313412">
            <w:pPr>
              <w:pStyle w:val="TableText"/>
              <w:jc w:val="right"/>
            </w:pPr>
          </w:p>
        </w:tc>
        <w:tc>
          <w:tcPr>
            <w:tcW w:w="1206" w:type="dxa"/>
            <w:tcBorders>
              <w:top w:val="nil"/>
              <w:bottom w:val="nil"/>
            </w:tcBorders>
          </w:tcPr>
          <w:p w14:paraId="705638A8" w14:textId="77777777" w:rsidR="00313412" w:rsidRPr="00BC0D1F" w:rsidRDefault="00313412" w:rsidP="00313412">
            <w:pPr>
              <w:pStyle w:val="TableText"/>
              <w:jc w:val="right"/>
            </w:pPr>
          </w:p>
        </w:tc>
      </w:tr>
      <w:tr w:rsidR="00313412" w:rsidRPr="00BC0D1F" w14:paraId="47BECB53" w14:textId="77777777" w:rsidTr="00313412">
        <w:trPr>
          <w:cantSplit/>
        </w:trPr>
        <w:tc>
          <w:tcPr>
            <w:tcW w:w="1134" w:type="dxa"/>
            <w:tcBorders>
              <w:top w:val="nil"/>
              <w:bottom w:val="nil"/>
              <w:right w:val="nil"/>
            </w:tcBorders>
            <w:shd w:val="solid" w:color="FFFFFF" w:fill="auto"/>
          </w:tcPr>
          <w:p w14:paraId="44674F3C" w14:textId="77777777" w:rsidR="00313412" w:rsidRPr="00BC0D1F" w:rsidRDefault="00313412" w:rsidP="00313412">
            <w:pPr>
              <w:pStyle w:val="TableText"/>
              <w:spacing w:before="0"/>
              <w:ind w:right="284"/>
              <w:jc w:val="right"/>
            </w:pPr>
            <w:r w:rsidRPr="00BC0D1F">
              <w:t>161,505</w:t>
            </w:r>
          </w:p>
        </w:tc>
        <w:tc>
          <w:tcPr>
            <w:tcW w:w="3969" w:type="dxa"/>
            <w:tcBorders>
              <w:top w:val="nil"/>
              <w:left w:val="nil"/>
              <w:bottom w:val="nil"/>
            </w:tcBorders>
            <w:shd w:val="solid" w:color="FFFFFF" w:fill="auto"/>
          </w:tcPr>
          <w:p w14:paraId="4A577714" w14:textId="77777777" w:rsidR="00313412" w:rsidRPr="00BC0D1F" w:rsidRDefault="00313412" w:rsidP="00313412">
            <w:pPr>
              <w:pStyle w:val="TableText"/>
              <w:spacing w:before="0"/>
              <w:ind w:left="284"/>
            </w:pPr>
            <w:r w:rsidRPr="00BC0D1F">
              <w:t>Christchurch and West Coast Hospital Rebuild Project</w:t>
            </w:r>
          </w:p>
        </w:tc>
        <w:tc>
          <w:tcPr>
            <w:tcW w:w="709" w:type="dxa"/>
            <w:tcBorders>
              <w:top w:val="nil"/>
              <w:left w:val="nil"/>
              <w:bottom w:val="nil"/>
            </w:tcBorders>
            <w:shd w:val="solid" w:color="FFFFFF" w:fill="auto"/>
          </w:tcPr>
          <w:p w14:paraId="188022A5" w14:textId="77777777" w:rsidR="00313412" w:rsidRPr="00BC0D1F" w:rsidRDefault="00313412" w:rsidP="00313412">
            <w:pPr>
              <w:pStyle w:val="TableText"/>
              <w:spacing w:before="0"/>
              <w:jc w:val="center"/>
            </w:pPr>
            <w:r w:rsidRPr="00BC0D1F">
              <w:t>2.14</w:t>
            </w:r>
          </w:p>
        </w:tc>
        <w:tc>
          <w:tcPr>
            <w:tcW w:w="1133" w:type="dxa"/>
            <w:tcBorders>
              <w:top w:val="nil"/>
              <w:bottom w:val="nil"/>
            </w:tcBorders>
            <w:shd w:val="clear" w:color="E3E3E3" w:fill="D9D9D9"/>
          </w:tcPr>
          <w:p w14:paraId="06BDC865" w14:textId="461773BF" w:rsidR="00A34148" w:rsidRPr="00BC0D1F" w:rsidRDefault="00A34148" w:rsidP="00A34148">
            <w:pPr>
              <w:pStyle w:val="TableText"/>
              <w:spacing w:before="0"/>
              <w:ind w:right="113"/>
              <w:jc w:val="right"/>
            </w:pPr>
            <w:r>
              <w:t>314,039</w:t>
            </w:r>
          </w:p>
        </w:tc>
        <w:tc>
          <w:tcPr>
            <w:tcW w:w="1205" w:type="dxa"/>
            <w:tcBorders>
              <w:top w:val="nil"/>
              <w:bottom w:val="nil"/>
            </w:tcBorders>
          </w:tcPr>
          <w:p w14:paraId="39BD83DD" w14:textId="77777777" w:rsidR="00313412" w:rsidRPr="00BC0D1F" w:rsidRDefault="00313412" w:rsidP="00313412">
            <w:pPr>
              <w:pStyle w:val="TableText"/>
              <w:spacing w:before="0"/>
              <w:jc w:val="right"/>
            </w:pPr>
            <w:r w:rsidRPr="00BC0D1F">
              <w:t>441,161</w:t>
            </w:r>
          </w:p>
        </w:tc>
        <w:tc>
          <w:tcPr>
            <w:tcW w:w="1206" w:type="dxa"/>
            <w:tcBorders>
              <w:top w:val="nil"/>
              <w:bottom w:val="nil"/>
            </w:tcBorders>
          </w:tcPr>
          <w:p w14:paraId="36787F77" w14:textId="77777777" w:rsidR="00313412" w:rsidRPr="00BC0D1F" w:rsidRDefault="00313412" w:rsidP="00313412">
            <w:pPr>
              <w:pStyle w:val="TableText"/>
              <w:spacing w:before="0"/>
              <w:jc w:val="right"/>
            </w:pPr>
            <w:r w:rsidRPr="00BC0D1F">
              <w:t>346,810</w:t>
            </w:r>
          </w:p>
        </w:tc>
      </w:tr>
      <w:tr w:rsidR="00313412" w:rsidRPr="00BC0D1F" w14:paraId="2D89032C" w14:textId="77777777" w:rsidTr="00313412">
        <w:trPr>
          <w:cantSplit/>
        </w:trPr>
        <w:tc>
          <w:tcPr>
            <w:tcW w:w="1134" w:type="dxa"/>
            <w:tcBorders>
              <w:top w:val="nil"/>
              <w:bottom w:val="nil"/>
              <w:right w:val="nil"/>
            </w:tcBorders>
            <w:shd w:val="solid" w:color="FFFFFF" w:fill="auto"/>
          </w:tcPr>
          <w:p w14:paraId="7D8B19D9" w14:textId="565CEDB1" w:rsidR="00313412" w:rsidRPr="00BC0D1F" w:rsidRDefault="00313412" w:rsidP="00313412">
            <w:pPr>
              <w:pStyle w:val="TableText"/>
              <w:spacing w:before="0"/>
              <w:ind w:right="284"/>
              <w:jc w:val="right"/>
            </w:pPr>
            <w:r w:rsidRPr="00BC0D1F">
              <w:t>33,783</w:t>
            </w:r>
          </w:p>
        </w:tc>
        <w:tc>
          <w:tcPr>
            <w:tcW w:w="3969" w:type="dxa"/>
            <w:tcBorders>
              <w:top w:val="nil"/>
              <w:left w:val="nil"/>
              <w:bottom w:val="nil"/>
            </w:tcBorders>
            <w:shd w:val="solid" w:color="FFFFFF" w:fill="auto"/>
          </w:tcPr>
          <w:p w14:paraId="5C6B8CD8" w14:textId="77777777" w:rsidR="00313412" w:rsidRPr="00BC0D1F" w:rsidRDefault="00313412" w:rsidP="00313412">
            <w:pPr>
              <w:pStyle w:val="TableText"/>
              <w:spacing w:before="0"/>
              <w:ind w:left="284"/>
            </w:pPr>
            <w:r w:rsidRPr="00BC0D1F">
              <w:t>Other investments</w:t>
            </w:r>
          </w:p>
        </w:tc>
        <w:tc>
          <w:tcPr>
            <w:tcW w:w="709" w:type="dxa"/>
            <w:tcBorders>
              <w:top w:val="nil"/>
              <w:left w:val="nil"/>
              <w:bottom w:val="nil"/>
            </w:tcBorders>
            <w:shd w:val="solid" w:color="FFFFFF" w:fill="auto"/>
          </w:tcPr>
          <w:p w14:paraId="250733C8" w14:textId="77777777" w:rsidR="00313412" w:rsidRPr="00BC0D1F" w:rsidRDefault="00313412" w:rsidP="00313412">
            <w:pPr>
              <w:pStyle w:val="TableText"/>
              <w:spacing w:before="0"/>
              <w:jc w:val="center"/>
            </w:pPr>
          </w:p>
        </w:tc>
        <w:tc>
          <w:tcPr>
            <w:tcW w:w="1133" w:type="dxa"/>
            <w:tcBorders>
              <w:top w:val="nil"/>
              <w:bottom w:val="nil"/>
            </w:tcBorders>
            <w:shd w:val="clear" w:color="E3E3E3" w:fill="D9D9D9"/>
          </w:tcPr>
          <w:p w14:paraId="205A360E" w14:textId="77777777" w:rsidR="00313412" w:rsidRPr="00BC0D1F" w:rsidRDefault="00313412" w:rsidP="00313412">
            <w:pPr>
              <w:pStyle w:val="TableText"/>
              <w:spacing w:before="0"/>
              <w:ind w:right="113"/>
              <w:jc w:val="right"/>
            </w:pPr>
            <w:r w:rsidRPr="00BC0D1F">
              <w:t>33,783</w:t>
            </w:r>
          </w:p>
        </w:tc>
        <w:tc>
          <w:tcPr>
            <w:tcW w:w="1205" w:type="dxa"/>
            <w:tcBorders>
              <w:top w:val="nil"/>
              <w:bottom w:val="nil"/>
            </w:tcBorders>
          </w:tcPr>
          <w:p w14:paraId="3FD88BFB" w14:textId="77777777" w:rsidR="00313412" w:rsidRPr="00BC0D1F" w:rsidRDefault="00313412" w:rsidP="00313412">
            <w:pPr>
              <w:pStyle w:val="TableText"/>
              <w:spacing w:before="0"/>
              <w:jc w:val="right"/>
            </w:pPr>
            <w:r w:rsidRPr="00BC0D1F">
              <w:t>24,225</w:t>
            </w:r>
          </w:p>
        </w:tc>
        <w:tc>
          <w:tcPr>
            <w:tcW w:w="1206" w:type="dxa"/>
            <w:tcBorders>
              <w:top w:val="nil"/>
              <w:bottom w:val="nil"/>
            </w:tcBorders>
          </w:tcPr>
          <w:p w14:paraId="717EEE4D" w14:textId="77777777" w:rsidR="00313412" w:rsidRPr="00BC0D1F" w:rsidRDefault="00313412" w:rsidP="00313412">
            <w:pPr>
              <w:pStyle w:val="TableText"/>
              <w:spacing w:before="0"/>
              <w:jc w:val="right"/>
            </w:pPr>
            <w:r w:rsidRPr="00BC0D1F">
              <w:t>20,910</w:t>
            </w:r>
          </w:p>
        </w:tc>
      </w:tr>
      <w:tr w:rsidR="00313412" w:rsidRPr="00BC0D1F" w14:paraId="5D174201" w14:textId="77777777" w:rsidTr="00313412">
        <w:trPr>
          <w:cantSplit/>
        </w:trPr>
        <w:tc>
          <w:tcPr>
            <w:tcW w:w="1134" w:type="dxa"/>
            <w:tcBorders>
              <w:top w:val="nil"/>
              <w:bottom w:val="nil"/>
              <w:right w:val="nil"/>
            </w:tcBorders>
            <w:shd w:val="solid" w:color="FFFFFF" w:fill="auto"/>
          </w:tcPr>
          <w:p w14:paraId="7C4B8AEB" w14:textId="77777777" w:rsidR="00313412" w:rsidRPr="00BC0D1F" w:rsidRDefault="00313412" w:rsidP="00313412">
            <w:pPr>
              <w:pStyle w:val="TableText"/>
              <w:ind w:right="284"/>
              <w:jc w:val="right"/>
              <w:rPr>
                <w:b/>
              </w:rPr>
            </w:pPr>
            <w:r w:rsidRPr="00BC0D1F">
              <w:rPr>
                <w:b/>
              </w:rPr>
              <w:t>233,752</w:t>
            </w:r>
          </w:p>
        </w:tc>
        <w:tc>
          <w:tcPr>
            <w:tcW w:w="3969" w:type="dxa"/>
            <w:tcBorders>
              <w:top w:val="nil"/>
              <w:left w:val="nil"/>
              <w:bottom w:val="nil"/>
            </w:tcBorders>
            <w:shd w:val="solid" w:color="FFFFFF" w:fill="auto"/>
          </w:tcPr>
          <w:p w14:paraId="791D54B3" w14:textId="77777777" w:rsidR="00313412" w:rsidRPr="00BC0D1F" w:rsidRDefault="00313412" w:rsidP="00313412">
            <w:pPr>
              <w:pStyle w:val="TableText"/>
              <w:rPr>
                <w:b/>
              </w:rPr>
            </w:pPr>
            <w:r w:rsidRPr="00BC0D1F">
              <w:rPr>
                <w:b/>
              </w:rPr>
              <w:t>Total non-current assets</w:t>
            </w:r>
          </w:p>
        </w:tc>
        <w:tc>
          <w:tcPr>
            <w:tcW w:w="709" w:type="dxa"/>
            <w:tcBorders>
              <w:top w:val="nil"/>
              <w:left w:val="nil"/>
              <w:bottom w:val="nil"/>
            </w:tcBorders>
            <w:shd w:val="solid" w:color="FFFFFF" w:fill="auto"/>
          </w:tcPr>
          <w:p w14:paraId="754756A1" w14:textId="77777777" w:rsidR="00313412" w:rsidRPr="00BC0D1F" w:rsidRDefault="00313412" w:rsidP="00313412">
            <w:pPr>
              <w:pStyle w:val="TableText"/>
              <w:jc w:val="center"/>
              <w:rPr>
                <w:b/>
              </w:rPr>
            </w:pPr>
          </w:p>
        </w:tc>
        <w:tc>
          <w:tcPr>
            <w:tcW w:w="1133" w:type="dxa"/>
            <w:tcBorders>
              <w:top w:val="nil"/>
              <w:bottom w:val="nil"/>
            </w:tcBorders>
            <w:shd w:val="clear" w:color="E3E3E3" w:fill="D9D9D9"/>
          </w:tcPr>
          <w:p w14:paraId="4CD34537" w14:textId="45413BC0" w:rsidR="00313412" w:rsidRPr="00BC0D1F" w:rsidRDefault="007B047F" w:rsidP="00313412">
            <w:pPr>
              <w:pStyle w:val="TableText"/>
              <w:ind w:right="113"/>
              <w:jc w:val="right"/>
              <w:rPr>
                <w:b/>
              </w:rPr>
            </w:pPr>
            <w:r>
              <w:rPr>
                <w:b/>
              </w:rPr>
              <w:t>386,615</w:t>
            </w:r>
          </w:p>
        </w:tc>
        <w:tc>
          <w:tcPr>
            <w:tcW w:w="1205" w:type="dxa"/>
            <w:tcBorders>
              <w:top w:val="nil"/>
              <w:bottom w:val="nil"/>
            </w:tcBorders>
          </w:tcPr>
          <w:p w14:paraId="60132A04" w14:textId="77777777" w:rsidR="00313412" w:rsidRPr="00BC0D1F" w:rsidRDefault="00313412" w:rsidP="00313412">
            <w:pPr>
              <w:pStyle w:val="TableText"/>
              <w:jc w:val="right"/>
              <w:rPr>
                <w:b/>
              </w:rPr>
            </w:pPr>
            <w:r w:rsidRPr="00BC0D1F">
              <w:rPr>
                <w:b/>
              </w:rPr>
              <w:t>512,141</w:t>
            </w:r>
          </w:p>
        </w:tc>
        <w:tc>
          <w:tcPr>
            <w:tcW w:w="1206" w:type="dxa"/>
            <w:tcBorders>
              <w:top w:val="nil"/>
              <w:bottom w:val="nil"/>
            </w:tcBorders>
          </w:tcPr>
          <w:p w14:paraId="5A3FCFE4" w14:textId="77777777" w:rsidR="00313412" w:rsidRPr="00BC0D1F" w:rsidRDefault="00313412" w:rsidP="00313412">
            <w:pPr>
              <w:pStyle w:val="TableText"/>
              <w:jc w:val="right"/>
              <w:rPr>
                <w:b/>
              </w:rPr>
            </w:pPr>
            <w:r w:rsidRPr="00BC0D1F">
              <w:rPr>
                <w:b/>
              </w:rPr>
              <w:t>410,274</w:t>
            </w:r>
          </w:p>
        </w:tc>
      </w:tr>
      <w:tr w:rsidR="00313412" w:rsidRPr="00BC0D1F" w14:paraId="443F24B6" w14:textId="77777777" w:rsidTr="00F06348">
        <w:trPr>
          <w:cantSplit/>
        </w:trPr>
        <w:tc>
          <w:tcPr>
            <w:tcW w:w="1134" w:type="dxa"/>
            <w:tcBorders>
              <w:top w:val="nil"/>
              <w:bottom w:val="single" w:sz="4" w:space="0" w:color="A6A6A6"/>
              <w:right w:val="nil"/>
            </w:tcBorders>
            <w:shd w:val="solid" w:color="FFFFFF" w:fill="auto"/>
          </w:tcPr>
          <w:p w14:paraId="604C1AF2" w14:textId="77777777" w:rsidR="00313412" w:rsidRPr="00BC0D1F" w:rsidRDefault="00313412" w:rsidP="005B63E2">
            <w:pPr>
              <w:pStyle w:val="TableText"/>
              <w:spacing w:before="180"/>
              <w:ind w:right="284"/>
              <w:jc w:val="right"/>
              <w:rPr>
                <w:b/>
              </w:rPr>
            </w:pPr>
            <w:r w:rsidRPr="00BC0D1F">
              <w:rPr>
                <w:b/>
              </w:rPr>
              <w:t>396,692</w:t>
            </w:r>
          </w:p>
        </w:tc>
        <w:tc>
          <w:tcPr>
            <w:tcW w:w="3969" w:type="dxa"/>
            <w:tcBorders>
              <w:top w:val="nil"/>
              <w:left w:val="nil"/>
              <w:bottom w:val="single" w:sz="4" w:space="0" w:color="A6A6A6"/>
            </w:tcBorders>
            <w:shd w:val="solid" w:color="FFFFFF" w:fill="auto"/>
          </w:tcPr>
          <w:p w14:paraId="62B2960C" w14:textId="77777777" w:rsidR="00313412" w:rsidRPr="00BC0D1F" w:rsidRDefault="00313412" w:rsidP="005B63E2">
            <w:pPr>
              <w:pStyle w:val="TableText"/>
              <w:spacing w:before="180"/>
              <w:rPr>
                <w:b/>
              </w:rPr>
            </w:pPr>
            <w:r w:rsidRPr="00BC0D1F">
              <w:rPr>
                <w:b/>
              </w:rPr>
              <w:t>Total non-departmental assets</w:t>
            </w:r>
          </w:p>
        </w:tc>
        <w:tc>
          <w:tcPr>
            <w:tcW w:w="709" w:type="dxa"/>
            <w:tcBorders>
              <w:top w:val="nil"/>
              <w:left w:val="nil"/>
              <w:bottom w:val="single" w:sz="4" w:space="0" w:color="A6A6A6"/>
            </w:tcBorders>
            <w:shd w:val="solid" w:color="FFFFFF" w:fill="auto"/>
          </w:tcPr>
          <w:p w14:paraId="783325EB" w14:textId="77777777" w:rsidR="00313412" w:rsidRPr="00BC0D1F" w:rsidRDefault="00313412" w:rsidP="005B63E2">
            <w:pPr>
              <w:pStyle w:val="TableText"/>
              <w:spacing w:before="180"/>
              <w:jc w:val="center"/>
              <w:rPr>
                <w:b/>
              </w:rPr>
            </w:pPr>
          </w:p>
        </w:tc>
        <w:tc>
          <w:tcPr>
            <w:tcW w:w="1133" w:type="dxa"/>
            <w:tcBorders>
              <w:top w:val="nil"/>
              <w:bottom w:val="single" w:sz="4" w:space="0" w:color="A6A6A6"/>
            </w:tcBorders>
            <w:shd w:val="clear" w:color="E3E3E3" w:fill="D9D9D9"/>
          </w:tcPr>
          <w:p w14:paraId="5D42A739" w14:textId="0B1F5EAC" w:rsidR="00313412" w:rsidRPr="00BC0D1F" w:rsidRDefault="007B047F" w:rsidP="005B63E2">
            <w:pPr>
              <w:pStyle w:val="TableText"/>
              <w:spacing w:before="180"/>
              <w:ind w:right="113"/>
              <w:jc w:val="right"/>
              <w:rPr>
                <w:b/>
              </w:rPr>
            </w:pPr>
            <w:r>
              <w:rPr>
                <w:b/>
              </w:rPr>
              <w:t>566,804</w:t>
            </w:r>
          </w:p>
        </w:tc>
        <w:tc>
          <w:tcPr>
            <w:tcW w:w="1205" w:type="dxa"/>
            <w:tcBorders>
              <w:top w:val="nil"/>
              <w:bottom w:val="single" w:sz="4" w:space="0" w:color="A6A6A6"/>
            </w:tcBorders>
          </w:tcPr>
          <w:p w14:paraId="6116237A" w14:textId="77777777" w:rsidR="00313412" w:rsidRPr="00BC0D1F" w:rsidRDefault="00313412" w:rsidP="005B63E2">
            <w:pPr>
              <w:pStyle w:val="TableText"/>
              <w:spacing w:before="180"/>
              <w:jc w:val="right"/>
              <w:rPr>
                <w:b/>
              </w:rPr>
            </w:pPr>
            <w:r w:rsidRPr="00BC0D1F">
              <w:rPr>
                <w:b/>
              </w:rPr>
              <w:t>663,555</w:t>
            </w:r>
          </w:p>
        </w:tc>
        <w:tc>
          <w:tcPr>
            <w:tcW w:w="1206" w:type="dxa"/>
            <w:tcBorders>
              <w:top w:val="nil"/>
              <w:bottom w:val="single" w:sz="4" w:space="0" w:color="A6A6A6"/>
            </w:tcBorders>
          </w:tcPr>
          <w:p w14:paraId="295BDD22" w14:textId="77777777" w:rsidR="00313412" w:rsidRPr="00BC0D1F" w:rsidRDefault="00313412" w:rsidP="005B63E2">
            <w:pPr>
              <w:pStyle w:val="TableText"/>
              <w:spacing w:before="180"/>
              <w:jc w:val="right"/>
              <w:rPr>
                <w:b/>
              </w:rPr>
            </w:pPr>
            <w:r w:rsidRPr="00BC0D1F">
              <w:rPr>
                <w:b/>
              </w:rPr>
              <w:t>541,235</w:t>
            </w:r>
          </w:p>
        </w:tc>
      </w:tr>
      <w:tr w:rsidR="005B63E2" w:rsidRPr="00BC0D1F" w14:paraId="7185827E" w14:textId="77777777" w:rsidTr="00F06348">
        <w:trPr>
          <w:cantSplit/>
        </w:trPr>
        <w:tc>
          <w:tcPr>
            <w:tcW w:w="1134" w:type="dxa"/>
            <w:tcBorders>
              <w:top w:val="single" w:sz="4" w:space="0" w:color="A6A6A6"/>
              <w:bottom w:val="nil"/>
              <w:right w:val="nil"/>
            </w:tcBorders>
            <w:shd w:val="solid" w:color="FFFFFF" w:fill="auto"/>
          </w:tcPr>
          <w:p w14:paraId="45703F45" w14:textId="77777777" w:rsidR="005B63E2" w:rsidRPr="00BC0D1F" w:rsidRDefault="005B63E2" w:rsidP="005B63E2">
            <w:pPr>
              <w:pStyle w:val="TableText"/>
              <w:spacing w:before="300"/>
              <w:ind w:right="284"/>
              <w:jc w:val="right"/>
            </w:pPr>
          </w:p>
        </w:tc>
        <w:tc>
          <w:tcPr>
            <w:tcW w:w="3969" w:type="dxa"/>
            <w:tcBorders>
              <w:top w:val="single" w:sz="4" w:space="0" w:color="A6A6A6"/>
              <w:left w:val="nil"/>
              <w:bottom w:val="nil"/>
            </w:tcBorders>
            <w:shd w:val="solid" w:color="FFFFFF" w:fill="auto"/>
          </w:tcPr>
          <w:p w14:paraId="7E381C25" w14:textId="77777777" w:rsidR="005B63E2" w:rsidRPr="00BC0D1F" w:rsidRDefault="005B63E2" w:rsidP="005B63E2">
            <w:pPr>
              <w:pStyle w:val="TableText"/>
              <w:spacing w:before="300"/>
              <w:rPr>
                <w:b/>
                <w:bCs/>
              </w:rPr>
            </w:pPr>
            <w:r w:rsidRPr="00BC0D1F">
              <w:rPr>
                <w:b/>
                <w:bCs/>
              </w:rPr>
              <w:t>Liabilities</w:t>
            </w:r>
          </w:p>
        </w:tc>
        <w:tc>
          <w:tcPr>
            <w:tcW w:w="709" w:type="dxa"/>
            <w:tcBorders>
              <w:top w:val="single" w:sz="4" w:space="0" w:color="A6A6A6"/>
              <w:left w:val="nil"/>
              <w:bottom w:val="nil"/>
            </w:tcBorders>
            <w:shd w:val="solid" w:color="FFFFFF" w:fill="auto"/>
          </w:tcPr>
          <w:p w14:paraId="499CAEBA" w14:textId="77777777" w:rsidR="005B63E2" w:rsidRPr="00BC0D1F" w:rsidRDefault="005B63E2" w:rsidP="005B63E2">
            <w:pPr>
              <w:pStyle w:val="TableText"/>
              <w:spacing w:before="300"/>
              <w:jc w:val="center"/>
              <w:rPr>
                <w:b/>
                <w:bCs/>
              </w:rPr>
            </w:pPr>
          </w:p>
        </w:tc>
        <w:tc>
          <w:tcPr>
            <w:tcW w:w="1133" w:type="dxa"/>
            <w:tcBorders>
              <w:top w:val="single" w:sz="4" w:space="0" w:color="A6A6A6"/>
              <w:bottom w:val="nil"/>
            </w:tcBorders>
            <w:shd w:val="clear" w:color="E3E3E3" w:fill="D9D9D9"/>
          </w:tcPr>
          <w:p w14:paraId="1AE7F601" w14:textId="77777777" w:rsidR="005B63E2" w:rsidRPr="00BC0D1F" w:rsidRDefault="005B63E2" w:rsidP="005B63E2">
            <w:pPr>
              <w:pStyle w:val="TableText"/>
              <w:spacing w:before="300"/>
              <w:ind w:right="113"/>
              <w:jc w:val="right"/>
            </w:pPr>
          </w:p>
        </w:tc>
        <w:tc>
          <w:tcPr>
            <w:tcW w:w="1205" w:type="dxa"/>
            <w:tcBorders>
              <w:top w:val="single" w:sz="4" w:space="0" w:color="A6A6A6"/>
              <w:bottom w:val="nil"/>
            </w:tcBorders>
          </w:tcPr>
          <w:p w14:paraId="4FD5556F" w14:textId="77777777" w:rsidR="005B63E2" w:rsidRPr="00BC0D1F" w:rsidRDefault="005B63E2" w:rsidP="005B63E2">
            <w:pPr>
              <w:pStyle w:val="TableText"/>
              <w:spacing w:before="300"/>
              <w:jc w:val="right"/>
            </w:pPr>
          </w:p>
        </w:tc>
        <w:tc>
          <w:tcPr>
            <w:tcW w:w="1206" w:type="dxa"/>
            <w:tcBorders>
              <w:top w:val="single" w:sz="4" w:space="0" w:color="A6A6A6"/>
              <w:bottom w:val="nil"/>
            </w:tcBorders>
          </w:tcPr>
          <w:p w14:paraId="463B71B2" w14:textId="77777777" w:rsidR="005B63E2" w:rsidRPr="00BC0D1F" w:rsidRDefault="005B63E2" w:rsidP="005B63E2">
            <w:pPr>
              <w:pStyle w:val="TableText"/>
              <w:spacing w:before="300"/>
              <w:jc w:val="right"/>
            </w:pPr>
          </w:p>
        </w:tc>
      </w:tr>
      <w:tr w:rsidR="005B63E2" w:rsidRPr="00BC0D1F" w14:paraId="056A035B" w14:textId="77777777" w:rsidTr="005B63E2">
        <w:trPr>
          <w:cantSplit/>
        </w:trPr>
        <w:tc>
          <w:tcPr>
            <w:tcW w:w="1134" w:type="dxa"/>
            <w:tcBorders>
              <w:top w:val="nil"/>
              <w:bottom w:val="nil"/>
              <w:right w:val="nil"/>
            </w:tcBorders>
            <w:shd w:val="solid" w:color="FFFFFF" w:fill="auto"/>
          </w:tcPr>
          <w:p w14:paraId="29EC0AE5" w14:textId="77777777" w:rsidR="005B63E2" w:rsidRPr="00BC0D1F" w:rsidRDefault="005B63E2" w:rsidP="005B63E2">
            <w:pPr>
              <w:pStyle w:val="TableText"/>
              <w:ind w:right="284"/>
              <w:jc w:val="right"/>
            </w:pPr>
          </w:p>
        </w:tc>
        <w:tc>
          <w:tcPr>
            <w:tcW w:w="3969" w:type="dxa"/>
            <w:tcBorders>
              <w:top w:val="nil"/>
              <w:left w:val="nil"/>
              <w:bottom w:val="nil"/>
            </w:tcBorders>
            <w:shd w:val="solid" w:color="FFFFFF" w:fill="auto"/>
          </w:tcPr>
          <w:p w14:paraId="5F6AB50D" w14:textId="77777777" w:rsidR="005B63E2" w:rsidRPr="00BC0D1F" w:rsidRDefault="005B63E2" w:rsidP="005B63E2">
            <w:pPr>
              <w:pStyle w:val="TableText"/>
            </w:pPr>
            <w:r w:rsidRPr="00BC0D1F">
              <w:t>Current liabilities</w:t>
            </w:r>
          </w:p>
        </w:tc>
        <w:tc>
          <w:tcPr>
            <w:tcW w:w="709" w:type="dxa"/>
            <w:tcBorders>
              <w:top w:val="nil"/>
              <w:left w:val="nil"/>
              <w:bottom w:val="nil"/>
            </w:tcBorders>
            <w:shd w:val="solid" w:color="FFFFFF" w:fill="auto"/>
          </w:tcPr>
          <w:p w14:paraId="1BB0A6F7" w14:textId="77777777" w:rsidR="005B63E2" w:rsidRPr="00BC0D1F" w:rsidRDefault="005B63E2" w:rsidP="005B63E2">
            <w:pPr>
              <w:pStyle w:val="TableText"/>
              <w:jc w:val="center"/>
              <w:rPr>
                <w:b/>
                <w:bCs/>
              </w:rPr>
            </w:pPr>
          </w:p>
        </w:tc>
        <w:tc>
          <w:tcPr>
            <w:tcW w:w="1133" w:type="dxa"/>
            <w:tcBorders>
              <w:top w:val="nil"/>
              <w:bottom w:val="nil"/>
            </w:tcBorders>
            <w:shd w:val="clear" w:color="E3E3E3" w:fill="D9D9D9"/>
          </w:tcPr>
          <w:p w14:paraId="63021324" w14:textId="77777777" w:rsidR="005B63E2" w:rsidRPr="00BC0D1F" w:rsidRDefault="005B63E2" w:rsidP="005B63E2">
            <w:pPr>
              <w:pStyle w:val="TableText"/>
              <w:ind w:right="113"/>
              <w:jc w:val="right"/>
            </w:pPr>
          </w:p>
        </w:tc>
        <w:tc>
          <w:tcPr>
            <w:tcW w:w="1205" w:type="dxa"/>
            <w:tcBorders>
              <w:top w:val="nil"/>
              <w:bottom w:val="nil"/>
            </w:tcBorders>
          </w:tcPr>
          <w:p w14:paraId="61A53BDF" w14:textId="77777777" w:rsidR="005B63E2" w:rsidRPr="00BC0D1F" w:rsidRDefault="005B63E2" w:rsidP="005B63E2">
            <w:pPr>
              <w:pStyle w:val="TableText"/>
              <w:jc w:val="right"/>
            </w:pPr>
          </w:p>
        </w:tc>
        <w:tc>
          <w:tcPr>
            <w:tcW w:w="1206" w:type="dxa"/>
            <w:tcBorders>
              <w:top w:val="nil"/>
              <w:bottom w:val="nil"/>
            </w:tcBorders>
          </w:tcPr>
          <w:p w14:paraId="1AF6B427" w14:textId="77777777" w:rsidR="005B63E2" w:rsidRPr="00BC0D1F" w:rsidRDefault="005B63E2" w:rsidP="005B63E2">
            <w:pPr>
              <w:pStyle w:val="TableText"/>
              <w:jc w:val="right"/>
            </w:pPr>
          </w:p>
        </w:tc>
      </w:tr>
      <w:tr w:rsidR="005B63E2" w:rsidRPr="00BC0D1F" w14:paraId="592F67B7" w14:textId="77777777" w:rsidTr="005B63E2">
        <w:trPr>
          <w:cantSplit/>
        </w:trPr>
        <w:tc>
          <w:tcPr>
            <w:tcW w:w="1134" w:type="dxa"/>
            <w:tcBorders>
              <w:top w:val="nil"/>
              <w:bottom w:val="nil"/>
              <w:right w:val="nil"/>
            </w:tcBorders>
            <w:shd w:val="solid" w:color="FFFFFF" w:fill="auto"/>
          </w:tcPr>
          <w:p w14:paraId="4F0F5C9A" w14:textId="77777777" w:rsidR="005B63E2" w:rsidRPr="00BC0D1F" w:rsidRDefault="005B63E2" w:rsidP="005B63E2">
            <w:pPr>
              <w:pStyle w:val="TableText"/>
              <w:ind w:right="284"/>
              <w:jc w:val="right"/>
            </w:pPr>
          </w:p>
        </w:tc>
        <w:tc>
          <w:tcPr>
            <w:tcW w:w="3969" w:type="dxa"/>
            <w:tcBorders>
              <w:top w:val="nil"/>
              <w:left w:val="nil"/>
              <w:bottom w:val="nil"/>
            </w:tcBorders>
            <w:shd w:val="solid" w:color="FFFFFF" w:fill="auto"/>
          </w:tcPr>
          <w:p w14:paraId="1B604FAC" w14:textId="77777777" w:rsidR="005B63E2" w:rsidRPr="00BC0D1F" w:rsidRDefault="005B63E2" w:rsidP="005B63E2">
            <w:pPr>
              <w:pStyle w:val="TableText"/>
            </w:pPr>
            <w:r w:rsidRPr="00BC0D1F">
              <w:t>Creditors and other payables:</w:t>
            </w:r>
          </w:p>
        </w:tc>
        <w:tc>
          <w:tcPr>
            <w:tcW w:w="709" w:type="dxa"/>
            <w:tcBorders>
              <w:top w:val="nil"/>
              <w:left w:val="nil"/>
              <w:bottom w:val="nil"/>
            </w:tcBorders>
            <w:shd w:val="solid" w:color="FFFFFF" w:fill="auto"/>
          </w:tcPr>
          <w:p w14:paraId="58DD3726" w14:textId="77777777" w:rsidR="005B63E2" w:rsidRPr="00BC0D1F" w:rsidRDefault="005B63E2" w:rsidP="005B63E2">
            <w:pPr>
              <w:pStyle w:val="TableText"/>
              <w:jc w:val="center"/>
            </w:pPr>
          </w:p>
        </w:tc>
        <w:tc>
          <w:tcPr>
            <w:tcW w:w="1133" w:type="dxa"/>
            <w:tcBorders>
              <w:top w:val="nil"/>
              <w:bottom w:val="nil"/>
            </w:tcBorders>
            <w:shd w:val="clear" w:color="E3E3E3" w:fill="D9D9D9"/>
          </w:tcPr>
          <w:p w14:paraId="39999974" w14:textId="77777777" w:rsidR="005B63E2" w:rsidRPr="00BC0D1F" w:rsidRDefault="005B63E2" w:rsidP="005B63E2">
            <w:pPr>
              <w:pStyle w:val="TableText"/>
              <w:ind w:right="113"/>
              <w:jc w:val="right"/>
            </w:pPr>
          </w:p>
        </w:tc>
        <w:tc>
          <w:tcPr>
            <w:tcW w:w="1205" w:type="dxa"/>
            <w:tcBorders>
              <w:top w:val="nil"/>
              <w:bottom w:val="nil"/>
            </w:tcBorders>
          </w:tcPr>
          <w:p w14:paraId="54A0B927" w14:textId="77777777" w:rsidR="005B63E2" w:rsidRPr="00BC0D1F" w:rsidRDefault="005B63E2" w:rsidP="005B63E2">
            <w:pPr>
              <w:pStyle w:val="TableText"/>
              <w:jc w:val="right"/>
            </w:pPr>
          </w:p>
        </w:tc>
        <w:tc>
          <w:tcPr>
            <w:tcW w:w="1206" w:type="dxa"/>
            <w:tcBorders>
              <w:top w:val="nil"/>
              <w:bottom w:val="nil"/>
            </w:tcBorders>
          </w:tcPr>
          <w:p w14:paraId="34EBE7FB" w14:textId="77777777" w:rsidR="005B63E2" w:rsidRPr="00BC0D1F" w:rsidRDefault="005B63E2" w:rsidP="005B63E2">
            <w:pPr>
              <w:pStyle w:val="TableText"/>
              <w:jc w:val="right"/>
            </w:pPr>
          </w:p>
        </w:tc>
      </w:tr>
      <w:tr w:rsidR="005B63E2" w:rsidRPr="00BC0D1F" w14:paraId="0BBA680F" w14:textId="77777777" w:rsidTr="005B63E2">
        <w:trPr>
          <w:cantSplit/>
        </w:trPr>
        <w:tc>
          <w:tcPr>
            <w:tcW w:w="1134" w:type="dxa"/>
            <w:tcBorders>
              <w:top w:val="nil"/>
              <w:bottom w:val="nil"/>
              <w:right w:val="nil"/>
            </w:tcBorders>
            <w:shd w:val="solid" w:color="FFFFFF" w:fill="auto"/>
          </w:tcPr>
          <w:p w14:paraId="0AAAC807" w14:textId="77777777" w:rsidR="005B63E2" w:rsidRPr="00BC0D1F" w:rsidRDefault="005B63E2" w:rsidP="005B63E2">
            <w:pPr>
              <w:pStyle w:val="TableText"/>
              <w:spacing w:before="0"/>
              <w:ind w:right="284"/>
              <w:jc w:val="right"/>
            </w:pPr>
            <w:r w:rsidRPr="00BC0D1F">
              <w:t>4,845</w:t>
            </w:r>
          </w:p>
        </w:tc>
        <w:tc>
          <w:tcPr>
            <w:tcW w:w="3969" w:type="dxa"/>
            <w:tcBorders>
              <w:top w:val="nil"/>
              <w:left w:val="nil"/>
              <w:bottom w:val="nil"/>
            </w:tcBorders>
            <w:shd w:val="solid" w:color="FFFFFF" w:fill="auto"/>
          </w:tcPr>
          <w:p w14:paraId="54C86146" w14:textId="77777777" w:rsidR="005B63E2" w:rsidRPr="00BC0D1F" w:rsidRDefault="005B63E2" w:rsidP="005B63E2">
            <w:pPr>
              <w:pStyle w:val="TableText"/>
              <w:spacing w:before="0"/>
              <w:ind w:left="284"/>
            </w:pPr>
            <w:r w:rsidRPr="00BC0D1F">
              <w:t>District Health Boards</w:t>
            </w:r>
          </w:p>
        </w:tc>
        <w:tc>
          <w:tcPr>
            <w:tcW w:w="709" w:type="dxa"/>
            <w:tcBorders>
              <w:top w:val="nil"/>
              <w:left w:val="nil"/>
              <w:bottom w:val="nil"/>
            </w:tcBorders>
            <w:shd w:val="solid" w:color="FFFFFF" w:fill="auto"/>
          </w:tcPr>
          <w:p w14:paraId="2648A521" w14:textId="77777777" w:rsidR="005B63E2" w:rsidRPr="00BC0D1F" w:rsidRDefault="005B63E2" w:rsidP="005B63E2">
            <w:pPr>
              <w:pStyle w:val="TableText"/>
              <w:spacing w:before="0"/>
              <w:jc w:val="center"/>
              <w:rPr>
                <w:b/>
                <w:bCs/>
              </w:rPr>
            </w:pPr>
          </w:p>
        </w:tc>
        <w:tc>
          <w:tcPr>
            <w:tcW w:w="1133" w:type="dxa"/>
            <w:tcBorders>
              <w:top w:val="nil"/>
              <w:bottom w:val="nil"/>
            </w:tcBorders>
            <w:shd w:val="clear" w:color="E3E3E3" w:fill="D9D9D9"/>
          </w:tcPr>
          <w:p w14:paraId="4BF3AFA4" w14:textId="77777777" w:rsidR="005B63E2" w:rsidRPr="00BC0D1F" w:rsidRDefault="005B63E2" w:rsidP="005B63E2">
            <w:pPr>
              <w:pStyle w:val="TableText"/>
              <w:spacing w:before="0"/>
              <w:ind w:right="113"/>
              <w:jc w:val="right"/>
            </w:pPr>
            <w:r w:rsidRPr="00BC0D1F">
              <w:t>20,114</w:t>
            </w:r>
          </w:p>
        </w:tc>
        <w:tc>
          <w:tcPr>
            <w:tcW w:w="1205" w:type="dxa"/>
            <w:tcBorders>
              <w:top w:val="nil"/>
              <w:bottom w:val="nil"/>
            </w:tcBorders>
          </w:tcPr>
          <w:p w14:paraId="5EA5F973" w14:textId="77777777" w:rsidR="005B63E2" w:rsidRPr="00BC0D1F" w:rsidRDefault="005B63E2" w:rsidP="005B63E2">
            <w:pPr>
              <w:pStyle w:val="TableText"/>
              <w:spacing w:before="0"/>
              <w:jc w:val="right"/>
            </w:pPr>
            <w:r w:rsidRPr="00BC0D1F">
              <w:t>-</w:t>
            </w:r>
          </w:p>
        </w:tc>
        <w:tc>
          <w:tcPr>
            <w:tcW w:w="1206" w:type="dxa"/>
            <w:tcBorders>
              <w:top w:val="nil"/>
              <w:bottom w:val="nil"/>
            </w:tcBorders>
          </w:tcPr>
          <w:p w14:paraId="205F8693" w14:textId="77777777" w:rsidR="005B63E2" w:rsidRPr="00BC0D1F" w:rsidRDefault="005B63E2" w:rsidP="005B63E2">
            <w:pPr>
              <w:pStyle w:val="TableText"/>
              <w:spacing w:before="0"/>
              <w:jc w:val="right"/>
            </w:pPr>
            <w:r w:rsidRPr="00BC0D1F">
              <w:t>-</w:t>
            </w:r>
          </w:p>
        </w:tc>
      </w:tr>
      <w:tr w:rsidR="005B63E2" w:rsidRPr="00BC0D1F" w14:paraId="166BC8DD" w14:textId="77777777" w:rsidTr="005B63E2">
        <w:trPr>
          <w:cantSplit/>
        </w:trPr>
        <w:tc>
          <w:tcPr>
            <w:tcW w:w="1134" w:type="dxa"/>
            <w:tcBorders>
              <w:top w:val="nil"/>
              <w:bottom w:val="nil"/>
              <w:right w:val="nil"/>
            </w:tcBorders>
            <w:shd w:val="solid" w:color="FFFFFF" w:fill="auto"/>
          </w:tcPr>
          <w:p w14:paraId="0936B2D6" w14:textId="77777777" w:rsidR="005B63E2" w:rsidRPr="00BC0D1F" w:rsidRDefault="005B63E2" w:rsidP="005B63E2">
            <w:pPr>
              <w:pStyle w:val="TableText"/>
              <w:spacing w:before="0"/>
              <w:ind w:right="284"/>
              <w:jc w:val="right"/>
            </w:pPr>
            <w:r w:rsidRPr="00BC0D1F">
              <w:t>19,761</w:t>
            </w:r>
          </w:p>
        </w:tc>
        <w:tc>
          <w:tcPr>
            <w:tcW w:w="3969" w:type="dxa"/>
            <w:tcBorders>
              <w:top w:val="nil"/>
              <w:left w:val="nil"/>
              <w:bottom w:val="nil"/>
            </w:tcBorders>
            <w:shd w:val="solid" w:color="FFFFFF" w:fill="auto"/>
          </w:tcPr>
          <w:p w14:paraId="127775BD" w14:textId="77777777" w:rsidR="005B63E2" w:rsidRPr="00BC0D1F" w:rsidRDefault="005B63E2" w:rsidP="005B63E2">
            <w:pPr>
              <w:pStyle w:val="TableText"/>
              <w:spacing w:before="0"/>
              <w:ind w:left="284"/>
            </w:pPr>
            <w:r w:rsidRPr="00BC0D1F">
              <w:t>Other payables</w:t>
            </w:r>
          </w:p>
        </w:tc>
        <w:tc>
          <w:tcPr>
            <w:tcW w:w="709" w:type="dxa"/>
            <w:tcBorders>
              <w:top w:val="nil"/>
              <w:left w:val="nil"/>
              <w:bottom w:val="nil"/>
            </w:tcBorders>
            <w:shd w:val="solid" w:color="FFFFFF" w:fill="auto"/>
          </w:tcPr>
          <w:p w14:paraId="0BEC9DC5" w14:textId="77777777" w:rsidR="005B63E2" w:rsidRPr="00BC0D1F" w:rsidRDefault="005B63E2" w:rsidP="005B63E2">
            <w:pPr>
              <w:pStyle w:val="TableText"/>
              <w:spacing w:before="0"/>
              <w:jc w:val="center"/>
              <w:rPr>
                <w:b/>
                <w:bCs/>
              </w:rPr>
            </w:pPr>
            <w:r w:rsidRPr="00BC0D1F">
              <w:rPr>
                <w:b/>
                <w:bCs/>
              </w:rPr>
              <w:t>2.15</w:t>
            </w:r>
          </w:p>
        </w:tc>
        <w:tc>
          <w:tcPr>
            <w:tcW w:w="1133" w:type="dxa"/>
            <w:tcBorders>
              <w:top w:val="nil"/>
              <w:bottom w:val="nil"/>
            </w:tcBorders>
            <w:shd w:val="clear" w:color="E3E3E3" w:fill="D9D9D9"/>
          </w:tcPr>
          <w:p w14:paraId="0F6D3455" w14:textId="77777777" w:rsidR="005B63E2" w:rsidRPr="00BC0D1F" w:rsidRDefault="005B63E2" w:rsidP="005B63E2">
            <w:pPr>
              <w:pStyle w:val="TableText"/>
              <w:spacing w:before="0"/>
              <w:ind w:right="113"/>
              <w:jc w:val="right"/>
            </w:pPr>
            <w:r w:rsidRPr="00BC0D1F">
              <w:t>35,397</w:t>
            </w:r>
          </w:p>
        </w:tc>
        <w:tc>
          <w:tcPr>
            <w:tcW w:w="1205" w:type="dxa"/>
            <w:tcBorders>
              <w:top w:val="nil"/>
              <w:bottom w:val="nil"/>
            </w:tcBorders>
          </w:tcPr>
          <w:p w14:paraId="6B7D6955" w14:textId="77777777" w:rsidR="005B63E2" w:rsidRPr="00BC0D1F" w:rsidRDefault="005B63E2" w:rsidP="005B63E2">
            <w:pPr>
              <w:pStyle w:val="TableText"/>
              <w:spacing w:before="0"/>
              <w:jc w:val="right"/>
            </w:pPr>
            <w:r w:rsidRPr="00BC0D1F">
              <w:t>-</w:t>
            </w:r>
          </w:p>
        </w:tc>
        <w:tc>
          <w:tcPr>
            <w:tcW w:w="1206" w:type="dxa"/>
            <w:tcBorders>
              <w:top w:val="nil"/>
              <w:bottom w:val="nil"/>
            </w:tcBorders>
          </w:tcPr>
          <w:p w14:paraId="453ED485" w14:textId="77777777" w:rsidR="005B63E2" w:rsidRPr="00BC0D1F" w:rsidRDefault="005B63E2" w:rsidP="005B63E2">
            <w:pPr>
              <w:pStyle w:val="TableText"/>
              <w:spacing w:before="0"/>
              <w:jc w:val="right"/>
            </w:pPr>
            <w:r w:rsidRPr="00BC0D1F">
              <w:t>-</w:t>
            </w:r>
          </w:p>
        </w:tc>
      </w:tr>
      <w:tr w:rsidR="005B63E2" w:rsidRPr="00BC0D1F" w14:paraId="0A16A314" w14:textId="77777777" w:rsidTr="005B63E2">
        <w:trPr>
          <w:cantSplit/>
        </w:trPr>
        <w:tc>
          <w:tcPr>
            <w:tcW w:w="1134" w:type="dxa"/>
            <w:tcBorders>
              <w:top w:val="nil"/>
              <w:bottom w:val="nil"/>
              <w:right w:val="nil"/>
            </w:tcBorders>
            <w:shd w:val="solid" w:color="FFFFFF" w:fill="auto"/>
          </w:tcPr>
          <w:p w14:paraId="400571E5" w14:textId="77777777" w:rsidR="005B63E2" w:rsidRPr="00BC0D1F" w:rsidRDefault="005B63E2" w:rsidP="005B63E2">
            <w:pPr>
              <w:pStyle w:val="TableText"/>
              <w:ind w:right="284"/>
              <w:jc w:val="right"/>
            </w:pPr>
          </w:p>
        </w:tc>
        <w:tc>
          <w:tcPr>
            <w:tcW w:w="3969" w:type="dxa"/>
            <w:tcBorders>
              <w:top w:val="nil"/>
              <w:left w:val="nil"/>
              <w:bottom w:val="nil"/>
            </w:tcBorders>
            <w:shd w:val="solid" w:color="FFFFFF" w:fill="auto"/>
          </w:tcPr>
          <w:p w14:paraId="2BEF2D18" w14:textId="77777777" w:rsidR="005B63E2" w:rsidRPr="00BC0D1F" w:rsidRDefault="005B63E2" w:rsidP="005B63E2">
            <w:pPr>
              <w:pStyle w:val="TableText"/>
            </w:pPr>
            <w:r w:rsidRPr="00BC0D1F">
              <w:t>Accrued liabilities and provisions:</w:t>
            </w:r>
          </w:p>
        </w:tc>
        <w:tc>
          <w:tcPr>
            <w:tcW w:w="709" w:type="dxa"/>
            <w:tcBorders>
              <w:top w:val="nil"/>
              <w:left w:val="nil"/>
              <w:bottom w:val="nil"/>
            </w:tcBorders>
            <w:shd w:val="solid" w:color="FFFFFF" w:fill="auto"/>
          </w:tcPr>
          <w:p w14:paraId="11A1AF76" w14:textId="77777777" w:rsidR="005B63E2" w:rsidRPr="00BC0D1F" w:rsidRDefault="005B63E2" w:rsidP="005B63E2">
            <w:pPr>
              <w:pStyle w:val="TableText"/>
              <w:jc w:val="center"/>
              <w:rPr>
                <w:b/>
                <w:bCs/>
              </w:rPr>
            </w:pPr>
          </w:p>
        </w:tc>
        <w:tc>
          <w:tcPr>
            <w:tcW w:w="1133" w:type="dxa"/>
            <w:tcBorders>
              <w:top w:val="nil"/>
              <w:bottom w:val="nil"/>
            </w:tcBorders>
            <w:shd w:val="clear" w:color="E3E3E3" w:fill="D9D9D9"/>
          </w:tcPr>
          <w:p w14:paraId="02D50F1F" w14:textId="77777777" w:rsidR="005B63E2" w:rsidRPr="00BC0D1F" w:rsidRDefault="005B63E2" w:rsidP="005B63E2">
            <w:pPr>
              <w:pStyle w:val="TableText"/>
              <w:ind w:right="113"/>
              <w:jc w:val="right"/>
            </w:pPr>
          </w:p>
        </w:tc>
        <w:tc>
          <w:tcPr>
            <w:tcW w:w="1205" w:type="dxa"/>
            <w:tcBorders>
              <w:top w:val="nil"/>
              <w:bottom w:val="nil"/>
            </w:tcBorders>
          </w:tcPr>
          <w:p w14:paraId="42B1D627" w14:textId="77777777" w:rsidR="005B63E2" w:rsidRPr="00BC0D1F" w:rsidRDefault="005B63E2" w:rsidP="005B63E2">
            <w:pPr>
              <w:pStyle w:val="TableText"/>
              <w:jc w:val="right"/>
            </w:pPr>
          </w:p>
        </w:tc>
        <w:tc>
          <w:tcPr>
            <w:tcW w:w="1206" w:type="dxa"/>
            <w:tcBorders>
              <w:top w:val="nil"/>
              <w:bottom w:val="nil"/>
            </w:tcBorders>
          </w:tcPr>
          <w:p w14:paraId="3B71715C" w14:textId="77777777" w:rsidR="005B63E2" w:rsidRPr="00BC0D1F" w:rsidRDefault="005B63E2" w:rsidP="005B63E2">
            <w:pPr>
              <w:pStyle w:val="TableText"/>
              <w:jc w:val="right"/>
            </w:pPr>
          </w:p>
        </w:tc>
      </w:tr>
      <w:tr w:rsidR="005B63E2" w:rsidRPr="00BC0D1F" w14:paraId="2E5B69DF" w14:textId="77777777" w:rsidTr="005B63E2">
        <w:trPr>
          <w:cantSplit/>
        </w:trPr>
        <w:tc>
          <w:tcPr>
            <w:tcW w:w="1134" w:type="dxa"/>
            <w:tcBorders>
              <w:top w:val="nil"/>
              <w:bottom w:val="nil"/>
              <w:right w:val="nil"/>
            </w:tcBorders>
            <w:shd w:val="solid" w:color="FFFFFF" w:fill="auto"/>
          </w:tcPr>
          <w:p w14:paraId="217AE2C6" w14:textId="77777777" w:rsidR="005B63E2" w:rsidRPr="00BC0D1F" w:rsidRDefault="005B63E2" w:rsidP="005B63E2">
            <w:pPr>
              <w:pStyle w:val="TableText"/>
              <w:spacing w:before="0"/>
              <w:ind w:right="284"/>
              <w:jc w:val="right"/>
            </w:pPr>
            <w:r w:rsidRPr="00BC0D1F">
              <w:t>219,138</w:t>
            </w:r>
          </w:p>
        </w:tc>
        <w:tc>
          <w:tcPr>
            <w:tcW w:w="3969" w:type="dxa"/>
            <w:tcBorders>
              <w:top w:val="nil"/>
              <w:left w:val="nil"/>
              <w:bottom w:val="nil"/>
            </w:tcBorders>
            <w:shd w:val="solid" w:color="FFFFFF" w:fill="auto"/>
          </w:tcPr>
          <w:p w14:paraId="025A9BBA" w14:textId="77777777" w:rsidR="005B63E2" w:rsidRPr="00BC0D1F" w:rsidRDefault="005B63E2" w:rsidP="005B63E2">
            <w:pPr>
              <w:pStyle w:val="TableText"/>
              <w:spacing w:before="0"/>
              <w:ind w:left="142"/>
            </w:pPr>
            <w:r w:rsidRPr="00BC0D1F">
              <w:t>District Health Boards</w:t>
            </w:r>
          </w:p>
        </w:tc>
        <w:tc>
          <w:tcPr>
            <w:tcW w:w="709" w:type="dxa"/>
            <w:tcBorders>
              <w:top w:val="nil"/>
              <w:left w:val="nil"/>
              <w:bottom w:val="nil"/>
            </w:tcBorders>
            <w:shd w:val="solid" w:color="FFFFFF" w:fill="auto"/>
          </w:tcPr>
          <w:p w14:paraId="6914E138" w14:textId="77777777" w:rsidR="005B63E2" w:rsidRPr="00BC0D1F" w:rsidRDefault="005B63E2" w:rsidP="005B63E2">
            <w:pPr>
              <w:pStyle w:val="TableText"/>
              <w:spacing w:before="0"/>
              <w:jc w:val="center"/>
              <w:rPr>
                <w:b/>
                <w:bCs/>
              </w:rPr>
            </w:pPr>
          </w:p>
        </w:tc>
        <w:tc>
          <w:tcPr>
            <w:tcW w:w="1133" w:type="dxa"/>
            <w:tcBorders>
              <w:top w:val="nil"/>
              <w:bottom w:val="nil"/>
            </w:tcBorders>
            <w:shd w:val="clear" w:color="E3E3E3" w:fill="D9D9D9"/>
          </w:tcPr>
          <w:p w14:paraId="61111974" w14:textId="77777777" w:rsidR="005B63E2" w:rsidRPr="00BC0D1F" w:rsidRDefault="005B63E2" w:rsidP="005B63E2">
            <w:pPr>
              <w:pStyle w:val="TableText"/>
              <w:spacing w:before="0"/>
              <w:ind w:right="113"/>
              <w:jc w:val="right"/>
            </w:pPr>
            <w:r w:rsidRPr="00BC0D1F">
              <w:t>195,423</w:t>
            </w:r>
          </w:p>
        </w:tc>
        <w:tc>
          <w:tcPr>
            <w:tcW w:w="1205" w:type="dxa"/>
            <w:tcBorders>
              <w:top w:val="nil"/>
              <w:bottom w:val="nil"/>
            </w:tcBorders>
          </w:tcPr>
          <w:p w14:paraId="680A6E80" w14:textId="77777777" w:rsidR="005B63E2" w:rsidRPr="00BC0D1F" w:rsidRDefault="005B63E2" w:rsidP="005B63E2">
            <w:pPr>
              <w:pStyle w:val="TableText"/>
              <w:spacing w:before="0"/>
              <w:jc w:val="right"/>
            </w:pPr>
            <w:r w:rsidRPr="00BC0D1F">
              <w:t>233,575</w:t>
            </w:r>
          </w:p>
        </w:tc>
        <w:tc>
          <w:tcPr>
            <w:tcW w:w="1206" w:type="dxa"/>
            <w:tcBorders>
              <w:top w:val="nil"/>
              <w:bottom w:val="nil"/>
            </w:tcBorders>
          </w:tcPr>
          <w:p w14:paraId="733E0BE6" w14:textId="77777777" w:rsidR="005B63E2" w:rsidRPr="00BC0D1F" w:rsidRDefault="005B63E2" w:rsidP="005B63E2">
            <w:pPr>
              <w:pStyle w:val="TableText"/>
              <w:spacing w:before="0"/>
              <w:jc w:val="right"/>
            </w:pPr>
            <w:r w:rsidRPr="00BC0D1F">
              <w:t>232,267</w:t>
            </w:r>
          </w:p>
        </w:tc>
      </w:tr>
      <w:tr w:rsidR="005B63E2" w:rsidRPr="00BC0D1F" w14:paraId="60A35AB3" w14:textId="77777777" w:rsidTr="005B63E2">
        <w:trPr>
          <w:cantSplit/>
        </w:trPr>
        <w:tc>
          <w:tcPr>
            <w:tcW w:w="1134" w:type="dxa"/>
            <w:tcBorders>
              <w:top w:val="nil"/>
              <w:bottom w:val="nil"/>
              <w:right w:val="nil"/>
            </w:tcBorders>
            <w:shd w:val="solid" w:color="FFFFFF" w:fill="auto"/>
          </w:tcPr>
          <w:p w14:paraId="03F95879" w14:textId="77777777" w:rsidR="005B63E2" w:rsidRPr="00BC0D1F" w:rsidRDefault="005B63E2" w:rsidP="005B63E2">
            <w:pPr>
              <w:pStyle w:val="TableText"/>
              <w:spacing w:before="0"/>
              <w:ind w:right="284"/>
              <w:jc w:val="right"/>
            </w:pPr>
            <w:r w:rsidRPr="00BC0D1F">
              <w:t>1,079</w:t>
            </w:r>
          </w:p>
        </w:tc>
        <w:tc>
          <w:tcPr>
            <w:tcW w:w="3969" w:type="dxa"/>
            <w:tcBorders>
              <w:top w:val="nil"/>
              <w:left w:val="nil"/>
              <w:bottom w:val="nil"/>
            </w:tcBorders>
            <w:shd w:val="solid" w:color="FFFFFF" w:fill="auto"/>
          </w:tcPr>
          <w:p w14:paraId="0FC3BFE0" w14:textId="77777777" w:rsidR="005B63E2" w:rsidRPr="00BC0D1F" w:rsidRDefault="005B63E2" w:rsidP="005B63E2">
            <w:pPr>
              <w:pStyle w:val="TableText"/>
              <w:spacing w:before="0"/>
              <w:ind w:left="142"/>
            </w:pPr>
            <w:r w:rsidRPr="00BC0D1F">
              <w:t>Other Crown entities</w:t>
            </w:r>
          </w:p>
        </w:tc>
        <w:tc>
          <w:tcPr>
            <w:tcW w:w="709" w:type="dxa"/>
            <w:tcBorders>
              <w:top w:val="nil"/>
              <w:left w:val="nil"/>
              <w:bottom w:val="nil"/>
            </w:tcBorders>
            <w:shd w:val="solid" w:color="FFFFFF" w:fill="auto"/>
          </w:tcPr>
          <w:p w14:paraId="63A4A467" w14:textId="77777777" w:rsidR="005B63E2" w:rsidRPr="00BC0D1F" w:rsidRDefault="005B63E2" w:rsidP="005B63E2">
            <w:pPr>
              <w:pStyle w:val="TableText"/>
              <w:spacing w:before="0"/>
              <w:jc w:val="center"/>
            </w:pPr>
          </w:p>
        </w:tc>
        <w:tc>
          <w:tcPr>
            <w:tcW w:w="1133" w:type="dxa"/>
            <w:tcBorders>
              <w:top w:val="nil"/>
              <w:bottom w:val="nil"/>
            </w:tcBorders>
            <w:shd w:val="clear" w:color="E3E3E3" w:fill="D9D9D9"/>
          </w:tcPr>
          <w:p w14:paraId="3E43EDD1" w14:textId="77777777" w:rsidR="005B63E2" w:rsidRPr="00BC0D1F" w:rsidRDefault="005B63E2" w:rsidP="005B63E2">
            <w:pPr>
              <w:pStyle w:val="TableText"/>
              <w:spacing w:before="0"/>
              <w:ind w:right="113"/>
              <w:jc w:val="right"/>
            </w:pPr>
            <w:r w:rsidRPr="00BC0D1F">
              <w:t>1,147</w:t>
            </w:r>
          </w:p>
        </w:tc>
        <w:tc>
          <w:tcPr>
            <w:tcW w:w="1205" w:type="dxa"/>
            <w:tcBorders>
              <w:top w:val="nil"/>
              <w:bottom w:val="nil"/>
            </w:tcBorders>
          </w:tcPr>
          <w:p w14:paraId="4F074211" w14:textId="77777777" w:rsidR="005B63E2" w:rsidRPr="00BC0D1F" w:rsidRDefault="005B63E2" w:rsidP="005B63E2">
            <w:pPr>
              <w:pStyle w:val="TableText"/>
              <w:spacing w:before="0"/>
              <w:jc w:val="right"/>
              <w:rPr>
                <w:bCs/>
              </w:rPr>
            </w:pPr>
            <w:r w:rsidRPr="00BC0D1F">
              <w:rPr>
                <w:bCs/>
              </w:rPr>
              <w:t>–</w:t>
            </w:r>
          </w:p>
        </w:tc>
        <w:tc>
          <w:tcPr>
            <w:tcW w:w="1206" w:type="dxa"/>
            <w:tcBorders>
              <w:top w:val="nil"/>
              <w:bottom w:val="nil"/>
            </w:tcBorders>
          </w:tcPr>
          <w:p w14:paraId="647E6987" w14:textId="77777777" w:rsidR="005B63E2" w:rsidRPr="00BC0D1F" w:rsidRDefault="005B63E2" w:rsidP="005B63E2">
            <w:pPr>
              <w:pStyle w:val="TableText"/>
              <w:spacing w:before="0"/>
              <w:jc w:val="right"/>
              <w:rPr>
                <w:bCs/>
              </w:rPr>
            </w:pPr>
            <w:r w:rsidRPr="00BC0D1F">
              <w:rPr>
                <w:bCs/>
              </w:rPr>
              <w:t>–</w:t>
            </w:r>
          </w:p>
        </w:tc>
      </w:tr>
      <w:tr w:rsidR="005B63E2" w:rsidRPr="00BC0D1F" w14:paraId="3FEFAED6" w14:textId="77777777" w:rsidTr="005B63E2">
        <w:trPr>
          <w:cantSplit/>
        </w:trPr>
        <w:tc>
          <w:tcPr>
            <w:tcW w:w="1134" w:type="dxa"/>
            <w:tcBorders>
              <w:top w:val="nil"/>
              <w:bottom w:val="nil"/>
              <w:right w:val="nil"/>
            </w:tcBorders>
            <w:shd w:val="solid" w:color="FFFFFF" w:fill="auto"/>
          </w:tcPr>
          <w:p w14:paraId="75DB6C20" w14:textId="77777777" w:rsidR="005B63E2" w:rsidRPr="00BC0D1F" w:rsidRDefault="005B63E2" w:rsidP="005B63E2">
            <w:pPr>
              <w:pStyle w:val="TableText"/>
              <w:spacing w:before="0"/>
              <w:ind w:right="284"/>
              <w:jc w:val="right"/>
            </w:pPr>
            <w:r w:rsidRPr="00BC0D1F">
              <w:t>165,802</w:t>
            </w:r>
          </w:p>
        </w:tc>
        <w:tc>
          <w:tcPr>
            <w:tcW w:w="3969" w:type="dxa"/>
            <w:tcBorders>
              <w:top w:val="nil"/>
              <w:left w:val="nil"/>
              <w:bottom w:val="nil"/>
            </w:tcBorders>
            <w:shd w:val="solid" w:color="FFFFFF" w:fill="auto"/>
          </w:tcPr>
          <w:p w14:paraId="7DD0056D" w14:textId="77777777" w:rsidR="005B63E2" w:rsidRPr="00BC0D1F" w:rsidRDefault="005B63E2" w:rsidP="005B63E2">
            <w:pPr>
              <w:pStyle w:val="TableText"/>
              <w:spacing w:before="0"/>
              <w:ind w:left="142"/>
            </w:pPr>
            <w:r w:rsidRPr="00BC0D1F">
              <w:t>Other accrued liabilities</w:t>
            </w:r>
          </w:p>
        </w:tc>
        <w:tc>
          <w:tcPr>
            <w:tcW w:w="709" w:type="dxa"/>
            <w:tcBorders>
              <w:top w:val="nil"/>
              <w:left w:val="nil"/>
              <w:bottom w:val="nil"/>
            </w:tcBorders>
            <w:shd w:val="solid" w:color="FFFFFF" w:fill="auto"/>
          </w:tcPr>
          <w:p w14:paraId="306D25E7" w14:textId="77777777" w:rsidR="005B63E2" w:rsidRPr="00BC0D1F" w:rsidRDefault="005B63E2" w:rsidP="005B63E2">
            <w:pPr>
              <w:pStyle w:val="TableText"/>
              <w:spacing w:before="0"/>
              <w:jc w:val="center"/>
              <w:rPr>
                <w:b/>
                <w:bCs/>
              </w:rPr>
            </w:pPr>
          </w:p>
        </w:tc>
        <w:tc>
          <w:tcPr>
            <w:tcW w:w="1133" w:type="dxa"/>
            <w:tcBorders>
              <w:top w:val="nil"/>
              <w:bottom w:val="nil"/>
            </w:tcBorders>
            <w:shd w:val="clear" w:color="E3E3E3" w:fill="D9D9D9"/>
          </w:tcPr>
          <w:p w14:paraId="6653D9C5" w14:textId="77777777" w:rsidR="005B63E2" w:rsidRPr="00BC0D1F" w:rsidRDefault="005B63E2" w:rsidP="005B63E2">
            <w:pPr>
              <w:pStyle w:val="TableText"/>
              <w:spacing w:before="0"/>
              <w:ind w:right="113"/>
              <w:jc w:val="right"/>
            </w:pPr>
            <w:r w:rsidRPr="00BC0D1F">
              <w:t>158,329</w:t>
            </w:r>
          </w:p>
        </w:tc>
        <w:tc>
          <w:tcPr>
            <w:tcW w:w="1205" w:type="dxa"/>
            <w:tcBorders>
              <w:top w:val="nil"/>
              <w:bottom w:val="nil"/>
            </w:tcBorders>
          </w:tcPr>
          <w:p w14:paraId="39D64604" w14:textId="77777777" w:rsidR="005B63E2" w:rsidRPr="00BC0D1F" w:rsidRDefault="005B63E2" w:rsidP="005B63E2">
            <w:pPr>
              <w:pStyle w:val="TableText"/>
              <w:spacing w:before="0"/>
              <w:jc w:val="right"/>
            </w:pPr>
            <w:r w:rsidRPr="00BC0D1F">
              <w:t>240,815</w:t>
            </w:r>
          </w:p>
        </w:tc>
        <w:tc>
          <w:tcPr>
            <w:tcW w:w="1206" w:type="dxa"/>
            <w:tcBorders>
              <w:top w:val="nil"/>
              <w:bottom w:val="nil"/>
            </w:tcBorders>
          </w:tcPr>
          <w:p w14:paraId="6C48CD0F" w14:textId="77777777" w:rsidR="005B63E2" w:rsidRPr="00BC0D1F" w:rsidRDefault="005B63E2" w:rsidP="005B63E2">
            <w:pPr>
              <w:pStyle w:val="TableText"/>
              <w:spacing w:before="0"/>
              <w:jc w:val="right"/>
            </w:pPr>
            <w:r w:rsidRPr="00BC0D1F">
              <w:t>168,790</w:t>
            </w:r>
          </w:p>
        </w:tc>
      </w:tr>
      <w:tr w:rsidR="005B63E2" w:rsidRPr="00BC0D1F" w14:paraId="3C133F20" w14:textId="77777777" w:rsidTr="00313412">
        <w:trPr>
          <w:cantSplit/>
        </w:trPr>
        <w:tc>
          <w:tcPr>
            <w:tcW w:w="1134" w:type="dxa"/>
            <w:tcBorders>
              <w:top w:val="nil"/>
              <w:bottom w:val="single" w:sz="4" w:space="0" w:color="auto"/>
              <w:right w:val="nil"/>
            </w:tcBorders>
            <w:shd w:val="solid" w:color="FFFFFF" w:fill="auto"/>
          </w:tcPr>
          <w:p w14:paraId="69132148" w14:textId="77777777" w:rsidR="005B63E2" w:rsidRPr="00BC0D1F" w:rsidRDefault="005B63E2" w:rsidP="005B63E2">
            <w:pPr>
              <w:pStyle w:val="TableText"/>
              <w:spacing w:before="180"/>
              <w:ind w:right="284"/>
              <w:jc w:val="right"/>
              <w:rPr>
                <w:b/>
                <w:bCs/>
              </w:rPr>
            </w:pPr>
            <w:r w:rsidRPr="00BC0D1F">
              <w:rPr>
                <w:b/>
                <w:bCs/>
              </w:rPr>
              <w:t>410,625</w:t>
            </w:r>
          </w:p>
        </w:tc>
        <w:tc>
          <w:tcPr>
            <w:tcW w:w="3969" w:type="dxa"/>
            <w:tcBorders>
              <w:top w:val="nil"/>
              <w:left w:val="nil"/>
              <w:bottom w:val="single" w:sz="4" w:space="0" w:color="auto"/>
            </w:tcBorders>
            <w:shd w:val="solid" w:color="FFFFFF" w:fill="auto"/>
          </w:tcPr>
          <w:p w14:paraId="1DF0A352" w14:textId="77777777" w:rsidR="005B63E2" w:rsidRPr="00BC0D1F" w:rsidRDefault="005B63E2" w:rsidP="005B63E2">
            <w:pPr>
              <w:pStyle w:val="TableText"/>
              <w:spacing w:before="180"/>
              <w:rPr>
                <w:b/>
                <w:bCs/>
              </w:rPr>
            </w:pPr>
            <w:r w:rsidRPr="00BC0D1F">
              <w:rPr>
                <w:b/>
                <w:bCs/>
              </w:rPr>
              <w:t>Total non-departmental liabilities</w:t>
            </w:r>
          </w:p>
        </w:tc>
        <w:tc>
          <w:tcPr>
            <w:tcW w:w="709" w:type="dxa"/>
            <w:tcBorders>
              <w:top w:val="nil"/>
              <w:left w:val="nil"/>
              <w:bottom w:val="single" w:sz="4" w:space="0" w:color="auto"/>
            </w:tcBorders>
            <w:shd w:val="solid" w:color="FFFFFF" w:fill="auto"/>
          </w:tcPr>
          <w:p w14:paraId="33B6444D" w14:textId="77777777" w:rsidR="005B63E2" w:rsidRPr="00BC0D1F" w:rsidRDefault="005B63E2" w:rsidP="005B63E2">
            <w:pPr>
              <w:pStyle w:val="TableText"/>
              <w:spacing w:before="180"/>
              <w:jc w:val="center"/>
              <w:rPr>
                <w:b/>
                <w:bCs/>
              </w:rPr>
            </w:pPr>
          </w:p>
        </w:tc>
        <w:tc>
          <w:tcPr>
            <w:tcW w:w="1133" w:type="dxa"/>
            <w:tcBorders>
              <w:top w:val="nil"/>
              <w:bottom w:val="single" w:sz="4" w:space="0" w:color="auto"/>
            </w:tcBorders>
            <w:shd w:val="clear" w:color="E3E3E3" w:fill="D9D9D9"/>
          </w:tcPr>
          <w:p w14:paraId="72670AB2" w14:textId="77777777" w:rsidR="005B63E2" w:rsidRPr="00BC0D1F" w:rsidRDefault="005B63E2" w:rsidP="005B63E2">
            <w:pPr>
              <w:pStyle w:val="TableText"/>
              <w:spacing w:before="180"/>
              <w:ind w:right="113"/>
              <w:jc w:val="right"/>
              <w:rPr>
                <w:b/>
                <w:bCs/>
              </w:rPr>
            </w:pPr>
            <w:r w:rsidRPr="00BC0D1F">
              <w:rPr>
                <w:b/>
                <w:bCs/>
              </w:rPr>
              <w:t>410,410</w:t>
            </w:r>
          </w:p>
        </w:tc>
        <w:tc>
          <w:tcPr>
            <w:tcW w:w="1205" w:type="dxa"/>
            <w:tcBorders>
              <w:top w:val="nil"/>
              <w:bottom w:val="single" w:sz="4" w:space="0" w:color="auto"/>
            </w:tcBorders>
          </w:tcPr>
          <w:p w14:paraId="76124EDD" w14:textId="77777777" w:rsidR="005B63E2" w:rsidRPr="00BC0D1F" w:rsidRDefault="005B63E2" w:rsidP="005B63E2">
            <w:pPr>
              <w:pStyle w:val="TableText"/>
              <w:spacing w:before="180"/>
              <w:jc w:val="right"/>
              <w:rPr>
                <w:b/>
                <w:bCs/>
              </w:rPr>
            </w:pPr>
            <w:r w:rsidRPr="00BC0D1F">
              <w:rPr>
                <w:b/>
                <w:bCs/>
              </w:rPr>
              <w:t>474,390</w:t>
            </w:r>
          </w:p>
        </w:tc>
        <w:tc>
          <w:tcPr>
            <w:tcW w:w="1206" w:type="dxa"/>
            <w:tcBorders>
              <w:top w:val="nil"/>
              <w:bottom w:val="single" w:sz="4" w:space="0" w:color="auto"/>
            </w:tcBorders>
          </w:tcPr>
          <w:p w14:paraId="37686C65" w14:textId="77777777" w:rsidR="005B63E2" w:rsidRPr="00BC0D1F" w:rsidRDefault="005B63E2" w:rsidP="005B63E2">
            <w:pPr>
              <w:pStyle w:val="TableText"/>
              <w:spacing w:before="180"/>
              <w:jc w:val="right"/>
              <w:rPr>
                <w:b/>
                <w:bCs/>
              </w:rPr>
            </w:pPr>
            <w:r w:rsidRPr="00BC0D1F">
              <w:rPr>
                <w:b/>
                <w:bCs/>
              </w:rPr>
              <w:t>401,057</w:t>
            </w:r>
          </w:p>
        </w:tc>
      </w:tr>
    </w:tbl>
    <w:p w14:paraId="49697FB2" w14:textId="77777777" w:rsidR="00313412" w:rsidRPr="00BC0D1F" w:rsidRDefault="00313412" w:rsidP="005B63E2"/>
    <w:p w14:paraId="6F54BE08" w14:textId="77777777" w:rsidR="00FA5E17" w:rsidRPr="00BC0D1F" w:rsidRDefault="00FA5E17" w:rsidP="005B63E2">
      <w:r w:rsidRPr="00BC0D1F">
        <w:t>In addition, the Ministry monitors a number of Crown entities (including the 20 DHBs). The investment in those entities is recorded in the financial statements of the Government on a line-by-line basis. No disclosure of investments in Crown entities is made in this schedule.</w:t>
      </w:r>
    </w:p>
    <w:p w14:paraId="210B281A" w14:textId="77777777" w:rsidR="00FA5E17" w:rsidRPr="00BC0D1F" w:rsidRDefault="00FA5E17" w:rsidP="005B63E2">
      <w:pPr>
        <w:pStyle w:val="Heading2"/>
        <w:spacing w:before="360"/>
      </w:pPr>
      <w:bookmarkStart w:id="181" w:name="_Toc463507941"/>
      <w:r w:rsidRPr="00BC0D1F">
        <w:lastRenderedPageBreak/>
        <w:t>Schedule of non-departmental commitments as at 30 June 2016</w:t>
      </w:r>
      <w:bookmarkEnd w:id="181"/>
    </w:p>
    <w:p w14:paraId="440E3633" w14:textId="77777777" w:rsidR="00FA5E17" w:rsidRPr="00BC0D1F" w:rsidRDefault="00FA5E17" w:rsidP="00AC6954">
      <w:r w:rsidRPr="00BC0D1F">
        <w:t>The Crown has the following capital commitments.</w:t>
      </w:r>
    </w:p>
    <w:p w14:paraId="70422AAD" w14:textId="77777777" w:rsidR="00FA5E17" w:rsidRPr="00BC0D1F" w:rsidRDefault="00FA5E17" w:rsidP="00AC6954"/>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9132C7" w:rsidRPr="00BC0D1F" w14:paraId="4ABE62CF" w14:textId="77777777" w:rsidTr="00DA00C3">
        <w:trPr>
          <w:cantSplit/>
        </w:trPr>
        <w:tc>
          <w:tcPr>
            <w:tcW w:w="1134" w:type="dxa"/>
            <w:tcBorders>
              <w:top w:val="single" w:sz="4" w:space="0" w:color="auto"/>
              <w:bottom w:val="single" w:sz="4" w:space="0" w:color="auto"/>
              <w:right w:val="nil"/>
            </w:tcBorders>
            <w:shd w:val="solid" w:color="FFFFFF" w:fill="auto"/>
          </w:tcPr>
          <w:p w14:paraId="356C1B1F" w14:textId="77777777" w:rsidR="009132C7" w:rsidRPr="00BC0D1F" w:rsidRDefault="009132C7" w:rsidP="00DA00C3">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0F5939E0" w14:textId="77777777" w:rsidR="009132C7" w:rsidRPr="00BC0D1F" w:rsidRDefault="009132C7" w:rsidP="00DA00C3">
            <w:pPr>
              <w:pStyle w:val="TableText"/>
              <w:rPr>
                <w:b/>
                <w:lang w:eastAsia="en-NZ"/>
              </w:rPr>
            </w:pPr>
          </w:p>
        </w:tc>
        <w:tc>
          <w:tcPr>
            <w:tcW w:w="1228" w:type="dxa"/>
            <w:tcBorders>
              <w:top w:val="single" w:sz="4" w:space="0" w:color="auto"/>
              <w:bottom w:val="single" w:sz="4" w:space="0" w:color="auto"/>
            </w:tcBorders>
            <w:shd w:val="clear" w:color="E3E3E3" w:fill="D9D9D9"/>
          </w:tcPr>
          <w:p w14:paraId="6D0DF008" w14:textId="77777777" w:rsidR="009132C7" w:rsidRPr="00BC0D1F" w:rsidRDefault="009132C7" w:rsidP="00DA00C3">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9132C7" w:rsidRPr="00BC0D1F" w14:paraId="39EC6F49" w14:textId="77777777" w:rsidTr="00DA00C3">
        <w:trPr>
          <w:cantSplit/>
        </w:trPr>
        <w:tc>
          <w:tcPr>
            <w:tcW w:w="1134" w:type="dxa"/>
            <w:tcBorders>
              <w:top w:val="single" w:sz="4" w:space="0" w:color="auto"/>
              <w:right w:val="nil"/>
            </w:tcBorders>
            <w:shd w:val="solid" w:color="FFFFFF" w:fill="auto"/>
          </w:tcPr>
          <w:p w14:paraId="04E17B71" w14:textId="77777777" w:rsidR="009132C7" w:rsidRPr="00BC0D1F" w:rsidRDefault="009132C7" w:rsidP="009132C7">
            <w:pPr>
              <w:pStyle w:val="TableText"/>
              <w:ind w:right="284"/>
              <w:jc w:val="right"/>
              <w:rPr>
                <w:b/>
              </w:rPr>
            </w:pPr>
          </w:p>
        </w:tc>
        <w:tc>
          <w:tcPr>
            <w:tcW w:w="5812" w:type="dxa"/>
            <w:tcBorders>
              <w:top w:val="single" w:sz="4" w:space="0" w:color="auto"/>
              <w:left w:val="nil"/>
            </w:tcBorders>
            <w:shd w:val="solid" w:color="FFFFFF" w:fill="auto"/>
          </w:tcPr>
          <w:p w14:paraId="5949422A" w14:textId="77777777" w:rsidR="009132C7" w:rsidRPr="00BC0D1F" w:rsidRDefault="009132C7" w:rsidP="00DA00C3">
            <w:pPr>
              <w:pStyle w:val="TableText"/>
              <w:rPr>
                <w:b/>
              </w:rPr>
            </w:pPr>
            <w:r w:rsidRPr="00BC0D1F">
              <w:rPr>
                <w:b/>
              </w:rPr>
              <w:t>Capital commitments</w:t>
            </w:r>
          </w:p>
        </w:tc>
        <w:tc>
          <w:tcPr>
            <w:tcW w:w="1228" w:type="dxa"/>
            <w:tcBorders>
              <w:top w:val="single" w:sz="4" w:space="0" w:color="auto"/>
            </w:tcBorders>
            <w:shd w:val="clear" w:color="E3E3E3" w:fill="D9D9D9"/>
          </w:tcPr>
          <w:p w14:paraId="6A7C3439" w14:textId="77777777" w:rsidR="009132C7" w:rsidRPr="00BC0D1F" w:rsidRDefault="009132C7" w:rsidP="009132C7">
            <w:pPr>
              <w:pStyle w:val="TableText"/>
              <w:ind w:right="113"/>
              <w:jc w:val="right"/>
              <w:rPr>
                <w:b/>
              </w:rPr>
            </w:pPr>
          </w:p>
        </w:tc>
      </w:tr>
      <w:tr w:rsidR="009132C7" w:rsidRPr="00BC0D1F" w14:paraId="55BECEC4" w14:textId="77777777" w:rsidTr="00DA00C3">
        <w:trPr>
          <w:cantSplit/>
        </w:trPr>
        <w:tc>
          <w:tcPr>
            <w:tcW w:w="1134" w:type="dxa"/>
            <w:tcBorders>
              <w:right w:val="nil"/>
            </w:tcBorders>
            <w:shd w:val="solid" w:color="FFFFFF" w:fill="auto"/>
          </w:tcPr>
          <w:p w14:paraId="3E7611AC" w14:textId="77777777" w:rsidR="009132C7" w:rsidRPr="00BC0D1F" w:rsidRDefault="009132C7" w:rsidP="009132C7">
            <w:pPr>
              <w:pStyle w:val="TableText"/>
              <w:ind w:right="284"/>
              <w:jc w:val="right"/>
            </w:pPr>
            <w:r w:rsidRPr="00BC0D1F">
              <w:t>123,108</w:t>
            </w:r>
          </w:p>
        </w:tc>
        <w:tc>
          <w:tcPr>
            <w:tcW w:w="5812" w:type="dxa"/>
            <w:tcBorders>
              <w:left w:val="nil"/>
            </w:tcBorders>
            <w:shd w:val="solid" w:color="FFFFFF" w:fill="auto"/>
          </w:tcPr>
          <w:p w14:paraId="5290B845" w14:textId="77777777" w:rsidR="009132C7" w:rsidRPr="00BC0D1F" w:rsidRDefault="009132C7" w:rsidP="00DA00C3">
            <w:pPr>
              <w:pStyle w:val="TableText"/>
            </w:pPr>
            <w:r w:rsidRPr="00BC0D1F">
              <w:t>Property, plant and equipment</w:t>
            </w:r>
          </w:p>
        </w:tc>
        <w:tc>
          <w:tcPr>
            <w:tcW w:w="1228" w:type="dxa"/>
            <w:shd w:val="clear" w:color="E3E3E3" w:fill="D9D9D9"/>
          </w:tcPr>
          <w:p w14:paraId="14F9FF2B" w14:textId="77777777" w:rsidR="009132C7" w:rsidRPr="00BC0D1F" w:rsidRDefault="009132C7" w:rsidP="009132C7">
            <w:pPr>
              <w:pStyle w:val="TableText"/>
              <w:ind w:right="113"/>
              <w:jc w:val="right"/>
            </w:pPr>
            <w:r w:rsidRPr="00BC0D1F">
              <w:t>334,349</w:t>
            </w:r>
          </w:p>
        </w:tc>
      </w:tr>
      <w:tr w:rsidR="009132C7" w:rsidRPr="00BC0D1F" w14:paraId="192299F4" w14:textId="77777777" w:rsidTr="00DA00C3">
        <w:trPr>
          <w:cantSplit/>
        </w:trPr>
        <w:tc>
          <w:tcPr>
            <w:tcW w:w="1134" w:type="dxa"/>
            <w:tcBorders>
              <w:right w:val="nil"/>
            </w:tcBorders>
            <w:shd w:val="solid" w:color="FFFFFF" w:fill="auto"/>
          </w:tcPr>
          <w:p w14:paraId="140F0D3F" w14:textId="77777777" w:rsidR="009132C7" w:rsidRPr="00BC0D1F" w:rsidRDefault="009132C7" w:rsidP="009132C7">
            <w:pPr>
              <w:pStyle w:val="TableText"/>
              <w:ind w:right="284"/>
              <w:jc w:val="right"/>
            </w:pPr>
            <w:r w:rsidRPr="00BC0D1F">
              <w:t>–</w:t>
            </w:r>
          </w:p>
        </w:tc>
        <w:tc>
          <w:tcPr>
            <w:tcW w:w="5812" w:type="dxa"/>
            <w:tcBorders>
              <w:left w:val="nil"/>
            </w:tcBorders>
            <w:shd w:val="solid" w:color="FFFFFF" w:fill="auto"/>
          </w:tcPr>
          <w:p w14:paraId="207BEDC6" w14:textId="77777777" w:rsidR="009132C7" w:rsidRPr="00BC0D1F" w:rsidRDefault="009132C7" w:rsidP="00DA00C3">
            <w:pPr>
              <w:pStyle w:val="TableText"/>
            </w:pPr>
            <w:r w:rsidRPr="00BC0D1F">
              <w:t>Intangible assets</w:t>
            </w:r>
          </w:p>
        </w:tc>
        <w:tc>
          <w:tcPr>
            <w:tcW w:w="1228" w:type="dxa"/>
            <w:shd w:val="clear" w:color="E3E3E3" w:fill="D9D9D9"/>
          </w:tcPr>
          <w:p w14:paraId="4D5D8E22" w14:textId="77777777" w:rsidR="009132C7" w:rsidRPr="00BC0D1F" w:rsidRDefault="009132C7" w:rsidP="009132C7">
            <w:pPr>
              <w:pStyle w:val="TableText"/>
              <w:ind w:right="113"/>
              <w:jc w:val="right"/>
            </w:pPr>
            <w:r w:rsidRPr="00BC0D1F">
              <w:t>–</w:t>
            </w:r>
          </w:p>
        </w:tc>
      </w:tr>
      <w:tr w:rsidR="009132C7" w:rsidRPr="00BC0D1F" w14:paraId="63D89827" w14:textId="77777777" w:rsidTr="00DA00C3">
        <w:trPr>
          <w:cantSplit/>
        </w:trPr>
        <w:tc>
          <w:tcPr>
            <w:tcW w:w="1134" w:type="dxa"/>
            <w:tcBorders>
              <w:right w:val="nil"/>
            </w:tcBorders>
            <w:shd w:val="solid" w:color="FFFFFF" w:fill="auto"/>
          </w:tcPr>
          <w:p w14:paraId="5F78D2D2" w14:textId="77777777" w:rsidR="009132C7" w:rsidRPr="00BC0D1F" w:rsidRDefault="009132C7" w:rsidP="009132C7">
            <w:pPr>
              <w:pStyle w:val="TableText"/>
              <w:ind w:right="284"/>
              <w:jc w:val="right"/>
            </w:pPr>
            <w:r w:rsidRPr="00BC0D1F">
              <w:t>–</w:t>
            </w:r>
          </w:p>
        </w:tc>
        <w:tc>
          <w:tcPr>
            <w:tcW w:w="5812" w:type="dxa"/>
            <w:tcBorders>
              <w:left w:val="nil"/>
            </w:tcBorders>
            <w:shd w:val="solid" w:color="FFFFFF" w:fill="auto"/>
          </w:tcPr>
          <w:p w14:paraId="393CB06F" w14:textId="77777777" w:rsidR="009132C7" w:rsidRPr="00BC0D1F" w:rsidRDefault="009132C7" w:rsidP="00DA00C3">
            <w:pPr>
              <w:pStyle w:val="TableText"/>
            </w:pPr>
            <w:r w:rsidRPr="00BC0D1F">
              <w:t>Other capital commitments</w:t>
            </w:r>
          </w:p>
        </w:tc>
        <w:tc>
          <w:tcPr>
            <w:tcW w:w="1228" w:type="dxa"/>
            <w:shd w:val="clear" w:color="E3E3E3" w:fill="D9D9D9"/>
          </w:tcPr>
          <w:p w14:paraId="68496C9C" w14:textId="77777777" w:rsidR="009132C7" w:rsidRPr="00BC0D1F" w:rsidRDefault="009132C7" w:rsidP="009132C7">
            <w:pPr>
              <w:pStyle w:val="TableText"/>
              <w:ind w:right="113"/>
              <w:jc w:val="right"/>
            </w:pPr>
            <w:r w:rsidRPr="00BC0D1F">
              <w:t>–</w:t>
            </w:r>
          </w:p>
        </w:tc>
      </w:tr>
      <w:tr w:rsidR="009132C7" w:rsidRPr="00BC0D1F" w14:paraId="35B58167" w14:textId="77777777" w:rsidTr="00DA00C3">
        <w:trPr>
          <w:cantSplit/>
        </w:trPr>
        <w:tc>
          <w:tcPr>
            <w:tcW w:w="1134" w:type="dxa"/>
            <w:tcBorders>
              <w:right w:val="nil"/>
            </w:tcBorders>
            <w:shd w:val="solid" w:color="FFFFFF" w:fill="auto"/>
          </w:tcPr>
          <w:p w14:paraId="0751F733" w14:textId="77777777" w:rsidR="009132C7" w:rsidRPr="00BC0D1F" w:rsidRDefault="009132C7" w:rsidP="009132C7">
            <w:pPr>
              <w:pStyle w:val="TableText"/>
              <w:ind w:right="284"/>
              <w:jc w:val="right"/>
              <w:rPr>
                <w:b/>
              </w:rPr>
            </w:pPr>
            <w:r w:rsidRPr="00BC0D1F">
              <w:rPr>
                <w:b/>
              </w:rPr>
              <w:t>123,108</w:t>
            </w:r>
          </w:p>
        </w:tc>
        <w:tc>
          <w:tcPr>
            <w:tcW w:w="5812" w:type="dxa"/>
            <w:tcBorders>
              <w:left w:val="nil"/>
            </w:tcBorders>
            <w:shd w:val="solid" w:color="FFFFFF" w:fill="auto"/>
          </w:tcPr>
          <w:p w14:paraId="6E8509A2" w14:textId="77777777" w:rsidR="009132C7" w:rsidRPr="00BC0D1F" w:rsidRDefault="009132C7" w:rsidP="00DA00C3">
            <w:pPr>
              <w:pStyle w:val="TableText"/>
              <w:rPr>
                <w:b/>
              </w:rPr>
            </w:pPr>
            <w:r w:rsidRPr="00BC0D1F">
              <w:rPr>
                <w:b/>
              </w:rPr>
              <w:t>Total capital commitments</w:t>
            </w:r>
          </w:p>
        </w:tc>
        <w:tc>
          <w:tcPr>
            <w:tcW w:w="1228" w:type="dxa"/>
            <w:shd w:val="clear" w:color="E3E3E3" w:fill="D9D9D9"/>
          </w:tcPr>
          <w:p w14:paraId="00CF8F34" w14:textId="77777777" w:rsidR="009132C7" w:rsidRPr="00BC0D1F" w:rsidRDefault="009132C7" w:rsidP="009132C7">
            <w:pPr>
              <w:pStyle w:val="TableText"/>
              <w:ind w:right="113"/>
              <w:jc w:val="right"/>
              <w:rPr>
                <w:b/>
              </w:rPr>
            </w:pPr>
            <w:r w:rsidRPr="00BC0D1F">
              <w:rPr>
                <w:b/>
              </w:rPr>
              <w:t>334,349</w:t>
            </w:r>
          </w:p>
        </w:tc>
      </w:tr>
      <w:tr w:rsidR="009132C7" w:rsidRPr="00BC0D1F" w14:paraId="175C00AE" w14:textId="77777777" w:rsidTr="00DA00C3">
        <w:trPr>
          <w:cantSplit/>
        </w:trPr>
        <w:tc>
          <w:tcPr>
            <w:tcW w:w="1134" w:type="dxa"/>
            <w:tcBorders>
              <w:right w:val="nil"/>
            </w:tcBorders>
            <w:shd w:val="solid" w:color="FFFFFF" w:fill="auto"/>
          </w:tcPr>
          <w:p w14:paraId="0F321926" w14:textId="77777777" w:rsidR="009132C7" w:rsidRPr="00BC0D1F" w:rsidRDefault="009132C7" w:rsidP="009132C7">
            <w:pPr>
              <w:pStyle w:val="TableText"/>
              <w:spacing w:before="180"/>
              <w:ind w:right="284"/>
              <w:jc w:val="right"/>
              <w:rPr>
                <w:b/>
              </w:rPr>
            </w:pPr>
            <w:r w:rsidRPr="00BC0D1F">
              <w:rPr>
                <w:b/>
              </w:rPr>
              <w:t>123,108</w:t>
            </w:r>
          </w:p>
        </w:tc>
        <w:tc>
          <w:tcPr>
            <w:tcW w:w="5812" w:type="dxa"/>
            <w:tcBorders>
              <w:left w:val="nil"/>
            </w:tcBorders>
            <w:shd w:val="solid" w:color="FFFFFF" w:fill="auto"/>
          </w:tcPr>
          <w:p w14:paraId="0FFB85BF" w14:textId="77777777" w:rsidR="009132C7" w:rsidRPr="00BC0D1F" w:rsidRDefault="009132C7" w:rsidP="009132C7">
            <w:pPr>
              <w:pStyle w:val="TableText"/>
              <w:spacing w:before="180"/>
              <w:rPr>
                <w:b/>
              </w:rPr>
            </w:pPr>
            <w:r w:rsidRPr="00BC0D1F">
              <w:rPr>
                <w:b/>
              </w:rPr>
              <w:t>Total commitments</w:t>
            </w:r>
          </w:p>
        </w:tc>
        <w:tc>
          <w:tcPr>
            <w:tcW w:w="1228" w:type="dxa"/>
            <w:shd w:val="clear" w:color="E3E3E3" w:fill="D9D9D9"/>
          </w:tcPr>
          <w:p w14:paraId="3F46BA0B" w14:textId="77777777" w:rsidR="009132C7" w:rsidRPr="00BC0D1F" w:rsidRDefault="009132C7" w:rsidP="009132C7">
            <w:pPr>
              <w:pStyle w:val="TableText"/>
              <w:spacing w:before="180"/>
              <w:ind w:right="113"/>
              <w:jc w:val="right"/>
              <w:rPr>
                <w:b/>
              </w:rPr>
            </w:pPr>
            <w:r w:rsidRPr="00BC0D1F">
              <w:rPr>
                <w:b/>
              </w:rPr>
              <w:t>334,349</w:t>
            </w:r>
          </w:p>
        </w:tc>
      </w:tr>
    </w:tbl>
    <w:p w14:paraId="3F92CE08" w14:textId="77777777" w:rsidR="009132C7" w:rsidRPr="00BC0D1F" w:rsidRDefault="009132C7" w:rsidP="009132C7"/>
    <w:p w14:paraId="7DF6D2EF" w14:textId="77777777" w:rsidR="00FA5E17" w:rsidRPr="00BC0D1F" w:rsidRDefault="00FA5E17" w:rsidP="009132C7">
      <w:pPr>
        <w:pStyle w:val="Heading2"/>
      </w:pPr>
      <w:bookmarkStart w:id="182" w:name="_Toc463507942"/>
      <w:r w:rsidRPr="00BC0D1F">
        <w:t>Schedule of non-departmental contingent liabilities and contingent assets as at 30 June 2016</w:t>
      </w:r>
      <w:bookmarkEnd w:id="182"/>
    </w:p>
    <w:p w14:paraId="0107065A" w14:textId="77777777" w:rsidR="00FA5E17" w:rsidRPr="00BC0D1F" w:rsidRDefault="00FA5E17" w:rsidP="009132C7">
      <w:pPr>
        <w:pStyle w:val="Heading3"/>
      </w:pPr>
      <w:r w:rsidRPr="00BC0D1F">
        <w:t>Quantifiable contingent liabilities</w:t>
      </w:r>
    </w:p>
    <w:tbl>
      <w:tblPr>
        <w:tblW w:w="8174"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134"/>
        <w:gridCol w:w="5812"/>
        <w:gridCol w:w="1228"/>
      </w:tblGrid>
      <w:tr w:rsidR="009132C7" w:rsidRPr="00BC0D1F" w14:paraId="3EFE5CF4" w14:textId="77777777" w:rsidTr="00DA00C3">
        <w:trPr>
          <w:cantSplit/>
        </w:trPr>
        <w:tc>
          <w:tcPr>
            <w:tcW w:w="1134" w:type="dxa"/>
            <w:tcBorders>
              <w:top w:val="single" w:sz="4" w:space="0" w:color="auto"/>
              <w:bottom w:val="single" w:sz="4" w:space="0" w:color="auto"/>
              <w:right w:val="nil"/>
            </w:tcBorders>
            <w:shd w:val="solid" w:color="FFFFFF" w:fill="auto"/>
          </w:tcPr>
          <w:p w14:paraId="058B50FD" w14:textId="77777777" w:rsidR="009132C7" w:rsidRPr="00BC0D1F" w:rsidRDefault="009132C7" w:rsidP="00DA00C3">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5812" w:type="dxa"/>
            <w:tcBorders>
              <w:top w:val="single" w:sz="4" w:space="0" w:color="auto"/>
              <w:left w:val="nil"/>
              <w:bottom w:val="single" w:sz="4" w:space="0" w:color="auto"/>
            </w:tcBorders>
            <w:shd w:val="solid" w:color="FFFFFF" w:fill="auto"/>
          </w:tcPr>
          <w:p w14:paraId="4CAEA66B" w14:textId="77777777" w:rsidR="009132C7" w:rsidRPr="00BC0D1F" w:rsidRDefault="009132C7" w:rsidP="00DA00C3">
            <w:pPr>
              <w:pStyle w:val="TableText"/>
              <w:rPr>
                <w:b/>
                <w:lang w:eastAsia="en-NZ"/>
              </w:rPr>
            </w:pPr>
          </w:p>
        </w:tc>
        <w:tc>
          <w:tcPr>
            <w:tcW w:w="1228" w:type="dxa"/>
            <w:tcBorders>
              <w:top w:val="single" w:sz="4" w:space="0" w:color="auto"/>
              <w:bottom w:val="single" w:sz="4" w:space="0" w:color="auto"/>
            </w:tcBorders>
            <w:shd w:val="clear" w:color="E3E3E3" w:fill="D9D9D9"/>
          </w:tcPr>
          <w:p w14:paraId="63333829" w14:textId="77777777" w:rsidR="009132C7" w:rsidRPr="00BC0D1F" w:rsidRDefault="009132C7" w:rsidP="00DA00C3">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9132C7" w:rsidRPr="00BC0D1F" w14:paraId="5E8495CF" w14:textId="77777777" w:rsidTr="00DA00C3">
        <w:trPr>
          <w:cantSplit/>
        </w:trPr>
        <w:tc>
          <w:tcPr>
            <w:tcW w:w="1134" w:type="dxa"/>
            <w:tcBorders>
              <w:top w:val="single" w:sz="4" w:space="0" w:color="auto"/>
              <w:right w:val="nil"/>
            </w:tcBorders>
            <w:shd w:val="solid" w:color="FFFFFF" w:fill="auto"/>
          </w:tcPr>
          <w:p w14:paraId="3F40D13C" w14:textId="77777777" w:rsidR="009132C7" w:rsidRPr="00BC0D1F" w:rsidRDefault="009132C7" w:rsidP="009132C7">
            <w:pPr>
              <w:pStyle w:val="TableText"/>
              <w:ind w:right="284"/>
              <w:jc w:val="right"/>
            </w:pPr>
            <w:r w:rsidRPr="00BC0D1F">
              <w:t>6,030</w:t>
            </w:r>
          </w:p>
        </w:tc>
        <w:tc>
          <w:tcPr>
            <w:tcW w:w="5812" w:type="dxa"/>
            <w:tcBorders>
              <w:top w:val="single" w:sz="4" w:space="0" w:color="auto"/>
              <w:left w:val="nil"/>
            </w:tcBorders>
            <w:shd w:val="solid" w:color="FFFFFF" w:fill="auto"/>
          </w:tcPr>
          <w:p w14:paraId="34A7C769" w14:textId="77777777" w:rsidR="009132C7" w:rsidRPr="00BC0D1F" w:rsidRDefault="009132C7" w:rsidP="00DA00C3">
            <w:pPr>
              <w:pStyle w:val="TableText"/>
            </w:pPr>
            <w:r w:rsidRPr="00BC0D1F">
              <w:t>Legal proceedings and disputes</w:t>
            </w:r>
          </w:p>
        </w:tc>
        <w:tc>
          <w:tcPr>
            <w:tcW w:w="1228" w:type="dxa"/>
            <w:tcBorders>
              <w:top w:val="single" w:sz="4" w:space="0" w:color="auto"/>
            </w:tcBorders>
            <w:shd w:val="clear" w:color="E3E3E3" w:fill="D9D9D9"/>
          </w:tcPr>
          <w:p w14:paraId="2399CE1B" w14:textId="77777777" w:rsidR="009132C7" w:rsidRPr="00BC0D1F" w:rsidRDefault="009132C7" w:rsidP="009132C7">
            <w:pPr>
              <w:pStyle w:val="TableText"/>
              <w:ind w:right="284"/>
              <w:jc w:val="right"/>
            </w:pPr>
            <w:r w:rsidRPr="00BC0D1F">
              <w:t>1,025</w:t>
            </w:r>
          </w:p>
        </w:tc>
      </w:tr>
      <w:tr w:rsidR="009132C7" w:rsidRPr="00BC0D1F" w14:paraId="76A871E0" w14:textId="77777777" w:rsidTr="00DA00C3">
        <w:trPr>
          <w:cantSplit/>
        </w:trPr>
        <w:tc>
          <w:tcPr>
            <w:tcW w:w="1134" w:type="dxa"/>
            <w:tcBorders>
              <w:right w:val="nil"/>
            </w:tcBorders>
            <w:shd w:val="solid" w:color="FFFFFF" w:fill="auto"/>
          </w:tcPr>
          <w:p w14:paraId="1F74024A" w14:textId="77777777" w:rsidR="009132C7" w:rsidRPr="00BC0D1F" w:rsidRDefault="009132C7" w:rsidP="009132C7">
            <w:pPr>
              <w:pStyle w:val="TableText"/>
              <w:ind w:right="284"/>
              <w:jc w:val="right"/>
              <w:rPr>
                <w:b/>
                <w:bCs/>
              </w:rPr>
            </w:pPr>
            <w:r w:rsidRPr="00BC0D1F">
              <w:rPr>
                <w:b/>
                <w:bCs/>
              </w:rPr>
              <w:t>6,030</w:t>
            </w:r>
          </w:p>
        </w:tc>
        <w:tc>
          <w:tcPr>
            <w:tcW w:w="5812" w:type="dxa"/>
            <w:tcBorders>
              <w:left w:val="nil"/>
            </w:tcBorders>
            <w:shd w:val="solid" w:color="FFFFFF" w:fill="auto"/>
          </w:tcPr>
          <w:p w14:paraId="40888D6D" w14:textId="77777777" w:rsidR="009132C7" w:rsidRPr="00BC0D1F" w:rsidRDefault="009132C7" w:rsidP="00DA00C3">
            <w:pPr>
              <w:pStyle w:val="TableText"/>
              <w:rPr>
                <w:b/>
                <w:bCs/>
              </w:rPr>
            </w:pPr>
            <w:r w:rsidRPr="00BC0D1F">
              <w:rPr>
                <w:b/>
                <w:bCs/>
              </w:rPr>
              <w:t>Total quantifiable contingent liabilities</w:t>
            </w:r>
          </w:p>
        </w:tc>
        <w:tc>
          <w:tcPr>
            <w:tcW w:w="1228" w:type="dxa"/>
            <w:shd w:val="clear" w:color="E3E3E3" w:fill="D9D9D9"/>
          </w:tcPr>
          <w:p w14:paraId="51A65F72" w14:textId="77777777" w:rsidR="009132C7" w:rsidRPr="00BC0D1F" w:rsidRDefault="009132C7" w:rsidP="009132C7">
            <w:pPr>
              <w:pStyle w:val="TableText"/>
              <w:ind w:right="284"/>
              <w:jc w:val="right"/>
              <w:rPr>
                <w:b/>
                <w:bCs/>
              </w:rPr>
            </w:pPr>
            <w:r w:rsidRPr="00BC0D1F">
              <w:rPr>
                <w:b/>
                <w:bCs/>
              </w:rPr>
              <w:t>1,025</w:t>
            </w:r>
          </w:p>
        </w:tc>
      </w:tr>
    </w:tbl>
    <w:p w14:paraId="372599EF" w14:textId="77777777" w:rsidR="009132C7" w:rsidRPr="00BC0D1F" w:rsidRDefault="009132C7" w:rsidP="009132C7"/>
    <w:p w14:paraId="388F2D88" w14:textId="77777777" w:rsidR="00FA5E17" w:rsidRPr="00BC0D1F" w:rsidRDefault="00FA5E17" w:rsidP="009132C7">
      <w:pPr>
        <w:pStyle w:val="Heading4"/>
      </w:pPr>
      <w:r w:rsidRPr="00BC0D1F">
        <w:t>Legal proceedings and disputes</w:t>
      </w:r>
    </w:p>
    <w:p w14:paraId="67D28DB9" w14:textId="77777777" w:rsidR="00FA5E17" w:rsidRPr="00BC0D1F" w:rsidRDefault="00FA5E17" w:rsidP="009132C7">
      <w:r w:rsidRPr="00BC0D1F">
        <w:t>Legal claims against the Crown are mainly seeking recompense in relation to perceived issues regarding treatment and care. The Crown is in the process of defending these claims. In the normal course of events previous experience indicates that any settlements are likely to be significantly less than the claims made.</w:t>
      </w:r>
    </w:p>
    <w:p w14:paraId="1393F1D0" w14:textId="77777777" w:rsidR="00FA5E17" w:rsidRPr="00BC0D1F" w:rsidRDefault="00FA5E17" w:rsidP="009132C7"/>
    <w:p w14:paraId="2DB078DA" w14:textId="77777777" w:rsidR="00FA5E17" w:rsidRPr="00BC0D1F" w:rsidRDefault="00FA5E17" w:rsidP="009132C7">
      <w:pPr>
        <w:pStyle w:val="Heading4"/>
      </w:pPr>
      <w:r w:rsidRPr="00BC0D1F">
        <w:t>Contingent assets</w:t>
      </w:r>
    </w:p>
    <w:p w14:paraId="66191730" w14:textId="77777777" w:rsidR="00FA5E17" w:rsidRPr="00BC0D1F" w:rsidRDefault="00FA5E17" w:rsidP="009132C7">
      <w:r w:rsidRPr="00BC0D1F">
        <w:t>The Ministry on behalf of the Crown has no contingent assets as at 30 June 2016 (2015: Nil).</w:t>
      </w:r>
    </w:p>
    <w:p w14:paraId="6B9B7E07" w14:textId="77777777" w:rsidR="00FA5E17" w:rsidRPr="00BC0D1F" w:rsidRDefault="00FA5E17" w:rsidP="009132C7"/>
    <w:p w14:paraId="473EBA78" w14:textId="77777777" w:rsidR="00FA5E17" w:rsidRPr="00BC0D1F" w:rsidRDefault="00FA5E17" w:rsidP="009132C7">
      <w:pPr>
        <w:pStyle w:val="Heading2"/>
      </w:pPr>
      <w:bookmarkStart w:id="183" w:name="_Toc463507943"/>
      <w:r w:rsidRPr="00BC0D1F">
        <w:lastRenderedPageBreak/>
        <w:t>Problem Gambling Levy Report for the year ended 30 June 2016</w:t>
      </w:r>
      <w:bookmarkEnd w:id="183"/>
    </w:p>
    <w:p w14:paraId="4C846509" w14:textId="77777777" w:rsidR="00FA5E17" w:rsidRPr="00BC0D1F" w:rsidRDefault="00FA5E17" w:rsidP="009132C7">
      <w:r w:rsidRPr="00BC0D1F">
        <w:t>Since October 2004 the Ministry has, in accordance with the Gambling Act 2003, received an appropriation for problem gambling that over time is intended to be fully funded from the levies collected from the industry, on behalf of the Crown, by the IRD. The following report shows the IRD levies collected to date and actual expenditure in relation to problem gambling. The balance in the problem gambling memorandum account as at 30 June 2016 is ($1.736) million.</w:t>
      </w:r>
    </w:p>
    <w:p w14:paraId="0E24E323" w14:textId="77777777" w:rsidR="00FA5E17" w:rsidRPr="00BC0D1F" w:rsidRDefault="00FA5E17" w:rsidP="009132C7"/>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418"/>
        <w:gridCol w:w="2693"/>
        <w:gridCol w:w="1985"/>
        <w:gridCol w:w="1984"/>
        <w:gridCol w:w="1276"/>
      </w:tblGrid>
      <w:tr w:rsidR="009132C7" w:rsidRPr="00BC0D1F" w14:paraId="19424CFA" w14:textId="77777777" w:rsidTr="006B0DC3">
        <w:trPr>
          <w:cantSplit/>
        </w:trPr>
        <w:tc>
          <w:tcPr>
            <w:tcW w:w="1418" w:type="dxa"/>
            <w:tcBorders>
              <w:top w:val="single" w:sz="4" w:space="0" w:color="auto"/>
              <w:left w:val="nil"/>
              <w:bottom w:val="single" w:sz="4" w:space="0" w:color="auto"/>
            </w:tcBorders>
            <w:shd w:val="solid" w:color="FFFFFF" w:fill="auto"/>
          </w:tcPr>
          <w:p w14:paraId="382A7987" w14:textId="77777777" w:rsidR="009132C7" w:rsidRPr="00BC0D1F" w:rsidRDefault="009132C7" w:rsidP="009132C7">
            <w:pPr>
              <w:pStyle w:val="TableText"/>
              <w:ind w:right="284"/>
              <w:jc w:val="right"/>
              <w:rPr>
                <w:b/>
              </w:rPr>
            </w:pPr>
            <w:r w:rsidRPr="00BC0D1F">
              <w:rPr>
                <w:b/>
              </w:rPr>
              <w:t>Actual</w:t>
            </w:r>
            <w:r w:rsidR="006B0DC3" w:rsidRPr="00BC0D1F">
              <w:rPr>
                <w:b/>
              </w:rPr>
              <w:br/>
            </w:r>
            <w:r w:rsidRPr="00BC0D1F">
              <w:rPr>
                <w:b/>
              </w:rPr>
              <w:br/>
              <w:t>2015</w:t>
            </w:r>
            <w:r w:rsidRPr="00BC0D1F">
              <w:rPr>
                <w:b/>
              </w:rPr>
              <w:br/>
              <w:t>$000</w:t>
            </w:r>
          </w:p>
        </w:tc>
        <w:tc>
          <w:tcPr>
            <w:tcW w:w="2693" w:type="dxa"/>
            <w:tcBorders>
              <w:top w:val="single" w:sz="4" w:space="0" w:color="auto"/>
              <w:bottom w:val="single" w:sz="4" w:space="0" w:color="auto"/>
            </w:tcBorders>
            <w:shd w:val="clear" w:color="E3E3E3" w:fill="auto"/>
          </w:tcPr>
          <w:p w14:paraId="5084F247" w14:textId="77777777" w:rsidR="009132C7" w:rsidRPr="00BC0D1F" w:rsidRDefault="009132C7" w:rsidP="009132C7">
            <w:pPr>
              <w:pStyle w:val="TableText"/>
              <w:rPr>
                <w:b/>
              </w:rPr>
            </w:pPr>
          </w:p>
        </w:tc>
        <w:tc>
          <w:tcPr>
            <w:tcW w:w="1985" w:type="dxa"/>
            <w:tcBorders>
              <w:top w:val="single" w:sz="4" w:space="0" w:color="auto"/>
              <w:bottom w:val="single" w:sz="4" w:space="0" w:color="auto"/>
            </w:tcBorders>
            <w:shd w:val="clear" w:color="auto" w:fill="D9D9D9"/>
          </w:tcPr>
          <w:p w14:paraId="174F7D84" w14:textId="77777777" w:rsidR="009132C7" w:rsidRPr="00BC0D1F" w:rsidRDefault="009132C7" w:rsidP="006B0DC3">
            <w:pPr>
              <w:pStyle w:val="TableText"/>
              <w:ind w:right="113"/>
              <w:jc w:val="right"/>
              <w:rPr>
                <w:b/>
              </w:rPr>
            </w:pPr>
            <w:r w:rsidRPr="00BC0D1F">
              <w:rPr>
                <w:b/>
              </w:rPr>
              <w:t>Non-departmental</w:t>
            </w:r>
            <w:r w:rsidR="006B0DC3" w:rsidRPr="00BC0D1F">
              <w:rPr>
                <w:b/>
              </w:rPr>
              <w:br/>
            </w:r>
            <w:r w:rsidRPr="00BC0D1F">
              <w:rPr>
                <w:b/>
              </w:rPr>
              <w:t>actual</w:t>
            </w:r>
            <w:r w:rsidRPr="00BC0D1F">
              <w:rPr>
                <w:b/>
              </w:rPr>
              <w:br/>
              <w:t>2016</w:t>
            </w:r>
            <w:r w:rsidRPr="00BC0D1F">
              <w:rPr>
                <w:b/>
              </w:rPr>
              <w:br/>
              <w:t>$000</w:t>
            </w:r>
          </w:p>
        </w:tc>
        <w:tc>
          <w:tcPr>
            <w:tcW w:w="1984" w:type="dxa"/>
            <w:tcBorders>
              <w:top w:val="single" w:sz="4" w:space="0" w:color="auto"/>
              <w:bottom w:val="single" w:sz="4" w:space="0" w:color="auto"/>
            </w:tcBorders>
            <w:shd w:val="clear" w:color="E3E3E3" w:fill="auto"/>
          </w:tcPr>
          <w:p w14:paraId="5F8EDDC2" w14:textId="77777777" w:rsidR="009132C7" w:rsidRPr="00BC0D1F" w:rsidRDefault="009132C7" w:rsidP="006B0DC3">
            <w:pPr>
              <w:pStyle w:val="TableText"/>
              <w:ind w:right="284"/>
              <w:jc w:val="right"/>
              <w:rPr>
                <w:b/>
              </w:rPr>
            </w:pPr>
            <w:r w:rsidRPr="00BC0D1F">
              <w:rPr>
                <w:b/>
              </w:rPr>
              <w:t>Departmental</w:t>
            </w:r>
            <w:r w:rsidR="006B0DC3" w:rsidRPr="00BC0D1F">
              <w:rPr>
                <w:b/>
              </w:rPr>
              <w:br/>
            </w:r>
            <w:r w:rsidRPr="00BC0D1F">
              <w:rPr>
                <w:b/>
              </w:rPr>
              <w:t>actual</w:t>
            </w:r>
            <w:r w:rsidRPr="00BC0D1F">
              <w:rPr>
                <w:b/>
              </w:rPr>
              <w:br/>
              <w:t>2016</w:t>
            </w:r>
            <w:r w:rsidRPr="00BC0D1F">
              <w:rPr>
                <w:b/>
              </w:rPr>
              <w:br/>
              <w:t>$000</w:t>
            </w:r>
          </w:p>
        </w:tc>
        <w:tc>
          <w:tcPr>
            <w:tcW w:w="1276" w:type="dxa"/>
            <w:tcBorders>
              <w:top w:val="single" w:sz="4" w:space="0" w:color="auto"/>
              <w:bottom w:val="single" w:sz="4" w:space="0" w:color="auto"/>
            </w:tcBorders>
            <w:shd w:val="clear" w:color="auto" w:fill="D9D9D9"/>
          </w:tcPr>
          <w:p w14:paraId="06DE4D26" w14:textId="77777777" w:rsidR="009132C7" w:rsidRPr="00BC0D1F" w:rsidRDefault="009132C7" w:rsidP="006B0DC3">
            <w:pPr>
              <w:pStyle w:val="TableText"/>
              <w:ind w:right="113"/>
              <w:jc w:val="right"/>
              <w:rPr>
                <w:b/>
              </w:rPr>
            </w:pPr>
            <w:r w:rsidRPr="00BC0D1F">
              <w:rPr>
                <w:b/>
              </w:rPr>
              <w:t>Total</w:t>
            </w:r>
            <w:r w:rsidR="006B0DC3" w:rsidRPr="00BC0D1F">
              <w:rPr>
                <w:b/>
              </w:rPr>
              <w:br/>
            </w:r>
            <w:r w:rsidRPr="00BC0D1F">
              <w:rPr>
                <w:b/>
              </w:rPr>
              <w:t>actual</w:t>
            </w:r>
            <w:r w:rsidRPr="00BC0D1F">
              <w:rPr>
                <w:b/>
              </w:rPr>
              <w:br/>
              <w:t>2016</w:t>
            </w:r>
            <w:r w:rsidRPr="00BC0D1F">
              <w:rPr>
                <w:b/>
              </w:rPr>
              <w:br/>
              <w:t>$000</w:t>
            </w:r>
          </w:p>
        </w:tc>
      </w:tr>
      <w:tr w:rsidR="009132C7" w:rsidRPr="00BC0D1F" w14:paraId="5B975999" w14:textId="77777777" w:rsidTr="006B0DC3">
        <w:trPr>
          <w:cantSplit/>
        </w:trPr>
        <w:tc>
          <w:tcPr>
            <w:tcW w:w="1418" w:type="dxa"/>
            <w:tcBorders>
              <w:top w:val="single" w:sz="4" w:space="0" w:color="auto"/>
              <w:left w:val="nil"/>
              <w:bottom w:val="nil"/>
            </w:tcBorders>
            <w:shd w:val="solid" w:color="FFFFFF" w:fill="auto"/>
          </w:tcPr>
          <w:p w14:paraId="1F8FBFB4" w14:textId="77777777" w:rsidR="009132C7" w:rsidRPr="00BC0D1F" w:rsidRDefault="009132C7" w:rsidP="009132C7">
            <w:pPr>
              <w:pStyle w:val="TableText"/>
              <w:ind w:right="284"/>
              <w:jc w:val="right"/>
            </w:pPr>
          </w:p>
        </w:tc>
        <w:tc>
          <w:tcPr>
            <w:tcW w:w="2693" w:type="dxa"/>
            <w:tcBorders>
              <w:top w:val="single" w:sz="4" w:space="0" w:color="auto"/>
              <w:bottom w:val="nil"/>
            </w:tcBorders>
            <w:shd w:val="clear" w:color="E3E3E3" w:fill="auto"/>
          </w:tcPr>
          <w:p w14:paraId="68BA2EA9" w14:textId="77777777" w:rsidR="009132C7" w:rsidRPr="00BC0D1F" w:rsidRDefault="009132C7" w:rsidP="009132C7">
            <w:pPr>
              <w:pStyle w:val="TableText"/>
              <w:rPr>
                <w:b/>
              </w:rPr>
            </w:pPr>
            <w:r w:rsidRPr="00BC0D1F">
              <w:rPr>
                <w:b/>
              </w:rPr>
              <w:t>Problem gambling non-departmental expenditure</w:t>
            </w:r>
          </w:p>
        </w:tc>
        <w:tc>
          <w:tcPr>
            <w:tcW w:w="1985" w:type="dxa"/>
            <w:tcBorders>
              <w:top w:val="single" w:sz="4" w:space="0" w:color="auto"/>
              <w:bottom w:val="nil"/>
            </w:tcBorders>
            <w:shd w:val="clear" w:color="auto" w:fill="D9D9D9"/>
          </w:tcPr>
          <w:p w14:paraId="499CF42B" w14:textId="77777777" w:rsidR="009132C7" w:rsidRPr="00BC0D1F" w:rsidRDefault="009132C7" w:rsidP="009132C7">
            <w:pPr>
              <w:pStyle w:val="TableText"/>
              <w:ind w:right="113"/>
              <w:jc w:val="right"/>
            </w:pPr>
          </w:p>
        </w:tc>
        <w:tc>
          <w:tcPr>
            <w:tcW w:w="1984" w:type="dxa"/>
            <w:tcBorders>
              <w:top w:val="single" w:sz="4" w:space="0" w:color="auto"/>
              <w:bottom w:val="nil"/>
            </w:tcBorders>
            <w:shd w:val="clear" w:color="E3E3E3" w:fill="auto"/>
          </w:tcPr>
          <w:p w14:paraId="254FE93E" w14:textId="77777777" w:rsidR="009132C7" w:rsidRPr="00BC0D1F" w:rsidRDefault="009132C7" w:rsidP="006B0DC3">
            <w:pPr>
              <w:pStyle w:val="TableText"/>
              <w:ind w:right="284"/>
              <w:jc w:val="right"/>
            </w:pPr>
          </w:p>
        </w:tc>
        <w:tc>
          <w:tcPr>
            <w:tcW w:w="1276" w:type="dxa"/>
            <w:tcBorders>
              <w:top w:val="single" w:sz="4" w:space="0" w:color="auto"/>
              <w:bottom w:val="nil"/>
            </w:tcBorders>
            <w:shd w:val="clear" w:color="auto" w:fill="D9D9D9"/>
          </w:tcPr>
          <w:p w14:paraId="05B3BE47" w14:textId="77777777" w:rsidR="009132C7" w:rsidRPr="00BC0D1F" w:rsidRDefault="009132C7" w:rsidP="009132C7">
            <w:pPr>
              <w:pStyle w:val="TableText"/>
              <w:ind w:right="113"/>
              <w:jc w:val="right"/>
            </w:pPr>
          </w:p>
        </w:tc>
      </w:tr>
      <w:tr w:rsidR="009132C7" w:rsidRPr="00BC0D1F" w14:paraId="7B436C6A" w14:textId="77777777" w:rsidTr="006B0DC3">
        <w:trPr>
          <w:cantSplit/>
        </w:trPr>
        <w:tc>
          <w:tcPr>
            <w:tcW w:w="1418" w:type="dxa"/>
            <w:tcBorders>
              <w:top w:val="nil"/>
              <w:left w:val="nil"/>
            </w:tcBorders>
            <w:shd w:val="solid" w:color="FFFFFF" w:fill="auto"/>
          </w:tcPr>
          <w:p w14:paraId="58551813" w14:textId="77777777" w:rsidR="009132C7" w:rsidRPr="00BC0D1F" w:rsidRDefault="009132C7" w:rsidP="009132C7">
            <w:pPr>
              <w:pStyle w:val="TableText"/>
              <w:ind w:right="284"/>
              <w:jc w:val="right"/>
              <w:rPr>
                <w:b/>
              </w:rPr>
            </w:pPr>
            <w:r w:rsidRPr="00BC0D1F">
              <w:rPr>
                <w:b/>
              </w:rPr>
              <w:t>(1,354)</w:t>
            </w:r>
          </w:p>
        </w:tc>
        <w:tc>
          <w:tcPr>
            <w:tcW w:w="2693" w:type="dxa"/>
            <w:tcBorders>
              <w:top w:val="nil"/>
            </w:tcBorders>
            <w:shd w:val="clear" w:color="E3E3E3" w:fill="auto"/>
          </w:tcPr>
          <w:p w14:paraId="53897468" w14:textId="77777777" w:rsidR="009132C7" w:rsidRPr="00BC0D1F" w:rsidRDefault="009132C7" w:rsidP="00DA00C3">
            <w:pPr>
              <w:pStyle w:val="TableText"/>
              <w:rPr>
                <w:b/>
              </w:rPr>
            </w:pPr>
            <w:r w:rsidRPr="00BC0D1F">
              <w:rPr>
                <w:b/>
              </w:rPr>
              <w:t>Balance at 1 July</w:t>
            </w:r>
          </w:p>
        </w:tc>
        <w:tc>
          <w:tcPr>
            <w:tcW w:w="1985" w:type="dxa"/>
            <w:tcBorders>
              <w:top w:val="nil"/>
            </w:tcBorders>
            <w:shd w:val="clear" w:color="auto" w:fill="D9D9D9"/>
          </w:tcPr>
          <w:p w14:paraId="5B439C03" w14:textId="77777777" w:rsidR="009132C7" w:rsidRPr="00BC0D1F" w:rsidRDefault="009132C7" w:rsidP="009132C7">
            <w:pPr>
              <w:pStyle w:val="TableText"/>
              <w:ind w:right="113"/>
              <w:jc w:val="right"/>
              <w:rPr>
                <w:b/>
              </w:rPr>
            </w:pPr>
            <w:r w:rsidRPr="00BC0D1F">
              <w:rPr>
                <w:b/>
              </w:rPr>
              <w:t>164</w:t>
            </w:r>
          </w:p>
        </w:tc>
        <w:tc>
          <w:tcPr>
            <w:tcW w:w="1984" w:type="dxa"/>
            <w:tcBorders>
              <w:top w:val="nil"/>
            </w:tcBorders>
            <w:shd w:val="clear" w:color="E3E3E3" w:fill="auto"/>
          </w:tcPr>
          <w:p w14:paraId="4BC4FDF3" w14:textId="77777777" w:rsidR="009132C7" w:rsidRPr="00BC0D1F" w:rsidRDefault="009132C7" w:rsidP="006B0DC3">
            <w:pPr>
              <w:pStyle w:val="TableText"/>
              <w:ind w:right="284"/>
              <w:jc w:val="right"/>
              <w:rPr>
                <w:b/>
              </w:rPr>
            </w:pPr>
            <w:r w:rsidRPr="00BC0D1F">
              <w:rPr>
                <w:b/>
              </w:rPr>
              <w:t>(516)</w:t>
            </w:r>
          </w:p>
        </w:tc>
        <w:tc>
          <w:tcPr>
            <w:tcW w:w="1276" w:type="dxa"/>
            <w:tcBorders>
              <w:top w:val="nil"/>
            </w:tcBorders>
            <w:shd w:val="clear" w:color="auto" w:fill="D9D9D9"/>
          </w:tcPr>
          <w:p w14:paraId="5F4F2B77" w14:textId="77777777" w:rsidR="009132C7" w:rsidRPr="00BC0D1F" w:rsidRDefault="009132C7" w:rsidP="009132C7">
            <w:pPr>
              <w:pStyle w:val="TableText"/>
              <w:ind w:right="113"/>
              <w:jc w:val="right"/>
              <w:rPr>
                <w:b/>
              </w:rPr>
            </w:pPr>
            <w:r w:rsidRPr="00BC0D1F">
              <w:rPr>
                <w:b/>
              </w:rPr>
              <w:t>(352)</w:t>
            </w:r>
          </w:p>
        </w:tc>
      </w:tr>
      <w:tr w:rsidR="009132C7" w:rsidRPr="00BC0D1F" w14:paraId="0AA31DEE" w14:textId="77777777" w:rsidTr="006B0DC3">
        <w:trPr>
          <w:cantSplit/>
        </w:trPr>
        <w:tc>
          <w:tcPr>
            <w:tcW w:w="1418" w:type="dxa"/>
            <w:tcBorders>
              <w:left w:val="nil"/>
              <w:bottom w:val="nil"/>
            </w:tcBorders>
            <w:shd w:val="solid" w:color="FFFFFF" w:fill="auto"/>
          </w:tcPr>
          <w:p w14:paraId="64A305D5" w14:textId="77777777" w:rsidR="009132C7" w:rsidRPr="00BC0D1F" w:rsidRDefault="009132C7" w:rsidP="009132C7">
            <w:pPr>
              <w:pStyle w:val="TableText"/>
              <w:ind w:right="284"/>
              <w:jc w:val="right"/>
            </w:pPr>
            <w:r w:rsidRPr="00BC0D1F">
              <w:t>17,799</w:t>
            </w:r>
          </w:p>
        </w:tc>
        <w:tc>
          <w:tcPr>
            <w:tcW w:w="2693" w:type="dxa"/>
            <w:tcBorders>
              <w:bottom w:val="nil"/>
            </w:tcBorders>
            <w:shd w:val="clear" w:color="E3E3E3" w:fill="auto"/>
          </w:tcPr>
          <w:p w14:paraId="5D23A8CC" w14:textId="77777777" w:rsidR="009132C7" w:rsidRPr="00BC0D1F" w:rsidRDefault="009132C7" w:rsidP="00DA00C3">
            <w:pPr>
              <w:pStyle w:val="TableText"/>
            </w:pPr>
            <w:r w:rsidRPr="00BC0D1F">
              <w:t>Revenue*</w:t>
            </w:r>
          </w:p>
        </w:tc>
        <w:tc>
          <w:tcPr>
            <w:tcW w:w="1985" w:type="dxa"/>
            <w:tcBorders>
              <w:bottom w:val="nil"/>
            </w:tcBorders>
            <w:shd w:val="clear" w:color="auto" w:fill="D9D9D9"/>
          </w:tcPr>
          <w:p w14:paraId="3C0F93F1" w14:textId="77777777" w:rsidR="009132C7" w:rsidRPr="00BC0D1F" w:rsidRDefault="009132C7" w:rsidP="009132C7">
            <w:pPr>
              <w:pStyle w:val="TableText"/>
              <w:ind w:right="113"/>
              <w:jc w:val="right"/>
            </w:pPr>
            <w:r w:rsidRPr="00BC0D1F">
              <w:t>16,820</w:t>
            </w:r>
          </w:p>
        </w:tc>
        <w:tc>
          <w:tcPr>
            <w:tcW w:w="1984" w:type="dxa"/>
            <w:tcBorders>
              <w:bottom w:val="nil"/>
            </w:tcBorders>
            <w:shd w:val="clear" w:color="E3E3E3" w:fill="auto"/>
          </w:tcPr>
          <w:p w14:paraId="3CAB6BBA" w14:textId="77777777" w:rsidR="009132C7" w:rsidRPr="00BC0D1F" w:rsidRDefault="009132C7" w:rsidP="006B0DC3">
            <w:pPr>
              <w:pStyle w:val="TableText"/>
              <w:ind w:right="284"/>
              <w:jc w:val="right"/>
            </w:pPr>
            <w:r w:rsidRPr="00BC0D1F">
              <w:t>1,001</w:t>
            </w:r>
          </w:p>
        </w:tc>
        <w:tc>
          <w:tcPr>
            <w:tcW w:w="1276" w:type="dxa"/>
            <w:tcBorders>
              <w:bottom w:val="nil"/>
            </w:tcBorders>
            <w:shd w:val="clear" w:color="auto" w:fill="D9D9D9"/>
          </w:tcPr>
          <w:p w14:paraId="17509CFC" w14:textId="77777777" w:rsidR="009132C7" w:rsidRPr="00BC0D1F" w:rsidRDefault="009132C7" w:rsidP="009132C7">
            <w:pPr>
              <w:pStyle w:val="TableText"/>
              <w:ind w:right="113"/>
              <w:jc w:val="right"/>
            </w:pPr>
            <w:r w:rsidRPr="00BC0D1F">
              <w:t>17,821</w:t>
            </w:r>
          </w:p>
        </w:tc>
      </w:tr>
      <w:tr w:rsidR="009132C7" w:rsidRPr="00BC0D1F" w14:paraId="0AD14955" w14:textId="77777777" w:rsidTr="006B0DC3">
        <w:trPr>
          <w:cantSplit/>
        </w:trPr>
        <w:tc>
          <w:tcPr>
            <w:tcW w:w="1418" w:type="dxa"/>
            <w:tcBorders>
              <w:top w:val="nil"/>
              <w:left w:val="nil"/>
              <w:bottom w:val="nil"/>
            </w:tcBorders>
            <w:shd w:val="solid" w:color="FFFFFF" w:fill="auto"/>
          </w:tcPr>
          <w:p w14:paraId="2EBFF7A6" w14:textId="77777777" w:rsidR="009132C7" w:rsidRPr="00BC0D1F" w:rsidRDefault="009132C7" w:rsidP="009132C7">
            <w:pPr>
              <w:pStyle w:val="TableText"/>
              <w:ind w:right="284"/>
              <w:jc w:val="right"/>
            </w:pPr>
            <w:r w:rsidRPr="00BC0D1F">
              <w:t>(16,797)</w:t>
            </w:r>
          </w:p>
        </w:tc>
        <w:tc>
          <w:tcPr>
            <w:tcW w:w="2693" w:type="dxa"/>
            <w:tcBorders>
              <w:top w:val="nil"/>
              <w:bottom w:val="nil"/>
            </w:tcBorders>
            <w:shd w:val="clear" w:color="E3E3E3" w:fill="auto"/>
          </w:tcPr>
          <w:p w14:paraId="158C5A06" w14:textId="77777777" w:rsidR="009132C7" w:rsidRPr="00BC0D1F" w:rsidRDefault="009132C7" w:rsidP="00DA00C3">
            <w:pPr>
              <w:pStyle w:val="TableText"/>
            </w:pPr>
            <w:r w:rsidRPr="00BC0D1F">
              <w:t>Expenses</w:t>
            </w:r>
          </w:p>
        </w:tc>
        <w:tc>
          <w:tcPr>
            <w:tcW w:w="1985" w:type="dxa"/>
            <w:tcBorders>
              <w:top w:val="nil"/>
              <w:bottom w:val="nil"/>
            </w:tcBorders>
            <w:shd w:val="clear" w:color="auto" w:fill="D9D9D9"/>
          </w:tcPr>
          <w:p w14:paraId="44664CEE" w14:textId="77777777" w:rsidR="009132C7" w:rsidRPr="00BC0D1F" w:rsidRDefault="009132C7" w:rsidP="009132C7">
            <w:pPr>
              <w:pStyle w:val="TableText"/>
              <w:ind w:right="113"/>
              <w:jc w:val="right"/>
            </w:pPr>
            <w:r w:rsidRPr="00BC0D1F">
              <w:t>(18,205)</w:t>
            </w:r>
          </w:p>
        </w:tc>
        <w:tc>
          <w:tcPr>
            <w:tcW w:w="1984" w:type="dxa"/>
            <w:tcBorders>
              <w:top w:val="nil"/>
              <w:bottom w:val="nil"/>
            </w:tcBorders>
            <w:shd w:val="clear" w:color="E3E3E3" w:fill="auto"/>
          </w:tcPr>
          <w:p w14:paraId="23A21B82" w14:textId="77777777" w:rsidR="009132C7" w:rsidRPr="00BC0D1F" w:rsidRDefault="009132C7" w:rsidP="006B0DC3">
            <w:pPr>
              <w:pStyle w:val="TableText"/>
              <w:ind w:right="284"/>
              <w:jc w:val="right"/>
            </w:pPr>
            <w:r w:rsidRPr="00BC0D1F">
              <w:t>(1,000)</w:t>
            </w:r>
          </w:p>
        </w:tc>
        <w:tc>
          <w:tcPr>
            <w:tcW w:w="1276" w:type="dxa"/>
            <w:tcBorders>
              <w:top w:val="nil"/>
              <w:bottom w:val="nil"/>
            </w:tcBorders>
            <w:shd w:val="clear" w:color="auto" w:fill="D9D9D9"/>
          </w:tcPr>
          <w:p w14:paraId="1D0603EC" w14:textId="77777777" w:rsidR="009132C7" w:rsidRPr="00BC0D1F" w:rsidRDefault="009132C7" w:rsidP="009132C7">
            <w:pPr>
              <w:pStyle w:val="TableText"/>
              <w:ind w:right="113"/>
              <w:jc w:val="right"/>
            </w:pPr>
            <w:r w:rsidRPr="00BC0D1F">
              <w:t>(19,205)</w:t>
            </w:r>
          </w:p>
        </w:tc>
      </w:tr>
      <w:tr w:rsidR="009132C7" w:rsidRPr="00BC0D1F" w14:paraId="18CD99CB" w14:textId="77777777" w:rsidTr="006B0DC3">
        <w:trPr>
          <w:cantSplit/>
        </w:trPr>
        <w:tc>
          <w:tcPr>
            <w:tcW w:w="1418" w:type="dxa"/>
            <w:tcBorders>
              <w:top w:val="nil"/>
              <w:left w:val="nil"/>
              <w:bottom w:val="single" w:sz="4" w:space="0" w:color="auto"/>
            </w:tcBorders>
            <w:shd w:val="solid" w:color="FFFFFF" w:fill="auto"/>
          </w:tcPr>
          <w:p w14:paraId="19F6F821" w14:textId="77777777" w:rsidR="009132C7" w:rsidRPr="00BC0D1F" w:rsidRDefault="009132C7" w:rsidP="009132C7">
            <w:pPr>
              <w:pStyle w:val="TableText"/>
              <w:ind w:right="284"/>
              <w:jc w:val="right"/>
              <w:rPr>
                <w:b/>
              </w:rPr>
            </w:pPr>
            <w:r w:rsidRPr="00BC0D1F">
              <w:rPr>
                <w:b/>
              </w:rPr>
              <w:t>(352)</w:t>
            </w:r>
          </w:p>
        </w:tc>
        <w:tc>
          <w:tcPr>
            <w:tcW w:w="2693" w:type="dxa"/>
            <w:tcBorders>
              <w:top w:val="nil"/>
              <w:bottom w:val="single" w:sz="4" w:space="0" w:color="auto"/>
            </w:tcBorders>
            <w:shd w:val="clear" w:color="auto" w:fill="auto"/>
          </w:tcPr>
          <w:p w14:paraId="3299D0F2" w14:textId="77777777" w:rsidR="009132C7" w:rsidRPr="00BC0D1F" w:rsidRDefault="009132C7" w:rsidP="00DA00C3">
            <w:pPr>
              <w:pStyle w:val="TableText"/>
              <w:rPr>
                <w:b/>
              </w:rPr>
            </w:pPr>
            <w:r w:rsidRPr="00BC0D1F">
              <w:rPr>
                <w:b/>
              </w:rPr>
              <w:t>Balance at 30 June</w:t>
            </w:r>
          </w:p>
        </w:tc>
        <w:tc>
          <w:tcPr>
            <w:tcW w:w="1985" w:type="dxa"/>
            <w:tcBorders>
              <w:top w:val="nil"/>
              <w:bottom w:val="single" w:sz="4" w:space="0" w:color="auto"/>
            </w:tcBorders>
            <w:shd w:val="clear" w:color="auto" w:fill="D9D9D9"/>
          </w:tcPr>
          <w:p w14:paraId="51F1AE47" w14:textId="77777777" w:rsidR="009132C7" w:rsidRPr="00BC0D1F" w:rsidRDefault="009132C7" w:rsidP="009132C7">
            <w:pPr>
              <w:pStyle w:val="TableText"/>
              <w:ind w:right="113"/>
              <w:jc w:val="right"/>
              <w:rPr>
                <w:b/>
              </w:rPr>
            </w:pPr>
            <w:r w:rsidRPr="00BC0D1F">
              <w:rPr>
                <w:b/>
              </w:rPr>
              <w:t>(1,221)</w:t>
            </w:r>
          </w:p>
        </w:tc>
        <w:tc>
          <w:tcPr>
            <w:tcW w:w="1984" w:type="dxa"/>
            <w:tcBorders>
              <w:top w:val="nil"/>
              <w:bottom w:val="single" w:sz="4" w:space="0" w:color="auto"/>
            </w:tcBorders>
            <w:shd w:val="clear" w:color="auto" w:fill="auto"/>
          </w:tcPr>
          <w:p w14:paraId="3FB7B5E1" w14:textId="77777777" w:rsidR="009132C7" w:rsidRPr="00BC0D1F" w:rsidRDefault="009132C7" w:rsidP="006B0DC3">
            <w:pPr>
              <w:pStyle w:val="TableText"/>
              <w:ind w:right="284"/>
              <w:jc w:val="right"/>
              <w:rPr>
                <w:b/>
              </w:rPr>
            </w:pPr>
            <w:r w:rsidRPr="00BC0D1F">
              <w:rPr>
                <w:b/>
              </w:rPr>
              <w:t>(515)</w:t>
            </w:r>
          </w:p>
        </w:tc>
        <w:tc>
          <w:tcPr>
            <w:tcW w:w="1276" w:type="dxa"/>
            <w:tcBorders>
              <w:top w:val="nil"/>
              <w:bottom w:val="single" w:sz="4" w:space="0" w:color="auto"/>
            </w:tcBorders>
            <w:shd w:val="clear" w:color="auto" w:fill="D9D9D9"/>
          </w:tcPr>
          <w:p w14:paraId="05C95BA6" w14:textId="77777777" w:rsidR="009132C7" w:rsidRPr="00BC0D1F" w:rsidRDefault="009132C7" w:rsidP="009132C7">
            <w:pPr>
              <w:pStyle w:val="TableText"/>
              <w:ind w:right="113"/>
              <w:jc w:val="right"/>
              <w:rPr>
                <w:b/>
              </w:rPr>
            </w:pPr>
            <w:r w:rsidRPr="00BC0D1F">
              <w:rPr>
                <w:b/>
              </w:rPr>
              <w:t>(1,736)</w:t>
            </w:r>
          </w:p>
        </w:tc>
      </w:tr>
    </w:tbl>
    <w:p w14:paraId="2291B3D9" w14:textId="7FBC3505" w:rsidR="00FA5E17" w:rsidRPr="00BC0D1F" w:rsidRDefault="00FA5E17" w:rsidP="009132C7">
      <w:pPr>
        <w:pStyle w:val="Note"/>
      </w:pPr>
      <w:r w:rsidRPr="00BC0D1F">
        <w:t>*</w:t>
      </w:r>
      <w:r w:rsidR="009132C7" w:rsidRPr="00BC0D1F">
        <w:tab/>
      </w:r>
      <w:r w:rsidRPr="00BC0D1F">
        <w:t>Revenue is actual levies collect by IRD, less the Departmental revenue based on the “Preventing and Minimising Gambling Harm: Three-year service plan 2013/14</w:t>
      </w:r>
      <w:r w:rsidR="009132C7" w:rsidRPr="00BC0D1F">
        <w:t>–</w:t>
      </w:r>
      <w:r w:rsidRPr="00BC0D1F">
        <w:t>2015/16</w:t>
      </w:r>
      <w:r w:rsidR="009132C7" w:rsidRPr="00BC0D1F">
        <w:t>”</w:t>
      </w:r>
      <w:r w:rsidRPr="00BC0D1F">
        <w:t>.</w:t>
      </w:r>
    </w:p>
    <w:p w14:paraId="4AAD6106" w14:textId="77777777" w:rsidR="00FA5E17" w:rsidRPr="00BC0D1F" w:rsidRDefault="00FA5E17" w:rsidP="009132C7"/>
    <w:p w14:paraId="7870112C" w14:textId="77777777" w:rsidR="00FA5E17" w:rsidRPr="00BC0D1F" w:rsidRDefault="00FA5E17" w:rsidP="009132C7">
      <w:pPr>
        <w:pStyle w:val="Heading2"/>
      </w:pPr>
      <w:bookmarkStart w:id="184" w:name="_Toc463507944"/>
      <w:r w:rsidRPr="00BC0D1F">
        <w:t>Statement of trust monies for the year ended 30</w:t>
      </w:r>
      <w:r w:rsidR="009132C7" w:rsidRPr="00BC0D1F">
        <w:t> </w:t>
      </w:r>
      <w:r w:rsidRPr="00BC0D1F">
        <w:t>June 2016</w:t>
      </w:r>
      <w:bookmarkEnd w:id="184"/>
    </w:p>
    <w:tbl>
      <w:tblPr>
        <w:tblW w:w="9356"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418"/>
        <w:gridCol w:w="6662"/>
        <w:gridCol w:w="1276"/>
      </w:tblGrid>
      <w:tr w:rsidR="009132C7" w:rsidRPr="00BC0D1F" w14:paraId="02FA7ACE" w14:textId="77777777" w:rsidTr="006B0DC3">
        <w:trPr>
          <w:cantSplit/>
        </w:trPr>
        <w:tc>
          <w:tcPr>
            <w:tcW w:w="1418" w:type="dxa"/>
            <w:tcBorders>
              <w:top w:val="single" w:sz="4" w:space="0" w:color="auto"/>
              <w:bottom w:val="single" w:sz="4" w:space="0" w:color="auto"/>
              <w:right w:val="nil"/>
            </w:tcBorders>
            <w:shd w:val="solid" w:color="FFFFFF" w:fill="auto"/>
          </w:tcPr>
          <w:p w14:paraId="7E4FB7B2" w14:textId="77777777" w:rsidR="009132C7" w:rsidRPr="00BC0D1F" w:rsidRDefault="009132C7" w:rsidP="00DA00C3">
            <w:pPr>
              <w:pStyle w:val="TableText"/>
              <w:ind w:right="284"/>
              <w:jc w:val="right"/>
              <w:rPr>
                <w:b/>
                <w:lang w:eastAsia="en-NZ"/>
              </w:rPr>
            </w:pPr>
            <w:r w:rsidRPr="00BC0D1F">
              <w:rPr>
                <w:b/>
                <w:lang w:eastAsia="en-NZ"/>
              </w:rPr>
              <w:t>Actual</w:t>
            </w:r>
            <w:r w:rsidRPr="00BC0D1F">
              <w:rPr>
                <w:b/>
                <w:lang w:eastAsia="en-NZ"/>
              </w:rPr>
              <w:br/>
              <w:t>2015</w:t>
            </w:r>
            <w:r w:rsidRPr="00BC0D1F">
              <w:rPr>
                <w:b/>
                <w:lang w:eastAsia="en-NZ"/>
              </w:rPr>
              <w:br/>
              <w:t>$000</w:t>
            </w:r>
          </w:p>
        </w:tc>
        <w:tc>
          <w:tcPr>
            <w:tcW w:w="6662" w:type="dxa"/>
            <w:tcBorders>
              <w:top w:val="single" w:sz="4" w:space="0" w:color="auto"/>
              <w:left w:val="nil"/>
              <w:bottom w:val="single" w:sz="4" w:space="0" w:color="auto"/>
            </w:tcBorders>
            <w:shd w:val="solid" w:color="FFFFFF" w:fill="auto"/>
          </w:tcPr>
          <w:p w14:paraId="53472B76" w14:textId="77777777" w:rsidR="009132C7" w:rsidRPr="00BC0D1F" w:rsidRDefault="009132C7" w:rsidP="00DA00C3">
            <w:pPr>
              <w:pStyle w:val="TableText"/>
              <w:rPr>
                <w:b/>
                <w:lang w:eastAsia="en-NZ"/>
              </w:rPr>
            </w:pPr>
          </w:p>
        </w:tc>
        <w:tc>
          <w:tcPr>
            <w:tcW w:w="1276" w:type="dxa"/>
            <w:tcBorders>
              <w:top w:val="single" w:sz="4" w:space="0" w:color="auto"/>
              <w:bottom w:val="single" w:sz="4" w:space="0" w:color="auto"/>
            </w:tcBorders>
            <w:shd w:val="clear" w:color="E3E3E3" w:fill="D9D9D9"/>
          </w:tcPr>
          <w:p w14:paraId="6C5B3B2F" w14:textId="77777777" w:rsidR="009132C7" w:rsidRPr="00BC0D1F" w:rsidRDefault="009132C7" w:rsidP="00DA00C3">
            <w:pPr>
              <w:pStyle w:val="TableText"/>
              <w:ind w:right="113"/>
              <w:jc w:val="right"/>
              <w:rPr>
                <w:b/>
                <w:lang w:eastAsia="en-NZ"/>
              </w:rPr>
            </w:pPr>
            <w:r w:rsidRPr="00BC0D1F">
              <w:rPr>
                <w:b/>
                <w:lang w:eastAsia="en-NZ"/>
              </w:rPr>
              <w:t>Actual</w:t>
            </w:r>
            <w:r w:rsidRPr="00BC0D1F">
              <w:rPr>
                <w:b/>
                <w:lang w:eastAsia="en-NZ"/>
              </w:rPr>
              <w:br/>
              <w:t>2016</w:t>
            </w:r>
            <w:r w:rsidRPr="00BC0D1F">
              <w:rPr>
                <w:b/>
                <w:lang w:eastAsia="en-NZ"/>
              </w:rPr>
              <w:br/>
              <w:t>$000</w:t>
            </w:r>
          </w:p>
        </w:tc>
      </w:tr>
      <w:tr w:rsidR="009132C7" w:rsidRPr="00BC0D1F" w14:paraId="22D5AFF3" w14:textId="77777777" w:rsidTr="006B0DC3">
        <w:trPr>
          <w:cantSplit/>
        </w:trPr>
        <w:tc>
          <w:tcPr>
            <w:tcW w:w="1418" w:type="dxa"/>
            <w:tcBorders>
              <w:top w:val="single" w:sz="4" w:space="0" w:color="auto"/>
              <w:bottom w:val="nil"/>
              <w:right w:val="nil"/>
            </w:tcBorders>
            <w:shd w:val="solid" w:color="FFFFFF" w:fill="auto"/>
          </w:tcPr>
          <w:p w14:paraId="5E45E6B5" w14:textId="77777777" w:rsidR="009132C7" w:rsidRPr="00BC0D1F" w:rsidRDefault="009132C7" w:rsidP="009132C7">
            <w:pPr>
              <w:pStyle w:val="TableText"/>
              <w:ind w:right="284"/>
              <w:jc w:val="right"/>
              <w:rPr>
                <w:b/>
              </w:rPr>
            </w:pPr>
          </w:p>
        </w:tc>
        <w:tc>
          <w:tcPr>
            <w:tcW w:w="6662" w:type="dxa"/>
            <w:tcBorders>
              <w:top w:val="single" w:sz="4" w:space="0" w:color="auto"/>
              <w:left w:val="nil"/>
            </w:tcBorders>
            <w:shd w:val="solid" w:color="FFFFFF" w:fill="auto"/>
          </w:tcPr>
          <w:p w14:paraId="3AB09E99" w14:textId="77777777" w:rsidR="009132C7" w:rsidRPr="00BC0D1F" w:rsidRDefault="009132C7" w:rsidP="009132C7">
            <w:pPr>
              <w:pStyle w:val="TableText"/>
              <w:rPr>
                <w:b/>
              </w:rPr>
            </w:pPr>
            <w:r w:rsidRPr="00BC0D1F">
              <w:rPr>
                <w:b/>
              </w:rPr>
              <w:t>District Health Boards Deposit Trust Account*</w:t>
            </w:r>
          </w:p>
        </w:tc>
        <w:tc>
          <w:tcPr>
            <w:tcW w:w="1276" w:type="dxa"/>
            <w:tcBorders>
              <w:top w:val="single" w:sz="4" w:space="0" w:color="auto"/>
            </w:tcBorders>
            <w:shd w:val="clear" w:color="E3E3E3" w:fill="D9D9D9"/>
          </w:tcPr>
          <w:p w14:paraId="24C13331" w14:textId="77777777" w:rsidR="009132C7" w:rsidRPr="00BC0D1F" w:rsidRDefault="009132C7" w:rsidP="006B0DC3">
            <w:pPr>
              <w:pStyle w:val="TableText"/>
              <w:ind w:right="113"/>
              <w:jc w:val="right"/>
              <w:rPr>
                <w:b/>
              </w:rPr>
            </w:pPr>
          </w:p>
        </w:tc>
      </w:tr>
      <w:tr w:rsidR="009132C7" w:rsidRPr="00BC0D1F" w14:paraId="53BB51BB" w14:textId="77777777" w:rsidTr="006B0DC3">
        <w:trPr>
          <w:cantSplit/>
        </w:trPr>
        <w:tc>
          <w:tcPr>
            <w:tcW w:w="1418" w:type="dxa"/>
            <w:tcBorders>
              <w:top w:val="nil"/>
              <w:bottom w:val="nil"/>
              <w:right w:val="nil"/>
            </w:tcBorders>
            <w:shd w:val="solid" w:color="FFFFFF" w:fill="D9D9D9"/>
          </w:tcPr>
          <w:p w14:paraId="7ACBCC40" w14:textId="77777777" w:rsidR="009132C7" w:rsidRPr="00BC0D1F" w:rsidRDefault="009132C7" w:rsidP="009132C7">
            <w:pPr>
              <w:pStyle w:val="TableText"/>
              <w:ind w:right="284"/>
              <w:jc w:val="right"/>
            </w:pPr>
            <w:r w:rsidRPr="00BC0D1F">
              <w:t>875</w:t>
            </w:r>
          </w:p>
        </w:tc>
        <w:tc>
          <w:tcPr>
            <w:tcW w:w="6662" w:type="dxa"/>
            <w:tcBorders>
              <w:left w:val="nil"/>
            </w:tcBorders>
            <w:shd w:val="solid" w:color="FFFFFF" w:fill="auto"/>
          </w:tcPr>
          <w:p w14:paraId="77679E52" w14:textId="77777777" w:rsidR="009132C7" w:rsidRPr="00BC0D1F" w:rsidRDefault="009132C7" w:rsidP="009132C7">
            <w:pPr>
              <w:pStyle w:val="TableText"/>
            </w:pPr>
            <w:r w:rsidRPr="00BC0D1F">
              <w:t>Balance as at 1 July</w:t>
            </w:r>
          </w:p>
        </w:tc>
        <w:tc>
          <w:tcPr>
            <w:tcW w:w="1276" w:type="dxa"/>
            <w:shd w:val="clear" w:color="E3E3E3" w:fill="D9D9D9"/>
          </w:tcPr>
          <w:p w14:paraId="5D319F5B" w14:textId="77777777" w:rsidR="009132C7" w:rsidRPr="00BC0D1F" w:rsidRDefault="009132C7" w:rsidP="006B0DC3">
            <w:pPr>
              <w:pStyle w:val="TableText"/>
              <w:ind w:right="113"/>
              <w:jc w:val="right"/>
            </w:pPr>
            <w:r w:rsidRPr="00BC0D1F">
              <w:t>1,088</w:t>
            </w:r>
          </w:p>
        </w:tc>
      </w:tr>
      <w:tr w:rsidR="009132C7" w:rsidRPr="00BC0D1F" w14:paraId="7C313D4B" w14:textId="77777777" w:rsidTr="006B0DC3">
        <w:trPr>
          <w:cantSplit/>
        </w:trPr>
        <w:tc>
          <w:tcPr>
            <w:tcW w:w="1418" w:type="dxa"/>
            <w:tcBorders>
              <w:top w:val="nil"/>
              <w:bottom w:val="nil"/>
              <w:right w:val="nil"/>
            </w:tcBorders>
            <w:shd w:val="solid" w:color="FFFFFF" w:fill="D9D9D9"/>
          </w:tcPr>
          <w:p w14:paraId="543B4D72" w14:textId="77777777" w:rsidR="009132C7" w:rsidRPr="00BC0D1F" w:rsidRDefault="009132C7" w:rsidP="009132C7">
            <w:pPr>
              <w:pStyle w:val="TableText"/>
              <w:ind w:right="284"/>
              <w:jc w:val="right"/>
            </w:pPr>
            <w:r w:rsidRPr="00BC0D1F">
              <w:t>6,993,705</w:t>
            </w:r>
          </w:p>
        </w:tc>
        <w:tc>
          <w:tcPr>
            <w:tcW w:w="6662" w:type="dxa"/>
            <w:tcBorders>
              <w:left w:val="nil"/>
            </w:tcBorders>
            <w:shd w:val="solid" w:color="FFFFFF" w:fill="auto"/>
          </w:tcPr>
          <w:p w14:paraId="0216F871" w14:textId="77777777" w:rsidR="009132C7" w:rsidRPr="00BC0D1F" w:rsidRDefault="009132C7" w:rsidP="009132C7">
            <w:pPr>
              <w:pStyle w:val="TableText"/>
            </w:pPr>
            <w:r w:rsidRPr="00BC0D1F">
              <w:t>Contributions</w:t>
            </w:r>
          </w:p>
        </w:tc>
        <w:tc>
          <w:tcPr>
            <w:tcW w:w="1276" w:type="dxa"/>
            <w:shd w:val="clear" w:color="E3E3E3" w:fill="D9D9D9"/>
          </w:tcPr>
          <w:p w14:paraId="4645BB5A" w14:textId="77777777" w:rsidR="009132C7" w:rsidRPr="00BC0D1F" w:rsidRDefault="009132C7" w:rsidP="006B0DC3">
            <w:pPr>
              <w:pStyle w:val="TableText"/>
              <w:ind w:right="113"/>
              <w:jc w:val="right"/>
            </w:pPr>
            <w:r w:rsidRPr="00BC0D1F">
              <w:t>7,324,487</w:t>
            </w:r>
          </w:p>
        </w:tc>
      </w:tr>
      <w:tr w:rsidR="009132C7" w:rsidRPr="00BC0D1F" w14:paraId="2ED64019" w14:textId="77777777" w:rsidTr="006B0DC3">
        <w:trPr>
          <w:cantSplit/>
        </w:trPr>
        <w:tc>
          <w:tcPr>
            <w:tcW w:w="1418" w:type="dxa"/>
            <w:tcBorders>
              <w:top w:val="nil"/>
              <w:bottom w:val="nil"/>
              <w:right w:val="nil"/>
            </w:tcBorders>
            <w:shd w:val="solid" w:color="FFFFFF" w:fill="D9D9D9"/>
          </w:tcPr>
          <w:p w14:paraId="08094FAD" w14:textId="77777777" w:rsidR="009132C7" w:rsidRPr="00BC0D1F" w:rsidRDefault="009132C7" w:rsidP="009132C7">
            <w:pPr>
              <w:pStyle w:val="TableText"/>
              <w:ind w:right="284"/>
              <w:jc w:val="right"/>
            </w:pPr>
            <w:r w:rsidRPr="00BC0D1F">
              <w:t>(6,994,224)</w:t>
            </w:r>
          </w:p>
        </w:tc>
        <w:tc>
          <w:tcPr>
            <w:tcW w:w="6662" w:type="dxa"/>
            <w:tcBorders>
              <w:left w:val="nil"/>
            </w:tcBorders>
            <w:shd w:val="solid" w:color="FFFFFF" w:fill="auto"/>
          </w:tcPr>
          <w:p w14:paraId="684242D6" w14:textId="77777777" w:rsidR="009132C7" w:rsidRPr="00BC0D1F" w:rsidRDefault="009132C7" w:rsidP="009132C7">
            <w:pPr>
              <w:pStyle w:val="TableText"/>
            </w:pPr>
            <w:r w:rsidRPr="00BC0D1F">
              <w:t>Distributions</w:t>
            </w:r>
          </w:p>
        </w:tc>
        <w:tc>
          <w:tcPr>
            <w:tcW w:w="1276" w:type="dxa"/>
            <w:shd w:val="clear" w:color="E3E3E3" w:fill="D9D9D9"/>
          </w:tcPr>
          <w:p w14:paraId="510B0546" w14:textId="77777777" w:rsidR="009132C7" w:rsidRPr="00BC0D1F" w:rsidRDefault="009132C7" w:rsidP="006B0DC3">
            <w:pPr>
              <w:pStyle w:val="TableText"/>
              <w:ind w:right="113"/>
              <w:jc w:val="right"/>
            </w:pPr>
            <w:r w:rsidRPr="00BC0D1F">
              <w:t>(7,324,151)</w:t>
            </w:r>
          </w:p>
        </w:tc>
      </w:tr>
      <w:tr w:rsidR="009132C7" w:rsidRPr="00BC0D1F" w14:paraId="664D593D" w14:textId="77777777" w:rsidTr="006B0DC3">
        <w:trPr>
          <w:cantSplit/>
        </w:trPr>
        <w:tc>
          <w:tcPr>
            <w:tcW w:w="1418" w:type="dxa"/>
            <w:tcBorders>
              <w:top w:val="nil"/>
              <w:bottom w:val="nil"/>
              <w:right w:val="nil"/>
            </w:tcBorders>
            <w:shd w:val="solid" w:color="FFFFFF" w:fill="D9D9D9"/>
          </w:tcPr>
          <w:p w14:paraId="6C65C79C" w14:textId="77777777" w:rsidR="009132C7" w:rsidRPr="00BC0D1F" w:rsidRDefault="006B0DC3" w:rsidP="009132C7">
            <w:pPr>
              <w:pStyle w:val="TableText"/>
              <w:ind w:right="284"/>
              <w:jc w:val="right"/>
            </w:pPr>
            <w:r w:rsidRPr="00BC0D1F">
              <w:t>–</w:t>
            </w:r>
          </w:p>
        </w:tc>
        <w:tc>
          <w:tcPr>
            <w:tcW w:w="6662" w:type="dxa"/>
            <w:tcBorders>
              <w:left w:val="nil"/>
            </w:tcBorders>
            <w:shd w:val="solid" w:color="FFFFFF" w:fill="auto"/>
          </w:tcPr>
          <w:p w14:paraId="17A7A549" w14:textId="77777777" w:rsidR="009132C7" w:rsidRPr="00BC0D1F" w:rsidRDefault="009132C7" w:rsidP="009132C7">
            <w:pPr>
              <w:pStyle w:val="TableText"/>
            </w:pPr>
            <w:r w:rsidRPr="00BC0D1F">
              <w:t>Revenue</w:t>
            </w:r>
          </w:p>
        </w:tc>
        <w:tc>
          <w:tcPr>
            <w:tcW w:w="1276" w:type="dxa"/>
            <w:shd w:val="clear" w:color="E3E3E3" w:fill="D9D9D9"/>
          </w:tcPr>
          <w:p w14:paraId="157C8D81" w14:textId="77777777" w:rsidR="009132C7" w:rsidRPr="00BC0D1F" w:rsidRDefault="006B0DC3" w:rsidP="006B0DC3">
            <w:pPr>
              <w:pStyle w:val="TableText"/>
              <w:ind w:right="113"/>
              <w:jc w:val="right"/>
            </w:pPr>
            <w:r w:rsidRPr="00BC0D1F">
              <w:t>–</w:t>
            </w:r>
          </w:p>
        </w:tc>
      </w:tr>
      <w:tr w:rsidR="009132C7" w:rsidRPr="00BC0D1F" w14:paraId="7B7D066E" w14:textId="77777777" w:rsidTr="006B0DC3">
        <w:trPr>
          <w:cantSplit/>
        </w:trPr>
        <w:tc>
          <w:tcPr>
            <w:tcW w:w="1418" w:type="dxa"/>
            <w:tcBorders>
              <w:top w:val="nil"/>
              <w:bottom w:val="nil"/>
              <w:right w:val="nil"/>
            </w:tcBorders>
            <w:shd w:val="solid" w:color="FFFFFF" w:fill="D9D9D9"/>
          </w:tcPr>
          <w:p w14:paraId="40656F06" w14:textId="77777777" w:rsidR="009132C7" w:rsidRPr="00BC0D1F" w:rsidRDefault="009132C7" w:rsidP="009132C7">
            <w:pPr>
              <w:pStyle w:val="TableText"/>
              <w:ind w:right="284"/>
              <w:jc w:val="right"/>
            </w:pPr>
            <w:r w:rsidRPr="00BC0D1F">
              <w:t>732</w:t>
            </w:r>
          </w:p>
        </w:tc>
        <w:tc>
          <w:tcPr>
            <w:tcW w:w="6662" w:type="dxa"/>
            <w:tcBorders>
              <w:left w:val="nil"/>
            </w:tcBorders>
            <w:shd w:val="solid" w:color="FFFFFF" w:fill="auto"/>
          </w:tcPr>
          <w:p w14:paraId="0E61084F" w14:textId="77777777" w:rsidR="009132C7" w:rsidRPr="00BC0D1F" w:rsidRDefault="009132C7" w:rsidP="009132C7">
            <w:pPr>
              <w:pStyle w:val="TableText"/>
            </w:pPr>
            <w:r w:rsidRPr="00BC0D1F">
              <w:t>Expenditure</w:t>
            </w:r>
          </w:p>
        </w:tc>
        <w:tc>
          <w:tcPr>
            <w:tcW w:w="1276" w:type="dxa"/>
            <w:shd w:val="clear" w:color="E3E3E3" w:fill="D9D9D9"/>
          </w:tcPr>
          <w:p w14:paraId="3B886AFC" w14:textId="77777777" w:rsidR="009132C7" w:rsidRPr="00BC0D1F" w:rsidRDefault="009132C7" w:rsidP="006B0DC3">
            <w:pPr>
              <w:pStyle w:val="TableText"/>
              <w:ind w:right="113"/>
              <w:jc w:val="right"/>
            </w:pPr>
            <w:r w:rsidRPr="00BC0D1F">
              <w:t>(500)</w:t>
            </w:r>
          </w:p>
        </w:tc>
      </w:tr>
      <w:tr w:rsidR="009132C7" w:rsidRPr="00BC0D1F" w14:paraId="7E0A0789" w14:textId="77777777" w:rsidTr="006B0DC3">
        <w:trPr>
          <w:cantSplit/>
        </w:trPr>
        <w:tc>
          <w:tcPr>
            <w:tcW w:w="1418" w:type="dxa"/>
            <w:tcBorders>
              <w:top w:val="nil"/>
              <w:right w:val="nil"/>
            </w:tcBorders>
            <w:shd w:val="solid" w:color="FFFFFF" w:fill="auto"/>
          </w:tcPr>
          <w:p w14:paraId="066CB5B5" w14:textId="77777777" w:rsidR="009132C7" w:rsidRPr="00BC0D1F" w:rsidRDefault="009132C7" w:rsidP="009132C7">
            <w:pPr>
              <w:pStyle w:val="TableText"/>
              <w:ind w:right="284"/>
              <w:jc w:val="right"/>
              <w:rPr>
                <w:b/>
              </w:rPr>
            </w:pPr>
            <w:r w:rsidRPr="00BC0D1F">
              <w:rPr>
                <w:b/>
              </w:rPr>
              <w:t>1,088</w:t>
            </w:r>
          </w:p>
        </w:tc>
        <w:tc>
          <w:tcPr>
            <w:tcW w:w="6662" w:type="dxa"/>
            <w:tcBorders>
              <w:left w:val="nil"/>
            </w:tcBorders>
            <w:shd w:val="solid" w:color="FFFFFF" w:fill="auto"/>
          </w:tcPr>
          <w:p w14:paraId="13838B17" w14:textId="77777777" w:rsidR="009132C7" w:rsidRPr="00BC0D1F" w:rsidRDefault="009132C7" w:rsidP="009132C7">
            <w:pPr>
              <w:pStyle w:val="TableText"/>
              <w:rPr>
                <w:b/>
              </w:rPr>
            </w:pPr>
            <w:r w:rsidRPr="00BC0D1F">
              <w:rPr>
                <w:b/>
              </w:rPr>
              <w:t>Balance as at 30 June</w:t>
            </w:r>
          </w:p>
        </w:tc>
        <w:tc>
          <w:tcPr>
            <w:tcW w:w="1276" w:type="dxa"/>
            <w:shd w:val="clear" w:color="E3E3E3" w:fill="D9D9D9"/>
          </w:tcPr>
          <w:p w14:paraId="387BBCE2" w14:textId="77777777" w:rsidR="009132C7" w:rsidRPr="00BC0D1F" w:rsidRDefault="009132C7" w:rsidP="006B0DC3">
            <w:pPr>
              <w:pStyle w:val="TableText"/>
              <w:ind w:right="113"/>
              <w:jc w:val="right"/>
              <w:rPr>
                <w:b/>
              </w:rPr>
            </w:pPr>
            <w:r w:rsidRPr="00BC0D1F">
              <w:rPr>
                <w:b/>
              </w:rPr>
              <w:t>924</w:t>
            </w:r>
          </w:p>
        </w:tc>
      </w:tr>
    </w:tbl>
    <w:p w14:paraId="61D00003" w14:textId="77777777" w:rsidR="00FA5E17" w:rsidRPr="00BC0D1F" w:rsidRDefault="00FA5E17" w:rsidP="006B0DC3">
      <w:pPr>
        <w:pStyle w:val="Note"/>
      </w:pPr>
      <w:r w:rsidRPr="00BC0D1F">
        <w:rPr>
          <w:b/>
        </w:rPr>
        <w:t>*</w:t>
      </w:r>
      <w:r w:rsidR="006B0DC3" w:rsidRPr="00BC0D1F">
        <w:rPr>
          <w:b/>
        </w:rPr>
        <w:tab/>
      </w:r>
      <w:r w:rsidRPr="00BC0D1F">
        <w:t>This trust account was set up to hold funds received from DHBs for the delivery of processing services and disbursements.</w:t>
      </w:r>
    </w:p>
    <w:p w14:paraId="039D6D01" w14:textId="77777777" w:rsidR="00FA5E17" w:rsidRDefault="00FA5E17" w:rsidP="006B0DC3">
      <w:pPr>
        <w:pStyle w:val="Note"/>
        <w:ind w:firstLine="0"/>
      </w:pPr>
      <w:r w:rsidRPr="00BC0D1F">
        <w:t>Another trust account was set up to hold deposits made by those new medicines applications that have been rejected by the Medicines Assessment Advisory Committee (MAAC). Deposits are made when applicants request the Medicines Review Committee to consider their objections to recommendations made by MAAC. Once the Medicines Review Committee has completed its review, these deposits are refunded to depositors subject to the deduction of any costs ordered by the Committee. The balance of this trust account remains under $500.00 and is not significant enough to show separately.</w:t>
      </w:r>
    </w:p>
    <w:p w14:paraId="496B60C8" w14:textId="77777777" w:rsidR="00FA5E17" w:rsidRPr="00BC0D1F" w:rsidRDefault="00FA5E17" w:rsidP="006B0DC3"/>
    <w:p w14:paraId="1E5613B4" w14:textId="232734B2" w:rsidR="00DC0C98" w:rsidRPr="00DC0C98" w:rsidRDefault="00DC0C98" w:rsidP="00DC0C98">
      <w:pPr>
        <w:pStyle w:val="Heading2"/>
      </w:pPr>
      <w:bookmarkStart w:id="185" w:name="_Toc463507945"/>
      <w:bookmarkStart w:id="186" w:name="_Toc399405949"/>
      <w:bookmarkStart w:id="187" w:name="_Toc430883621"/>
      <w:r w:rsidRPr="00DC0C98">
        <w:lastRenderedPageBreak/>
        <w:t>Statement of non</w:t>
      </w:r>
      <w:r>
        <w:t>-</w:t>
      </w:r>
      <w:r w:rsidRPr="00DC0C98">
        <w:t>departmental unappropriated expenses and capital expenditure for the year ended 30 June 2016</w:t>
      </w:r>
      <w:bookmarkEnd w:id="185"/>
    </w:p>
    <w:p w14:paraId="673E9643" w14:textId="77777777" w:rsidR="00DC0C98" w:rsidRPr="00DC0C98" w:rsidRDefault="00DC0C98" w:rsidP="00DC0C98">
      <w:pPr>
        <w:autoSpaceDE w:val="0"/>
        <w:autoSpaceDN w:val="0"/>
        <w:adjustRightInd w:val="0"/>
        <w:rPr>
          <w:rFonts w:eastAsiaTheme="minorHAnsi" w:cs="Arial"/>
          <w:color w:val="FFFFFF"/>
          <w:szCs w:val="22"/>
        </w:rPr>
      </w:pPr>
      <w:r w:rsidRPr="00DC0C98">
        <w:rPr>
          <w:rFonts w:eastAsiaTheme="minorHAnsi" w:cs="Arial"/>
          <w:color w:val="FFFFFF"/>
          <w:szCs w:val="22"/>
        </w:rPr>
        <w:t>Minister of Justice</w:t>
      </w:r>
    </w:p>
    <w:p w14:paraId="6717792E" w14:textId="77777777" w:rsidR="00DC0C98" w:rsidRPr="00DC0C98" w:rsidRDefault="00DC0C98" w:rsidP="00DC0C98">
      <w:pPr>
        <w:autoSpaceDE w:val="0"/>
        <w:autoSpaceDN w:val="0"/>
        <w:adjustRightInd w:val="0"/>
        <w:rPr>
          <w:rFonts w:eastAsiaTheme="minorHAnsi" w:cs="Arial"/>
          <w:color w:val="333333"/>
          <w:szCs w:val="22"/>
        </w:rPr>
      </w:pPr>
      <w:r w:rsidRPr="00DC0C98">
        <w:rPr>
          <w:rFonts w:eastAsiaTheme="minorHAnsi" w:cs="Arial"/>
          <w:color w:val="333333"/>
          <w:szCs w:val="22"/>
        </w:rPr>
        <w:t>Non</w:t>
      </w:r>
      <w:r w:rsidRPr="00DC0C98">
        <w:rPr>
          <w:rFonts w:ascii="MS Mincho" w:eastAsia="MS Mincho" w:hAnsi="MS Mincho" w:cs="MS Mincho" w:hint="eastAsia"/>
          <w:color w:val="333333"/>
          <w:szCs w:val="22"/>
        </w:rPr>
        <w:t>‑</w:t>
      </w:r>
      <w:r w:rsidRPr="00DC0C98">
        <w:rPr>
          <w:rFonts w:eastAsiaTheme="minorHAnsi" w:cs="Arial"/>
          <w:color w:val="333333"/>
          <w:szCs w:val="22"/>
        </w:rPr>
        <w:t>departmental capital expenditure to be incurred by the Crown</w:t>
      </w:r>
    </w:p>
    <w:p w14:paraId="0A90C8AF" w14:textId="77777777" w:rsidR="00DC0C98" w:rsidRPr="00DC0C98" w:rsidRDefault="00DC0C98" w:rsidP="00DC0C98">
      <w:pPr>
        <w:autoSpaceDE w:val="0"/>
        <w:autoSpaceDN w:val="0"/>
        <w:adjustRightInd w:val="0"/>
        <w:rPr>
          <w:rFonts w:eastAsiaTheme="minorHAnsi" w:cs="GothamXNarrow-Book"/>
          <w:color w:val="333333"/>
          <w:szCs w:val="22"/>
        </w:rPr>
      </w:pPr>
    </w:p>
    <w:tbl>
      <w:tblPr>
        <w:tblW w:w="10915" w:type="dxa"/>
        <w:tblCellMar>
          <w:left w:w="0" w:type="dxa"/>
          <w:right w:w="0" w:type="dxa"/>
        </w:tblCellMar>
        <w:tblLook w:val="04A0" w:firstRow="1" w:lastRow="0" w:firstColumn="1" w:lastColumn="0" w:noHBand="0" w:noVBand="1"/>
      </w:tblPr>
      <w:tblGrid>
        <w:gridCol w:w="4041"/>
        <w:gridCol w:w="3617"/>
        <w:gridCol w:w="875"/>
        <w:gridCol w:w="2382"/>
      </w:tblGrid>
      <w:tr w:rsidR="00DC0C98" w:rsidRPr="00DC0C98" w14:paraId="7038D77D" w14:textId="77777777" w:rsidTr="00DC0C98">
        <w:trPr>
          <w:gridAfter w:val="1"/>
          <w:wAfter w:w="2382" w:type="dxa"/>
          <w:trHeight w:val="1355"/>
        </w:trPr>
        <w:tc>
          <w:tcPr>
            <w:tcW w:w="4041" w:type="dxa"/>
            <w:tcMar>
              <w:top w:w="0" w:type="dxa"/>
              <w:left w:w="108" w:type="dxa"/>
              <w:bottom w:w="113" w:type="dxa"/>
              <w:right w:w="108" w:type="dxa"/>
            </w:tcMar>
            <w:hideMark/>
          </w:tcPr>
          <w:p w14:paraId="6F6F956C" w14:textId="77777777" w:rsidR="00DC0C98" w:rsidRPr="00DC0C98" w:rsidRDefault="00DC0C98" w:rsidP="00136F36">
            <w:pPr>
              <w:rPr>
                <w:rFonts w:cs="Arial"/>
                <w:szCs w:val="22"/>
                <w:lang w:eastAsia="en-NZ"/>
              </w:rPr>
            </w:pPr>
            <w:r w:rsidRPr="00DC0C98">
              <w:rPr>
                <w:rFonts w:cs="Arial"/>
                <w:szCs w:val="22"/>
                <w:lang w:eastAsia="en-NZ"/>
              </w:rPr>
              <w:t>Health Sector Projects</w:t>
            </w:r>
          </w:p>
          <w:p w14:paraId="26C444C0" w14:textId="77777777" w:rsidR="00DC0C98" w:rsidRPr="00DC0C98" w:rsidRDefault="00DC0C98" w:rsidP="00136F36">
            <w:pPr>
              <w:rPr>
                <w:rFonts w:cs="Arial"/>
                <w:i/>
                <w:iCs/>
                <w:szCs w:val="22"/>
                <w:lang w:eastAsia="en-NZ"/>
              </w:rPr>
            </w:pPr>
            <w:r w:rsidRPr="00DC0C98">
              <w:rPr>
                <w:rFonts w:cs="Arial"/>
                <w:i/>
                <w:iCs/>
                <w:szCs w:val="22"/>
                <w:lang w:eastAsia="en-NZ"/>
              </w:rPr>
              <w:t>1 July 2013 – 30 June 2014</w:t>
            </w:r>
          </w:p>
          <w:p w14:paraId="528E3E9C" w14:textId="77777777" w:rsidR="00DC0C98" w:rsidRPr="00DC0C98" w:rsidRDefault="00DC0C98" w:rsidP="00136F36">
            <w:pPr>
              <w:rPr>
                <w:rFonts w:cs="Arial"/>
                <w:i/>
                <w:iCs/>
                <w:szCs w:val="22"/>
                <w:lang w:eastAsia="en-NZ"/>
              </w:rPr>
            </w:pPr>
            <w:r w:rsidRPr="00DC0C98">
              <w:rPr>
                <w:rFonts w:cs="Arial"/>
                <w:i/>
                <w:iCs/>
                <w:szCs w:val="22"/>
                <w:lang w:eastAsia="en-NZ"/>
              </w:rPr>
              <w:t>1 July 2014 – 30 June 2015</w:t>
            </w:r>
          </w:p>
          <w:p w14:paraId="3604BDBD" w14:textId="77777777" w:rsidR="00DC0C98" w:rsidRPr="00DC0C98" w:rsidRDefault="00DC0C98" w:rsidP="00136F36">
            <w:pPr>
              <w:rPr>
                <w:rFonts w:cs="Arial"/>
                <w:i/>
                <w:iCs/>
                <w:szCs w:val="22"/>
                <w:lang w:eastAsia="en-NZ"/>
              </w:rPr>
            </w:pPr>
            <w:r w:rsidRPr="00DC0C98">
              <w:rPr>
                <w:rFonts w:cs="Arial"/>
                <w:i/>
                <w:iCs/>
                <w:szCs w:val="22"/>
                <w:lang w:eastAsia="en-NZ"/>
              </w:rPr>
              <w:t>1 July 2015 – 30 June 2016</w:t>
            </w:r>
          </w:p>
        </w:tc>
        <w:tc>
          <w:tcPr>
            <w:tcW w:w="4492" w:type="dxa"/>
            <w:gridSpan w:val="2"/>
            <w:tcMar>
              <w:top w:w="0" w:type="dxa"/>
              <w:left w:w="108" w:type="dxa"/>
              <w:bottom w:w="113" w:type="dxa"/>
              <w:right w:w="108" w:type="dxa"/>
            </w:tcMar>
          </w:tcPr>
          <w:p w14:paraId="6EEFD80B" w14:textId="77777777" w:rsidR="00DC0C98" w:rsidRPr="00DC0C98" w:rsidRDefault="00DC0C98" w:rsidP="00136F36">
            <w:pPr>
              <w:jc w:val="right"/>
              <w:rPr>
                <w:rFonts w:cs="Arial"/>
                <w:szCs w:val="22"/>
                <w:lang w:eastAsia="en-NZ"/>
              </w:rPr>
            </w:pPr>
            <w:r w:rsidRPr="00DC0C98">
              <w:rPr>
                <w:rFonts w:cs="Arial"/>
                <w:szCs w:val="22"/>
                <w:lang w:eastAsia="en-NZ"/>
              </w:rPr>
              <w:t>$’000</w:t>
            </w:r>
          </w:p>
          <w:p w14:paraId="02401CC7" w14:textId="77777777" w:rsidR="00DC0C98" w:rsidRPr="00DC0C98" w:rsidRDefault="00DC0C98" w:rsidP="00136F36">
            <w:pPr>
              <w:jc w:val="right"/>
              <w:rPr>
                <w:rFonts w:cs="Arial"/>
                <w:szCs w:val="22"/>
                <w:lang w:eastAsia="en-NZ"/>
              </w:rPr>
            </w:pPr>
            <w:r w:rsidRPr="00DC0C98">
              <w:rPr>
                <w:rFonts w:cs="Arial"/>
                <w:szCs w:val="22"/>
                <w:lang w:eastAsia="en-NZ"/>
              </w:rPr>
              <w:t>6,380</w:t>
            </w:r>
          </w:p>
          <w:p w14:paraId="709CBEA7" w14:textId="77777777" w:rsidR="00DC0C98" w:rsidRPr="00DC0C98" w:rsidRDefault="00DC0C98" w:rsidP="00136F36">
            <w:pPr>
              <w:jc w:val="right"/>
              <w:rPr>
                <w:rFonts w:cs="Arial"/>
                <w:szCs w:val="22"/>
                <w:lang w:eastAsia="en-NZ"/>
              </w:rPr>
            </w:pPr>
            <w:r w:rsidRPr="00DC0C98">
              <w:rPr>
                <w:rFonts w:cs="Arial"/>
                <w:szCs w:val="22"/>
                <w:lang w:eastAsia="en-NZ"/>
              </w:rPr>
              <w:t>1,221</w:t>
            </w:r>
          </w:p>
          <w:p w14:paraId="484B0DFF" w14:textId="77777777" w:rsidR="00DC0C98" w:rsidRPr="00DC0C98" w:rsidRDefault="00DC0C98" w:rsidP="00136F36">
            <w:pPr>
              <w:jc w:val="right"/>
              <w:rPr>
                <w:rFonts w:cs="Arial"/>
                <w:szCs w:val="22"/>
                <w:lang w:eastAsia="en-NZ"/>
              </w:rPr>
            </w:pPr>
            <w:r w:rsidRPr="00DC0C98">
              <w:rPr>
                <w:rFonts w:cs="Arial"/>
                <w:szCs w:val="22"/>
                <w:lang w:eastAsia="en-NZ"/>
              </w:rPr>
              <w:t>726</w:t>
            </w:r>
          </w:p>
          <w:p w14:paraId="0264CDD3" w14:textId="77777777" w:rsidR="00DC0C98" w:rsidRPr="00DC0C98" w:rsidRDefault="00DC0C98" w:rsidP="00136F36">
            <w:pPr>
              <w:jc w:val="right"/>
              <w:rPr>
                <w:rFonts w:cs="Arial"/>
                <w:szCs w:val="22"/>
                <w:lang w:eastAsia="en-NZ"/>
              </w:rPr>
            </w:pPr>
          </w:p>
        </w:tc>
      </w:tr>
      <w:tr w:rsidR="00DC0C98" w:rsidRPr="00DC0C98" w14:paraId="01D02501" w14:textId="77777777" w:rsidTr="00DC0C98">
        <w:trPr>
          <w:trHeight w:val="568"/>
        </w:trPr>
        <w:tc>
          <w:tcPr>
            <w:tcW w:w="7658" w:type="dxa"/>
            <w:gridSpan w:val="2"/>
            <w:tcMar>
              <w:top w:w="0" w:type="dxa"/>
              <w:left w:w="108" w:type="dxa"/>
              <w:bottom w:w="113" w:type="dxa"/>
              <w:right w:w="108" w:type="dxa"/>
            </w:tcMar>
            <w:hideMark/>
          </w:tcPr>
          <w:p w14:paraId="4FAFCD53" w14:textId="77777777" w:rsidR="00DC0C98" w:rsidRPr="00DC0C98" w:rsidRDefault="00DC0C98" w:rsidP="00136F36">
            <w:pPr>
              <w:rPr>
                <w:rFonts w:cs="Arial"/>
                <w:szCs w:val="22"/>
                <w:lang w:eastAsia="en-NZ"/>
              </w:rPr>
            </w:pPr>
            <w:r w:rsidRPr="00DC0C98">
              <w:rPr>
                <w:rFonts w:cs="Arial"/>
                <w:szCs w:val="22"/>
                <w:lang w:eastAsia="en-NZ"/>
              </w:rPr>
              <w:t xml:space="preserve">Write off of costs on transfer value of </w:t>
            </w:r>
            <w:proofErr w:type="spellStart"/>
            <w:r w:rsidRPr="00DC0C98">
              <w:rPr>
                <w:rFonts w:cs="Arial"/>
                <w:szCs w:val="22"/>
                <w:lang w:eastAsia="en-NZ"/>
              </w:rPr>
              <w:t>Burwood</w:t>
            </w:r>
            <w:proofErr w:type="spellEnd"/>
            <w:r w:rsidRPr="00DC0C98">
              <w:rPr>
                <w:rFonts w:cs="Arial"/>
                <w:szCs w:val="22"/>
                <w:lang w:eastAsia="en-NZ"/>
              </w:rPr>
              <w:t xml:space="preserve"> Hospital</w:t>
            </w:r>
          </w:p>
        </w:tc>
        <w:tc>
          <w:tcPr>
            <w:tcW w:w="3257" w:type="dxa"/>
            <w:gridSpan w:val="2"/>
            <w:tcMar>
              <w:top w:w="0" w:type="dxa"/>
              <w:left w:w="108" w:type="dxa"/>
              <w:bottom w:w="113" w:type="dxa"/>
              <w:right w:w="108" w:type="dxa"/>
            </w:tcMar>
          </w:tcPr>
          <w:p w14:paraId="2664BDC0" w14:textId="77777777" w:rsidR="00DC0C98" w:rsidRPr="00DC0C98" w:rsidRDefault="00DC0C98" w:rsidP="00136F36">
            <w:pPr>
              <w:rPr>
                <w:rFonts w:cs="Arial"/>
                <w:szCs w:val="22"/>
                <w:lang w:eastAsia="en-NZ"/>
              </w:rPr>
            </w:pPr>
            <w:r w:rsidRPr="00DC0C98">
              <w:rPr>
                <w:rFonts w:cs="Arial"/>
                <w:szCs w:val="22"/>
                <w:lang w:eastAsia="en-NZ"/>
              </w:rPr>
              <w:t xml:space="preserve">  1,557</w:t>
            </w:r>
          </w:p>
        </w:tc>
      </w:tr>
    </w:tbl>
    <w:p w14:paraId="292837F5" w14:textId="77777777" w:rsidR="00DC0C98" w:rsidRPr="00DC0C98" w:rsidRDefault="00DC0C98" w:rsidP="00DC0C98">
      <w:pPr>
        <w:rPr>
          <w:szCs w:val="22"/>
          <w:lang w:eastAsia="en-NZ"/>
        </w:rPr>
      </w:pPr>
      <w:r w:rsidRPr="00DC0C98">
        <w:rPr>
          <w:szCs w:val="22"/>
          <w:lang w:eastAsia="en-NZ"/>
        </w:rPr>
        <w:t>Approval of the above unappropriated expenditure has been sought under section 26C of the Public Finance Act 1989.</w:t>
      </w:r>
    </w:p>
    <w:p w14:paraId="06F78C60" w14:textId="77777777" w:rsidR="00DC0C98" w:rsidRPr="00DC0C98" w:rsidRDefault="00DC0C98" w:rsidP="00DC0C98">
      <w:pPr>
        <w:autoSpaceDE w:val="0"/>
        <w:autoSpaceDN w:val="0"/>
        <w:adjustRightInd w:val="0"/>
        <w:rPr>
          <w:rFonts w:eastAsia="GothamNarrow-Book" w:cs="Arial"/>
          <w:color w:val="333333"/>
          <w:szCs w:val="22"/>
        </w:rPr>
      </w:pPr>
    </w:p>
    <w:p w14:paraId="61D0E53D" w14:textId="3353BB9C" w:rsidR="00DC0C98" w:rsidRPr="00DC0C98" w:rsidRDefault="00DC0C98" w:rsidP="00DC0C98">
      <w:pPr>
        <w:rPr>
          <w:rFonts w:eastAsiaTheme="minorHAnsi" w:cs="Calibri"/>
          <w:szCs w:val="22"/>
        </w:rPr>
      </w:pPr>
      <w:r w:rsidRPr="00DC0C98">
        <w:rPr>
          <w:szCs w:val="22"/>
          <w:lang w:eastAsia="en-NZ"/>
        </w:rPr>
        <w:t xml:space="preserve">The reason for the unappropriated expenditure across 3 financial years is due to corrections made to the accounting treatment for costs incurred </w:t>
      </w:r>
      <w:r w:rsidRPr="00DC0C98">
        <w:rPr>
          <w:rFonts w:eastAsiaTheme="minorHAnsi" w:cs="Helv"/>
          <w:color w:val="000000"/>
          <w:szCs w:val="22"/>
        </w:rPr>
        <w:t xml:space="preserve">for pre-business case work associated with </w:t>
      </w:r>
      <w:r w:rsidRPr="00DC0C98">
        <w:rPr>
          <w:szCs w:val="22"/>
          <w:lang w:eastAsia="en-NZ"/>
        </w:rPr>
        <w:t xml:space="preserve">the </w:t>
      </w:r>
      <w:proofErr w:type="spellStart"/>
      <w:r w:rsidRPr="00DC0C98">
        <w:rPr>
          <w:szCs w:val="22"/>
          <w:lang w:eastAsia="en-NZ"/>
        </w:rPr>
        <w:t>Burwood</w:t>
      </w:r>
      <w:proofErr w:type="spellEnd"/>
      <w:r w:rsidRPr="00DC0C98">
        <w:rPr>
          <w:szCs w:val="22"/>
          <w:lang w:eastAsia="en-NZ"/>
        </w:rPr>
        <w:t xml:space="preserve"> Hospital, Christchurch Hospital, Grey Hospital and the Southern Redevelopment Project</w:t>
      </w:r>
      <w:r w:rsidRPr="00DC0C98">
        <w:rPr>
          <w:rFonts w:eastAsiaTheme="minorHAnsi" w:cs="Helv"/>
          <w:szCs w:val="22"/>
        </w:rPr>
        <w:t xml:space="preserve"> hospital redevelopments</w:t>
      </w:r>
      <w:r w:rsidRPr="00DC0C98">
        <w:rPr>
          <w:szCs w:val="22"/>
          <w:lang w:eastAsia="en-NZ"/>
        </w:rPr>
        <w:t xml:space="preserve">.  </w:t>
      </w:r>
      <w:r w:rsidRPr="00DC0C98">
        <w:rPr>
          <w:rFonts w:eastAsiaTheme="minorHAnsi" w:cs="Calibri"/>
          <w:szCs w:val="22"/>
        </w:rPr>
        <w:t xml:space="preserve">It has been identified that some costs associated with these projects, to comply with </w:t>
      </w:r>
      <w:r w:rsidR="007B047F">
        <w:rPr>
          <w:rFonts w:eastAsiaTheme="minorHAnsi" w:cs="Calibri"/>
          <w:szCs w:val="22"/>
        </w:rPr>
        <w:t xml:space="preserve">New Zealand </w:t>
      </w:r>
      <w:r w:rsidRPr="00DC0C98">
        <w:rPr>
          <w:rFonts w:eastAsiaTheme="minorHAnsi" w:cs="Calibri"/>
          <w:szCs w:val="22"/>
        </w:rPr>
        <w:t>generally accepted accounting practice, have been reclassified as operating expenses and could not be allocated to the capital expenditure appropriation. No operating expenditure appropriation for these costs exists.</w:t>
      </w:r>
    </w:p>
    <w:p w14:paraId="25F72F00" w14:textId="77777777" w:rsidR="00DC0C98" w:rsidRPr="00DC0C98" w:rsidRDefault="00DC0C98" w:rsidP="00DC0C98">
      <w:pPr>
        <w:rPr>
          <w:szCs w:val="22"/>
          <w:lang w:eastAsia="en-NZ"/>
        </w:rPr>
      </w:pPr>
    </w:p>
    <w:p w14:paraId="376CB2F2" w14:textId="7A565C66" w:rsidR="006B0DC3" w:rsidRPr="007B047F" w:rsidRDefault="00DC0C98" w:rsidP="007B047F">
      <w:pPr>
        <w:rPr>
          <w:szCs w:val="22"/>
          <w:lang w:eastAsia="en-NZ"/>
        </w:rPr>
        <w:sectPr w:rsidR="006B0DC3" w:rsidRPr="007B047F" w:rsidSect="004C0035">
          <w:footerReference w:type="even" r:id="rId43"/>
          <w:footerReference w:type="default" r:id="rId44"/>
          <w:pgSz w:w="11907" w:h="16834" w:code="9"/>
          <w:pgMar w:top="851" w:right="1134" w:bottom="2835" w:left="1134" w:header="284" w:footer="567" w:gutter="284"/>
          <w:cols w:space="720"/>
        </w:sectPr>
      </w:pPr>
      <w:r w:rsidRPr="00DC0C98">
        <w:rPr>
          <w:szCs w:val="22"/>
          <w:lang w:eastAsia="en-NZ"/>
        </w:rPr>
        <w:t xml:space="preserve">Costs capitalised by the Ministry of Health associated with the external project management of </w:t>
      </w:r>
      <w:proofErr w:type="spellStart"/>
      <w:r w:rsidRPr="00DC0C98">
        <w:rPr>
          <w:szCs w:val="22"/>
          <w:lang w:eastAsia="en-NZ"/>
        </w:rPr>
        <w:t>Burwood</w:t>
      </w:r>
      <w:proofErr w:type="spellEnd"/>
      <w:r w:rsidRPr="00DC0C98">
        <w:rPr>
          <w:szCs w:val="22"/>
          <w:lang w:eastAsia="en-NZ"/>
        </w:rPr>
        <w:t xml:space="preserve"> Hospital did not form part of the final agreed transfer amount. This amount</w:t>
      </w:r>
      <w:r w:rsidR="007B047F">
        <w:rPr>
          <w:szCs w:val="22"/>
          <w:lang w:eastAsia="en-NZ"/>
        </w:rPr>
        <w:t xml:space="preserve"> is required to be written off.</w:t>
      </w:r>
    </w:p>
    <w:p w14:paraId="6019C308" w14:textId="77777777" w:rsidR="00AD72CC" w:rsidRPr="00BC0D1F" w:rsidRDefault="00AD72CC" w:rsidP="006B0DC3">
      <w:pPr>
        <w:pStyle w:val="Heading2"/>
      </w:pPr>
      <w:bookmarkStart w:id="188" w:name="_Toc463507946"/>
      <w:r w:rsidRPr="00BC0D1F">
        <w:lastRenderedPageBreak/>
        <w:t>Notes to the non-departmental statements and schedules</w:t>
      </w:r>
      <w:bookmarkEnd w:id="186"/>
      <w:bookmarkEnd w:id="187"/>
      <w:bookmarkEnd w:id="188"/>
    </w:p>
    <w:p w14:paraId="575BF0EE" w14:textId="77777777" w:rsidR="006B0DC3" w:rsidRPr="00BC0D1F" w:rsidRDefault="006B0DC3" w:rsidP="006B0DC3">
      <w:pPr>
        <w:pStyle w:val="Heading3"/>
      </w:pPr>
      <w:r w:rsidRPr="00BC0D1F">
        <w:t>Note 1: Statement of accounting policies for the year ended 30 June 2016</w:t>
      </w:r>
    </w:p>
    <w:p w14:paraId="7D36D14B" w14:textId="77777777" w:rsidR="006B0DC3" w:rsidRPr="00BC0D1F" w:rsidRDefault="006B0DC3" w:rsidP="006B0DC3">
      <w:pPr>
        <w:pStyle w:val="Heading4"/>
      </w:pPr>
      <w:r w:rsidRPr="00BC0D1F">
        <w:t>Reporting entity</w:t>
      </w:r>
    </w:p>
    <w:p w14:paraId="3B082D99" w14:textId="77777777" w:rsidR="006B0DC3" w:rsidRPr="00BC0D1F" w:rsidRDefault="006B0DC3" w:rsidP="006B0DC3">
      <w:r w:rsidRPr="00BC0D1F">
        <w:t>These Non-departmental Statements and Schedules present financial information on public funds managed by the Ministry of Health on behalf of the Crown.</w:t>
      </w:r>
    </w:p>
    <w:p w14:paraId="43CA0A18" w14:textId="77777777" w:rsidR="006B0DC3" w:rsidRPr="00BC0D1F" w:rsidRDefault="006B0DC3" w:rsidP="006B0DC3"/>
    <w:p w14:paraId="38F20772" w14:textId="77777777" w:rsidR="006B0DC3" w:rsidRPr="00BC0D1F" w:rsidRDefault="006B0DC3" w:rsidP="006B0DC3">
      <w:r w:rsidRPr="00BC0D1F">
        <w:t>The financial information reported in these Schedules is consolidated into the Financial Statements of the Government, and therefore readers of these Schedules should also refer to the Financial Statements of the Government for the year ended 30 June 2016.</w:t>
      </w:r>
    </w:p>
    <w:p w14:paraId="38147A41" w14:textId="77777777" w:rsidR="006B0DC3" w:rsidRPr="00BC0D1F" w:rsidRDefault="006B0DC3" w:rsidP="006B0DC3"/>
    <w:p w14:paraId="04A2E14A" w14:textId="77777777" w:rsidR="006B0DC3" w:rsidRPr="00BC0D1F" w:rsidRDefault="006B0DC3" w:rsidP="006B0DC3">
      <w:pPr>
        <w:pStyle w:val="Heading4"/>
      </w:pPr>
      <w:r w:rsidRPr="00BC0D1F">
        <w:t>Basis of preparation</w:t>
      </w:r>
    </w:p>
    <w:p w14:paraId="77A986E8" w14:textId="77777777" w:rsidR="006B0DC3" w:rsidRPr="00BC0D1F" w:rsidRDefault="006B0DC3" w:rsidP="006B0DC3">
      <w:r w:rsidRPr="00BC0D1F">
        <w:t>The Non-departmental Statements and Schedules have been prepared in accordance with the accounting policies of the Financial Statements of the Government, Treasury Instructions and Treasury Circulars.</w:t>
      </w:r>
    </w:p>
    <w:p w14:paraId="3DA966DF" w14:textId="77777777" w:rsidR="006B0DC3" w:rsidRPr="00BC0D1F" w:rsidRDefault="006B0DC3" w:rsidP="006B0DC3"/>
    <w:p w14:paraId="26DC44C4" w14:textId="77777777" w:rsidR="006B0DC3" w:rsidRPr="00BC0D1F" w:rsidRDefault="006B0DC3" w:rsidP="006B0DC3">
      <w:r w:rsidRPr="00BC0D1F">
        <w:t>Measurement and recognition rules applied in the preparation of the Non-departmental Statements and Schedules are consistent with Crown accounting policies and Tier 1 NZ PBE accounting standards.</w:t>
      </w:r>
    </w:p>
    <w:p w14:paraId="6B46DF2E" w14:textId="77777777" w:rsidR="006B0DC3" w:rsidRPr="00BC0D1F" w:rsidRDefault="006B0DC3" w:rsidP="006B0DC3"/>
    <w:p w14:paraId="18ECC899" w14:textId="77777777" w:rsidR="006B0DC3" w:rsidRPr="00BC0D1F" w:rsidRDefault="006B0DC3" w:rsidP="006B0DC3">
      <w:pPr>
        <w:pStyle w:val="Heading4"/>
      </w:pPr>
      <w:r w:rsidRPr="00BC0D1F">
        <w:t>Measurement system</w:t>
      </w:r>
    </w:p>
    <w:p w14:paraId="4ED843D0" w14:textId="77777777" w:rsidR="006B0DC3" w:rsidRPr="00BC0D1F" w:rsidRDefault="006B0DC3" w:rsidP="006B0DC3">
      <w:r w:rsidRPr="00BC0D1F">
        <w:t>The non-departmental statements and schedules have been prepared on an historical cost basis modified by the revaluation of certain assets.</w:t>
      </w:r>
    </w:p>
    <w:p w14:paraId="59AE5F2C" w14:textId="77777777" w:rsidR="006B0DC3" w:rsidRPr="00BC0D1F" w:rsidRDefault="006B0DC3" w:rsidP="006B0DC3"/>
    <w:p w14:paraId="1186084F" w14:textId="77777777" w:rsidR="006B0DC3" w:rsidRPr="00BC0D1F" w:rsidRDefault="006B0DC3" w:rsidP="006B0DC3">
      <w:pPr>
        <w:pStyle w:val="Heading4"/>
      </w:pPr>
      <w:r w:rsidRPr="00BC0D1F">
        <w:t>Revenue and receipts</w:t>
      </w:r>
    </w:p>
    <w:p w14:paraId="5DF972B3" w14:textId="77777777" w:rsidR="006B0DC3" w:rsidRPr="00BC0D1F" w:rsidRDefault="006B0DC3" w:rsidP="006B0DC3">
      <w:r w:rsidRPr="00BC0D1F">
        <w:t>Revenue from ACC recoveries and capital charges from DHBs is recognised when earned and is reported in the financial period to which it relates.</w:t>
      </w:r>
    </w:p>
    <w:p w14:paraId="45B2191D" w14:textId="77777777" w:rsidR="006B0DC3" w:rsidRPr="00BC0D1F" w:rsidRDefault="006B0DC3" w:rsidP="006B0DC3"/>
    <w:p w14:paraId="5C7A5070" w14:textId="77777777" w:rsidR="006B0DC3" w:rsidRPr="00BC0D1F" w:rsidRDefault="006B0DC3" w:rsidP="006B0DC3">
      <w:pPr>
        <w:pStyle w:val="Heading4"/>
      </w:pPr>
      <w:r w:rsidRPr="00BC0D1F">
        <w:t>Debtors and receivables</w:t>
      </w:r>
    </w:p>
    <w:p w14:paraId="5B6CCFE6" w14:textId="77777777" w:rsidR="006B0DC3" w:rsidRPr="00BC0D1F" w:rsidRDefault="006B0DC3" w:rsidP="006B0DC3">
      <w:r w:rsidRPr="00BC0D1F">
        <w:t>Receivables from ACC recoveries are recorded at the value of the contract and agreed with ACC. Receivables from capital charges are recorded at estimated realisable value.</w:t>
      </w:r>
    </w:p>
    <w:p w14:paraId="78708404" w14:textId="77777777" w:rsidR="006B0DC3" w:rsidRPr="00BC0D1F" w:rsidRDefault="006B0DC3" w:rsidP="006B0DC3"/>
    <w:p w14:paraId="0F858903" w14:textId="77777777" w:rsidR="006B0DC3" w:rsidRPr="00BC0D1F" w:rsidRDefault="006B0DC3" w:rsidP="006B0DC3">
      <w:pPr>
        <w:pStyle w:val="Heading4"/>
      </w:pPr>
      <w:r w:rsidRPr="00BC0D1F">
        <w:t>Residential care loans</w:t>
      </w:r>
    </w:p>
    <w:p w14:paraId="10E5FFCD" w14:textId="77777777" w:rsidR="006B0DC3" w:rsidRPr="00BC0D1F" w:rsidRDefault="006B0DC3" w:rsidP="006B0DC3">
      <w:r w:rsidRPr="00BC0D1F">
        <w:t>An actuarial valuation of residential care loans was carried out in May 2016.</w:t>
      </w:r>
    </w:p>
    <w:p w14:paraId="6293086E" w14:textId="77777777" w:rsidR="006B0DC3" w:rsidRPr="00BC0D1F" w:rsidRDefault="006B0DC3" w:rsidP="006B0DC3"/>
    <w:p w14:paraId="3DB73D33" w14:textId="77777777" w:rsidR="006B0DC3" w:rsidRPr="00BC0D1F" w:rsidRDefault="006B0DC3" w:rsidP="006B0DC3">
      <w:pPr>
        <w:pStyle w:val="Heading4"/>
      </w:pPr>
      <w:r w:rsidRPr="00BC0D1F">
        <w:t>Inventory</w:t>
      </w:r>
    </w:p>
    <w:p w14:paraId="39B3B42E" w14:textId="77777777" w:rsidR="006B0DC3" w:rsidRPr="00BC0D1F" w:rsidRDefault="006B0DC3" w:rsidP="006B0DC3">
      <w:r w:rsidRPr="00BC0D1F">
        <w:t>Inventories held for consumption in the provision for services are recorded at the lower of cost or current replacement cost. Any write-down from cost to replacement cost is recognised in the Statement of Non-Departmental Expenses and Capital Expenditure against appropriations.</w:t>
      </w:r>
    </w:p>
    <w:p w14:paraId="3E141CB5" w14:textId="77777777" w:rsidR="006B0DC3" w:rsidRPr="00BC0D1F" w:rsidRDefault="006B0DC3" w:rsidP="006B0DC3"/>
    <w:p w14:paraId="249E16FC" w14:textId="77777777" w:rsidR="006B0DC3" w:rsidRPr="00BC0D1F" w:rsidRDefault="006B0DC3" w:rsidP="006B0DC3">
      <w:pPr>
        <w:pStyle w:val="Heading4"/>
      </w:pPr>
      <w:r w:rsidRPr="00BC0D1F">
        <w:lastRenderedPageBreak/>
        <w:t>Investments</w:t>
      </w:r>
    </w:p>
    <w:p w14:paraId="5FE4831C" w14:textId="77777777" w:rsidR="006B0DC3" w:rsidRPr="00BC0D1F" w:rsidRDefault="006B0DC3" w:rsidP="006B0DC3">
      <w:r w:rsidRPr="00BC0D1F">
        <w:t>Investments</w:t>
      </w:r>
      <w:r w:rsidRPr="00BC0D1F">
        <w:rPr>
          <w:b/>
        </w:rPr>
        <w:t xml:space="preserve"> </w:t>
      </w:r>
      <w:r w:rsidRPr="00BC0D1F">
        <w:t>are recorded in the Schedule of Non-Departmental Assets at historical cost. The carrying value represents the aggregate of equity injections made by the Ministry less subsequent repayments of equity returned to the Crown.</w:t>
      </w:r>
    </w:p>
    <w:p w14:paraId="5C86A089" w14:textId="77777777" w:rsidR="006B0DC3" w:rsidRPr="00BC0D1F" w:rsidRDefault="006B0DC3" w:rsidP="006B0DC3"/>
    <w:p w14:paraId="33C9A008" w14:textId="77777777" w:rsidR="006B0DC3" w:rsidRPr="00BC0D1F" w:rsidRDefault="006B0DC3" w:rsidP="006B0DC3">
      <w:pPr>
        <w:pStyle w:val="Heading4"/>
      </w:pPr>
      <w:r w:rsidRPr="00BC0D1F">
        <w:t>Accrued expenses</w:t>
      </w:r>
    </w:p>
    <w:p w14:paraId="590D1AD6" w14:textId="77777777" w:rsidR="006B0DC3" w:rsidRPr="00BC0D1F" w:rsidRDefault="006B0DC3" w:rsidP="006B0DC3">
      <w:r w:rsidRPr="00BC0D1F">
        <w:t>Accrued expenses are recorded at either the value of funding entitlements owing under Crown funding agreements or the estimated value of contracts already started but not yet completed.</w:t>
      </w:r>
    </w:p>
    <w:p w14:paraId="66CB6BF7" w14:textId="77777777" w:rsidR="006B0DC3" w:rsidRPr="00BC0D1F" w:rsidRDefault="006B0DC3" w:rsidP="006B0DC3"/>
    <w:p w14:paraId="24F9D5F9" w14:textId="77777777" w:rsidR="006B0DC3" w:rsidRPr="00BC0D1F" w:rsidRDefault="006B0DC3" w:rsidP="006B0DC3">
      <w:pPr>
        <w:pStyle w:val="Heading4"/>
      </w:pPr>
      <w:r w:rsidRPr="00BC0D1F">
        <w:t>Goods and services tax (GST)</w:t>
      </w:r>
    </w:p>
    <w:p w14:paraId="1F9272DF" w14:textId="77777777" w:rsidR="006B0DC3" w:rsidRPr="00BC0D1F" w:rsidRDefault="006B0DC3" w:rsidP="006B0DC3">
      <w:r w:rsidRPr="00BC0D1F">
        <w:t>All items in the financial statements, including appropriation statements, are stated exclusive of GST, except for receivables and payables, which are stated on a GST-inclusive basis. In accordance with Treasury Instructions, GST is returned on revenue received on behalf of Crown, where applicable. However, an input tax deduction is not claimed on non-departmental expenditure. Instead, the amount of GST applicable to non-departmental expenditure is recognized as a separate expense and eliminated against GST revenue on consolidation of the Financial Statements and Government.</w:t>
      </w:r>
    </w:p>
    <w:p w14:paraId="504D9E71" w14:textId="77777777" w:rsidR="006B0DC3" w:rsidRPr="00BC0D1F" w:rsidRDefault="006B0DC3" w:rsidP="006B0DC3"/>
    <w:p w14:paraId="4CC42F30" w14:textId="77777777" w:rsidR="006B0DC3" w:rsidRPr="00BC0D1F" w:rsidRDefault="006B0DC3" w:rsidP="006B0DC3">
      <w:pPr>
        <w:pStyle w:val="Heading4"/>
      </w:pPr>
      <w:r w:rsidRPr="00BC0D1F">
        <w:t>Commitments</w:t>
      </w:r>
    </w:p>
    <w:p w14:paraId="1D5331FC" w14:textId="77777777" w:rsidR="006B0DC3" w:rsidRPr="00BC0D1F" w:rsidRDefault="006B0DC3" w:rsidP="006B0DC3">
      <w:r w:rsidRPr="00BC0D1F">
        <w:t>Future expenses and liabilities to be incurred on contracts that have been entered into as at balance date are disclosed as commitments to the extent that there are equally unperformed obligations.</w:t>
      </w:r>
    </w:p>
    <w:p w14:paraId="1BB15974" w14:textId="77777777" w:rsidR="006B0DC3" w:rsidRPr="00BC0D1F" w:rsidRDefault="006B0DC3" w:rsidP="006B0DC3"/>
    <w:p w14:paraId="7DC186DC" w14:textId="77777777" w:rsidR="006B0DC3" w:rsidRPr="00BC0D1F" w:rsidRDefault="006B0DC3" w:rsidP="006B0DC3">
      <w:pPr>
        <w:pStyle w:val="Heading4"/>
      </w:pPr>
      <w:r w:rsidRPr="00BC0D1F">
        <w:t>Budget figures</w:t>
      </w:r>
    </w:p>
    <w:p w14:paraId="045FB052" w14:textId="77777777" w:rsidR="006B0DC3" w:rsidRPr="00BC0D1F" w:rsidRDefault="006B0DC3" w:rsidP="006B0DC3">
      <w:r w:rsidRPr="00BC0D1F">
        <w:t>The budget figures are consistent with the financial information in the Mains Estimates. In addition, these financial statements also present the updated budget information about the Supplementary Estimates.</w:t>
      </w:r>
    </w:p>
    <w:p w14:paraId="65FBD9C8" w14:textId="77777777" w:rsidR="006B0DC3" w:rsidRPr="00BC0D1F" w:rsidRDefault="006B0DC3" w:rsidP="006B0DC3"/>
    <w:p w14:paraId="09DEBD01" w14:textId="77777777" w:rsidR="006B0DC3" w:rsidRPr="00BC0D1F" w:rsidRDefault="006B0DC3" w:rsidP="006B0DC3">
      <w:pPr>
        <w:pStyle w:val="Heading4"/>
      </w:pPr>
      <w:r w:rsidRPr="00BC0D1F">
        <w:t>Payables and provisions</w:t>
      </w:r>
    </w:p>
    <w:p w14:paraId="41057FB1" w14:textId="77777777" w:rsidR="006B0DC3" w:rsidRPr="00BC0D1F" w:rsidRDefault="006B0DC3" w:rsidP="006B0DC3">
      <w:r w:rsidRPr="00BC0D1F">
        <w:t>Payables and provisions are recorded at the estimated obligation to pay.</w:t>
      </w:r>
    </w:p>
    <w:p w14:paraId="0B008936" w14:textId="77777777" w:rsidR="006B0DC3" w:rsidRPr="00BC0D1F" w:rsidRDefault="006B0DC3" w:rsidP="006B0DC3"/>
    <w:p w14:paraId="2E9CA347" w14:textId="77777777" w:rsidR="006B0DC3" w:rsidRPr="00BC0D1F" w:rsidRDefault="006B0DC3" w:rsidP="006B0DC3">
      <w:pPr>
        <w:pStyle w:val="Heading4"/>
      </w:pPr>
      <w:r w:rsidRPr="00BC0D1F">
        <w:t>Changes in accounting policies</w:t>
      </w:r>
    </w:p>
    <w:p w14:paraId="4A309948" w14:textId="77777777" w:rsidR="006B0DC3" w:rsidRPr="00BC0D1F" w:rsidRDefault="006B0DC3" w:rsidP="006B0DC3">
      <w:r w:rsidRPr="00BC0D1F">
        <w:t>There have been no changes in accounting policies.</w:t>
      </w:r>
    </w:p>
    <w:p w14:paraId="45754BBA" w14:textId="77777777" w:rsidR="006B0DC3" w:rsidRPr="00BC0D1F" w:rsidRDefault="006B0DC3" w:rsidP="006B0DC3"/>
    <w:p w14:paraId="3FE6FFFA" w14:textId="77777777" w:rsidR="006B0DC3" w:rsidRPr="00BC0D1F" w:rsidRDefault="006B0DC3" w:rsidP="006B0DC3">
      <w:pPr>
        <w:pStyle w:val="Heading4"/>
      </w:pPr>
      <w:r w:rsidRPr="00BC0D1F">
        <w:t>Events after the balance date</w:t>
      </w:r>
    </w:p>
    <w:p w14:paraId="1BF6F8C2" w14:textId="77777777" w:rsidR="006B0DC3" w:rsidRPr="00BC0D1F" w:rsidRDefault="006B0DC3" w:rsidP="006B0DC3">
      <w:r w:rsidRPr="00BC0D1F">
        <w:t>There are no significant events after the balance date.</w:t>
      </w:r>
    </w:p>
    <w:p w14:paraId="6CB1E345" w14:textId="77777777" w:rsidR="006B0DC3" w:rsidRPr="00BC0D1F" w:rsidRDefault="006B0DC3" w:rsidP="006B0DC3"/>
    <w:p w14:paraId="7F68C220" w14:textId="77777777" w:rsidR="006B0DC3" w:rsidRPr="00BC0D1F" w:rsidRDefault="006B0DC3" w:rsidP="006B0DC3">
      <w:pPr>
        <w:pStyle w:val="Heading3"/>
      </w:pPr>
      <w:r w:rsidRPr="00BC0D1F">
        <w:lastRenderedPageBreak/>
        <w:t>Note 2: Explanation of major variances against budget</w:t>
      </w:r>
    </w:p>
    <w:p w14:paraId="70EC53C3" w14:textId="77777777" w:rsidR="006B0DC3" w:rsidRPr="00BC0D1F" w:rsidRDefault="006B0DC3" w:rsidP="006B0DC3">
      <w:pPr>
        <w:keepNext/>
      </w:pPr>
      <w:r w:rsidRPr="00BC0D1F">
        <w:t>Explanations for major variances from the Ministry’s non-departmental appropriations within the Main Estimates are as follows.</w:t>
      </w:r>
    </w:p>
    <w:p w14:paraId="35564FB5" w14:textId="77777777" w:rsidR="006B0DC3" w:rsidRPr="00BC0D1F" w:rsidRDefault="006B0DC3" w:rsidP="006B0DC3">
      <w:pPr>
        <w:keepNext/>
      </w:pPr>
    </w:p>
    <w:p w14:paraId="4B3CB3EF" w14:textId="77777777" w:rsidR="006B0DC3" w:rsidRPr="00BC0D1F" w:rsidRDefault="006B0DC3" w:rsidP="006B0DC3">
      <w:pPr>
        <w:pStyle w:val="Heading4"/>
      </w:pPr>
      <w:r w:rsidRPr="00BC0D1F">
        <w:t>Schedule of non-departmental expenses and capital expenditure against appropriations</w:t>
      </w:r>
    </w:p>
    <w:p w14:paraId="72CFC837" w14:textId="77777777" w:rsidR="006B0DC3" w:rsidRPr="00BC0D1F" w:rsidRDefault="006B0DC3" w:rsidP="006B0DC3">
      <w:pPr>
        <w:pStyle w:val="Heading5"/>
      </w:pPr>
      <w:r w:rsidRPr="00BC0D1F">
        <w:t>2.1</w:t>
      </w:r>
      <w:r w:rsidRPr="00BC0D1F">
        <w:tab/>
        <w:t>National disability support services</w:t>
      </w:r>
    </w:p>
    <w:p w14:paraId="2840D181" w14:textId="77777777" w:rsidR="006B0DC3" w:rsidRPr="00BC0D1F" w:rsidRDefault="006B0DC3" w:rsidP="006B0DC3">
      <w:bookmarkStart w:id="189" w:name="_Toc242760878"/>
      <w:r w:rsidRPr="00BC0D1F">
        <w:t>The overspend of $9.370 million of the Main Estimates is related to a demand increase in the disability support services including community living services and family and community services. The Supplementary estimates increased funding by $8.905 million reducing the overspend to $465</w:t>
      </w:r>
      <w:proofErr w:type="gramStart"/>
      <w:r w:rsidRPr="00BC0D1F">
        <w:t>,0000</w:t>
      </w:r>
      <w:proofErr w:type="gramEnd"/>
      <w:r w:rsidRPr="00BC0D1F">
        <w:t>. This was offset by a transfer of $950,000 to this appropriation which was approved by the Minister of Finance under Section 26A of the Public Finance Act 1989.</w:t>
      </w:r>
    </w:p>
    <w:bookmarkEnd w:id="189"/>
    <w:p w14:paraId="59B20E84" w14:textId="77777777" w:rsidR="006B0DC3" w:rsidRPr="00BC0D1F" w:rsidRDefault="006B0DC3" w:rsidP="006B0DC3"/>
    <w:p w14:paraId="1EE3B0D3" w14:textId="77777777" w:rsidR="006B0DC3" w:rsidRPr="00BC0D1F" w:rsidRDefault="006B0DC3" w:rsidP="006B0DC3">
      <w:pPr>
        <w:pStyle w:val="Heading5"/>
      </w:pPr>
      <w:r w:rsidRPr="00BC0D1F">
        <w:t>2.2</w:t>
      </w:r>
      <w:r w:rsidRPr="00BC0D1F">
        <w:tab/>
        <w:t>Public health services purchasing</w:t>
      </w:r>
    </w:p>
    <w:p w14:paraId="20036473" w14:textId="77777777" w:rsidR="006B0DC3" w:rsidRPr="00BC0D1F" w:rsidRDefault="006B0DC3" w:rsidP="006B0DC3">
      <w:r w:rsidRPr="00BC0D1F">
        <w:t>The underspend of $55.379 million of the Main Estimates relates to the timing of projects in the Sanitary Works Subsidy Scheme and safe Water Schemes ($26 million), transfers of funding to other appropriations ($13 million) and other underspends ($16 million).</w:t>
      </w:r>
    </w:p>
    <w:p w14:paraId="3D31426E" w14:textId="77777777" w:rsidR="006B0DC3" w:rsidRPr="00BC0D1F" w:rsidRDefault="006B0DC3" w:rsidP="006B0DC3"/>
    <w:p w14:paraId="25CE47B6" w14:textId="77777777" w:rsidR="006B0DC3" w:rsidRPr="00BC0D1F" w:rsidRDefault="006B0DC3" w:rsidP="006B0DC3">
      <w:pPr>
        <w:pStyle w:val="Heading5"/>
      </w:pPr>
      <w:r w:rsidRPr="00BC0D1F">
        <w:t>2.3</w:t>
      </w:r>
      <w:r w:rsidRPr="00BC0D1F">
        <w:tab/>
        <w:t>National elective services</w:t>
      </w:r>
    </w:p>
    <w:p w14:paraId="75A1CB1C" w14:textId="77777777" w:rsidR="006B0DC3" w:rsidRPr="00BC0D1F" w:rsidRDefault="006B0DC3" w:rsidP="006B0DC3">
      <w:proofErr w:type="gramStart"/>
      <w:r w:rsidRPr="00BC0D1F">
        <w:t>The overspend</w:t>
      </w:r>
      <w:proofErr w:type="gramEnd"/>
      <w:r w:rsidRPr="00BC0D1F">
        <w:t xml:space="preserve"> of $6.668 million of the Main Estimates relates mainly $8 million of additional funding for elective volumes transferred during the year from other appropriations.</w:t>
      </w:r>
    </w:p>
    <w:p w14:paraId="5AF9E1A3" w14:textId="77777777" w:rsidR="006B0DC3" w:rsidRPr="00BC0D1F" w:rsidRDefault="006B0DC3" w:rsidP="006B0DC3"/>
    <w:p w14:paraId="3F521CC8" w14:textId="77777777" w:rsidR="006B0DC3" w:rsidRPr="00BC0D1F" w:rsidRDefault="006B0DC3" w:rsidP="006B0DC3">
      <w:pPr>
        <w:pStyle w:val="Heading5"/>
      </w:pPr>
      <w:r w:rsidRPr="00BC0D1F">
        <w:t>2.4</w:t>
      </w:r>
      <w:r w:rsidRPr="00BC0D1F">
        <w:tab/>
        <w:t>National Maori Health Services</w:t>
      </w:r>
    </w:p>
    <w:p w14:paraId="4C26F414" w14:textId="77777777" w:rsidR="006B0DC3" w:rsidRPr="00BC0D1F" w:rsidRDefault="006B0DC3" w:rsidP="006B0DC3">
      <w:proofErr w:type="gramStart"/>
      <w:r w:rsidRPr="00BC0D1F">
        <w:t>The underspend</w:t>
      </w:r>
      <w:proofErr w:type="gramEnd"/>
      <w:r w:rsidRPr="00BC0D1F">
        <w:t xml:space="preserve"> of $3.242 million of the Main Estimates mainly relates to delays with contracting.</w:t>
      </w:r>
    </w:p>
    <w:p w14:paraId="0D6E91CA" w14:textId="77777777" w:rsidR="006B0DC3" w:rsidRPr="00BC0D1F" w:rsidRDefault="006B0DC3" w:rsidP="006B0DC3"/>
    <w:p w14:paraId="65DBA2C9" w14:textId="77777777" w:rsidR="006B0DC3" w:rsidRPr="00BC0D1F" w:rsidRDefault="006B0DC3" w:rsidP="006B0DC3">
      <w:pPr>
        <w:pStyle w:val="Heading5"/>
      </w:pPr>
      <w:r w:rsidRPr="00BC0D1F">
        <w:t>2.5</w:t>
      </w:r>
      <w:r w:rsidRPr="00BC0D1F">
        <w:tab/>
        <w:t>National Mental Health Services</w:t>
      </w:r>
    </w:p>
    <w:p w14:paraId="3600DFE6" w14:textId="77777777" w:rsidR="006B0DC3" w:rsidRPr="00BC0D1F" w:rsidRDefault="006B0DC3" w:rsidP="006B0DC3">
      <w:proofErr w:type="gramStart"/>
      <w:r w:rsidRPr="00BC0D1F">
        <w:t>The underspend</w:t>
      </w:r>
      <w:proofErr w:type="gramEnd"/>
      <w:r w:rsidRPr="00BC0D1F">
        <w:t xml:space="preserve"> of $2.683 million of the Main Estimates mainly relates to funding devolved to DHBs during the year.</w:t>
      </w:r>
    </w:p>
    <w:p w14:paraId="5A9A3D17" w14:textId="77777777" w:rsidR="006B0DC3" w:rsidRPr="00BC0D1F" w:rsidRDefault="006B0DC3" w:rsidP="006B0DC3"/>
    <w:p w14:paraId="6A268095" w14:textId="77777777" w:rsidR="006B0DC3" w:rsidRPr="00BC0D1F" w:rsidRDefault="006B0DC3" w:rsidP="006B0DC3">
      <w:pPr>
        <w:pStyle w:val="Heading5"/>
      </w:pPr>
      <w:r w:rsidRPr="00BC0D1F">
        <w:t>2.6</w:t>
      </w:r>
      <w:r w:rsidRPr="00BC0D1F">
        <w:tab/>
        <w:t>Primary Health Care Strategy</w:t>
      </w:r>
    </w:p>
    <w:p w14:paraId="621FBD2D" w14:textId="77777777" w:rsidR="006B0DC3" w:rsidRPr="00BC0D1F" w:rsidRDefault="006B0DC3" w:rsidP="006B0DC3">
      <w:proofErr w:type="gramStart"/>
      <w:r w:rsidRPr="00BC0D1F">
        <w:t>The overspend</w:t>
      </w:r>
      <w:proofErr w:type="gramEnd"/>
      <w:r w:rsidRPr="00BC0D1F">
        <w:t xml:space="preserve"> of $7.485 million of the Main Estimates relates to increased volumes.</w:t>
      </w:r>
    </w:p>
    <w:p w14:paraId="76A95A82" w14:textId="77777777" w:rsidR="006B0DC3" w:rsidRPr="00BC0D1F" w:rsidRDefault="006B0DC3" w:rsidP="006B0DC3"/>
    <w:p w14:paraId="5A023465" w14:textId="77777777" w:rsidR="006B0DC3" w:rsidRPr="00BC0D1F" w:rsidRDefault="006B0DC3" w:rsidP="006B0DC3">
      <w:pPr>
        <w:pStyle w:val="Heading5"/>
      </w:pPr>
      <w:r w:rsidRPr="00BC0D1F">
        <w:t>2.7</w:t>
      </w:r>
      <w:r w:rsidRPr="00BC0D1F">
        <w:tab/>
        <w:t>Deficit support for DHBs</w:t>
      </w:r>
    </w:p>
    <w:p w14:paraId="21A0FA9C" w14:textId="77777777" w:rsidR="006B0DC3" w:rsidRPr="00BC0D1F" w:rsidRDefault="006B0DC3" w:rsidP="006B0DC3">
      <w:r w:rsidRPr="00BC0D1F">
        <w:t>The underspend of $41 million of the Main Estimates relates to reduced need by DHBs for balance sheet funding of deficits.</w:t>
      </w:r>
    </w:p>
    <w:p w14:paraId="37BAE613" w14:textId="77777777" w:rsidR="006B0DC3" w:rsidRPr="00BC0D1F" w:rsidRDefault="006B0DC3" w:rsidP="006B0DC3"/>
    <w:p w14:paraId="1819319C" w14:textId="77777777" w:rsidR="006B0DC3" w:rsidRPr="00BC0D1F" w:rsidRDefault="006B0DC3" w:rsidP="006B0DC3">
      <w:pPr>
        <w:pStyle w:val="Heading5"/>
      </w:pPr>
      <w:r w:rsidRPr="00BC0D1F">
        <w:t>2.8</w:t>
      </w:r>
      <w:r w:rsidRPr="00BC0D1F">
        <w:tab/>
        <w:t>Equity for capital projects for DHBs</w:t>
      </w:r>
    </w:p>
    <w:p w14:paraId="1990E4D2" w14:textId="77777777" w:rsidR="006B0DC3" w:rsidRPr="00BC0D1F" w:rsidRDefault="006B0DC3" w:rsidP="006B0DC3">
      <w:proofErr w:type="gramStart"/>
      <w:r w:rsidRPr="00BC0D1F">
        <w:t>The underspend</w:t>
      </w:r>
      <w:proofErr w:type="gramEnd"/>
      <w:r w:rsidRPr="00BC0D1F">
        <w:t xml:space="preserve"> of $262.970 million of the Main Estimates relates to the timing of funding required for District Health Board capital projects. This appropriation holds capital funds pending their drawdown by DHBs to meet the funding requirements for capital projects approved by Cabinet or joint Ministers of Health and Finance. This funding has been carried forward for projects in out-years.</w:t>
      </w:r>
    </w:p>
    <w:p w14:paraId="66A71A23" w14:textId="77777777" w:rsidR="006B0DC3" w:rsidRPr="00BC0D1F" w:rsidRDefault="006B0DC3" w:rsidP="006B0DC3"/>
    <w:p w14:paraId="33A2A65A" w14:textId="71305524" w:rsidR="006B0DC3" w:rsidRPr="00BC0D1F" w:rsidRDefault="006B0DC3" w:rsidP="006B0DC3">
      <w:pPr>
        <w:pStyle w:val="Heading5"/>
      </w:pPr>
      <w:r w:rsidRPr="00BC0D1F">
        <w:lastRenderedPageBreak/>
        <w:t>2.9</w:t>
      </w:r>
      <w:r w:rsidRPr="00BC0D1F">
        <w:tab/>
        <w:t>Health sector projects</w:t>
      </w:r>
    </w:p>
    <w:p w14:paraId="01D4AB48" w14:textId="40BCD779" w:rsidR="006B0DC3" w:rsidRPr="00BC0D1F" w:rsidRDefault="006B0DC3" w:rsidP="006B0DC3">
      <w:r w:rsidRPr="00BC0D1F">
        <w:t>The underspend of $</w:t>
      </w:r>
      <w:r w:rsidR="0019597D">
        <w:t>227.582</w:t>
      </w:r>
      <w:r w:rsidRPr="00BC0D1F">
        <w:t xml:space="preserve"> million of the Main Estimates is due to the timing of funding required for health sector capital projects mainly relating to the Canterbury Hospital Rebuild that are managed or co-managed by the Ministry. </w:t>
      </w:r>
      <w:proofErr w:type="gramStart"/>
      <w:r w:rsidRPr="00BC0D1F">
        <w:t>The underspend</w:t>
      </w:r>
      <w:proofErr w:type="gramEnd"/>
      <w:r w:rsidRPr="00BC0D1F">
        <w:t xml:space="preserve"> was carried forward to 2015/16 for work on the Canterbury hospital rebuild.</w:t>
      </w:r>
    </w:p>
    <w:p w14:paraId="56BBA1CD" w14:textId="77777777" w:rsidR="006B0DC3" w:rsidRPr="00BC0D1F" w:rsidRDefault="006B0DC3" w:rsidP="006B0DC3"/>
    <w:p w14:paraId="773B1B99" w14:textId="77777777" w:rsidR="006B0DC3" w:rsidRPr="00BC0D1F" w:rsidRDefault="006B0DC3" w:rsidP="006B0DC3">
      <w:pPr>
        <w:pStyle w:val="Heading5"/>
      </w:pPr>
      <w:r w:rsidRPr="00BC0D1F">
        <w:t>2.10</w:t>
      </w:r>
      <w:r w:rsidRPr="00BC0D1F">
        <w:tab/>
        <w:t>Loans for capital projects</w:t>
      </w:r>
    </w:p>
    <w:p w14:paraId="319EC387" w14:textId="77777777" w:rsidR="006B0DC3" w:rsidRPr="00BC0D1F" w:rsidRDefault="006B0DC3" w:rsidP="006B0DC3">
      <w:proofErr w:type="gramStart"/>
      <w:r w:rsidRPr="00BC0D1F">
        <w:t>The underspend</w:t>
      </w:r>
      <w:proofErr w:type="gramEnd"/>
      <w:r w:rsidRPr="00BC0D1F">
        <w:t xml:space="preserve"> of $74 million of the Main Estimates relates to the timing of funding required for District Health Board capital projects. </w:t>
      </w:r>
      <w:proofErr w:type="gramStart"/>
      <w:r w:rsidRPr="00BC0D1F">
        <w:t>The underspend</w:t>
      </w:r>
      <w:proofErr w:type="gramEnd"/>
      <w:r w:rsidRPr="00BC0D1F">
        <w:t xml:space="preserve"> of $23.345 of the Supplementary Estimates was due to the timing of funding for DHB capital projects. This underspend is expected to be transferred to 2016/17.</w:t>
      </w:r>
    </w:p>
    <w:p w14:paraId="32BFF121" w14:textId="77777777" w:rsidR="006B0DC3" w:rsidRPr="00BC0D1F" w:rsidRDefault="006B0DC3" w:rsidP="006B0DC3"/>
    <w:p w14:paraId="089245B9" w14:textId="77777777" w:rsidR="006B0DC3" w:rsidRPr="00BC0D1F" w:rsidRDefault="006B0DC3" w:rsidP="006B0DC3">
      <w:pPr>
        <w:pStyle w:val="Heading5"/>
      </w:pPr>
      <w:r w:rsidRPr="00BC0D1F">
        <w:t>2.11</w:t>
      </w:r>
      <w:r w:rsidRPr="00BC0D1F">
        <w:tab/>
        <w:t>Refinance of Crown loans</w:t>
      </w:r>
    </w:p>
    <w:p w14:paraId="6E898FAA" w14:textId="2380DEFB" w:rsidR="006B0DC3" w:rsidRPr="00BC0D1F" w:rsidRDefault="006B0DC3" w:rsidP="006B0DC3">
      <w:r w:rsidRPr="00BC0D1F">
        <w:t xml:space="preserve">The </w:t>
      </w:r>
      <w:r w:rsidR="00361228">
        <w:t>variance</w:t>
      </w:r>
      <w:r w:rsidRPr="00BC0D1F">
        <w:t xml:space="preserve"> of $7.420 million </w:t>
      </w:r>
      <w:r w:rsidR="00E24B7E">
        <w:t>to</w:t>
      </w:r>
      <w:r w:rsidRPr="00BC0D1F">
        <w:t xml:space="preserve"> the Main Estimates relates to short term loans that rolled over within the financial year. Additional funding was approved by the Cabinet.</w:t>
      </w:r>
    </w:p>
    <w:p w14:paraId="2E595536" w14:textId="77777777" w:rsidR="006B0DC3" w:rsidRPr="00BC0D1F" w:rsidRDefault="006B0DC3" w:rsidP="006B0DC3"/>
    <w:p w14:paraId="3426B430" w14:textId="77777777" w:rsidR="006B0DC3" w:rsidRPr="00BC0D1F" w:rsidRDefault="006B0DC3" w:rsidP="006B0DC3">
      <w:pPr>
        <w:pStyle w:val="Heading4"/>
      </w:pPr>
      <w:r w:rsidRPr="00BC0D1F">
        <w:t>Schedule of non-departmental assets</w:t>
      </w:r>
    </w:p>
    <w:p w14:paraId="4BDB586C" w14:textId="77777777" w:rsidR="006B0DC3" w:rsidRPr="00BC0D1F" w:rsidRDefault="006B0DC3" w:rsidP="006B0DC3">
      <w:pPr>
        <w:pStyle w:val="Heading5"/>
      </w:pPr>
      <w:r w:rsidRPr="00BC0D1F">
        <w:t>2.12</w:t>
      </w:r>
      <w:r w:rsidRPr="00BC0D1F">
        <w:tab/>
        <w:t>Inventory</w:t>
      </w:r>
    </w:p>
    <w:p w14:paraId="38DC0FE9" w14:textId="64D77550" w:rsidR="006B0DC3" w:rsidRPr="00BC0D1F" w:rsidRDefault="006B0DC3" w:rsidP="006B0DC3">
      <w:pPr>
        <w:rPr>
          <w:rFonts w:eastAsia="SimSun"/>
          <w:lang w:eastAsia="zh-CN"/>
        </w:rPr>
      </w:pPr>
      <w:r w:rsidRPr="00BC0D1F">
        <w:rPr>
          <w:rFonts w:eastAsia="SimSun"/>
          <w:lang w:eastAsia="zh-CN"/>
        </w:rPr>
        <w:t xml:space="preserve">Stocks of vaccines were $4.520 million less than the </w:t>
      </w:r>
      <w:r w:rsidRPr="00BC0D1F">
        <w:t>Main Estimates</w:t>
      </w:r>
      <w:r w:rsidRPr="00BC0D1F">
        <w:rPr>
          <w:rFonts w:eastAsia="SimSun"/>
          <w:lang w:eastAsia="zh-CN"/>
        </w:rPr>
        <w:t>, due to the write-off of out</w:t>
      </w:r>
      <w:r w:rsidR="00C81438">
        <w:rPr>
          <w:rFonts w:eastAsia="SimSun"/>
          <w:lang w:eastAsia="zh-CN"/>
        </w:rPr>
        <w:noBreakHyphen/>
      </w:r>
      <w:r w:rsidRPr="00BC0D1F">
        <w:rPr>
          <w:rFonts w:eastAsia="SimSun"/>
          <w:lang w:eastAsia="zh-CN"/>
        </w:rPr>
        <w:t>of</w:t>
      </w:r>
      <w:r w:rsidR="00C81438">
        <w:rPr>
          <w:rFonts w:eastAsia="SimSun"/>
          <w:lang w:eastAsia="zh-CN"/>
        </w:rPr>
        <w:t>-</w:t>
      </w:r>
      <w:r w:rsidRPr="00BC0D1F">
        <w:rPr>
          <w:rFonts w:eastAsia="SimSun"/>
          <w:lang w:eastAsia="zh-CN"/>
        </w:rPr>
        <w:t>date emergency stocks of vaccines.</w:t>
      </w:r>
    </w:p>
    <w:p w14:paraId="6D5B2DF7" w14:textId="77777777" w:rsidR="006B0DC3" w:rsidRPr="00BC0D1F" w:rsidRDefault="006B0DC3" w:rsidP="006B0DC3"/>
    <w:p w14:paraId="5DFF5224" w14:textId="77777777" w:rsidR="006B0DC3" w:rsidRPr="00BC0D1F" w:rsidRDefault="006B0DC3" w:rsidP="006B0DC3">
      <w:pPr>
        <w:pStyle w:val="Heading5"/>
      </w:pPr>
      <w:r w:rsidRPr="00BC0D1F">
        <w:t>2.13</w:t>
      </w:r>
      <w:r w:rsidRPr="00BC0D1F">
        <w:tab/>
        <w:t>Residential care loans</w:t>
      </w:r>
    </w:p>
    <w:p w14:paraId="26FF2132" w14:textId="77777777" w:rsidR="006B0DC3" w:rsidRPr="00BC0D1F" w:rsidRDefault="006B0DC3" w:rsidP="006B0DC3">
      <w:pPr>
        <w:rPr>
          <w:rFonts w:eastAsia="SimSun"/>
          <w:lang w:eastAsia="zh-CN"/>
        </w:rPr>
      </w:pPr>
      <w:r w:rsidRPr="00BC0D1F">
        <w:rPr>
          <w:rFonts w:eastAsia="SimSun"/>
          <w:lang w:eastAsia="zh-CN"/>
        </w:rPr>
        <w:t>Residential care loans were $3.347 million lower than the Main Estimates mainly due to the opening balance being $3.451 million lower than forecast.</w:t>
      </w:r>
    </w:p>
    <w:p w14:paraId="24A94725" w14:textId="77777777" w:rsidR="006B0DC3" w:rsidRPr="00BC0D1F" w:rsidRDefault="006B0DC3" w:rsidP="006B0DC3">
      <w:pPr>
        <w:rPr>
          <w:rFonts w:eastAsia="SimSun"/>
          <w:lang w:eastAsia="zh-CN"/>
        </w:rPr>
      </w:pPr>
    </w:p>
    <w:p w14:paraId="0D1B10F7" w14:textId="77777777" w:rsidR="006B0DC3" w:rsidRPr="00BC0D1F" w:rsidRDefault="006B0DC3" w:rsidP="00F254C3">
      <w:pPr>
        <w:pStyle w:val="Heading5"/>
      </w:pPr>
      <w:r w:rsidRPr="00BC0D1F">
        <w:t>2.14</w:t>
      </w:r>
      <w:r w:rsidRPr="00BC0D1F">
        <w:tab/>
        <w:t xml:space="preserve">Christchurch </w:t>
      </w:r>
      <w:r w:rsidRPr="00F254C3">
        <w:t>and</w:t>
      </w:r>
      <w:r w:rsidRPr="00BC0D1F">
        <w:t xml:space="preserve"> West Coast Hospital Rebuild Project</w:t>
      </w:r>
    </w:p>
    <w:p w14:paraId="626681E2" w14:textId="798E874B" w:rsidR="006B0DC3" w:rsidRPr="00BC0D1F" w:rsidRDefault="006B0DC3" w:rsidP="006B0DC3">
      <w:pPr>
        <w:rPr>
          <w:rFonts w:eastAsia="SimSun"/>
          <w:lang w:eastAsia="zh-CN"/>
        </w:rPr>
      </w:pPr>
      <w:r w:rsidRPr="00BC0D1F">
        <w:rPr>
          <w:rFonts w:eastAsia="SimSun"/>
          <w:lang w:eastAsia="zh-CN"/>
        </w:rPr>
        <w:t>Christchurch and West Coast Hospital Project was $</w:t>
      </w:r>
      <w:r w:rsidR="006241EF">
        <w:rPr>
          <w:rFonts w:eastAsia="SimSun"/>
          <w:lang w:eastAsia="zh-CN"/>
        </w:rPr>
        <w:t>107.354</w:t>
      </w:r>
      <w:r w:rsidRPr="00BC0D1F">
        <w:rPr>
          <w:rFonts w:eastAsia="SimSun"/>
          <w:lang w:eastAsia="zh-CN"/>
        </w:rPr>
        <w:t xml:space="preserve"> million lower than the Main Estimates due to the timing of the project.</w:t>
      </w:r>
    </w:p>
    <w:p w14:paraId="1191B71C" w14:textId="77777777" w:rsidR="006B0DC3" w:rsidRPr="00BC0D1F" w:rsidRDefault="006B0DC3" w:rsidP="006B0DC3"/>
    <w:p w14:paraId="1E2A7841" w14:textId="77777777" w:rsidR="006B0DC3" w:rsidRPr="00BC0D1F" w:rsidRDefault="006B0DC3" w:rsidP="00F254C3">
      <w:pPr>
        <w:pStyle w:val="Heading4"/>
      </w:pPr>
      <w:r w:rsidRPr="00BC0D1F">
        <w:t xml:space="preserve">Schedule of non-departmental </w:t>
      </w:r>
      <w:r w:rsidRPr="00F254C3">
        <w:t>liabilities</w:t>
      </w:r>
    </w:p>
    <w:p w14:paraId="5E54093D" w14:textId="77777777" w:rsidR="006B0DC3" w:rsidRPr="00BC0D1F" w:rsidRDefault="006B0DC3" w:rsidP="00F254C3">
      <w:pPr>
        <w:pStyle w:val="Heading5"/>
      </w:pPr>
      <w:r w:rsidRPr="00BC0D1F">
        <w:t>2.15</w:t>
      </w:r>
      <w:r w:rsidRPr="00BC0D1F">
        <w:tab/>
      </w:r>
      <w:r w:rsidRPr="00F254C3">
        <w:t>Other</w:t>
      </w:r>
      <w:r w:rsidRPr="00BC0D1F">
        <w:t xml:space="preserve"> payables</w:t>
      </w:r>
    </w:p>
    <w:p w14:paraId="58F348C4" w14:textId="77777777" w:rsidR="006B0DC3" w:rsidRPr="00BC0D1F" w:rsidRDefault="006B0DC3" w:rsidP="006B0DC3">
      <w:pPr>
        <w:rPr>
          <w:rFonts w:cs="Arial"/>
          <w:szCs w:val="22"/>
        </w:rPr>
      </w:pPr>
      <w:r w:rsidRPr="00BC0D1F">
        <w:t>Other payables were not provided for in the Main Estimates.</w:t>
      </w:r>
    </w:p>
    <w:p w14:paraId="083B7EB8" w14:textId="77777777" w:rsidR="006B0DC3" w:rsidRPr="00BC0D1F" w:rsidRDefault="006B0DC3" w:rsidP="006B0DC3"/>
    <w:p w14:paraId="6D790174" w14:textId="77777777" w:rsidR="00AD72CC" w:rsidRPr="00BC0D1F" w:rsidRDefault="006B0DC3" w:rsidP="006B0DC3">
      <w:pPr>
        <w:pStyle w:val="Heading1"/>
      </w:pPr>
      <w:bookmarkStart w:id="190" w:name="_Toc430768809"/>
      <w:bookmarkStart w:id="191" w:name="_Toc459730030"/>
      <w:bookmarkStart w:id="192" w:name="_Toc461544303"/>
      <w:bookmarkStart w:id="193" w:name="_Toc463507947"/>
      <w:bookmarkStart w:id="194" w:name="_Toc367364303"/>
      <w:bookmarkStart w:id="195" w:name="_Toc368320092"/>
      <w:bookmarkStart w:id="196" w:name="_Toc388007475"/>
      <w:bookmarkStart w:id="197" w:name="_Toc388008168"/>
      <w:bookmarkStart w:id="198" w:name="_Toc398730622"/>
      <w:bookmarkStart w:id="199" w:name="_Toc419971989"/>
      <w:bookmarkStart w:id="200" w:name="_Toc430768860"/>
      <w:bookmarkEnd w:id="151"/>
      <w:bookmarkEnd w:id="152"/>
      <w:bookmarkEnd w:id="153"/>
      <w:r w:rsidRPr="00BC0D1F">
        <w:lastRenderedPageBreak/>
        <w:t>O</w:t>
      </w:r>
      <w:r w:rsidR="00AD72CC" w:rsidRPr="00BC0D1F">
        <w:t>rganisational health and capability</w:t>
      </w:r>
      <w:bookmarkEnd w:id="190"/>
      <w:bookmarkEnd w:id="191"/>
      <w:bookmarkEnd w:id="192"/>
      <w:bookmarkEnd w:id="193"/>
    </w:p>
    <w:p w14:paraId="5639AA36" w14:textId="77777777" w:rsidR="00AD72CC" w:rsidRPr="00BC0D1F" w:rsidRDefault="00AD72CC" w:rsidP="00AD72CC">
      <w:r w:rsidRPr="00BC0D1F">
        <w:t>In order for the Ministry to achieve its strategic direction it must be supported by the right people, in the right places with the right capability. Other important enabling functions that support achievement of the Ministry</w:t>
      </w:r>
      <w:r w:rsidR="00DF4B9A" w:rsidRPr="00BC0D1F">
        <w:t>’</w:t>
      </w:r>
      <w:r w:rsidRPr="00BC0D1F">
        <w:t>s priorities occur in the areas of IT, finances and capital. The refresh of the New Zealand Health Strategy is beginning to have a significant impact in determining the future direction of our health system and the Ministry.</w:t>
      </w:r>
    </w:p>
    <w:p w14:paraId="7D43C92F" w14:textId="77777777" w:rsidR="00AD72CC" w:rsidRPr="00BC0D1F" w:rsidRDefault="00AD72CC" w:rsidP="00DA00C3"/>
    <w:p w14:paraId="2C89FBAC" w14:textId="724AFA92" w:rsidR="00AD72CC" w:rsidRPr="00BC0D1F" w:rsidRDefault="00AD72CC" w:rsidP="00DA00C3">
      <w:r w:rsidRPr="00BC0D1F">
        <w:t>The State Services Commission (SSC) has scheduled the Ministry for a Performance Improvement Framework (PIF) review during the 2016/17 financial year. This review will provide the Ministry with the information about progress it has made since its first PIF review in 2012 and also provide guidance on further improvements.</w:t>
      </w:r>
    </w:p>
    <w:p w14:paraId="4488C908" w14:textId="77777777" w:rsidR="00AD72CC" w:rsidRPr="00BC0D1F" w:rsidRDefault="00AD72CC" w:rsidP="00DA00C3"/>
    <w:p w14:paraId="4E94FFB0" w14:textId="77777777" w:rsidR="00AD72CC" w:rsidRPr="00BC0D1F" w:rsidRDefault="00AD72CC" w:rsidP="00DA00C3">
      <w:pPr>
        <w:pStyle w:val="Heading2"/>
      </w:pPr>
      <w:bookmarkStart w:id="201" w:name="_Toc463507948"/>
      <w:r w:rsidRPr="00BC0D1F">
        <w:t>Developing our story</w:t>
      </w:r>
      <w:bookmarkEnd w:id="201"/>
    </w:p>
    <w:p w14:paraId="4521DD3A" w14:textId="77777777" w:rsidR="00DF4B9A" w:rsidRPr="00BC0D1F" w:rsidRDefault="00AD72CC" w:rsidP="00DA00C3">
      <w:r w:rsidRPr="00BC0D1F">
        <w:t>The Ministry has embarked on a comprehensive transformation journey to support the refresh of the New Zealand Health Strategy, with the first stage being the appointment of a new Executive Leadership Team. This journey will continue over the foreseeable future as we transform all of the business units to be better equipped to take the Ministry into the next 10</w:t>
      </w:r>
      <w:r w:rsidR="00DA00C3" w:rsidRPr="00BC0D1F">
        <w:t> </w:t>
      </w:r>
      <w:r w:rsidRPr="00BC0D1F">
        <w:t>years.</w:t>
      </w:r>
    </w:p>
    <w:p w14:paraId="3F30CF30" w14:textId="77777777" w:rsidR="00AD72CC" w:rsidRPr="00BC0D1F" w:rsidRDefault="00AD72CC" w:rsidP="00DA00C3">
      <w:pPr>
        <w:pStyle w:val="Quote"/>
        <w:jc w:val="center"/>
        <w:rPr>
          <w:sz w:val="24"/>
          <w:szCs w:val="24"/>
        </w:rPr>
      </w:pPr>
      <w:r w:rsidRPr="00BC0D1F">
        <w:rPr>
          <w:sz w:val="24"/>
        </w:rPr>
        <w:t xml:space="preserve">Our story is to </w:t>
      </w:r>
      <w:r w:rsidRPr="00BC0D1F">
        <w:rPr>
          <w:b/>
          <w:i/>
          <w:sz w:val="24"/>
        </w:rPr>
        <w:t xml:space="preserve">lead, shape, </w:t>
      </w:r>
      <w:proofErr w:type="gramStart"/>
      <w:r w:rsidRPr="00BC0D1F">
        <w:rPr>
          <w:b/>
          <w:i/>
          <w:sz w:val="24"/>
        </w:rPr>
        <w:t>deliver</w:t>
      </w:r>
      <w:proofErr w:type="gramEnd"/>
      <w:r w:rsidRPr="00BC0D1F">
        <w:rPr>
          <w:sz w:val="24"/>
          <w:szCs w:val="24"/>
        </w:rPr>
        <w:t>.</w:t>
      </w:r>
    </w:p>
    <w:p w14:paraId="4E894B77" w14:textId="77777777" w:rsidR="00AD72CC" w:rsidRPr="00BC0D1F" w:rsidRDefault="00AD72CC" w:rsidP="00DA00C3"/>
    <w:p w14:paraId="0420E4B5" w14:textId="77777777" w:rsidR="00DF4B9A" w:rsidRPr="00BC0D1F" w:rsidRDefault="00AD72CC" w:rsidP="00DA00C3">
      <w:r w:rsidRPr="00BC0D1F">
        <w:t>Part of this journey has seen the development of an organisational strategy designed to better understand our Purpose, Vision and Mission. This has led to beginning to better understand the culture and values needed to take the Ministry forward. These will be embedded in the refresh of our competency framework, which will form the basis of the performance management system that will take the Ministry from good to great.</w:t>
      </w:r>
    </w:p>
    <w:p w14:paraId="7CF2AA60" w14:textId="77777777" w:rsidR="00AD72CC" w:rsidRPr="00BC0D1F" w:rsidRDefault="00AD72CC" w:rsidP="00DA00C3"/>
    <w:p w14:paraId="047F0EAD" w14:textId="77777777" w:rsidR="00AD72CC" w:rsidRPr="00BC0D1F" w:rsidRDefault="00AD72CC" w:rsidP="00DA00C3">
      <w:pPr>
        <w:pStyle w:val="Heading2"/>
      </w:pPr>
      <w:bookmarkStart w:id="202" w:name="_Toc423978503"/>
      <w:bookmarkStart w:id="203" w:name="_Toc463507949"/>
      <w:r w:rsidRPr="00BC0D1F">
        <w:t>Recruitment and retention</w:t>
      </w:r>
      <w:bookmarkEnd w:id="202"/>
      <w:bookmarkEnd w:id="203"/>
    </w:p>
    <w:p w14:paraId="1962C89C" w14:textId="77777777" w:rsidR="00AD72CC" w:rsidRPr="00BC0D1F" w:rsidRDefault="00AD72CC" w:rsidP="00DA00C3">
      <w:r w:rsidRPr="00BC0D1F">
        <w:t>The Ministry has completed its move to a centralised recruitment function as part of the all-of-government recruitment contract to provide recruitment expertise to hiring managers. The implementation of an online recruitment tool, combined with the development of online forms, has reduced administrative time.</w:t>
      </w:r>
    </w:p>
    <w:p w14:paraId="7DB6C044" w14:textId="77777777" w:rsidR="00AD72CC" w:rsidRPr="00BC0D1F" w:rsidRDefault="00AD72CC" w:rsidP="00DA00C3"/>
    <w:p w14:paraId="66FAE85D" w14:textId="77777777" w:rsidR="00AD72CC" w:rsidRPr="00BC0D1F" w:rsidRDefault="00AD72CC" w:rsidP="00DA00C3">
      <w:pPr>
        <w:pStyle w:val="Heading2"/>
      </w:pPr>
      <w:bookmarkStart w:id="204" w:name="_Toc463507950"/>
      <w:r w:rsidRPr="00BC0D1F">
        <w:t>People and capability enhancement</w:t>
      </w:r>
      <w:bookmarkEnd w:id="204"/>
    </w:p>
    <w:p w14:paraId="42B114C5" w14:textId="77777777" w:rsidR="00AD72CC" w:rsidRPr="00BC0D1F" w:rsidRDefault="00AD72CC" w:rsidP="00DA00C3">
      <w:r w:rsidRPr="00BC0D1F">
        <w:t>The Ministry is making key changes to staff development and performance mechanisms. It is enhancing its performance and development framework to help managers to have consistent, effective performance and development conversations with their teams covering both key organisational and individual deliverables and behaviours.</w:t>
      </w:r>
    </w:p>
    <w:p w14:paraId="1E76B35E" w14:textId="77777777" w:rsidR="00DA00C3" w:rsidRPr="00BC0D1F" w:rsidRDefault="00DA00C3" w:rsidP="00DA00C3"/>
    <w:p w14:paraId="4ACBE2E8" w14:textId="77777777" w:rsidR="00AD72CC" w:rsidRPr="00BC0D1F" w:rsidRDefault="00AD72CC" w:rsidP="00DA00C3">
      <w:pPr>
        <w:keepNext/>
      </w:pPr>
      <w:r w:rsidRPr="00BC0D1F">
        <w:lastRenderedPageBreak/>
        <w:t>It is developing a realigned competency model to identify the critical skills and competencies needed in the Ministry, and has applied it to all position descriptions and performance review conversations.</w:t>
      </w:r>
    </w:p>
    <w:p w14:paraId="0ACCBC3F" w14:textId="77777777" w:rsidR="00DA00C3" w:rsidRPr="00BC0D1F" w:rsidRDefault="00DA00C3" w:rsidP="00DA00C3"/>
    <w:p w14:paraId="6B5E67D1" w14:textId="77777777" w:rsidR="00AD72CC" w:rsidRPr="00BC0D1F" w:rsidRDefault="00AD72CC" w:rsidP="00DA00C3">
      <w:r w:rsidRPr="00BC0D1F">
        <w:t>The Ministry has continued its capability development programme by targeted learning programmes for leadership, management and core skills.</w:t>
      </w:r>
    </w:p>
    <w:p w14:paraId="1FC1C034" w14:textId="77777777" w:rsidR="00AD72CC" w:rsidRPr="00BC0D1F" w:rsidRDefault="00AD72CC" w:rsidP="00DA00C3"/>
    <w:p w14:paraId="66F7475B" w14:textId="77777777" w:rsidR="00AD72CC" w:rsidRPr="00BC0D1F" w:rsidRDefault="00AD72CC" w:rsidP="00DA00C3">
      <w:pPr>
        <w:pStyle w:val="Heading2"/>
      </w:pPr>
      <w:bookmarkStart w:id="205" w:name="_Toc423978507"/>
      <w:bookmarkStart w:id="206" w:name="_Toc463507951"/>
      <w:r w:rsidRPr="00BC0D1F">
        <w:t>Equal employment opportunities</w:t>
      </w:r>
      <w:bookmarkEnd w:id="205"/>
      <w:bookmarkEnd w:id="206"/>
    </w:p>
    <w:p w14:paraId="37795E4D" w14:textId="77777777" w:rsidR="00AD72CC" w:rsidRPr="00BC0D1F" w:rsidRDefault="00AD72CC" w:rsidP="00DA00C3">
      <w:r w:rsidRPr="00BC0D1F">
        <w:t>The Ministry recognises that equality and diversity are important for organisational success. The differences that staff bring to the workplace represent benefits to the Ministry that need to be understood, appreciated and realised.</w:t>
      </w:r>
    </w:p>
    <w:p w14:paraId="46238D8F" w14:textId="77777777" w:rsidR="00AD72CC" w:rsidRPr="00BC0D1F" w:rsidRDefault="00AD72CC" w:rsidP="00DA00C3"/>
    <w:p w14:paraId="5CFA7BC4" w14:textId="77777777" w:rsidR="00AD72CC" w:rsidRPr="00BC0D1F" w:rsidRDefault="00AD72CC" w:rsidP="00DA00C3">
      <w:r w:rsidRPr="00BC0D1F">
        <w:t>The Ministry</w:t>
      </w:r>
      <w:r w:rsidR="00DF4B9A" w:rsidRPr="00BC0D1F">
        <w:t>’</w:t>
      </w:r>
      <w:r w:rsidRPr="00BC0D1F">
        <w:t>s rules and processes for recruitment, selection, terms of employment, performance management, capability development and promotion aim to promote equity and diversity. The Ministry is proud to have a gender-balanced Executive Leadership Team. Further to this, all recruitment advertisements advise candidates that the Ministry is a disability-friendly organisation.</w:t>
      </w:r>
    </w:p>
    <w:p w14:paraId="106AFFB9" w14:textId="77777777" w:rsidR="00AD72CC" w:rsidRPr="00BC0D1F" w:rsidRDefault="00AD72CC" w:rsidP="00DA00C3"/>
    <w:p w14:paraId="73E116CC" w14:textId="77777777" w:rsidR="00AD72CC" w:rsidRPr="00BC0D1F" w:rsidRDefault="00AD72CC" w:rsidP="00DA00C3">
      <w:r w:rsidRPr="00BC0D1F">
        <w:t>The Ministry remains committed to creating a diverse culture with a wide range of skills and perspectives. Table 17 shows the Ministry</w:t>
      </w:r>
      <w:r w:rsidR="00DF4B9A" w:rsidRPr="00BC0D1F">
        <w:t>’</w:t>
      </w:r>
      <w:r w:rsidRPr="00BC0D1F">
        <w:t>s people capability measures.</w:t>
      </w:r>
    </w:p>
    <w:p w14:paraId="1D3491F6" w14:textId="77777777" w:rsidR="00AD72CC" w:rsidRPr="00BC0D1F" w:rsidRDefault="00AD72CC" w:rsidP="00DA00C3"/>
    <w:p w14:paraId="04D05BF8" w14:textId="77777777" w:rsidR="00AD72CC" w:rsidRPr="00BC0D1F" w:rsidRDefault="00AD72CC" w:rsidP="00DA00C3">
      <w:pPr>
        <w:pStyle w:val="Table"/>
      </w:pPr>
      <w:bookmarkStart w:id="207" w:name="_Toc462926722"/>
      <w:r w:rsidRPr="00BC0D1F">
        <w:t>Table 17: People capability measures</w:t>
      </w:r>
      <w:bookmarkEnd w:id="207"/>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8"/>
        <w:gridCol w:w="7088"/>
      </w:tblGrid>
      <w:tr w:rsidR="00810942" w:rsidRPr="00BC0D1F" w14:paraId="656D2254" w14:textId="77777777" w:rsidTr="00F06348">
        <w:trPr>
          <w:cantSplit/>
        </w:trPr>
        <w:tc>
          <w:tcPr>
            <w:tcW w:w="2268" w:type="dxa"/>
            <w:tcBorders>
              <w:top w:val="single" w:sz="4" w:space="0" w:color="auto"/>
              <w:bottom w:val="single" w:sz="4" w:space="0" w:color="A6A6A6"/>
            </w:tcBorders>
            <w:shd w:val="clear" w:color="auto" w:fill="auto"/>
          </w:tcPr>
          <w:p w14:paraId="4864E527" w14:textId="77777777" w:rsidR="00AD72CC" w:rsidRPr="00BC0D1F" w:rsidRDefault="00AD72CC" w:rsidP="00D17286">
            <w:pPr>
              <w:pStyle w:val="TableText"/>
              <w:rPr>
                <w:b/>
              </w:rPr>
            </w:pPr>
            <w:r w:rsidRPr="00BC0D1F">
              <w:rPr>
                <w:b/>
              </w:rPr>
              <w:t>Voluntary turnover</w:t>
            </w:r>
          </w:p>
        </w:tc>
        <w:tc>
          <w:tcPr>
            <w:tcW w:w="7088" w:type="dxa"/>
            <w:tcBorders>
              <w:top w:val="single" w:sz="4" w:space="0" w:color="auto"/>
              <w:bottom w:val="single" w:sz="4" w:space="0" w:color="A6A6A6"/>
            </w:tcBorders>
            <w:shd w:val="clear" w:color="auto" w:fill="auto"/>
          </w:tcPr>
          <w:p w14:paraId="61B7DB83" w14:textId="77777777" w:rsidR="00AD72CC" w:rsidRPr="00BC0D1F" w:rsidRDefault="00AD72CC" w:rsidP="00D17286">
            <w:pPr>
              <w:pStyle w:val="TableText"/>
              <w:rPr>
                <w:color w:val="000000"/>
              </w:rPr>
            </w:pPr>
            <w:r w:rsidRPr="00BC0D1F">
              <w:t>The 12-month gross rolling average turnover rate for 2015/16 was 14.8% for permanent staff, which is slightly over the Ministry</w:t>
            </w:r>
            <w:r w:rsidR="00DF4B9A" w:rsidRPr="00BC0D1F">
              <w:t>’</w:t>
            </w:r>
            <w:r w:rsidRPr="00BC0D1F">
              <w:t>s 14% per annum target</w:t>
            </w:r>
            <w:r w:rsidRPr="00BC0D1F">
              <w:rPr>
                <w:color w:val="000000"/>
              </w:rPr>
              <w:t>.</w:t>
            </w:r>
          </w:p>
        </w:tc>
      </w:tr>
      <w:tr w:rsidR="00810942" w:rsidRPr="00BC0D1F" w14:paraId="5E36506E" w14:textId="77777777" w:rsidTr="00F06348">
        <w:trPr>
          <w:cantSplit/>
        </w:trPr>
        <w:tc>
          <w:tcPr>
            <w:tcW w:w="2268" w:type="dxa"/>
            <w:tcBorders>
              <w:top w:val="single" w:sz="4" w:space="0" w:color="A6A6A6"/>
              <w:bottom w:val="single" w:sz="4" w:space="0" w:color="A6A6A6"/>
            </w:tcBorders>
            <w:shd w:val="clear" w:color="auto" w:fill="auto"/>
          </w:tcPr>
          <w:p w14:paraId="26CAE661" w14:textId="77777777" w:rsidR="00AD72CC" w:rsidRPr="00BC0D1F" w:rsidRDefault="00AD72CC" w:rsidP="00D17286">
            <w:pPr>
              <w:pStyle w:val="TableText"/>
              <w:rPr>
                <w:b/>
              </w:rPr>
            </w:pPr>
            <w:r w:rsidRPr="00BC0D1F">
              <w:rPr>
                <w:b/>
              </w:rPr>
              <w:t>Retention of new staff</w:t>
            </w:r>
          </w:p>
        </w:tc>
        <w:tc>
          <w:tcPr>
            <w:tcW w:w="7088" w:type="dxa"/>
            <w:tcBorders>
              <w:top w:val="single" w:sz="4" w:space="0" w:color="A6A6A6"/>
              <w:bottom w:val="single" w:sz="4" w:space="0" w:color="A6A6A6"/>
            </w:tcBorders>
            <w:shd w:val="clear" w:color="auto" w:fill="auto"/>
          </w:tcPr>
          <w:p w14:paraId="50F4E65D" w14:textId="77777777" w:rsidR="00AD72CC" w:rsidRPr="00BC0D1F" w:rsidRDefault="00AD72CC" w:rsidP="00D17286">
            <w:pPr>
              <w:pStyle w:val="TableText"/>
              <w:rPr>
                <w:color w:val="000000"/>
              </w:rPr>
            </w:pPr>
            <w:r w:rsidRPr="00BC0D1F">
              <w:t>74.5% of new staff are still in the Ministry after 12 months (including 20 employees who changed their role). This is higher than the Benchmarking Administrative and Support Services (BASS) percentage of 69.5%.</w:t>
            </w:r>
          </w:p>
        </w:tc>
      </w:tr>
      <w:tr w:rsidR="00810942" w:rsidRPr="00BC0D1F" w14:paraId="1DF3DE43" w14:textId="77777777" w:rsidTr="00F06348">
        <w:trPr>
          <w:cantSplit/>
        </w:trPr>
        <w:tc>
          <w:tcPr>
            <w:tcW w:w="2268" w:type="dxa"/>
            <w:tcBorders>
              <w:top w:val="single" w:sz="4" w:space="0" w:color="A6A6A6"/>
            </w:tcBorders>
            <w:shd w:val="clear" w:color="auto" w:fill="auto"/>
          </w:tcPr>
          <w:p w14:paraId="64B87336" w14:textId="77777777" w:rsidR="00AD72CC" w:rsidRPr="00BC0D1F" w:rsidRDefault="00AD72CC" w:rsidP="00D17286">
            <w:pPr>
              <w:pStyle w:val="TableText"/>
              <w:rPr>
                <w:b/>
              </w:rPr>
            </w:pPr>
            <w:r w:rsidRPr="00BC0D1F">
              <w:rPr>
                <w:b/>
              </w:rPr>
              <w:t>Sick leave</w:t>
            </w:r>
          </w:p>
        </w:tc>
        <w:tc>
          <w:tcPr>
            <w:tcW w:w="7088" w:type="dxa"/>
            <w:tcBorders>
              <w:top w:val="single" w:sz="4" w:space="0" w:color="A6A6A6"/>
            </w:tcBorders>
            <w:shd w:val="clear" w:color="auto" w:fill="auto"/>
          </w:tcPr>
          <w:p w14:paraId="1328C400" w14:textId="77777777" w:rsidR="00AD72CC" w:rsidRPr="00BC0D1F" w:rsidRDefault="00AD72CC" w:rsidP="00D17286">
            <w:pPr>
              <w:pStyle w:val="TableText"/>
              <w:rPr>
                <w:color w:val="000000"/>
              </w:rPr>
            </w:pPr>
            <w:r w:rsidRPr="00BC0D1F">
              <w:t>Average days of absence per employee (excluding maternity/paternity leave) is 8.3</w:t>
            </w:r>
            <w:r w:rsidR="00D17286" w:rsidRPr="00BC0D1F">
              <w:t> </w:t>
            </w:r>
            <w:r w:rsidRPr="00BC0D1F">
              <w:t>days, which is higher than the BASS median of 6.84 days in 2013 and close to the public sector average of 8 days per annum per person.</w:t>
            </w:r>
          </w:p>
        </w:tc>
      </w:tr>
    </w:tbl>
    <w:p w14:paraId="2FA274E7" w14:textId="77777777" w:rsidR="00AD72CC" w:rsidRPr="00BC0D1F" w:rsidRDefault="00AD72CC" w:rsidP="00D17286">
      <w:bookmarkStart w:id="208" w:name="_Toc453158750"/>
    </w:p>
    <w:p w14:paraId="066B7D1D" w14:textId="77777777" w:rsidR="00AD72CC" w:rsidRPr="00BC0D1F" w:rsidRDefault="00AD72CC" w:rsidP="00D17286">
      <w:pPr>
        <w:pStyle w:val="Heading2"/>
      </w:pPr>
      <w:bookmarkStart w:id="209" w:name="_Toc463507952"/>
      <w:r w:rsidRPr="00BC0D1F">
        <w:t>Information technology (IT)</w:t>
      </w:r>
      <w:bookmarkEnd w:id="208"/>
      <w:bookmarkEnd w:id="209"/>
    </w:p>
    <w:p w14:paraId="64AB880A" w14:textId="77777777" w:rsidR="00AD72CC" w:rsidRPr="00BC0D1F" w:rsidRDefault="00AD72CC" w:rsidP="00D17286">
      <w:bookmarkStart w:id="210" w:name="_Toc453158751"/>
      <w:r w:rsidRPr="00BC0D1F">
        <w:t>The Ministry provides key information and IT support to the health and disability system, especially through:</w:t>
      </w:r>
    </w:p>
    <w:p w14:paraId="238EE4EA" w14:textId="77777777" w:rsidR="00AD72CC" w:rsidRPr="00BC0D1F" w:rsidRDefault="00AD72CC" w:rsidP="00D17286">
      <w:pPr>
        <w:pStyle w:val="Bullet"/>
      </w:pPr>
      <w:r w:rsidRPr="00BC0D1F">
        <w:t>the provision of national infrastructure systems</w:t>
      </w:r>
    </w:p>
    <w:p w14:paraId="3BF0B375" w14:textId="77777777" w:rsidR="00AD72CC" w:rsidRPr="00BC0D1F" w:rsidRDefault="00AD72CC" w:rsidP="00D17286">
      <w:pPr>
        <w:pStyle w:val="Bullet"/>
      </w:pPr>
      <w:proofErr w:type="gramStart"/>
      <w:r w:rsidRPr="00BC0D1F">
        <w:t>a</w:t>
      </w:r>
      <w:proofErr w:type="gramEnd"/>
      <w:r w:rsidRPr="00BC0D1F">
        <w:t xml:space="preserve"> payments service to the health and disability sector.</w:t>
      </w:r>
    </w:p>
    <w:p w14:paraId="1C21702A" w14:textId="77777777" w:rsidR="00D17286" w:rsidRPr="00BC0D1F" w:rsidRDefault="00D17286" w:rsidP="00D17286"/>
    <w:p w14:paraId="49D8BADF" w14:textId="77777777" w:rsidR="00AD72CC" w:rsidRPr="00BC0D1F" w:rsidRDefault="00AD72CC" w:rsidP="00D17286">
      <w:r w:rsidRPr="00BC0D1F">
        <w:t>The Ministry directly and indirectly supports the operating intentions, outcomes and objectives that underpin the health and disability system</w:t>
      </w:r>
      <w:r w:rsidR="00DF4B9A" w:rsidRPr="00BC0D1F">
        <w:t>’</w:t>
      </w:r>
      <w:r w:rsidRPr="00BC0D1F">
        <w:t>s ability to operate effectively. Specifically, the Ministry:</w:t>
      </w:r>
    </w:p>
    <w:p w14:paraId="1A85DF05" w14:textId="77777777" w:rsidR="00AD72CC" w:rsidRPr="00BC0D1F" w:rsidRDefault="00AD72CC" w:rsidP="00D17286">
      <w:pPr>
        <w:pStyle w:val="Bullet"/>
      </w:pPr>
      <w:r w:rsidRPr="00BC0D1F">
        <w:t>operates national IT systems and payment systems for the health and disability sector</w:t>
      </w:r>
    </w:p>
    <w:p w14:paraId="1CC98CC6" w14:textId="77777777" w:rsidR="00AD72CC" w:rsidRPr="00BC0D1F" w:rsidRDefault="00AD72CC" w:rsidP="00D17286">
      <w:pPr>
        <w:pStyle w:val="Bullet"/>
      </w:pPr>
      <w:r w:rsidRPr="00BC0D1F">
        <w:t>maintains national collections and information management services for researchers and analysts</w:t>
      </w:r>
    </w:p>
    <w:p w14:paraId="7B2A461E" w14:textId="77777777" w:rsidR="00AD72CC" w:rsidRPr="00BC0D1F" w:rsidRDefault="00AD72CC" w:rsidP="00D17286">
      <w:pPr>
        <w:pStyle w:val="Bullet"/>
      </w:pPr>
      <w:r w:rsidRPr="00BC0D1F">
        <w:t xml:space="preserve">provides </w:t>
      </w:r>
      <w:proofErr w:type="spellStart"/>
      <w:r w:rsidRPr="00BC0D1F">
        <w:t>eHealth</w:t>
      </w:r>
      <w:proofErr w:type="spellEnd"/>
      <w:r w:rsidRPr="00BC0D1F">
        <w:t xml:space="preserve"> leadership for the sector</w:t>
      </w:r>
    </w:p>
    <w:p w14:paraId="1FD0E3F6" w14:textId="77777777" w:rsidR="00AD72CC" w:rsidRPr="00BC0D1F" w:rsidRDefault="00AD72CC" w:rsidP="00D17286">
      <w:pPr>
        <w:pStyle w:val="Bullet"/>
      </w:pPr>
      <w:proofErr w:type="gramStart"/>
      <w:r w:rsidRPr="00BC0D1F">
        <w:t>provides</w:t>
      </w:r>
      <w:proofErr w:type="gramEnd"/>
      <w:r w:rsidRPr="00BC0D1F">
        <w:t xml:space="preserve"> information services to 1150 knowledge workers within the Ministry.</w:t>
      </w:r>
    </w:p>
    <w:p w14:paraId="2BC61FF9" w14:textId="77777777" w:rsidR="00D17286" w:rsidRPr="00BC0D1F" w:rsidRDefault="00D17286" w:rsidP="00D17286"/>
    <w:p w14:paraId="6AC5517F" w14:textId="77777777" w:rsidR="00AD72CC" w:rsidRPr="00BC0D1F" w:rsidRDefault="00AD72CC" w:rsidP="00D17286">
      <w:r w:rsidRPr="00BC0D1F">
        <w:lastRenderedPageBreak/>
        <w:t>The Ministry is delivering a range of national health IT initiatives supporting policy implementation, such as In-between Travel Payments for Home Carers and Under 13</w:t>
      </w:r>
      <w:r w:rsidR="00DF4B9A" w:rsidRPr="00BC0D1F">
        <w:t>’</w:t>
      </w:r>
      <w:r w:rsidRPr="00BC0D1F">
        <w:t>s free health care. Other significant initiatives include:</w:t>
      </w:r>
    </w:p>
    <w:p w14:paraId="2ED45E43" w14:textId="77777777" w:rsidR="00AD72CC" w:rsidRPr="00BC0D1F" w:rsidRDefault="00AD72CC" w:rsidP="00D17286">
      <w:pPr>
        <w:pStyle w:val="Bullet"/>
      </w:pPr>
      <w:r w:rsidRPr="00BC0D1F">
        <w:t>continuing increase in online access to NHI through organisations joining, such as St John</w:t>
      </w:r>
    </w:p>
    <w:p w14:paraId="24310430" w14:textId="77777777" w:rsidR="00AD72CC" w:rsidRPr="00BC0D1F" w:rsidRDefault="00AD72CC" w:rsidP="00D17286">
      <w:pPr>
        <w:pStyle w:val="Bullet"/>
      </w:pPr>
      <w:r w:rsidRPr="00BC0D1F">
        <w:t>development and implementation of services required to support the National Enrolment Service initiative, and actively assisting vendor integration of the services into GP practice management systems</w:t>
      </w:r>
    </w:p>
    <w:p w14:paraId="077A62BC" w14:textId="77777777" w:rsidR="00AD72CC" w:rsidRPr="00BC0D1F" w:rsidRDefault="00AD72CC" w:rsidP="00D17286">
      <w:pPr>
        <w:pStyle w:val="Bullet"/>
      </w:pPr>
      <w:r w:rsidRPr="00BC0D1F">
        <w:t>development and implementation of a process for validating and aggregating PHO data received as part of the Integrated Performance Incentive Framework, and outputting the data as consolidated Service Utilisation and Clinical Performance data sets for Ministry reporting and analysis.</w:t>
      </w:r>
    </w:p>
    <w:p w14:paraId="7D2A69BC" w14:textId="77777777" w:rsidR="00AD72CC" w:rsidRPr="00BC0D1F" w:rsidRDefault="00AD72CC" w:rsidP="00D17286"/>
    <w:p w14:paraId="5F274E47" w14:textId="77777777" w:rsidR="00AD72CC" w:rsidRPr="00BC0D1F" w:rsidRDefault="00AD72CC" w:rsidP="00D17286">
      <w:pPr>
        <w:pStyle w:val="Heading2"/>
      </w:pPr>
      <w:bookmarkStart w:id="211" w:name="_Toc458160995"/>
      <w:bookmarkStart w:id="212" w:name="_Toc463507953"/>
      <w:r w:rsidRPr="00BC0D1F">
        <w:t>Procurement strategy</w:t>
      </w:r>
      <w:bookmarkEnd w:id="211"/>
      <w:bookmarkEnd w:id="212"/>
    </w:p>
    <w:p w14:paraId="01F2D2BD" w14:textId="77777777" w:rsidR="00AD72CC" w:rsidRPr="00BC0D1F" w:rsidRDefault="00AD72CC" w:rsidP="00D17286">
      <w:pPr>
        <w:rPr>
          <w:noProof/>
          <w:lang w:eastAsia="en-NZ"/>
        </w:rPr>
      </w:pPr>
      <w:r w:rsidRPr="00BC0D1F">
        <w:rPr>
          <w:noProof/>
          <w:lang w:eastAsia="en-NZ"/>
        </w:rPr>
        <w:t>The Ministry continues to focus on internal procurement capability. The commitment to improve the effectiveness of interventions and develop new procurement models to get better outcomes from available government funding has been realised through several key projects, such as the Social Bonds pilot and NGO streamlined contracting.</w:t>
      </w:r>
    </w:p>
    <w:p w14:paraId="5B8B4113" w14:textId="77777777" w:rsidR="00AD72CC" w:rsidRPr="00BC0D1F" w:rsidRDefault="00AD72CC" w:rsidP="00D17286">
      <w:pPr>
        <w:rPr>
          <w:noProof/>
          <w:lang w:eastAsia="en-NZ"/>
        </w:rPr>
      </w:pPr>
    </w:p>
    <w:p w14:paraId="084C5A63" w14:textId="77777777" w:rsidR="00AD72CC" w:rsidRPr="00BC0D1F" w:rsidRDefault="00AD72CC" w:rsidP="00D17286">
      <w:pPr>
        <w:rPr>
          <w:noProof/>
          <w:lang w:eastAsia="en-NZ"/>
        </w:rPr>
      </w:pPr>
      <w:r w:rsidRPr="00BC0D1F">
        <w:rPr>
          <w:noProof/>
          <w:lang w:eastAsia="en-NZ"/>
        </w:rPr>
        <w:t>The Procurement Improvement Programme continues to enhance Ministry procurement planning and supplier selection and contracting, as well as refining the implementation and monitoring of service contracts and providing better support for Ministry staff involved in procurement processes. The recommendations from the procurement effectiveness review, undertaken as part of the Government Procurement Functional Reform Programme, have been dovetailed into relevant workstreams under the Ministry</w:t>
      </w:r>
      <w:r w:rsidR="00DF4B9A" w:rsidRPr="00BC0D1F">
        <w:rPr>
          <w:noProof/>
          <w:lang w:eastAsia="en-NZ"/>
        </w:rPr>
        <w:t>’</w:t>
      </w:r>
      <w:r w:rsidRPr="00BC0D1F">
        <w:rPr>
          <w:noProof/>
          <w:lang w:eastAsia="en-NZ"/>
        </w:rPr>
        <w:t>s improvement programme.</w:t>
      </w:r>
    </w:p>
    <w:p w14:paraId="74344255" w14:textId="77777777" w:rsidR="00AD72CC" w:rsidRPr="00BC0D1F" w:rsidRDefault="00AD72CC" w:rsidP="00D17286">
      <w:pPr>
        <w:rPr>
          <w:noProof/>
          <w:lang w:eastAsia="en-NZ"/>
        </w:rPr>
      </w:pPr>
    </w:p>
    <w:p w14:paraId="13E1A3D4" w14:textId="77777777" w:rsidR="00AD72CC" w:rsidRPr="00BC0D1F" w:rsidRDefault="00AD72CC" w:rsidP="00D17286">
      <w:pPr>
        <w:rPr>
          <w:noProof/>
          <w:lang w:eastAsia="en-NZ"/>
        </w:rPr>
      </w:pPr>
      <w:r w:rsidRPr="00BC0D1F">
        <w:rPr>
          <w:noProof/>
          <w:lang w:eastAsia="en-NZ"/>
        </w:rPr>
        <w:t>The future scope for better procurement efficiency and effectiveness is being driven by the Ministry change programme, with the formation of the new Service Commissioning Business Unit, where the focus for procurement activity is better aligned to Ministry outcomes. Oversight from the Ministry of Business, Innovation &amp; Employment will come through the Procurement Capability Index, which will be demonstrated by the Treasury Investor Confidence Rating for the Ministry.</w:t>
      </w:r>
    </w:p>
    <w:p w14:paraId="5256B3B0" w14:textId="77777777" w:rsidR="00D17286" w:rsidRPr="00BC0D1F" w:rsidRDefault="00D17286" w:rsidP="00D17286">
      <w:pPr>
        <w:rPr>
          <w:noProof/>
          <w:lang w:eastAsia="en-NZ"/>
        </w:rPr>
      </w:pPr>
    </w:p>
    <w:p w14:paraId="63383F34" w14:textId="77777777" w:rsidR="00AD72CC" w:rsidRPr="00BC0D1F" w:rsidRDefault="00AD72CC" w:rsidP="00D17286">
      <w:pPr>
        <w:pStyle w:val="Heading2"/>
      </w:pPr>
      <w:bookmarkStart w:id="213" w:name="_Toc453158752"/>
      <w:bookmarkStart w:id="214" w:name="_Toc463507954"/>
      <w:bookmarkEnd w:id="210"/>
      <w:r w:rsidRPr="00BC0D1F">
        <w:t>Property management</w:t>
      </w:r>
      <w:bookmarkEnd w:id="213"/>
      <w:bookmarkEnd w:id="214"/>
    </w:p>
    <w:p w14:paraId="7FDD86AD" w14:textId="77777777" w:rsidR="00AD72CC" w:rsidRPr="00BC0D1F" w:rsidRDefault="00AD72CC" w:rsidP="00D17286">
      <w:r w:rsidRPr="00BC0D1F">
        <w:t xml:space="preserve">The Wellington relocation project concludes in the coming year, which will see the completion of the major redesign and refit of the 133 </w:t>
      </w:r>
      <w:proofErr w:type="spellStart"/>
      <w:r w:rsidRPr="00BC0D1F">
        <w:t>Molesworth</w:t>
      </w:r>
      <w:proofErr w:type="spellEnd"/>
      <w:r w:rsidRPr="00BC0D1F">
        <w:t xml:space="preserve"> Street building, which will house all of our Wellington people.</w:t>
      </w:r>
    </w:p>
    <w:p w14:paraId="7084A46A" w14:textId="77777777" w:rsidR="00AD72CC" w:rsidRPr="00BC0D1F" w:rsidRDefault="00AD72CC" w:rsidP="00D17286"/>
    <w:p w14:paraId="2BA4633B" w14:textId="77777777" w:rsidR="00AD72CC" w:rsidRPr="00BC0D1F" w:rsidRDefault="00AD72CC" w:rsidP="00D17286">
      <w:r w:rsidRPr="00BC0D1F">
        <w:t>The Ministry is also relocating its Christchurch-based staff back into the central business district as part of the Christchurch Integrated Government Accommodation (CIGA) project. The Ministry will co</w:t>
      </w:r>
      <w:r w:rsidRPr="00BC0D1F">
        <w:noBreakHyphen/>
        <w:t>locate with the Ministry of Education. This project is on track to be completed in April 2017.</w:t>
      </w:r>
    </w:p>
    <w:p w14:paraId="5C7F977D" w14:textId="77777777" w:rsidR="00AD72CC" w:rsidRPr="00BC0D1F" w:rsidRDefault="00AD72CC" w:rsidP="00D17286"/>
    <w:p w14:paraId="25E37413" w14:textId="77777777" w:rsidR="00AD72CC" w:rsidRPr="00BC0D1F" w:rsidRDefault="00AD72CC" w:rsidP="00D17286">
      <w:r w:rsidRPr="00BC0D1F">
        <w:t>Both projects are being delivered under the leadership of the Ministry, with support from the Government Property Group within the Ministry of Business, Innovation and Employment as part of an all-of-government approach.</w:t>
      </w:r>
    </w:p>
    <w:p w14:paraId="21E8B254" w14:textId="77777777" w:rsidR="00D17286" w:rsidRPr="00BC0D1F" w:rsidRDefault="00D17286" w:rsidP="00D17286"/>
    <w:p w14:paraId="770E078B" w14:textId="77777777" w:rsidR="00AD72CC" w:rsidRPr="00BC0D1F" w:rsidRDefault="00AD72CC" w:rsidP="00D17286">
      <w:pPr>
        <w:pStyle w:val="Heading2"/>
      </w:pPr>
      <w:bookmarkStart w:id="215" w:name="_Toc453158753"/>
      <w:bookmarkStart w:id="216" w:name="_Toc463507955"/>
      <w:r w:rsidRPr="00BC0D1F">
        <w:lastRenderedPageBreak/>
        <w:t>Business continuity</w:t>
      </w:r>
      <w:bookmarkEnd w:id="215"/>
      <w:bookmarkEnd w:id="216"/>
    </w:p>
    <w:p w14:paraId="70446730" w14:textId="77777777" w:rsidR="00AD72CC" w:rsidRPr="00BC0D1F" w:rsidRDefault="00AD72CC" w:rsidP="00D17286">
      <w:r w:rsidRPr="00BC0D1F">
        <w:t>The Ministry maintains a business continuity management system, which is aligned with the international business continuity management standard ISO 22301:2012. The Ministry</w:t>
      </w:r>
      <w:r w:rsidR="00DF4B9A" w:rsidRPr="00BC0D1F">
        <w:t>’</w:t>
      </w:r>
      <w:r w:rsidRPr="00BC0D1F">
        <w:t>s business continuity management process follows a continuous cycle of identifying priorities, analysing requirements, planning, implementing and reviewing.</w:t>
      </w:r>
    </w:p>
    <w:p w14:paraId="0B379AD8" w14:textId="77777777" w:rsidR="00AD72CC" w:rsidRPr="00BC0D1F" w:rsidRDefault="00AD72CC" w:rsidP="00D17286"/>
    <w:p w14:paraId="6F3C146D" w14:textId="77777777" w:rsidR="00AD72CC" w:rsidRPr="00BC0D1F" w:rsidRDefault="00AD72CC" w:rsidP="00D17286">
      <w:r w:rsidRPr="00BC0D1F">
        <w:t>A key output of the process is a business continuity plan. Due to the size and complexity of the Ministry, we have a framework that covers different components of planning in separate plans. Together the suite of plans forms a comprehensive holistic plan for the Ministry. The plans also allow the greatest flexibility to manage events of varying type, scale and impact.</w:t>
      </w:r>
    </w:p>
    <w:p w14:paraId="6EE89022" w14:textId="77777777" w:rsidR="00AD72CC" w:rsidRPr="00BC0D1F" w:rsidRDefault="00AD72CC" w:rsidP="00D17286"/>
    <w:p w14:paraId="6AEE4FFA" w14:textId="77777777" w:rsidR="00AD72CC" w:rsidRPr="00BC0D1F" w:rsidRDefault="00AD72CC" w:rsidP="00D17286">
      <w:r w:rsidRPr="00BC0D1F">
        <w:t xml:space="preserve">In 2015/16 the Ministry continued to build awareness and understanding of business continuity management through its annual training, education and awareness programme, including participation in NZ </w:t>
      </w:r>
      <w:proofErr w:type="spellStart"/>
      <w:r w:rsidRPr="00BC0D1F">
        <w:t>ShakeOut</w:t>
      </w:r>
      <w:proofErr w:type="spellEnd"/>
      <w:r w:rsidRPr="00BC0D1F">
        <w:t>, the nationwide earthquake drill. The second half of 2015/16 has focused on ensuring the business continuity plans are refreshed and aligned to the new structure of the Ministry to ensure a continued ability to manage any business disruptions that occur.</w:t>
      </w:r>
    </w:p>
    <w:p w14:paraId="537F0BC0" w14:textId="77777777" w:rsidR="00D17286" w:rsidRPr="00BC0D1F" w:rsidRDefault="00D17286" w:rsidP="00D17286"/>
    <w:p w14:paraId="4BF2AE2C" w14:textId="77777777" w:rsidR="00DF4B9A" w:rsidRPr="00BC0D1F" w:rsidRDefault="00AD72CC" w:rsidP="00D17286">
      <w:pPr>
        <w:pStyle w:val="Heading2"/>
      </w:pPr>
      <w:bookmarkStart w:id="217" w:name="_Toc453158754"/>
      <w:bookmarkStart w:id="218" w:name="_Toc463507956"/>
      <w:r w:rsidRPr="00BC0D1F">
        <w:t>Managing risk</w:t>
      </w:r>
      <w:bookmarkEnd w:id="217"/>
      <w:bookmarkEnd w:id="218"/>
    </w:p>
    <w:p w14:paraId="3810BDA1" w14:textId="77777777" w:rsidR="00DF4B9A" w:rsidRPr="00BC0D1F" w:rsidRDefault="00AD72CC" w:rsidP="00D17286">
      <w:r w:rsidRPr="00BC0D1F">
        <w:t>As the Ministry continues along its transformation journey there are likely to be a range of new challenges and opportunities. In such an environment of change we recognise the importance of effective risk management approaches and practices to ensure we remain on track and focused on delivering our strategic intentions.</w:t>
      </w:r>
    </w:p>
    <w:p w14:paraId="754795B0" w14:textId="77777777" w:rsidR="00D17286" w:rsidRPr="00BC0D1F" w:rsidRDefault="00D17286" w:rsidP="00D17286"/>
    <w:p w14:paraId="564676B9" w14:textId="77777777" w:rsidR="00DF4B9A" w:rsidRPr="00BC0D1F" w:rsidRDefault="00AD72CC" w:rsidP="00D17286">
      <w:r w:rsidRPr="00BC0D1F">
        <w:t>The Ministry has continued to maintain an active and structured programme of risk management and internal control across its operations for which all managers and staff are responsible. Our focus during the year has been on proactively identifying and managing key risks and capitalising on opportunities, both in relation to our business-as-usual activities and those emerging from our transformation programme.</w:t>
      </w:r>
    </w:p>
    <w:p w14:paraId="684585B9" w14:textId="77777777" w:rsidR="00D17286" w:rsidRPr="00BC0D1F" w:rsidRDefault="00D17286" w:rsidP="00D17286"/>
    <w:p w14:paraId="4E280756" w14:textId="77777777" w:rsidR="00AD72CC" w:rsidRPr="00BC0D1F" w:rsidRDefault="00AD72CC" w:rsidP="00D17286">
      <w:r w:rsidRPr="00BC0D1F">
        <w:t xml:space="preserve">The Ministry has an established risk management framework, which is aligned to the international risk management standard AS/NZ ISO 31000:2009. It encourages a combined top-down, bottom-up and Ministry-wide approach, where risk information is used to inform our decision-making and help us achieve our goals. The framework is supported by an approach focused on keeping risk relevant and jargon-free, and which helps promotes a risk-aware culture at all levels of the Ministry. The Ministry has continued to build this </w:t>
      </w:r>
      <w:r w:rsidR="00DF4B9A" w:rsidRPr="00BC0D1F">
        <w:t>‘</w:t>
      </w:r>
      <w:r w:rsidRPr="00BC0D1F">
        <w:t>risk ready</w:t>
      </w:r>
      <w:r w:rsidR="00DF4B9A" w:rsidRPr="00BC0D1F">
        <w:t>’</w:t>
      </w:r>
      <w:r w:rsidRPr="00BC0D1F">
        <w:t xml:space="preserve"> culture via its ongoing risk education programme aimed at enhancing risk awareness in our day-to-day work.</w:t>
      </w:r>
    </w:p>
    <w:p w14:paraId="70AE551E" w14:textId="77777777" w:rsidR="00AD72CC" w:rsidRPr="00BC0D1F" w:rsidRDefault="00AD72CC" w:rsidP="00D17286"/>
    <w:p w14:paraId="6B0448CC" w14:textId="77777777" w:rsidR="00AD72CC" w:rsidRPr="00BC0D1F" w:rsidRDefault="00AD72CC" w:rsidP="00D17286">
      <w:r w:rsidRPr="00BC0D1F">
        <w:t>The Ministry</w:t>
      </w:r>
      <w:r w:rsidR="00DF4B9A" w:rsidRPr="00BC0D1F">
        <w:t>’</w:t>
      </w:r>
      <w:r w:rsidRPr="00BC0D1F">
        <w:t>s dedicated risk function is focused on supporting the Ministry to continue to build its risk-management maturity via an extensive programme of activity. In 2015/16 this included:</w:t>
      </w:r>
    </w:p>
    <w:p w14:paraId="1E699F57" w14:textId="77777777" w:rsidR="00AD72CC" w:rsidRPr="00BC0D1F" w:rsidRDefault="00AD72CC" w:rsidP="00D17286">
      <w:pPr>
        <w:pStyle w:val="Bullet"/>
      </w:pPr>
      <w:r w:rsidRPr="00BC0D1F">
        <w:t xml:space="preserve">developing a virtual team of skilled </w:t>
      </w:r>
      <w:r w:rsidR="00DF4B9A" w:rsidRPr="00BC0D1F">
        <w:t>‘</w:t>
      </w:r>
      <w:r w:rsidRPr="00BC0D1F">
        <w:t>risk champions</w:t>
      </w:r>
      <w:r w:rsidR="00DF4B9A" w:rsidRPr="00BC0D1F">
        <w:t>’</w:t>
      </w:r>
      <w:r w:rsidRPr="00BC0D1F">
        <w:t xml:space="preserve"> to provide additional risk support, advice and training within the business units</w:t>
      </w:r>
    </w:p>
    <w:p w14:paraId="55128F5E" w14:textId="77777777" w:rsidR="00AD72CC" w:rsidRPr="00BC0D1F" w:rsidRDefault="00AD72CC" w:rsidP="00D17286">
      <w:pPr>
        <w:pStyle w:val="Bullet"/>
      </w:pPr>
      <w:r w:rsidRPr="00BC0D1F">
        <w:t>aligning key risk information to the Ministry</w:t>
      </w:r>
      <w:r w:rsidR="00DF4B9A" w:rsidRPr="00BC0D1F">
        <w:t>’</w:t>
      </w:r>
      <w:r w:rsidRPr="00BC0D1F">
        <w:t>s new structures and Executive Leadership Team accountabilities</w:t>
      </w:r>
    </w:p>
    <w:p w14:paraId="4412DCEB" w14:textId="77777777" w:rsidR="00AD72CC" w:rsidRPr="00BC0D1F" w:rsidRDefault="00AD72CC" w:rsidP="00D17286">
      <w:pPr>
        <w:pStyle w:val="Bullet"/>
      </w:pPr>
      <w:r w:rsidRPr="00BC0D1F">
        <w:t>refining internal risk reporting to promote the easy flow of risk information up, down and around the Ministry</w:t>
      </w:r>
    </w:p>
    <w:p w14:paraId="22B2000F" w14:textId="77777777" w:rsidR="00AD72CC" w:rsidRPr="00BC0D1F" w:rsidRDefault="00AD72CC" w:rsidP="00D17286">
      <w:pPr>
        <w:pStyle w:val="Bullet"/>
      </w:pPr>
      <w:r w:rsidRPr="00BC0D1F">
        <w:t>providing risk support to the transformation programme and other key programmes of work</w:t>
      </w:r>
    </w:p>
    <w:p w14:paraId="21B90D60" w14:textId="77777777" w:rsidR="00AD72CC" w:rsidRPr="00BC0D1F" w:rsidRDefault="00AD72CC" w:rsidP="00D17286">
      <w:pPr>
        <w:pStyle w:val="Bullet"/>
      </w:pPr>
      <w:proofErr w:type="gramStart"/>
      <w:r w:rsidRPr="00BC0D1F">
        <w:t>providing</w:t>
      </w:r>
      <w:proofErr w:type="gramEnd"/>
      <w:r w:rsidRPr="00BC0D1F">
        <w:t xml:space="preserve"> best practice advice, frameworks and tools.</w:t>
      </w:r>
    </w:p>
    <w:p w14:paraId="5342F21E" w14:textId="77777777" w:rsidR="00AD72CC" w:rsidRPr="00BC0D1F" w:rsidRDefault="00AD72CC" w:rsidP="00D17286"/>
    <w:p w14:paraId="4A4F455C" w14:textId="77777777" w:rsidR="00DF4B9A" w:rsidRPr="00BC0D1F" w:rsidRDefault="00AD72CC" w:rsidP="00D17286">
      <w:r w:rsidRPr="00BC0D1F">
        <w:lastRenderedPageBreak/>
        <w:t>The Ministry has reviewed the purpose, role and membership of the Audit, Finance and Risk Committee. The review was focused on ensuring this governance group is best placed to support and enable the achievement of our strategic intentions by providing quality, future-focused, independent strategic advice to the Director-General of Health on risk and assurance. A newly constituted committee commenced in August 2016 and will continue to focus on strengthening the Ministry</w:t>
      </w:r>
      <w:r w:rsidR="00DF4B9A" w:rsidRPr="00BC0D1F">
        <w:t>’</w:t>
      </w:r>
      <w:r w:rsidRPr="00BC0D1F">
        <w:t>s overall governance framework.</w:t>
      </w:r>
    </w:p>
    <w:p w14:paraId="5E24B9CE" w14:textId="77777777" w:rsidR="00D17286" w:rsidRPr="00BC0D1F" w:rsidRDefault="00D17286" w:rsidP="00D17286"/>
    <w:p w14:paraId="41F8F671" w14:textId="77777777" w:rsidR="00AD72CC" w:rsidRPr="00BC0D1F" w:rsidRDefault="00AD72CC" w:rsidP="00D17286">
      <w:pPr>
        <w:pStyle w:val="Heading2"/>
      </w:pPr>
      <w:bookmarkStart w:id="219" w:name="_Toc463507957"/>
      <w:r w:rsidRPr="00BC0D1F">
        <w:t>Assurance</w:t>
      </w:r>
      <w:bookmarkEnd w:id="219"/>
    </w:p>
    <w:p w14:paraId="07132864" w14:textId="38BC6A7C" w:rsidR="00AD72CC" w:rsidRPr="00BC0D1F" w:rsidRDefault="00AD72CC" w:rsidP="00D17286">
      <w:bookmarkStart w:id="220" w:name="_Toc453158755"/>
      <w:r w:rsidRPr="00BC0D1F">
        <w:t>The Ministry maintains an internal audit and assurance function. A Ministry team provides independent, objective assurance on the effectiveness of the Ministry</w:t>
      </w:r>
      <w:r w:rsidR="00DF4B9A" w:rsidRPr="00BC0D1F">
        <w:t>’</w:t>
      </w:r>
      <w:r w:rsidRPr="00BC0D1F">
        <w:t>s governance, planning, performance and risk management, operational processes and internal controls. It also identifies opportunities for improving the efficiency and effectiveness of how the Ministry uses its resources. The team</w:t>
      </w:r>
      <w:r w:rsidR="00DF4B9A" w:rsidRPr="00BC0D1F">
        <w:t>’</w:t>
      </w:r>
      <w:r w:rsidRPr="00BC0D1F">
        <w:t>s work programme is based on a rolling 18</w:t>
      </w:r>
      <w:r w:rsidR="00D17286" w:rsidRPr="00BC0D1F">
        <w:t>-</w:t>
      </w:r>
      <w:r w:rsidRPr="00BC0D1F">
        <w:t>month internal audit plan. Delivery against the plan remained substantially on track for 2015/16.</w:t>
      </w:r>
    </w:p>
    <w:p w14:paraId="050147EB" w14:textId="77777777" w:rsidR="00D17286" w:rsidRPr="00BC0D1F" w:rsidRDefault="00D17286" w:rsidP="00D17286"/>
    <w:p w14:paraId="1D30AFB5" w14:textId="77777777" w:rsidR="00AD72CC" w:rsidRPr="00BC0D1F" w:rsidRDefault="00AD72CC" w:rsidP="00D17286">
      <w:pPr>
        <w:pStyle w:val="Heading2"/>
      </w:pPr>
      <w:bookmarkStart w:id="221" w:name="_Toc463507958"/>
      <w:r w:rsidRPr="00BC0D1F">
        <w:t>Emergency management</w:t>
      </w:r>
      <w:bookmarkEnd w:id="220"/>
      <w:bookmarkEnd w:id="221"/>
    </w:p>
    <w:p w14:paraId="6FD1621B" w14:textId="77777777" w:rsidR="00AD72CC" w:rsidRPr="00BC0D1F" w:rsidRDefault="00AD72CC" w:rsidP="00D17286">
      <w:r w:rsidRPr="00BC0D1F">
        <w:t>The Ministry maintains the capability and capacity to lead and coordinate a national health response to an emergency. In addition, it has maintained plans to continue functioning during and after an emergency, in accordance with sections 58 and 59 of the Civil Defence Emergency Management Act 2002 (which require all government departments to prepare such plans) and ensured ongoing maintenance of the stock that forms the national pandemic reserve supply.</w:t>
      </w:r>
    </w:p>
    <w:p w14:paraId="4EAD9E38" w14:textId="77777777" w:rsidR="00AD72CC" w:rsidRPr="00BC0D1F" w:rsidRDefault="00AD72CC" w:rsidP="00D17286"/>
    <w:p w14:paraId="759BA049" w14:textId="77777777" w:rsidR="00AD72CC" w:rsidRPr="00BC0D1F" w:rsidRDefault="00AD72CC" w:rsidP="00D17286">
      <w:r w:rsidRPr="00BC0D1F">
        <w:t>A significant review and update of the National Health Emergency Plan (NHEP) was undertaken during 2015/16. The Plan provides the emergency management framework for the health and disability sector and describes the roles and responsibilities at all levels. The review was completed to ensure the NHEP meets international best practice and aligns with the updated National Civil Defence Emergency Management Plan Order.</w:t>
      </w:r>
    </w:p>
    <w:p w14:paraId="6E60F778" w14:textId="77777777" w:rsidR="00AD72CC" w:rsidRPr="00BC0D1F" w:rsidRDefault="00AD72CC" w:rsidP="00D17286"/>
    <w:p w14:paraId="1902A69D" w14:textId="77777777" w:rsidR="00AD72CC" w:rsidRPr="00BC0D1F" w:rsidRDefault="00AD72CC" w:rsidP="00D17286">
      <w:pPr>
        <w:pStyle w:val="Heading3"/>
      </w:pPr>
      <w:r w:rsidRPr="00BC0D1F">
        <w:t>Response activity</w:t>
      </w:r>
    </w:p>
    <w:p w14:paraId="15BE9DCB" w14:textId="77777777" w:rsidR="00DF4B9A" w:rsidRPr="00BC0D1F" w:rsidRDefault="00AD72CC" w:rsidP="00D17286">
      <w:r w:rsidRPr="00BC0D1F">
        <w:t>The Ministry</w:t>
      </w:r>
      <w:r w:rsidR="00DF4B9A" w:rsidRPr="00BC0D1F">
        <w:t>’</w:t>
      </w:r>
      <w:r w:rsidRPr="00BC0D1F">
        <w:t>s emergency response capability includes the ability to activate an emergency operations centre (the National Health Coordination Centre) if required. Response activity is scalable to meet the scope and impact of the event.</w:t>
      </w:r>
    </w:p>
    <w:p w14:paraId="4CB83688" w14:textId="77777777" w:rsidR="00AD72CC" w:rsidRPr="00BC0D1F" w:rsidRDefault="00AD72CC" w:rsidP="00D17286"/>
    <w:p w14:paraId="5210EBAD" w14:textId="77777777" w:rsidR="00DF4B9A" w:rsidRPr="00BC0D1F" w:rsidRDefault="00AD72CC" w:rsidP="00D17286">
      <w:r w:rsidRPr="00BC0D1F">
        <w:t>While there have been no declared national emergencies during this period, the Ministry has responded to a wide range of hazards and threats managed within the national security system. This has seen an effective collaborative response across teams in the Ministry, including the Office of the Director of Public Health, the Communicable Disease Team, the Environmental Health Team and Communications.</w:t>
      </w:r>
    </w:p>
    <w:p w14:paraId="6E2E37BE" w14:textId="77777777" w:rsidR="00AD72CC" w:rsidRPr="00BC0D1F" w:rsidRDefault="00AD72CC" w:rsidP="00D17286"/>
    <w:p w14:paraId="7E1D6370" w14:textId="77777777" w:rsidR="00DF4B9A" w:rsidRPr="00BC0D1F" w:rsidRDefault="00AD72CC" w:rsidP="00D17286">
      <w:r w:rsidRPr="00BC0D1F">
        <w:t xml:space="preserve">Key response activity included: response to the hepatitis A outbreak from contaminated frozen berries, monitoring and provision of national guidance relating to the World Health Organization (WHO) Public Health Emergency of International Concern for the </w:t>
      </w:r>
      <w:proofErr w:type="spellStart"/>
      <w:r w:rsidRPr="00BC0D1F">
        <w:t>Zika</w:t>
      </w:r>
      <w:proofErr w:type="spellEnd"/>
      <w:r w:rsidRPr="00BC0D1F">
        <w:t xml:space="preserve"> virus, support to DHBs for local events, and response to cyclones in the South Pacific.</w:t>
      </w:r>
    </w:p>
    <w:p w14:paraId="487CC3C9" w14:textId="77777777" w:rsidR="00AD72CC" w:rsidRPr="00BC0D1F" w:rsidRDefault="00AD72CC" w:rsidP="00D17286"/>
    <w:p w14:paraId="756FD8D9" w14:textId="77777777" w:rsidR="00AD72CC" w:rsidRPr="00BC0D1F" w:rsidRDefault="00AD72CC" w:rsidP="00D17286">
      <w:r w:rsidRPr="00BC0D1F">
        <w:t>The response to Tropical Cyclone Winston in February 2016 included the deployment of the New Zealand Medical Assistance Team (NZMAT), comprising six small teams of health sector and Ministry staff (totalling 22 staff) who were deployed as part of the New Zealand Government humanitarian response to Fiji.</w:t>
      </w:r>
    </w:p>
    <w:p w14:paraId="5EDEED13" w14:textId="77777777" w:rsidR="00AD72CC" w:rsidRPr="00BC0D1F" w:rsidRDefault="00AD72CC" w:rsidP="00D17286"/>
    <w:p w14:paraId="2939CFA4" w14:textId="77777777" w:rsidR="00AD72CC" w:rsidRPr="00BC0D1F" w:rsidRDefault="00AD72CC" w:rsidP="00D17286">
      <w:pPr>
        <w:pStyle w:val="Heading3"/>
      </w:pPr>
      <w:r w:rsidRPr="00BC0D1F">
        <w:lastRenderedPageBreak/>
        <w:t>Infant feeding in emergencies</w:t>
      </w:r>
    </w:p>
    <w:p w14:paraId="29DF82F9" w14:textId="77777777" w:rsidR="00DF4B9A" w:rsidRPr="00BC0D1F" w:rsidRDefault="00AD72CC" w:rsidP="00D17286">
      <w:r w:rsidRPr="00BC0D1F">
        <w:t>A position statement on infant feeding in an emergency and consumer resources for parents and caregivers were published on the Ministry</w:t>
      </w:r>
      <w:r w:rsidR="00DF4B9A" w:rsidRPr="00BC0D1F">
        <w:t>’</w:t>
      </w:r>
      <w:r w:rsidRPr="00BC0D1F">
        <w:t>s website in December 2015. The consumer resources provide practical advice for those families with infants on how to prepare for and get through an emergency while ensuring infants remain healthy and well fed.</w:t>
      </w:r>
    </w:p>
    <w:p w14:paraId="7EB04D5D" w14:textId="77777777" w:rsidR="00D17286" w:rsidRPr="00BC0D1F" w:rsidRDefault="00D17286" w:rsidP="00D17286"/>
    <w:p w14:paraId="4C94F0DB" w14:textId="77777777" w:rsidR="00DF4B9A" w:rsidRPr="00BC0D1F" w:rsidRDefault="00AD72CC" w:rsidP="00D17286">
      <w:r w:rsidRPr="00BC0D1F">
        <w:t>The need for this information was highlighted during the Christchurch earthquake in 2011. It was clear that New Zealand needed to clarify roles and responsibilities, provide clear advice on best practice, and address product donations and distribution to better align with our international obligations, as referred to in WHO</w:t>
      </w:r>
      <w:r w:rsidR="00DF4B9A" w:rsidRPr="00BC0D1F">
        <w:t>’</w:t>
      </w:r>
      <w:r w:rsidRPr="00BC0D1F">
        <w:t xml:space="preserve">s </w:t>
      </w:r>
      <w:r w:rsidRPr="00BC0D1F">
        <w:rPr>
          <w:i/>
        </w:rPr>
        <w:t>Infant and Young Child Feeding in Emergencies</w:t>
      </w:r>
      <w:r w:rsidRPr="00BC0D1F">
        <w:t>.</w:t>
      </w:r>
    </w:p>
    <w:p w14:paraId="08E8D602" w14:textId="77777777" w:rsidR="00D17286" w:rsidRPr="00BC0D1F" w:rsidRDefault="00D17286" w:rsidP="00D17286"/>
    <w:p w14:paraId="6766B309" w14:textId="77777777" w:rsidR="00AD72CC" w:rsidRPr="00BC0D1F" w:rsidRDefault="00AD72CC" w:rsidP="00D17286">
      <w:r w:rsidRPr="00BC0D1F">
        <w:t>Emergency management, public health legislation and nutrition and physical activity teams worked closely on this project with the Ministry of Civil Defence and Emergency Management. This project required extensive consultation with the health sector, including DHB emergency planners, infant feeding experts, public health units, and NGOs who work with families that have infants.</w:t>
      </w:r>
    </w:p>
    <w:p w14:paraId="69EF55D4" w14:textId="77777777" w:rsidR="00AD72CC" w:rsidRPr="00BC0D1F" w:rsidRDefault="00AD72CC" w:rsidP="00D17286"/>
    <w:p w14:paraId="1DBCA5FF" w14:textId="77777777" w:rsidR="00AD72CC" w:rsidRPr="00BC0D1F" w:rsidRDefault="00AD72CC" w:rsidP="00D17286">
      <w:pPr>
        <w:pStyle w:val="Heading2"/>
      </w:pPr>
      <w:bookmarkStart w:id="222" w:name="_Toc453158756"/>
      <w:bookmarkStart w:id="223" w:name="_Toc463507959"/>
      <w:r w:rsidRPr="00BC0D1F">
        <w:t>Departmental capital and asset management intentions</w:t>
      </w:r>
      <w:bookmarkEnd w:id="222"/>
      <w:bookmarkEnd w:id="223"/>
    </w:p>
    <w:p w14:paraId="6938E467" w14:textId="77777777" w:rsidR="00AD72CC" w:rsidRPr="00BC0D1F" w:rsidRDefault="00AD72CC" w:rsidP="00D17286">
      <w:pPr>
        <w:pStyle w:val="Heading3"/>
      </w:pPr>
      <w:r w:rsidRPr="00BC0D1F">
        <w:t>Capital Investment Committee</w:t>
      </w:r>
    </w:p>
    <w:p w14:paraId="469F292C" w14:textId="77777777" w:rsidR="00AD72CC" w:rsidRPr="00BC0D1F" w:rsidRDefault="00AD72CC" w:rsidP="00D17286">
      <w:pPr>
        <w:rPr>
          <w:spacing w:val="-2"/>
        </w:rPr>
      </w:pPr>
      <w:r w:rsidRPr="00BC0D1F">
        <w:rPr>
          <w:spacing w:val="-2"/>
        </w:rPr>
        <w:t>The Capital Investment Committee is a section 11 committee which provides advice to the Director-General of Health and the Ministers of Health and Finance on capital investment and infrastructure in the public health sector in line with Government priorities. This includes working with DHBs to review their business case proposals, prioritisation of capital investment, delivery of a National Asset Management Plan, and any other matters the Minister may refer to it.</w:t>
      </w:r>
    </w:p>
    <w:p w14:paraId="62FB4A15" w14:textId="77777777" w:rsidR="00AD72CC" w:rsidRPr="00BC0D1F" w:rsidRDefault="00AD72CC" w:rsidP="00D17286"/>
    <w:p w14:paraId="5D56044F" w14:textId="77777777" w:rsidR="00AD72CC" w:rsidRPr="00BC0D1F" w:rsidRDefault="00AD72CC" w:rsidP="00C42B28">
      <w:pPr>
        <w:pStyle w:val="Heading1"/>
      </w:pPr>
      <w:bookmarkStart w:id="224" w:name="_Toc430768825"/>
      <w:bookmarkStart w:id="225" w:name="_Toc459730031"/>
      <w:bookmarkStart w:id="226" w:name="_Toc461544304"/>
      <w:bookmarkStart w:id="227" w:name="_Toc463507960"/>
      <w:r w:rsidRPr="00BC0D1F">
        <w:lastRenderedPageBreak/>
        <w:t>Additional information</w:t>
      </w:r>
      <w:bookmarkEnd w:id="224"/>
      <w:bookmarkEnd w:id="225"/>
      <w:bookmarkEnd w:id="226"/>
      <w:bookmarkEnd w:id="227"/>
    </w:p>
    <w:p w14:paraId="47F02E21" w14:textId="77777777" w:rsidR="00AD72CC" w:rsidRPr="00BC0D1F" w:rsidRDefault="00AD72CC" w:rsidP="00C42B28">
      <w:pPr>
        <w:pStyle w:val="Heading2"/>
      </w:pPr>
      <w:bookmarkStart w:id="228" w:name="_Toc430768826"/>
      <w:bookmarkStart w:id="229" w:name="_Toc453158758"/>
      <w:bookmarkStart w:id="230" w:name="_Toc463507961"/>
      <w:r w:rsidRPr="00BC0D1F">
        <w:t>Additional statutory reporting requirements</w:t>
      </w:r>
      <w:bookmarkEnd w:id="228"/>
      <w:bookmarkEnd w:id="229"/>
      <w:bookmarkEnd w:id="230"/>
    </w:p>
    <w:p w14:paraId="64268340" w14:textId="77777777" w:rsidR="00AD72CC" w:rsidRPr="00BC0D1F" w:rsidRDefault="00AD72CC" w:rsidP="00C42B28">
      <w:r w:rsidRPr="00BC0D1F">
        <w:t>The Minister of Finance has not specified any additional reporting requirements.</w:t>
      </w:r>
    </w:p>
    <w:p w14:paraId="3486113B" w14:textId="77777777" w:rsidR="00AD72CC" w:rsidRPr="00BC0D1F" w:rsidRDefault="00AD72CC" w:rsidP="00C42B28"/>
    <w:p w14:paraId="164FDC41" w14:textId="77777777" w:rsidR="00AD72CC" w:rsidRPr="00BC0D1F" w:rsidRDefault="00AD72CC" w:rsidP="00C42B28">
      <w:pPr>
        <w:pStyle w:val="Heading2"/>
      </w:pPr>
      <w:bookmarkStart w:id="231" w:name="_Toc463507962"/>
      <w:r w:rsidRPr="00BC0D1F">
        <w:t>Health Act 1956</w:t>
      </w:r>
      <w:bookmarkEnd w:id="231"/>
    </w:p>
    <w:p w14:paraId="10C15899" w14:textId="77777777" w:rsidR="00AD72CC" w:rsidRPr="00BC0D1F" w:rsidRDefault="00AD72CC" w:rsidP="00C42B28">
      <w:r w:rsidRPr="00BC0D1F">
        <w:t>The Health Act 1956 requires the Director-General of Health to report annually on the current state of public health. A Health and Independence Report</w:t>
      </w:r>
      <w:r w:rsidRPr="00BC0D1F">
        <w:rPr>
          <w:i/>
        </w:rPr>
        <w:t xml:space="preserve"> </w:t>
      </w:r>
      <w:r w:rsidRPr="00BC0D1F">
        <w:t>is tabled each year in Parliament by the Minister of Health. The Minister is required to table the report by the 12th sitting day of the House of Representatives after the date on which the Minister receives the report. The Act also requires the Director-General to report before 1 July each year on the quality of drinking-water in New Zealand. Copies of the most recent report are made available to the public through the Ministry</w:t>
      </w:r>
      <w:r w:rsidR="00DF4B9A" w:rsidRPr="00BC0D1F">
        <w:t>’</w:t>
      </w:r>
      <w:r w:rsidRPr="00BC0D1F">
        <w:t>s website.</w:t>
      </w:r>
    </w:p>
    <w:p w14:paraId="647094C9" w14:textId="77777777" w:rsidR="00AD72CC" w:rsidRPr="00BC0D1F" w:rsidRDefault="00AD72CC" w:rsidP="00C42B28"/>
    <w:p w14:paraId="4E08CD7E" w14:textId="77777777" w:rsidR="00AD72CC" w:rsidRPr="00BC0D1F" w:rsidRDefault="00AD72CC" w:rsidP="00C42B28">
      <w:pPr>
        <w:pStyle w:val="Heading2"/>
      </w:pPr>
      <w:bookmarkStart w:id="232" w:name="_Toc463507963"/>
      <w:r w:rsidRPr="00BC0D1F">
        <w:t>New Zealand Public Health and Disability Act 2000</w:t>
      </w:r>
      <w:bookmarkEnd w:id="232"/>
    </w:p>
    <w:p w14:paraId="42C038E2" w14:textId="77777777" w:rsidR="00AD72CC" w:rsidRPr="00BC0D1F" w:rsidRDefault="00AD72CC" w:rsidP="00C42B28">
      <w:r w:rsidRPr="00BC0D1F">
        <w:t>The New Zealand Public Health and Disability Act 2000 requires the Minister of Health to report annually on the implementation of the New Zealand Health Strategy, the New Zealand Disability Strategy and the National Strategy for Quality Improvement. The Minister must make the report publicly available and present it to the House of Representatives as soon as practicable after the report has been made.</w:t>
      </w:r>
    </w:p>
    <w:p w14:paraId="63531555" w14:textId="77777777" w:rsidR="00AD72CC" w:rsidRPr="00BC0D1F" w:rsidRDefault="00AD72CC" w:rsidP="00C42B28"/>
    <w:p w14:paraId="056658EA" w14:textId="77777777" w:rsidR="00AD72CC" w:rsidRPr="00BC0D1F" w:rsidRDefault="00AD72CC" w:rsidP="00C42B28">
      <w:pPr>
        <w:pStyle w:val="Heading2"/>
      </w:pPr>
      <w:bookmarkStart w:id="233" w:name="_Toc463507964"/>
      <w:r w:rsidRPr="00BC0D1F">
        <w:t>Public Finance Act 1989</w:t>
      </w:r>
      <w:bookmarkEnd w:id="233"/>
    </w:p>
    <w:p w14:paraId="426DC639" w14:textId="417BB9AF" w:rsidR="00AD72CC" w:rsidRPr="00BC0D1F" w:rsidRDefault="00AD72CC" w:rsidP="00C42B28">
      <w:r w:rsidRPr="00BC0D1F">
        <w:t xml:space="preserve">Section 19B of the Public Finance Act 1989 requires the Minister to report annually on non-departmental expenditure relating to health sector agencies other than Crown entities. The Vote Health Report, in relation to selected non-departmental appropriations for the year ended 30 June 2015, will be tabled in Parliament by the Minister of Health within four months of the end of the financial year (by the end of October) or, if parliament is not in session, as soon as possible after the commencement of the next session of </w:t>
      </w:r>
      <w:r w:rsidR="00726113">
        <w:t>P</w:t>
      </w:r>
      <w:r w:rsidR="00726113" w:rsidRPr="00BC0D1F">
        <w:t>arliament</w:t>
      </w:r>
      <w:r w:rsidRPr="00BC0D1F">
        <w:t>. Copies of the report will made available to the public through the Ministry</w:t>
      </w:r>
      <w:r w:rsidR="00DF4B9A" w:rsidRPr="00BC0D1F">
        <w:t>’</w:t>
      </w:r>
      <w:r w:rsidRPr="00BC0D1F">
        <w:t>s website.</w:t>
      </w:r>
    </w:p>
    <w:p w14:paraId="085A61E9" w14:textId="77777777" w:rsidR="00AD72CC" w:rsidRPr="00BC0D1F" w:rsidRDefault="00AD72CC" w:rsidP="00C42B28"/>
    <w:p w14:paraId="0E6ADC06" w14:textId="77777777" w:rsidR="00AD72CC" w:rsidRPr="00BC0D1F" w:rsidRDefault="00AD72CC" w:rsidP="00C42B28">
      <w:pPr>
        <w:pStyle w:val="Heading2"/>
      </w:pPr>
      <w:bookmarkStart w:id="234" w:name="_Toc463507965"/>
      <w:r w:rsidRPr="00BC0D1F">
        <w:t>Other legislation</w:t>
      </w:r>
      <w:bookmarkEnd w:id="234"/>
    </w:p>
    <w:p w14:paraId="34878462" w14:textId="77777777" w:rsidR="00AD72CC" w:rsidRPr="00BC0D1F" w:rsidRDefault="00AD72CC" w:rsidP="00C42B28">
      <w:r w:rsidRPr="00BC0D1F">
        <w:t>Other reporting requirements relate to the following legislation:</w:t>
      </w:r>
    </w:p>
    <w:p w14:paraId="4DEE71E7" w14:textId="77777777" w:rsidR="00AD72CC" w:rsidRPr="00BC0D1F" w:rsidRDefault="00AD72CC" w:rsidP="00C42B28">
      <w:pPr>
        <w:pStyle w:val="Bullet"/>
      </w:pPr>
      <w:r w:rsidRPr="00BC0D1F">
        <w:t>Disabled Persons Community Welfare Act 1975</w:t>
      </w:r>
    </w:p>
    <w:p w14:paraId="4F947DA3" w14:textId="77777777" w:rsidR="00AD72CC" w:rsidRPr="00BC0D1F" w:rsidRDefault="00AD72CC" w:rsidP="00C42B28">
      <w:pPr>
        <w:pStyle w:val="Bullet"/>
      </w:pPr>
      <w:r w:rsidRPr="00BC0D1F">
        <w:t>Health Research Council Act 1990</w:t>
      </w:r>
    </w:p>
    <w:p w14:paraId="0EA4C470" w14:textId="77777777" w:rsidR="00AD72CC" w:rsidRPr="00BC0D1F" w:rsidRDefault="00AD72CC" w:rsidP="00C42B28">
      <w:pPr>
        <w:pStyle w:val="Bullet"/>
      </w:pPr>
      <w:r w:rsidRPr="00BC0D1F">
        <w:t>Human Assisted Reproductive Technology Act 2004</w:t>
      </w:r>
    </w:p>
    <w:p w14:paraId="6210B794" w14:textId="77777777" w:rsidR="00AD72CC" w:rsidRPr="00BC0D1F" w:rsidRDefault="00AD72CC" w:rsidP="00C42B28">
      <w:pPr>
        <w:pStyle w:val="Bullet"/>
      </w:pPr>
      <w:r w:rsidRPr="00BC0D1F">
        <w:t>Social Security Act 1964.</w:t>
      </w:r>
    </w:p>
    <w:p w14:paraId="365FA021" w14:textId="77777777" w:rsidR="00AD72CC" w:rsidRPr="00BC0D1F" w:rsidRDefault="00AD72CC" w:rsidP="00C42B28"/>
    <w:p w14:paraId="0D8ED308" w14:textId="77777777" w:rsidR="00AD72CC" w:rsidRPr="00BC0D1F" w:rsidRDefault="00AD72CC" w:rsidP="00C42B28">
      <w:pPr>
        <w:pStyle w:val="Heading1"/>
      </w:pPr>
      <w:bookmarkStart w:id="235" w:name="_Toc461544305"/>
      <w:bookmarkStart w:id="236" w:name="_Toc463507966"/>
      <w:r w:rsidRPr="00BC0D1F">
        <w:lastRenderedPageBreak/>
        <w:t>References</w:t>
      </w:r>
      <w:bookmarkEnd w:id="235"/>
      <w:bookmarkEnd w:id="236"/>
    </w:p>
    <w:p w14:paraId="3B42807F" w14:textId="5B2AB121" w:rsidR="00AD72CC" w:rsidRPr="00BC0D1F" w:rsidRDefault="00AD72CC" w:rsidP="00C42B28">
      <w:pPr>
        <w:pStyle w:val="References"/>
      </w:pPr>
      <w:r w:rsidRPr="00BC0D1F">
        <w:t xml:space="preserve">Craig E, </w:t>
      </w:r>
      <w:proofErr w:type="spellStart"/>
      <w:r w:rsidRPr="00BC0D1F">
        <w:t>Reddington</w:t>
      </w:r>
      <w:proofErr w:type="spellEnd"/>
      <w:r w:rsidRPr="00BC0D1F">
        <w:t xml:space="preserve"> A, Adams J, et al. 2014. </w:t>
      </w:r>
      <w:proofErr w:type="spellStart"/>
      <w:r w:rsidRPr="00BC0D1F">
        <w:rPr>
          <w:i/>
        </w:rPr>
        <w:t>Te</w:t>
      </w:r>
      <w:proofErr w:type="spellEnd"/>
      <w:r w:rsidRPr="00BC0D1F">
        <w:rPr>
          <w:i/>
        </w:rPr>
        <w:t xml:space="preserve"> </w:t>
      </w:r>
      <w:proofErr w:type="spellStart"/>
      <w:r w:rsidRPr="00BC0D1F">
        <w:rPr>
          <w:i/>
        </w:rPr>
        <w:t>Ohonga</w:t>
      </w:r>
      <w:proofErr w:type="spellEnd"/>
      <w:r w:rsidRPr="00BC0D1F">
        <w:rPr>
          <w:i/>
        </w:rPr>
        <w:t xml:space="preserve"> </w:t>
      </w:r>
      <w:proofErr w:type="spellStart"/>
      <w:r w:rsidRPr="00BC0D1F">
        <w:rPr>
          <w:i/>
        </w:rPr>
        <w:t>Ake</w:t>
      </w:r>
      <w:proofErr w:type="spellEnd"/>
      <w:r w:rsidRPr="00BC0D1F">
        <w:rPr>
          <w:i/>
        </w:rPr>
        <w:t>:</w:t>
      </w:r>
      <w:r w:rsidRPr="00BC0D1F">
        <w:t xml:space="preserve"> </w:t>
      </w:r>
      <w:r w:rsidRPr="00BC0D1F">
        <w:rPr>
          <w:i/>
        </w:rPr>
        <w:t xml:space="preserve">The Health of Māori Children and Young People with Chronic Conditions and Disabilities in New Zealand. </w:t>
      </w:r>
      <w:proofErr w:type="spellStart"/>
      <w:r w:rsidRPr="00BC0D1F">
        <w:t>Te</w:t>
      </w:r>
      <w:proofErr w:type="spellEnd"/>
      <w:r w:rsidRPr="00BC0D1F">
        <w:t xml:space="preserve"> </w:t>
      </w:r>
      <w:proofErr w:type="spellStart"/>
      <w:r w:rsidRPr="00BC0D1F">
        <w:t>Ohonga</w:t>
      </w:r>
      <w:proofErr w:type="spellEnd"/>
      <w:r w:rsidRPr="00BC0D1F">
        <w:t xml:space="preserve"> </w:t>
      </w:r>
      <w:proofErr w:type="spellStart"/>
      <w:r w:rsidRPr="00BC0D1F">
        <w:t>Ake</w:t>
      </w:r>
      <w:proofErr w:type="spellEnd"/>
      <w:r w:rsidRPr="00BC0D1F">
        <w:t xml:space="preserve"> series for the Ministry of Health. Dunedin: NZ Child &amp; Youth Epidemiology Services, University of </w:t>
      </w:r>
      <w:proofErr w:type="spellStart"/>
      <w:r w:rsidRPr="00BC0D1F">
        <w:t>Otago</w:t>
      </w:r>
      <w:proofErr w:type="spellEnd"/>
      <w:r w:rsidRPr="00BC0D1F">
        <w:t>.</w:t>
      </w:r>
    </w:p>
    <w:p w14:paraId="01485086" w14:textId="77777777" w:rsidR="00AD72CC" w:rsidRPr="00BC0D1F" w:rsidRDefault="00AD72CC" w:rsidP="00C42B28">
      <w:pPr>
        <w:pStyle w:val="References"/>
      </w:pPr>
      <w:r w:rsidRPr="00BC0D1F">
        <w:rPr>
          <w:noProof/>
          <w:lang w:eastAsia="en-NZ"/>
        </w:rPr>
        <w:t>Department of the Prime Minister and Cabinet. 2010.</w:t>
      </w:r>
      <w:r w:rsidRPr="00BC0D1F">
        <w:rPr>
          <w:i/>
          <w:noProof/>
          <w:lang w:eastAsia="en-NZ"/>
        </w:rPr>
        <w:t>Tackling Methamphetamine: An action plan</w:t>
      </w:r>
      <w:r w:rsidRPr="00BC0D1F">
        <w:t>. Wellington.</w:t>
      </w:r>
    </w:p>
    <w:p w14:paraId="4E45C3A0" w14:textId="77777777" w:rsidR="00AD72CC" w:rsidRPr="00BC0D1F" w:rsidRDefault="00AD72CC" w:rsidP="00C42B28">
      <w:pPr>
        <w:pStyle w:val="References"/>
      </w:pPr>
      <w:proofErr w:type="spellStart"/>
      <w:r w:rsidRPr="00BC0D1F">
        <w:t>Kerse</w:t>
      </w:r>
      <w:proofErr w:type="spellEnd"/>
      <w:r w:rsidRPr="00BC0D1F">
        <w:t xml:space="preserve"> N, </w:t>
      </w:r>
      <w:proofErr w:type="spellStart"/>
      <w:r w:rsidRPr="00BC0D1F">
        <w:t>LiLACS</w:t>
      </w:r>
      <w:proofErr w:type="spellEnd"/>
      <w:r w:rsidRPr="00BC0D1F">
        <w:t xml:space="preserve"> NZ. 2015a. </w:t>
      </w:r>
      <w:r w:rsidRPr="00BC0D1F">
        <w:rPr>
          <w:i/>
        </w:rPr>
        <w:t xml:space="preserve">Independence in Daily Activities: Findings from </w:t>
      </w:r>
      <w:proofErr w:type="spellStart"/>
      <w:r w:rsidRPr="00BC0D1F">
        <w:rPr>
          <w:i/>
        </w:rPr>
        <w:t>LiLACS</w:t>
      </w:r>
      <w:proofErr w:type="spellEnd"/>
      <w:r w:rsidRPr="00BC0D1F">
        <w:rPr>
          <w:i/>
        </w:rPr>
        <w:t xml:space="preserve"> NZ</w:t>
      </w:r>
      <w:r w:rsidRPr="00BC0D1F">
        <w:t xml:space="preserve">. Auckland: School of Population Health, </w:t>
      </w:r>
      <w:proofErr w:type="gramStart"/>
      <w:r w:rsidRPr="00BC0D1F">
        <w:t>The</w:t>
      </w:r>
      <w:proofErr w:type="gramEnd"/>
      <w:r w:rsidRPr="00BC0D1F">
        <w:t xml:space="preserve"> University of Auckland.</w:t>
      </w:r>
    </w:p>
    <w:p w14:paraId="656EABA3" w14:textId="77777777" w:rsidR="00AD72CC" w:rsidRPr="00BC0D1F" w:rsidRDefault="00AD72CC" w:rsidP="00C42B28">
      <w:pPr>
        <w:pStyle w:val="References"/>
      </w:pPr>
      <w:proofErr w:type="spellStart"/>
      <w:r w:rsidRPr="00BC0D1F">
        <w:t>Kerse</w:t>
      </w:r>
      <w:proofErr w:type="spellEnd"/>
      <w:r w:rsidRPr="00BC0D1F">
        <w:t xml:space="preserve"> N, </w:t>
      </w:r>
      <w:proofErr w:type="spellStart"/>
      <w:r w:rsidRPr="00BC0D1F">
        <w:t>LiLACS</w:t>
      </w:r>
      <w:proofErr w:type="spellEnd"/>
      <w:r w:rsidRPr="00BC0D1F">
        <w:t xml:space="preserve"> NZ. 2015b. </w:t>
      </w:r>
      <w:r w:rsidRPr="00BC0D1F">
        <w:rPr>
          <w:i/>
        </w:rPr>
        <w:t xml:space="preserve">Participation in Māori Society in Advance Age: Findings from </w:t>
      </w:r>
      <w:proofErr w:type="spellStart"/>
      <w:r w:rsidRPr="00BC0D1F">
        <w:rPr>
          <w:i/>
        </w:rPr>
        <w:t>LiLACS</w:t>
      </w:r>
      <w:proofErr w:type="spellEnd"/>
      <w:r w:rsidRPr="00BC0D1F">
        <w:rPr>
          <w:i/>
        </w:rPr>
        <w:t xml:space="preserve"> NZ. </w:t>
      </w:r>
      <w:r w:rsidRPr="00BC0D1F">
        <w:t xml:space="preserve">Auckland: School of Population Health, </w:t>
      </w:r>
      <w:proofErr w:type="gramStart"/>
      <w:r w:rsidRPr="00BC0D1F">
        <w:t>The</w:t>
      </w:r>
      <w:proofErr w:type="gramEnd"/>
      <w:r w:rsidRPr="00BC0D1F">
        <w:t xml:space="preserve"> University of Auckland.</w:t>
      </w:r>
    </w:p>
    <w:p w14:paraId="61BB81B3" w14:textId="77777777" w:rsidR="00AD72CC" w:rsidRPr="00BC0D1F" w:rsidRDefault="00AD72CC" w:rsidP="00C42B28">
      <w:pPr>
        <w:pStyle w:val="References"/>
      </w:pPr>
      <w:proofErr w:type="spellStart"/>
      <w:r w:rsidRPr="00BC0D1F">
        <w:t>Kerse</w:t>
      </w:r>
      <w:proofErr w:type="spellEnd"/>
      <w:r w:rsidRPr="00BC0D1F">
        <w:t xml:space="preserve"> N, </w:t>
      </w:r>
      <w:proofErr w:type="spellStart"/>
      <w:r w:rsidRPr="00BC0D1F">
        <w:t>LiLACS</w:t>
      </w:r>
      <w:proofErr w:type="spellEnd"/>
      <w:r w:rsidRPr="00BC0D1F">
        <w:t xml:space="preserve"> NZ. 2015c. </w:t>
      </w:r>
      <w:r w:rsidRPr="00BC0D1F">
        <w:rPr>
          <w:i/>
        </w:rPr>
        <w:t xml:space="preserve">Primary Care in Advanced Age: Findings from </w:t>
      </w:r>
      <w:proofErr w:type="spellStart"/>
      <w:r w:rsidRPr="00BC0D1F">
        <w:rPr>
          <w:i/>
        </w:rPr>
        <w:t>LiLACS</w:t>
      </w:r>
      <w:proofErr w:type="spellEnd"/>
      <w:r w:rsidRPr="00BC0D1F">
        <w:rPr>
          <w:i/>
        </w:rPr>
        <w:t xml:space="preserve"> NZ.</w:t>
      </w:r>
      <w:r w:rsidRPr="00BC0D1F">
        <w:t xml:space="preserve"> Auckland: School of Population Health, </w:t>
      </w:r>
      <w:proofErr w:type="gramStart"/>
      <w:r w:rsidRPr="00BC0D1F">
        <w:t>The</w:t>
      </w:r>
      <w:proofErr w:type="gramEnd"/>
      <w:r w:rsidRPr="00BC0D1F">
        <w:t xml:space="preserve"> University of Auckland.</w:t>
      </w:r>
    </w:p>
    <w:p w14:paraId="716BA909" w14:textId="77777777" w:rsidR="00DF4B9A" w:rsidRPr="00BC0D1F" w:rsidRDefault="00AD72CC" w:rsidP="00C42B28">
      <w:pPr>
        <w:pStyle w:val="References"/>
      </w:pPr>
      <w:proofErr w:type="spellStart"/>
      <w:r w:rsidRPr="00BC0D1F">
        <w:t>Kerse</w:t>
      </w:r>
      <w:proofErr w:type="spellEnd"/>
      <w:r w:rsidRPr="00BC0D1F">
        <w:t xml:space="preserve"> N, </w:t>
      </w:r>
      <w:proofErr w:type="spellStart"/>
      <w:r w:rsidRPr="00BC0D1F">
        <w:t>LiLACS</w:t>
      </w:r>
      <w:proofErr w:type="spellEnd"/>
      <w:r w:rsidRPr="00BC0D1F">
        <w:t xml:space="preserve"> NZ. 2015d. </w:t>
      </w:r>
      <w:r w:rsidRPr="00BC0D1F">
        <w:rPr>
          <w:i/>
        </w:rPr>
        <w:t xml:space="preserve">Relationships and Emotional Support: Findings from </w:t>
      </w:r>
      <w:proofErr w:type="spellStart"/>
      <w:r w:rsidRPr="00BC0D1F">
        <w:rPr>
          <w:i/>
        </w:rPr>
        <w:t>LiLACS</w:t>
      </w:r>
      <w:proofErr w:type="spellEnd"/>
      <w:r w:rsidRPr="00BC0D1F">
        <w:rPr>
          <w:i/>
        </w:rPr>
        <w:t xml:space="preserve"> NZ</w:t>
      </w:r>
      <w:r w:rsidRPr="00BC0D1F">
        <w:t xml:space="preserve">. Auckland: School of Population Health, </w:t>
      </w:r>
      <w:proofErr w:type="gramStart"/>
      <w:r w:rsidRPr="00BC0D1F">
        <w:t>The</w:t>
      </w:r>
      <w:proofErr w:type="gramEnd"/>
      <w:r w:rsidRPr="00BC0D1F">
        <w:t xml:space="preserve"> University of Auckland.</w:t>
      </w:r>
    </w:p>
    <w:p w14:paraId="4A40A585" w14:textId="77777777" w:rsidR="00AD72CC" w:rsidRPr="00BC0D1F" w:rsidRDefault="00AD72CC" w:rsidP="00C42B28">
      <w:pPr>
        <w:pStyle w:val="References"/>
      </w:pPr>
      <w:r w:rsidRPr="00BC0D1F">
        <w:t xml:space="preserve">Ministry of Health. 2012. </w:t>
      </w:r>
      <w:r w:rsidRPr="00BC0D1F">
        <w:rPr>
          <w:i/>
        </w:rPr>
        <w:t>The Health of New Zealand Adults 2011/12: Key findings of the New Zealand Health Survey</w:t>
      </w:r>
      <w:r w:rsidRPr="00BC0D1F">
        <w:t>. Wellington: Ministry of Health.</w:t>
      </w:r>
    </w:p>
    <w:p w14:paraId="2D1AC4D9" w14:textId="77777777" w:rsidR="00AD72CC" w:rsidRPr="00BC0D1F" w:rsidRDefault="00AD72CC" w:rsidP="00C42B28">
      <w:pPr>
        <w:pStyle w:val="References"/>
      </w:pPr>
      <w:r w:rsidRPr="00BC0D1F">
        <w:t xml:space="preserve">Ministry of Health. 2013. </w:t>
      </w:r>
      <w:r w:rsidRPr="00BC0D1F">
        <w:rPr>
          <w:i/>
        </w:rPr>
        <w:t>Independent Life Expectancy in New Zealand 2013</w:t>
      </w:r>
      <w:r w:rsidRPr="00BC0D1F">
        <w:t>. Wellington: Ministry of Health.</w:t>
      </w:r>
    </w:p>
    <w:p w14:paraId="76FE7106" w14:textId="77777777" w:rsidR="00AD72CC" w:rsidRPr="00BC0D1F" w:rsidRDefault="00AD72CC" w:rsidP="00C42B28">
      <w:pPr>
        <w:pStyle w:val="References"/>
      </w:pPr>
      <w:r w:rsidRPr="00BC0D1F">
        <w:t xml:space="preserve">Ministry of Health. 2014. </w:t>
      </w:r>
      <w:r w:rsidRPr="00BC0D1F">
        <w:rPr>
          <w:i/>
        </w:rPr>
        <w:t>Annual Report for the Year Ended 30 June 2015, Including the Director-General of Health</w:t>
      </w:r>
      <w:r w:rsidR="00DF4B9A" w:rsidRPr="00BC0D1F">
        <w:rPr>
          <w:i/>
        </w:rPr>
        <w:t>’</w:t>
      </w:r>
      <w:r w:rsidRPr="00BC0D1F">
        <w:rPr>
          <w:i/>
        </w:rPr>
        <w:t>s Annual Report on the State of Public Health</w:t>
      </w:r>
      <w:r w:rsidRPr="00BC0D1F">
        <w:t>. Wellington: Ministry of Health.</w:t>
      </w:r>
    </w:p>
    <w:p w14:paraId="1A42FC3A" w14:textId="77777777" w:rsidR="00AD72CC" w:rsidRPr="00BC0D1F" w:rsidRDefault="00AD72CC" w:rsidP="00C42B28">
      <w:pPr>
        <w:pStyle w:val="References"/>
      </w:pPr>
      <w:r w:rsidRPr="00BC0D1F">
        <w:t xml:space="preserve">Ministry of Health. 2015. </w:t>
      </w:r>
      <w:r w:rsidRPr="00BC0D1F">
        <w:rPr>
          <w:i/>
        </w:rPr>
        <w:t>Annual Update of Key Results 2014/15: New Zealand Health Survey</w:t>
      </w:r>
      <w:r w:rsidRPr="00BC0D1F">
        <w:t>. Wellington: Ministry of Health</w:t>
      </w:r>
    </w:p>
    <w:p w14:paraId="16D2F917" w14:textId="77777777" w:rsidR="00AD72CC" w:rsidRPr="00BC0D1F" w:rsidRDefault="00AD72CC" w:rsidP="00C42B28">
      <w:pPr>
        <w:pStyle w:val="References"/>
        <w:rPr>
          <w:rFonts w:cs="Georgia"/>
          <w:color w:val="000000"/>
          <w:lang w:eastAsia="en-NZ"/>
        </w:rPr>
      </w:pPr>
      <w:r w:rsidRPr="00BC0D1F">
        <w:rPr>
          <w:rFonts w:cs="Georgia"/>
          <w:color w:val="000000"/>
          <w:lang w:eastAsia="en-NZ"/>
        </w:rPr>
        <w:t xml:space="preserve">Ministry of Health. 2016a. </w:t>
      </w:r>
      <w:r w:rsidRPr="00BC0D1F">
        <w:rPr>
          <w:rFonts w:cs="Georgia"/>
          <w:i/>
          <w:iCs/>
          <w:color w:val="000000"/>
          <w:lang w:eastAsia="en-NZ"/>
        </w:rPr>
        <w:t>Health Loss in New Zealand 1990–2013: A report from the New Zealand Burden of Diseases, Injuries and Risk Factors Study</w:t>
      </w:r>
      <w:r w:rsidRPr="00BC0D1F">
        <w:rPr>
          <w:rFonts w:cs="Georgia"/>
          <w:color w:val="000000"/>
          <w:lang w:eastAsia="en-NZ"/>
        </w:rPr>
        <w:t>. Wellington: Ministry of Health.</w:t>
      </w:r>
    </w:p>
    <w:p w14:paraId="36AAADCA" w14:textId="77777777" w:rsidR="00AD72CC" w:rsidRPr="00BC0D1F" w:rsidRDefault="00AD72CC" w:rsidP="00C42B28">
      <w:pPr>
        <w:pStyle w:val="References"/>
      </w:pPr>
      <w:r w:rsidRPr="00BC0D1F">
        <w:t xml:space="preserve">Ministry of Health. 2016b. </w:t>
      </w:r>
      <w:r w:rsidRPr="00BC0D1F">
        <w:rPr>
          <w:i/>
        </w:rPr>
        <w:t xml:space="preserve">Report on the Performance of General Practices in </w:t>
      </w:r>
      <w:proofErr w:type="spellStart"/>
      <w:r w:rsidRPr="00BC0D1F">
        <w:rPr>
          <w:i/>
        </w:rPr>
        <w:t>Whānau</w:t>
      </w:r>
      <w:proofErr w:type="spellEnd"/>
      <w:r w:rsidRPr="00BC0D1F">
        <w:rPr>
          <w:i/>
        </w:rPr>
        <w:t xml:space="preserve"> </w:t>
      </w:r>
      <w:proofErr w:type="spellStart"/>
      <w:r w:rsidRPr="00BC0D1F">
        <w:rPr>
          <w:i/>
        </w:rPr>
        <w:t>Ora</w:t>
      </w:r>
      <w:proofErr w:type="spellEnd"/>
      <w:r w:rsidRPr="00BC0D1F">
        <w:rPr>
          <w:i/>
        </w:rPr>
        <w:t xml:space="preserve"> Collectives as at September 2015. </w:t>
      </w:r>
      <w:r w:rsidRPr="00BC0D1F">
        <w:t>Wellington: Ministry of Health.</w:t>
      </w:r>
    </w:p>
    <w:p w14:paraId="4CD9EE55" w14:textId="77777777" w:rsidR="00AD72CC" w:rsidRPr="00BC0D1F" w:rsidRDefault="00AD72CC" w:rsidP="00C42B28">
      <w:pPr>
        <w:pStyle w:val="References"/>
      </w:pPr>
      <w:r w:rsidRPr="00BC0D1F">
        <w:t xml:space="preserve">Ministry of Health. 2016c. </w:t>
      </w:r>
      <w:r w:rsidRPr="00BC0D1F">
        <w:rPr>
          <w:i/>
        </w:rPr>
        <w:t>Self-management Support for People with Long-term Conditions</w:t>
      </w:r>
      <w:r w:rsidRPr="00BC0D1F">
        <w:t xml:space="preserve"> (2nd ed</w:t>
      </w:r>
      <w:r w:rsidR="00C42B28" w:rsidRPr="00BC0D1F">
        <w:t>itio</w:t>
      </w:r>
      <w:r w:rsidRPr="00BC0D1F">
        <w:t>n). Wellington: Ministry of Health.</w:t>
      </w:r>
    </w:p>
    <w:p w14:paraId="5F990573" w14:textId="77777777" w:rsidR="00AD72CC" w:rsidRPr="00BC0D1F" w:rsidRDefault="00AD72CC" w:rsidP="00C42B28">
      <w:pPr>
        <w:pStyle w:val="References"/>
      </w:pPr>
      <w:r w:rsidRPr="00BC0D1F">
        <w:t xml:space="preserve">Ministry of Social Development. 2014. </w:t>
      </w:r>
      <w:r w:rsidRPr="00BC0D1F">
        <w:rPr>
          <w:i/>
        </w:rPr>
        <w:t>Delivering Social Services Every Day: Changing how we work together to support New Zealanders.</w:t>
      </w:r>
      <w:r w:rsidRPr="00BC0D1F">
        <w:t xml:space="preserve"> Wellington.</w:t>
      </w:r>
    </w:p>
    <w:p w14:paraId="0C72ED10" w14:textId="77777777" w:rsidR="00AD72CC" w:rsidRPr="00BC0D1F" w:rsidRDefault="00AD72CC" w:rsidP="00C42B28">
      <w:pPr>
        <w:pStyle w:val="References"/>
      </w:pPr>
      <w:r w:rsidRPr="00BC0D1F">
        <w:t xml:space="preserve">Simpson J, Adams J, </w:t>
      </w:r>
      <w:proofErr w:type="spellStart"/>
      <w:r w:rsidRPr="00BC0D1F">
        <w:t>Oben</w:t>
      </w:r>
      <w:proofErr w:type="spellEnd"/>
      <w:r w:rsidRPr="00BC0D1F">
        <w:t xml:space="preserve"> G, et al. 2015. </w:t>
      </w:r>
      <w:proofErr w:type="spellStart"/>
      <w:r w:rsidRPr="00BC0D1F">
        <w:rPr>
          <w:i/>
        </w:rPr>
        <w:t>Te</w:t>
      </w:r>
      <w:proofErr w:type="spellEnd"/>
      <w:r w:rsidRPr="00BC0D1F">
        <w:rPr>
          <w:i/>
        </w:rPr>
        <w:t xml:space="preserve"> </w:t>
      </w:r>
      <w:proofErr w:type="spellStart"/>
      <w:r w:rsidRPr="00BC0D1F">
        <w:rPr>
          <w:i/>
        </w:rPr>
        <w:t>Ohonga</w:t>
      </w:r>
      <w:proofErr w:type="spellEnd"/>
      <w:r w:rsidRPr="00BC0D1F">
        <w:rPr>
          <w:i/>
        </w:rPr>
        <w:t xml:space="preserve"> </w:t>
      </w:r>
      <w:proofErr w:type="spellStart"/>
      <w:r w:rsidRPr="00BC0D1F">
        <w:rPr>
          <w:i/>
        </w:rPr>
        <w:t>Ake</w:t>
      </w:r>
      <w:proofErr w:type="spellEnd"/>
      <w:r w:rsidRPr="00BC0D1F">
        <w:rPr>
          <w:i/>
        </w:rPr>
        <w:t xml:space="preserve">: The Determinants of Health for Māori Children and Young People in New Zealand. </w:t>
      </w:r>
      <w:proofErr w:type="spellStart"/>
      <w:r w:rsidRPr="00BC0D1F">
        <w:t>Te</w:t>
      </w:r>
      <w:proofErr w:type="spellEnd"/>
      <w:r w:rsidRPr="00BC0D1F">
        <w:t xml:space="preserve"> </w:t>
      </w:r>
      <w:proofErr w:type="spellStart"/>
      <w:r w:rsidRPr="00BC0D1F">
        <w:t>Ohonga</w:t>
      </w:r>
      <w:proofErr w:type="spellEnd"/>
      <w:r w:rsidRPr="00BC0D1F">
        <w:t xml:space="preserve"> </w:t>
      </w:r>
      <w:proofErr w:type="spellStart"/>
      <w:r w:rsidRPr="00BC0D1F">
        <w:t>Ake</w:t>
      </w:r>
      <w:proofErr w:type="spellEnd"/>
      <w:r w:rsidRPr="00BC0D1F">
        <w:t xml:space="preserve"> series for the Ministry of Health. Dunedin: NZ Child &amp; Youth Epidemiology Services, University of </w:t>
      </w:r>
      <w:proofErr w:type="spellStart"/>
      <w:r w:rsidRPr="00BC0D1F">
        <w:t>Otago</w:t>
      </w:r>
      <w:proofErr w:type="spellEnd"/>
      <w:r w:rsidRPr="00BC0D1F">
        <w:t>.</w:t>
      </w:r>
    </w:p>
    <w:p w14:paraId="2FFD41F3" w14:textId="0FDA1D67" w:rsidR="00AD72CC" w:rsidRPr="00BC0D1F" w:rsidRDefault="00AD72CC" w:rsidP="00C42B28">
      <w:pPr>
        <w:pStyle w:val="References"/>
        <w:rPr>
          <w:lang w:eastAsia="en-NZ"/>
        </w:rPr>
      </w:pPr>
      <w:r w:rsidRPr="00BC0D1F">
        <w:t>The Treasury, Ministry of Health, Health Quality &amp; Safety Commission. 2016</w:t>
      </w:r>
      <w:r w:rsidR="00C42B28" w:rsidRPr="00BC0D1F">
        <w:t>.</w:t>
      </w:r>
      <w:r w:rsidRPr="00BC0D1F">
        <w:t xml:space="preserve"> </w:t>
      </w:r>
      <w:r w:rsidRPr="00BC0D1F">
        <w:rPr>
          <w:i/>
        </w:rPr>
        <w:t>Exploring the Links between Quality Improvement Strategies and Organisational Outcomes in Four New Zealand District Health Boards: Final Report</w:t>
      </w:r>
      <w:r w:rsidRPr="00BC0D1F">
        <w:t>.</w:t>
      </w:r>
      <w:r w:rsidR="00C81438">
        <w:t xml:space="preserve"> </w:t>
      </w:r>
      <w:r w:rsidRPr="00BC0D1F">
        <w:t>Wellington. The Treasury.</w:t>
      </w:r>
    </w:p>
    <w:p w14:paraId="21D7D787" w14:textId="77777777" w:rsidR="00DF4B9A" w:rsidRPr="00BC0D1F" w:rsidRDefault="00AD72CC" w:rsidP="00C42B28">
      <w:pPr>
        <w:pStyle w:val="Heading1"/>
      </w:pPr>
      <w:bookmarkStart w:id="237" w:name="_Toc459730032"/>
      <w:bookmarkStart w:id="238" w:name="_Toc461544306"/>
      <w:bookmarkStart w:id="239" w:name="_Toc463507967"/>
      <w:r w:rsidRPr="00BC0D1F">
        <w:lastRenderedPageBreak/>
        <w:t>Appendix A: Legal and regulatory framework</w:t>
      </w:r>
      <w:bookmarkEnd w:id="194"/>
      <w:bookmarkEnd w:id="195"/>
      <w:bookmarkEnd w:id="196"/>
      <w:bookmarkEnd w:id="197"/>
      <w:bookmarkEnd w:id="198"/>
      <w:bookmarkEnd w:id="199"/>
      <w:bookmarkEnd w:id="200"/>
      <w:bookmarkEnd w:id="237"/>
      <w:bookmarkEnd w:id="238"/>
      <w:bookmarkEnd w:id="239"/>
    </w:p>
    <w:p w14:paraId="70741E1F" w14:textId="77777777" w:rsidR="00AD72CC" w:rsidRPr="00BC0D1F" w:rsidRDefault="00AD72CC" w:rsidP="00F15FAC">
      <w:pPr>
        <w:pStyle w:val="Heading3"/>
      </w:pPr>
      <w:bookmarkStart w:id="240" w:name="_Toc367364304"/>
      <w:r w:rsidRPr="00BC0D1F">
        <w:t>Legislation the Ministry administers</w:t>
      </w:r>
    </w:p>
    <w:p w14:paraId="31B4816D" w14:textId="77777777" w:rsidR="00AD72CC" w:rsidRPr="00BC0D1F" w:rsidRDefault="00AD72CC" w:rsidP="00924CD5">
      <w:pPr>
        <w:pStyle w:val="Bullet"/>
      </w:pPr>
      <w:bookmarkStart w:id="241" w:name="_Toc367364307"/>
      <w:bookmarkStart w:id="242" w:name="_Toc368320093"/>
      <w:bookmarkEnd w:id="240"/>
      <w:r w:rsidRPr="00BC0D1F">
        <w:t>Alcoholism and Drug Addiction Act 1966</w:t>
      </w:r>
    </w:p>
    <w:p w14:paraId="74D5F74E" w14:textId="77777777" w:rsidR="00AD72CC" w:rsidRPr="00BC0D1F" w:rsidRDefault="00AD72CC" w:rsidP="00924CD5">
      <w:pPr>
        <w:pStyle w:val="Bullet"/>
      </w:pPr>
      <w:r w:rsidRPr="00BC0D1F">
        <w:t>Burial and Cremation Act 1964</w:t>
      </w:r>
    </w:p>
    <w:p w14:paraId="4F7D5AD4" w14:textId="77777777" w:rsidR="00AD72CC" w:rsidRPr="00BC0D1F" w:rsidRDefault="00AD72CC" w:rsidP="00924CD5">
      <w:pPr>
        <w:pStyle w:val="Bullet"/>
      </w:pPr>
      <w:r w:rsidRPr="00BC0D1F">
        <w:t>Cancer Registry Act 1993</w:t>
      </w:r>
    </w:p>
    <w:p w14:paraId="17125BA6" w14:textId="77777777" w:rsidR="00AD72CC" w:rsidRPr="00BC0D1F" w:rsidRDefault="00AD72CC" w:rsidP="00924CD5">
      <w:pPr>
        <w:pStyle w:val="Bullet"/>
      </w:pPr>
      <w:r w:rsidRPr="00BC0D1F">
        <w:t>Children</w:t>
      </w:r>
      <w:r w:rsidR="00DF4B9A" w:rsidRPr="00BC0D1F">
        <w:t>’</w:t>
      </w:r>
      <w:r w:rsidRPr="00BC0D1F">
        <w:t>s Health Camps Board Dissolution Act 1999</w:t>
      </w:r>
    </w:p>
    <w:p w14:paraId="3652A09C" w14:textId="77777777" w:rsidR="00AD72CC" w:rsidRPr="00BC0D1F" w:rsidRDefault="00AD72CC" w:rsidP="00924CD5">
      <w:pPr>
        <w:pStyle w:val="Bullet"/>
      </w:pPr>
      <w:r w:rsidRPr="00BC0D1F">
        <w:t>Disabled Persons Community Welfare Act 1975 (Part 2A)</w:t>
      </w:r>
    </w:p>
    <w:p w14:paraId="1AE84815" w14:textId="77777777" w:rsidR="00AD72CC" w:rsidRPr="00BC0D1F" w:rsidRDefault="00AD72CC" w:rsidP="00924CD5">
      <w:pPr>
        <w:pStyle w:val="Bullet"/>
      </w:pPr>
      <w:r w:rsidRPr="00BC0D1F">
        <w:t>Epidemic Preparedness Act 2006</w:t>
      </w:r>
    </w:p>
    <w:p w14:paraId="5C220513" w14:textId="77777777" w:rsidR="00AD72CC" w:rsidRPr="00BC0D1F" w:rsidRDefault="00AD72CC" w:rsidP="00924CD5">
      <w:pPr>
        <w:pStyle w:val="Bullet"/>
      </w:pPr>
      <w:r w:rsidRPr="00BC0D1F">
        <w:t>Health Act 1956</w:t>
      </w:r>
    </w:p>
    <w:p w14:paraId="202993A1" w14:textId="77777777" w:rsidR="00AD72CC" w:rsidRPr="00BC0D1F" w:rsidRDefault="00AD72CC" w:rsidP="00924CD5">
      <w:pPr>
        <w:pStyle w:val="Bullet"/>
      </w:pPr>
      <w:r w:rsidRPr="00BC0D1F">
        <w:t>Health and Disability Commissioner Act 1994</w:t>
      </w:r>
    </w:p>
    <w:p w14:paraId="76114646" w14:textId="77777777" w:rsidR="00AD72CC" w:rsidRPr="00BC0D1F" w:rsidRDefault="00AD72CC" w:rsidP="00924CD5">
      <w:pPr>
        <w:pStyle w:val="Bullet"/>
      </w:pPr>
      <w:r w:rsidRPr="00BC0D1F">
        <w:t>Health and Disability Services (Safety) Act 2001</w:t>
      </w:r>
    </w:p>
    <w:p w14:paraId="0FC1F3E1" w14:textId="77777777" w:rsidR="00AD72CC" w:rsidRPr="00BC0D1F" w:rsidRDefault="00AD72CC" w:rsidP="00924CD5">
      <w:pPr>
        <w:pStyle w:val="Bullet"/>
      </w:pPr>
      <w:r w:rsidRPr="00BC0D1F">
        <w:t>Health Benefits (Reciprocity with Australia) Act 1999</w:t>
      </w:r>
    </w:p>
    <w:p w14:paraId="1EB5A960" w14:textId="77777777" w:rsidR="00AD72CC" w:rsidRPr="00BC0D1F" w:rsidRDefault="00AD72CC" w:rsidP="00924CD5">
      <w:pPr>
        <w:pStyle w:val="Bullet"/>
      </w:pPr>
      <w:r w:rsidRPr="00BC0D1F">
        <w:t>Health Benefits (Reciprocity with the United Kingdom) Act 1982</w:t>
      </w:r>
    </w:p>
    <w:p w14:paraId="3A2F88EA" w14:textId="77777777" w:rsidR="00AD72CC" w:rsidRPr="00BC0D1F" w:rsidRDefault="00AD72CC" w:rsidP="00924CD5">
      <w:pPr>
        <w:pStyle w:val="Bullet"/>
      </w:pPr>
      <w:r w:rsidRPr="00BC0D1F">
        <w:t>Health Practitioners Competence Assurance Act 2003</w:t>
      </w:r>
    </w:p>
    <w:p w14:paraId="4CA445F5" w14:textId="77777777" w:rsidR="00AD72CC" w:rsidRPr="00BC0D1F" w:rsidRDefault="00AD72CC" w:rsidP="00924CD5">
      <w:pPr>
        <w:pStyle w:val="Bullet"/>
      </w:pPr>
      <w:r w:rsidRPr="00BC0D1F">
        <w:t>Health Research Council Act 1990</w:t>
      </w:r>
    </w:p>
    <w:p w14:paraId="551CB6BF" w14:textId="77777777" w:rsidR="00AD72CC" w:rsidRPr="00BC0D1F" w:rsidRDefault="00AD72CC" w:rsidP="00924CD5">
      <w:pPr>
        <w:pStyle w:val="Bullet"/>
      </w:pPr>
      <w:r w:rsidRPr="00BC0D1F">
        <w:t>Health Sector (Transfers) Act 1993</w:t>
      </w:r>
    </w:p>
    <w:p w14:paraId="499BA90F" w14:textId="77777777" w:rsidR="00AD72CC" w:rsidRPr="00BC0D1F" w:rsidRDefault="00AD72CC" w:rsidP="00924CD5">
      <w:pPr>
        <w:pStyle w:val="Bullet"/>
      </w:pPr>
      <w:r w:rsidRPr="00BC0D1F">
        <w:t>Home and Community Support (Payment for Travel Between Clients) Settlement Act 2016</w:t>
      </w:r>
    </w:p>
    <w:p w14:paraId="73B17EF6" w14:textId="77777777" w:rsidR="00AD72CC" w:rsidRPr="00BC0D1F" w:rsidRDefault="00AD72CC" w:rsidP="00924CD5">
      <w:pPr>
        <w:pStyle w:val="Bullet"/>
      </w:pPr>
      <w:r w:rsidRPr="00BC0D1F">
        <w:t>Human Tissue Act 2008</w:t>
      </w:r>
    </w:p>
    <w:p w14:paraId="7B608D63" w14:textId="77777777" w:rsidR="00AD72CC" w:rsidRPr="00BC0D1F" w:rsidRDefault="00AD72CC" w:rsidP="00924CD5">
      <w:pPr>
        <w:pStyle w:val="Bullet"/>
      </w:pPr>
      <w:r w:rsidRPr="00BC0D1F">
        <w:t>Intellectual Disability (Compulsory Care and Rehabilitation) Act 2003</w:t>
      </w:r>
    </w:p>
    <w:p w14:paraId="421D1011" w14:textId="77777777" w:rsidR="00AD72CC" w:rsidRPr="00BC0D1F" w:rsidRDefault="00AD72CC" w:rsidP="00924CD5">
      <w:pPr>
        <w:pStyle w:val="Bullet"/>
      </w:pPr>
      <w:r w:rsidRPr="00BC0D1F">
        <w:t>Medicines Act 1981</w:t>
      </w:r>
    </w:p>
    <w:p w14:paraId="6FFE34D0" w14:textId="77777777" w:rsidR="00AD72CC" w:rsidRPr="00BC0D1F" w:rsidRDefault="00AD72CC" w:rsidP="00924CD5">
      <w:pPr>
        <w:pStyle w:val="Bullet"/>
      </w:pPr>
      <w:r w:rsidRPr="00BC0D1F">
        <w:t>Mental Health (Compulsory Assessment and Treatment) Act 1992</w:t>
      </w:r>
    </w:p>
    <w:p w14:paraId="063D0B33" w14:textId="77777777" w:rsidR="00AD72CC" w:rsidRPr="00BC0D1F" w:rsidRDefault="00AD72CC" w:rsidP="00924CD5">
      <w:pPr>
        <w:pStyle w:val="Bullet"/>
      </w:pPr>
      <w:r w:rsidRPr="00BC0D1F">
        <w:t>Misuse of Drugs Act 1975</w:t>
      </w:r>
    </w:p>
    <w:p w14:paraId="6EE34BE9" w14:textId="77777777" w:rsidR="00AD72CC" w:rsidRPr="00BC0D1F" w:rsidRDefault="00AD72CC" w:rsidP="00924CD5">
      <w:pPr>
        <w:pStyle w:val="Bullet"/>
      </w:pPr>
      <w:r w:rsidRPr="00BC0D1F">
        <w:t>New Zealand Council for Postgraduate Medical Education Act Repeal Act 1990</w:t>
      </w:r>
    </w:p>
    <w:p w14:paraId="20E4262D" w14:textId="77777777" w:rsidR="00AD72CC" w:rsidRPr="00BC0D1F" w:rsidRDefault="00AD72CC" w:rsidP="00924CD5">
      <w:pPr>
        <w:pStyle w:val="Bullet"/>
      </w:pPr>
      <w:r w:rsidRPr="00BC0D1F">
        <w:t>New Zealand Public Health and Disability Act 2000</w:t>
      </w:r>
    </w:p>
    <w:p w14:paraId="6B9961FD" w14:textId="77777777" w:rsidR="00AD72CC" w:rsidRPr="00BC0D1F" w:rsidRDefault="00AD72CC" w:rsidP="00924CD5">
      <w:pPr>
        <w:pStyle w:val="Bullet"/>
      </w:pPr>
      <w:r w:rsidRPr="00BC0D1F">
        <w:t>New Zealand Public Health and Disability (Southern DHB) Elections Act 2000</w:t>
      </w:r>
    </w:p>
    <w:p w14:paraId="76511859" w14:textId="77777777" w:rsidR="00AD72CC" w:rsidRPr="00BC0D1F" w:rsidRDefault="00AD72CC" w:rsidP="00924CD5">
      <w:pPr>
        <w:pStyle w:val="Bullet"/>
      </w:pPr>
      <w:r w:rsidRPr="00BC0D1F">
        <w:t>Psychoactive Substances Act 2013</w:t>
      </w:r>
    </w:p>
    <w:p w14:paraId="20200ED6" w14:textId="77777777" w:rsidR="00AD72CC" w:rsidRPr="00BC0D1F" w:rsidRDefault="00AD72CC" w:rsidP="00924CD5">
      <w:pPr>
        <w:pStyle w:val="Bullet"/>
      </w:pPr>
      <w:r w:rsidRPr="00BC0D1F">
        <w:t>Radiation Protection Act 1965</w:t>
      </w:r>
    </w:p>
    <w:p w14:paraId="08E5EF01" w14:textId="77777777" w:rsidR="00AD72CC" w:rsidRPr="00BC0D1F" w:rsidRDefault="00AD72CC" w:rsidP="00924CD5">
      <w:pPr>
        <w:pStyle w:val="Bullet"/>
      </w:pPr>
      <w:r w:rsidRPr="00BC0D1F">
        <w:t>Radiation Safety Act 2016</w:t>
      </w:r>
    </w:p>
    <w:p w14:paraId="780EA2DF" w14:textId="77777777" w:rsidR="00AD72CC" w:rsidRPr="00BC0D1F" w:rsidRDefault="00AD72CC" w:rsidP="00924CD5">
      <w:pPr>
        <w:pStyle w:val="Bullet"/>
      </w:pPr>
      <w:r w:rsidRPr="00BC0D1F">
        <w:t>Sleepover Wages (Settlement) Act 2011</w:t>
      </w:r>
    </w:p>
    <w:p w14:paraId="648B36FA" w14:textId="77777777" w:rsidR="00AD72CC" w:rsidRPr="00BC0D1F" w:rsidRDefault="00AD72CC" w:rsidP="00924CD5">
      <w:pPr>
        <w:pStyle w:val="Bullet"/>
      </w:pPr>
      <w:r w:rsidRPr="00BC0D1F">
        <w:t>Smoke-free Environments Act 1990</w:t>
      </w:r>
    </w:p>
    <w:p w14:paraId="4BC8F94C" w14:textId="3DA6A6CD" w:rsidR="00AD72CC" w:rsidRPr="00BC0D1F" w:rsidRDefault="00AD72CC" w:rsidP="00924CD5">
      <w:pPr>
        <w:pStyle w:val="Bullet"/>
      </w:pPr>
      <w:r w:rsidRPr="00BC0D1F">
        <w:t>Tuberculosis Act 1948</w:t>
      </w:r>
    </w:p>
    <w:p w14:paraId="7810C8B3" w14:textId="77777777" w:rsidR="00AD72CC" w:rsidRPr="00BC0D1F" w:rsidRDefault="00AD72CC" w:rsidP="00924CD5"/>
    <w:p w14:paraId="36F0710A" w14:textId="77777777" w:rsidR="00AD72CC" w:rsidRPr="00BC0D1F" w:rsidRDefault="00AD72CC" w:rsidP="00F15FAC">
      <w:pPr>
        <w:pStyle w:val="Heading3"/>
      </w:pPr>
      <w:r w:rsidRPr="00BC0D1F">
        <w:lastRenderedPageBreak/>
        <w:t>Other regulatory roles and obligations</w:t>
      </w:r>
    </w:p>
    <w:p w14:paraId="412D69C5" w14:textId="77777777" w:rsidR="00AD72CC" w:rsidRPr="00BC0D1F" w:rsidRDefault="00AD72CC" w:rsidP="00F15FAC">
      <w:pPr>
        <w:keepLines/>
      </w:pPr>
      <w:r w:rsidRPr="00BC0D1F">
        <w:t>In addition to administering legislation, key personnel within the Ministry (such as the Directors of Public Health and Mental Health) have specific statutory powers and functions under various pieces of legislation. The Ministry also has certain statutory roles and relationships defined in other legislation, including:</w:t>
      </w:r>
    </w:p>
    <w:p w14:paraId="063F7BF1" w14:textId="77777777" w:rsidR="00AD72CC" w:rsidRPr="00BC0D1F" w:rsidRDefault="00AD72CC" w:rsidP="00924CD5">
      <w:pPr>
        <w:pStyle w:val="Bullet"/>
      </w:pPr>
      <w:r w:rsidRPr="00BC0D1F">
        <w:t>Biosecurity Act 1993</w:t>
      </w:r>
    </w:p>
    <w:p w14:paraId="4C828A11" w14:textId="77777777" w:rsidR="00AD72CC" w:rsidRPr="00BC0D1F" w:rsidRDefault="00AD72CC" w:rsidP="00924CD5">
      <w:pPr>
        <w:pStyle w:val="Bullet"/>
      </w:pPr>
      <w:r w:rsidRPr="00BC0D1F">
        <w:t>Civil Defence Emergency Management Act 2002</w:t>
      </w:r>
    </w:p>
    <w:p w14:paraId="46F78CE3" w14:textId="77777777" w:rsidR="00AD72CC" w:rsidRPr="00BC0D1F" w:rsidRDefault="00AD72CC" w:rsidP="00924CD5">
      <w:pPr>
        <w:pStyle w:val="Bullet"/>
        <w:rPr>
          <w:color w:val="000000"/>
        </w:rPr>
      </w:pPr>
      <w:r w:rsidRPr="00BC0D1F">
        <w:rPr>
          <w:rFonts w:cs="Georgia"/>
          <w:color w:val="000000"/>
          <w:szCs w:val="22"/>
          <w:lang w:eastAsia="en-NZ"/>
        </w:rPr>
        <w:t>Criminal Procedure (Mentally Impaired Persons) Act 2003</w:t>
      </w:r>
    </w:p>
    <w:p w14:paraId="21E4AAB9" w14:textId="77777777" w:rsidR="00AD72CC" w:rsidRPr="00BC0D1F" w:rsidRDefault="00AD72CC" w:rsidP="00924CD5">
      <w:pPr>
        <w:pStyle w:val="Bullet"/>
      </w:pPr>
      <w:r w:rsidRPr="00BC0D1F">
        <w:t>Education Act 1989</w:t>
      </w:r>
    </w:p>
    <w:p w14:paraId="5C762EE8" w14:textId="77777777" w:rsidR="00AD72CC" w:rsidRPr="00BC0D1F" w:rsidRDefault="00AD72CC" w:rsidP="00924CD5">
      <w:pPr>
        <w:pStyle w:val="Bullet"/>
      </w:pPr>
      <w:r w:rsidRPr="00BC0D1F">
        <w:t>Food Act 1981</w:t>
      </w:r>
    </w:p>
    <w:p w14:paraId="3CF260DC" w14:textId="77777777" w:rsidR="00AD72CC" w:rsidRPr="00BC0D1F" w:rsidRDefault="00AD72CC" w:rsidP="00924CD5">
      <w:pPr>
        <w:pStyle w:val="Bullet"/>
      </w:pPr>
      <w:r w:rsidRPr="00BC0D1F">
        <w:t>Gambling Act 2003</w:t>
      </w:r>
    </w:p>
    <w:p w14:paraId="397AA4F3" w14:textId="77777777" w:rsidR="00AD72CC" w:rsidRPr="00BC0D1F" w:rsidRDefault="00AD72CC" w:rsidP="00924CD5">
      <w:pPr>
        <w:pStyle w:val="Bullet"/>
      </w:pPr>
      <w:r w:rsidRPr="00BC0D1F">
        <w:t>Hazardous Substances and New Organisms Act 1996</w:t>
      </w:r>
    </w:p>
    <w:p w14:paraId="3116CDA1" w14:textId="77777777" w:rsidR="00AD72CC" w:rsidRPr="00BC0D1F" w:rsidRDefault="00AD72CC" w:rsidP="00924CD5">
      <w:pPr>
        <w:pStyle w:val="Bullet"/>
      </w:pPr>
      <w:r w:rsidRPr="00BC0D1F">
        <w:t>Human Assisted Reproductive Technology Act 2004</w:t>
      </w:r>
    </w:p>
    <w:p w14:paraId="52DB5AAD" w14:textId="77777777" w:rsidR="00AD72CC" w:rsidRPr="00BC0D1F" w:rsidRDefault="00AD72CC" w:rsidP="00924CD5">
      <w:pPr>
        <w:pStyle w:val="Bullet"/>
        <w:rPr>
          <w:color w:val="000000"/>
        </w:rPr>
      </w:pPr>
      <w:r w:rsidRPr="00BC0D1F">
        <w:rPr>
          <w:rFonts w:cs="Georgia"/>
          <w:color w:val="000000"/>
          <w:szCs w:val="22"/>
          <w:lang w:eastAsia="en-NZ"/>
        </w:rPr>
        <w:t>Land Transport Act 1998</w:t>
      </w:r>
    </w:p>
    <w:p w14:paraId="443279BC" w14:textId="77777777" w:rsidR="00AD72CC" w:rsidRPr="00BC0D1F" w:rsidRDefault="00AD72CC" w:rsidP="00924CD5">
      <w:pPr>
        <w:pStyle w:val="Bullet"/>
      </w:pPr>
      <w:r w:rsidRPr="00BC0D1F">
        <w:t>Litter Act 1979</w:t>
      </w:r>
    </w:p>
    <w:p w14:paraId="5F7507CC" w14:textId="77777777" w:rsidR="00AD72CC" w:rsidRPr="00BC0D1F" w:rsidRDefault="00AD72CC" w:rsidP="00924CD5">
      <w:pPr>
        <w:pStyle w:val="Bullet"/>
      </w:pPr>
      <w:r w:rsidRPr="00BC0D1F">
        <w:t>Local Government Act 2002</w:t>
      </w:r>
    </w:p>
    <w:p w14:paraId="27B90988" w14:textId="77777777" w:rsidR="00AD72CC" w:rsidRPr="00BC0D1F" w:rsidRDefault="00AD72CC" w:rsidP="00924CD5">
      <w:pPr>
        <w:pStyle w:val="Bullet"/>
      </w:pPr>
      <w:r w:rsidRPr="00BC0D1F">
        <w:t>Maritime Security Act 2004</w:t>
      </w:r>
    </w:p>
    <w:p w14:paraId="00AF79E1" w14:textId="77777777" w:rsidR="00AD72CC" w:rsidRPr="00BC0D1F" w:rsidRDefault="00AD72CC" w:rsidP="00924CD5">
      <w:pPr>
        <w:pStyle w:val="Bullet"/>
      </w:pPr>
      <w:r w:rsidRPr="00BC0D1F">
        <w:t>Prostitution Reform Act 2003</w:t>
      </w:r>
    </w:p>
    <w:p w14:paraId="66E36D8D" w14:textId="77777777" w:rsidR="00AD72CC" w:rsidRPr="00BC0D1F" w:rsidRDefault="00AD72CC" w:rsidP="00924CD5">
      <w:pPr>
        <w:pStyle w:val="Bullet"/>
      </w:pPr>
      <w:r w:rsidRPr="00BC0D1F">
        <w:t>Sale and Supply of Alcohol Act 2012</w:t>
      </w:r>
    </w:p>
    <w:p w14:paraId="3DEE98A2" w14:textId="77777777" w:rsidR="00AD72CC" w:rsidRPr="00BC0D1F" w:rsidRDefault="00AD72CC" w:rsidP="00924CD5">
      <w:pPr>
        <w:pStyle w:val="Bullet"/>
      </w:pPr>
      <w:r w:rsidRPr="00BC0D1F">
        <w:t>Social Security Act 1964</w:t>
      </w:r>
    </w:p>
    <w:p w14:paraId="05625F10" w14:textId="77777777" w:rsidR="00AD72CC" w:rsidRPr="00BC0D1F" w:rsidRDefault="00AD72CC" w:rsidP="00924CD5">
      <w:pPr>
        <w:pStyle w:val="Bullet"/>
      </w:pPr>
      <w:r w:rsidRPr="00BC0D1F">
        <w:t>Victims</w:t>
      </w:r>
      <w:r w:rsidR="00DF4B9A" w:rsidRPr="00BC0D1F">
        <w:t>’</w:t>
      </w:r>
      <w:r w:rsidRPr="00BC0D1F">
        <w:t xml:space="preserve"> Rights Act 2002</w:t>
      </w:r>
    </w:p>
    <w:p w14:paraId="29E5A4FB" w14:textId="77777777" w:rsidR="00AD72CC" w:rsidRPr="00BC0D1F" w:rsidRDefault="00AD72CC" w:rsidP="00924CD5">
      <w:pPr>
        <w:pStyle w:val="Bullet"/>
      </w:pPr>
      <w:r w:rsidRPr="00BC0D1F">
        <w:t>Waste Minimisation Act 2008.</w:t>
      </w:r>
    </w:p>
    <w:p w14:paraId="69F7058D" w14:textId="77777777" w:rsidR="00AD72CC" w:rsidRPr="00BC0D1F" w:rsidRDefault="00AD72CC" w:rsidP="00924CD5"/>
    <w:p w14:paraId="449CE04B" w14:textId="77777777" w:rsidR="00AD72CC" w:rsidRPr="00BC0D1F" w:rsidRDefault="00AD72CC" w:rsidP="00F15FAC">
      <w:pPr>
        <w:pStyle w:val="Heading3"/>
      </w:pPr>
      <w:r w:rsidRPr="00BC0D1F">
        <w:t>International compliance</w:t>
      </w:r>
    </w:p>
    <w:p w14:paraId="51557091" w14:textId="77777777" w:rsidR="00AD72CC" w:rsidRPr="00BC0D1F" w:rsidRDefault="00AD72CC" w:rsidP="00924CD5">
      <w:r w:rsidRPr="00BC0D1F">
        <w:t xml:space="preserve">The Ministry helps the Government to comply with certain international obligations by supporting and participating in international organisations such as the World Health Organization. The Ministry also ensures New Zealand complies with particular international requirements, such as the International Health Regulations (2005) and the Framework Convention on Tobacco </w:t>
      </w:r>
      <w:r w:rsidRPr="00BC0D1F">
        <w:rPr>
          <w:color w:val="000000"/>
        </w:rPr>
        <w:t>Control, and a range of United Nation conventions.</w:t>
      </w:r>
    </w:p>
    <w:p w14:paraId="55CC43EA" w14:textId="77777777" w:rsidR="00AD72CC" w:rsidRPr="00BC0D1F" w:rsidRDefault="00AD72CC" w:rsidP="00924CD5"/>
    <w:p w14:paraId="18564EAA" w14:textId="77777777" w:rsidR="00AD72CC" w:rsidRPr="00BC0D1F" w:rsidRDefault="00AD72CC" w:rsidP="00924CD5">
      <w:r w:rsidRPr="00BC0D1F">
        <w:t xml:space="preserve">Regulations administered by the Ministry can be accessed on the Ministry website: </w:t>
      </w:r>
      <w:r w:rsidRPr="00BC0D1F">
        <w:rPr>
          <w:rStyle w:val="Hyperlink"/>
          <w:rFonts w:eastAsia="Calibri" w:cs="Arial"/>
        </w:rPr>
        <w:t>www.health.govt.nz</w:t>
      </w:r>
    </w:p>
    <w:p w14:paraId="42147D64" w14:textId="77777777" w:rsidR="00AD72CC" w:rsidRPr="00BC0D1F" w:rsidRDefault="00AD72CC" w:rsidP="00924CD5"/>
    <w:p w14:paraId="271B308F" w14:textId="77777777" w:rsidR="00AD72CC" w:rsidRPr="00BC0D1F" w:rsidRDefault="00AD72CC" w:rsidP="00924CD5">
      <w:pPr>
        <w:rPr>
          <w:rStyle w:val="Hyperlink"/>
          <w:rFonts w:eastAsia="Calibri" w:cs="Arial"/>
        </w:rPr>
      </w:pPr>
      <w:r w:rsidRPr="00BC0D1F">
        <w:t xml:space="preserve">Full, searchable copies of the Acts and associated regulations administered by the Ministry can be found at: </w:t>
      </w:r>
      <w:hyperlink r:id="rId45" w:history="1">
        <w:r w:rsidRPr="00BC0D1F">
          <w:rPr>
            <w:rStyle w:val="Hyperlink"/>
            <w:rFonts w:eastAsia="Calibri" w:cs="Arial"/>
          </w:rPr>
          <w:t>www.legislation.govt.nz</w:t>
        </w:r>
      </w:hyperlink>
    </w:p>
    <w:p w14:paraId="59229F83" w14:textId="77777777" w:rsidR="00AD72CC" w:rsidRPr="00BC0D1F" w:rsidRDefault="00AD72CC" w:rsidP="00924CD5">
      <w:pPr>
        <w:pStyle w:val="Heading1"/>
      </w:pPr>
      <w:bookmarkStart w:id="243" w:name="_Toc388007476"/>
      <w:bookmarkStart w:id="244" w:name="_Toc388008169"/>
      <w:bookmarkStart w:id="245" w:name="_Toc398730623"/>
      <w:bookmarkStart w:id="246" w:name="_Toc419971990"/>
      <w:bookmarkStart w:id="247" w:name="_Toc430768861"/>
      <w:bookmarkStart w:id="248" w:name="_Toc459730033"/>
      <w:bookmarkStart w:id="249" w:name="_Toc461544307"/>
      <w:bookmarkStart w:id="250" w:name="_Toc463507968"/>
      <w:r w:rsidRPr="00BC0D1F">
        <w:lastRenderedPageBreak/>
        <w:t>Appendix B</w:t>
      </w:r>
      <w:proofErr w:type="gramStart"/>
      <w:r w:rsidRPr="00BC0D1F">
        <w:t>:</w:t>
      </w:r>
      <w:proofErr w:type="gramEnd"/>
      <w:r w:rsidRPr="00BC0D1F">
        <w:br/>
        <w:t>Section 11 committees</w:t>
      </w:r>
      <w:bookmarkEnd w:id="241"/>
      <w:bookmarkEnd w:id="242"/>
      <w:bookmarkEnd w:id="243"/>
      <w:bookmarkEnd w:id="244"/>
      <w:bookmarkEnd w:id="245"/>
      <w:bookmarkEnd w:id="246"/>
      <w:bookmarkEnd w:id="247"/>
      <w:bookmarkEnd w:id="248"/>
      <w:bookmarkEnd w:id="249"/>
      <w:bookmarkEnd w:id="250"/>
    </w:p>
    <w:p w14:paraId="204E3BF5" w14:textId="77777777" w:rsidR="00AD72CC" w:rsidRPr="00BC0D1F" w:rsidRDefault="00AD72CC" w:rsidP="004F0406">
      <w:r w:rsidRPr="00BC0D1F">
        <w:t>Section 12(5) of the New Zealand Public Health and Disability Act 2000 requires that, in every Annual Report, the Ministry must specify the name, chairperson and members of all committees established under Section 11 of the Act.</w:t>
      </w:r>
      <w:r w:rsidRPr="00BC0D1F">
        <w:rPr>
          <w:rStyle w:val="FootnoteReference"/>
        </w:rPr>
        <w:footnoteReference w:id="36"/>
      </w:r>
      <w:r w:rsidRPr="00BC0D1F">
        <w:t xml:space="preserve"> This appendix fulfils that requirement.</w:t>
      </w:r>
    </w:p>
    <w:p w14:paraId="745EF7E6" w14:textId="77777777" w:rsidR="004F0406" w:rsidRPr="00BC0D1F" w:rsidRDefault="004F0406" w:rsidP="004F0406"/>
    <w:p w14:paraId="7A5920D9" w14:textId="77777777" w:rsidR="00AD72CC" w:rsidRPr="00BC0D1F" w:rsidRDefault="00AD72CC" w:rsidP="004F0406">
      <w:pPr>
        <w:pStyle w:val="Heading3"/>
      </w:pPr>
      <w:r w:rsidRPr="00BC0D1F">
        <w:t>Cancer Control New Zealand</w:t>
      </w:r>
    </w:p>
    <w:p w14:paraId="484E0D0F" w14:textId="77777777" w:rsidR="00DF4B9A" w:rsidRPr="00BC0D1F" w:rsidRDefault="00AD72CC" w:rsidP="004F0406">
      <w:r w:rsidRPr="00BC0D1F">
        <w:t>Cancer Control New Zealand was disestablished in August 2015 because of the progress made in improving cancer services for New Zealanders.</w:t>
      </w:r>
    </w:p>
    <w:p w14:paraId="7557C566" w14:textId="77777777" w:rsidR="004F0406" w:rsidRPr="00BC0D1F" w:rsidRDefault="004F0406" w:rsidP="004F0406"/>
    <w:p w14:paraId="433CC8CD" w14:textId="77777777" w:rsidR="00AD72CC" w:rsidRPr="00BC0D1F" w:rsidRDefault="00AD72CC" w:rsidP="004F0406">
      <w:pPr>
        <w:pStyle w:val="Heading3"/>
      </w:pPr>
      <w:r w:rsidRPr="00BC0D1F">
        <w:t>Health Workforce New Zealand</w:t>
      </w:r>
    </w:p>
    <w:p w14:paraId="0DF025EF" w14:textId="77777777" w:rsidR="00AD72CC" w:rsidRPr="00BC0D1F" w:rsidRDefault="00AD72CC" w:rsidP="004F0406">
      <w:pPr>
        <w:rPr>
          <w:b/>
        </w:rPr>
      </w:pPr>
      <w:r w:rsidRPr="00BC0D1F">
        <w:rPr>
          <w:b/>
        </w:rPr>
        <w:t>Professor Des Gorman (Chair)</w:t>
      </w:r>
    </w:p>
    <w:p w14:paraId="50EC03E9" w14:textId="77777777" w:rsidR="00AD72CC" w:rsidRPr="00BC0D1F" w:rsidRDefault="00AD72CC" w:rsidP="004F0406">
      <w:pPr>
        <w:spacing w:before="30"/>
      </w:pPr>
      <w:r w:rsidRPr="00BC0D1F">
        <w:t xml:space="preserve">Ms Helen </w:t>
      </w:r>
      <w:proofErr w:type="spellStart"/>
      <w:r w:rsidRPr="00BC0D1F">
        <w:t>Pocknall</w:t>
      </w:r>
      <w:proofErr w:type="spellEnd"/>
      <w:r w:rsidRPr="00BC0D1F">
        <w:t xml:space="preserve"> (Deputy Chair)</w:t>
      </w:r>
    </w:p>
    <w:p w14:paraId="095EE36E" w14:textId="77777777" w:rsidR="00AD72CC" w:rsidRPr="00BC0D1F" w:rsidRDefault="00AD72CC" w:rsidP="004F0406">
      <w:pPr>
        <w:spacing w:before="30"/>
      </w:pPr>
      <w:r w:rsidRPr="00BC0D1F">
        <w:t>Mrs Gloria Crossley</w:t>
      </w:r>
    </w:p>
    <w:p w14:paraId="1847A803" w14:textId="77777777" w:rsidR="00AD72CC" w:rsidRPr="00BC0D1F" w:rsidRDefault="00AD72CC" w:rsidP="004F0406">
      <w:pPr>
        <w:spacing w:before="30"/>
      </w:pPr>
      <w:r w:rsidRPr="00BC0D1F">
        <w:t>Dr David Kerr</w:t>
      </w:r>
    </w:p>
    <w:p w14:paraId="100545A6" w14:textId="77777777" w:rsidR="00AD72CC" w:rsidRPr="00BC0D1F" w:rsidRDefault="00AD72CC" w:rsidP="004F0406">
      <w:pPr>
        <w:spacing w:before="30"/>
      </w:pPr>
      <w:r w:rsidRPr="00BC0D1F">
        <w:t>Ms Stella Ward</w:t>
      </w:r>
    </w:p>
    <w:p w14:paraId="354D9A84" w14:textId="77777777" w:rsidR="00AD72CC" w:rsidRPr="00BC0D1F" w:rsidRDefault="00AD72CC" w:rsidP="004F0406">
      <w:pPr>
        <w:spacing w:before="30"/>
      </w:pPr>
      <w:r w:rsidRPr="00BC0D1F">
        <w:t>Ms Sally Webb</w:t>
      </w:r>
    </w:p>
    <w:p w14:paraId="7D2D900B" w14:textId="77777777" w:rsidR="00AD72CC" w:rsidRPr="00BC0D1F" w:rsidRDefault="00AD72CC" w:rsidP="004F0406">
      <w:pPr>
        <w:spacing w:before="30"/>
      </w:pPr>
      <w:r w:rsidRPr="00BC0D1F">
        <w:t>Professor Tim Wilkinson</w:t>
      </w:r>
    </w:p>
    <w:p w14:paraId="57FBEAE2" w14:textId="77777777" w:rsidR="00AD72CC" w:rsidRPr="00BC0D1F" w:rsidRDefault="00AD72CC" w:rsidP="004F0406">
      <w:pPr>
        <w:spacing w:before="30"/>
      </w:pPr>
      <w:r w:rsidRPr="00BC0D1F">
        <w:t>Dr Andrew Wong</w:t>
      </w:r>
    </w:p>
    <w:p w14:paraId="766EC7B9" w14:textId="77777777" w:rsidR="004F0406" w:rsidRPr="00BC0D1F" w:rsidRDefault="004F0406" w:rsidP="004F0406"/>
    <w:p w14:paraId="12F10C6E" w14:textId="77777777" w:rsidR="00AD72CC" w:rsidRPr="00BC0D1F" w:rsidRDefault="00AD72CC" w:rsidP="004F0406">
      <w:pPr>
        <w:pStyle w:val="Heading3"/>
      </w:pPr>
      <w:r w:rsidRPr="00BC0D1F">
        <w:t>National Health Board</w:t>
      </w:r>
    </w:p>
    <w:p w14:paraId="44769421" w14:textId="77777777" w:rsidR="00AD72CC" w:rsidRPr="00BC0D1F" w:rsidRDefault="00AD72CC" w:rsidP="004F0406">
      <w:r w:rsidRPr="00BC0D1F">
        <w:t>The National Health Board was disestablished in March 2016 following an independent review as part of the development of the refreshed New Zealand Health Strategy.</w:t>
      </w:r>
    </w:p>
    <w:p w14:paraId="141D8A5C" w14:textId="77777777" w:rsidR="004F0406" w:rsidRPr="00BC0D1F" w:rsidRDefault="004F0406" w:rsidP="004F0406"/>
    <w:p w14:paraId="4C51B321" w14:textId="77777777" w:rsidR="00AD72CC" w:rsidRPr="00BC0D1F" w:rsidRDefault="00AD72CC" w:rsidP="004F0406">
      <w:pPr>
        <w:pStyle w:val="Heading3"/>
      </w:pPr>
      <w:r w:rsidRPr="00BC0D1F">
        <w:t>National Health Committee</w:t>
      </w:r>
    </w:p>
    <w:p w14:paraId="7551CC4E" w14:textId="77777777" w:rsidR="00AD72CC" w:rsidRPr="00BC0D1F" w:rsidRDefault="00AD72CC" w:rsidP="004F0406">
      <w:r w:rsidRPr="00BC0D1F">
        <w:t>The National Health Committee was disestablished in March 2016 and their functions streamlined into the Ministry of Health.</w:t>
      </w:r>
    </w:p>
    <w:p w14:paraId="5E17CBF0" w14:textId="77777777" w:rsidR="004F0406" w:rsidRPr="00BC0D1F" w:rsidRDefault="004F0406" w:rsidP="004F0406"/>
    <w:p w14:paraId="51F79CEA" w14:textId="77777777" w:rsidR="00AD72CC" w:rsidRPr="00BC0D1F" w:rsidRDefault="00AD72CC" w:rsidP="004F0406">
      <w:pPr>
        <w:pStyle w:val="Heading3"/>
      </w:pPr>
      <w:r w:rsidRPr="00BC0D1F">
        <w:t>Northern A Health and Disability Ethics Committee</w:t>
      </w:r>
    </w:p>
    <w:p w14:paraId="234B97F9" w14:textId="77777777" w:rsidR="00AD72CC" w:rsidRPr="00BC0D1F" w:rsidRDefault="00AD72CC" w:rsidP="004F0406">
      <w:pPr>
        <w:rPr>
          <w:b/>
        </w:rPr>
      </w:pPr>
      <w:r w:rsidRPr="00BC0D1F">
        <w:rPr>
          <w:b/>
        </w:rPr>
        <w:t>Dr Brian Fergus (Chair)</w:t>
      </w:r>
    </w:p>
    <w:p w14:paraId="2611F291" w14:textId="77777777" w:rsidR="00AD72CC" w:rsidRPr="00BC0D1F" w:rsidRDefault="00AD72CC" w:rsidP="004F0406">
      <w:pPr>
        <w:spacing w:before="30"/>
      </w:pPr>
      <w:r w:rsidRPr="00BC0D1F">
        <w:t>Dr Karen Bartholomew</w:t>
      </w:r>
    </w:p>
    <w:p w14:paraId="1993669E" w14:textId="77777777" w:rsidR="00AD72CC" w:rsidRPr="00BC0D1F" w:rsidRDefault="00AD72CC" w:rsidP="004F0406">
      <w:pPr>
        <w:spacing w:before="30"/>
      </w:pPr>
      <w:r w:rsidRPr="00BC0D1F">
        <w:t>Ms Susan Buckland</w:t>
      </w:r>
    </w:p>
    <w:p w14:paraId="46D468E1" w14:textId="77777777" w:rsidR="00AD72CC" w:rsidRPr="00BC0D1F" w:rsidRDefault="00AD72CC" w:rsidP="004F0406">
      <w:pPr>
        <w:spacing w:before="30"/>
      </w:pPr>
      <w:r w:rsidRPr="00BC0D1F">
        <w:t xml:space="preserve">Ms </w:t>
      </w:r>
      <w:proofErr w:type="spellStart"/>
      <w:r w:rsidRPr="00BC0D1F">
        <w:t>Shamim</w:t>
      </w:r>
      <w:proofErr w:type="spellEnd"/>
      <w:r w:rsidRPr="00BC0D1F">
        <w:t xml:space="preserve"> </w:t>
      </w:r>
      <w:proofErr w:type="spellStart"/>
      <w:r w:rsidRPr="00BC0D1F">
        <w:t>Chagani</w:t>
      </w:r>
      <w:proofErr w:type="spellEnd"/>
    </w:p>
    <w:p w14:paraId="5DC86364" w14:textId="77777777" w:rsidR="00AD72CC" w:rsidRPr="00BC0D1F" w:rsidRDefault="00AD72CC" w:rsidP="004F0406">
      <w:pPr>
        <w:spacing w:before="30"/>
      </w:pPr>
      <w:r w:rsidRPr="00BC0D1F">
        <w:t>Ms Christine Crooks</w:t>
      </w:r>
    </w:p>
    <w:p w14:paraId="6B99E37E" w14:textId="77777777" w:rsidR="00AD72CC" w:rsidRPr="00BC0D1F" w:rsidRDefault="00AD72CC" w:rsidP="004F0406">
      <w:pPr>
        <w:spacing w:before="30"/>
      </w:pPr>
      <w:r w:rsidRPr="00BC0D1F">
        <w:t>Mr Mark Smith (to September 2015)</w:t>
      </w:r>
    </w:p>
    <w:p w14:paraId="09B955C2" w14:textId="77777777" w:rsidR="00AD72CC" w:rsidRPr="00BC0D1F" w:rsidRDefault="00AD72CC" w:rsidP="004F0406">
      <w:pPr>
        <w:spacing w:before="30"/>
      </w:pPr>
      <w:r w:rsidRPr="00BC0D1F">
        <w:t xml:space="preserve">Mr Kerry </w:t>
      </w:r>
      <w:proofErr w:type="spellStart"/>
      <w:r w:rsidRPr="00BC0D1F">
        <w:t>Hiini</w:t>
      </w:r>
      <w:proofErr w:type="spellEnd"/>
      <w:r w:rsidRPr="00BC0D1F">
        <w:t xml:space="preserve"> (to July 2015)</w:t>
      </w:r>
    </w:p>
    <w:p w14:paraId="261BA60E" w14:textId="77777777" w:rsidR="00AD72CC" w:rsidRPr="00BC0D1F" w:rsidRDefault="00AD72CC" w:rsidP="004F0406">
      <w:pPr>
        <w:spacing w:before="30"/>
      </w:pPr>
      <w:r w:rsidRPr="00BC0D1F">
        <w:t xml:space="preserve">Ms </w:t>
      </w:r>
      <w:proofErr w:type="spellStart"/>
      <w:r w:rsidRPr="00BC0D1F">
        <w:t>Michèle</w:t>
      </w:r>
      <w:proofErr w:type="spellEnd"/>
      <w:r w:rsidRPr="00BC0D1F">
        <w:t xml:space="preserve"> Stanton (to July 2015)</w:t>
      </w:r>
    </w:p>
    <w:p w14:paraId="0DBE31DE" w14:textId="77777777" w:rsidR="00AD72CC" w:rsidRPr="00BC0D1F" w:rsidRDefault="00AD72CC" w:rsidP="004F0406">
      <w:pPr>
        <w:spacing w:before="30"/>
      </w:pPr>
      <w:r w:rsidRPr="00BC0D1F">
        <w:t>Ms Rosemary Abbott (appointed March 2016)</w:t>
      </w:r>
    </w:p>
    <w:p w14:paraId="548BCFC3" w14:textId="77777777" w:rsidR="00AD72CC" w:rsidRPr="00BC0D1F" w:rsidRDefault="00AD72CC" w:rsidP="004F0406">
      <w:pPr>
        <w:spacing w:before="30"/>
      </w:pPr>
      <w:r w:rsidRPr="00BC0D1F">
        <w:lastRenderedPageBreak/>
        <w:t>Ms Charis Brown (appointed November 2015)</w:t>
      </w:r>
    </w:p>
    <w:p w14:paraId="12AE5BF0" w14:textId="77777777" w:rsidR="00AD72CC" w:rsidRPr="00BC0D1F" w:rsidRDefault="00AD72CC" w:rsidP="004F0406">
      <w:pPr>
        <w:spacing w:before="30"/>
      </w:pPr>
      <w:r w:rsidRPr="00BC0D1F">
        <w:t>Dr Kate Parker (appointed November 2015)</w:t>
      </w:r>
    </w:p>
    <w:p w14:paraId="4609AF79" w14:textId="77777777" w:rsidR="004F0406" w:rsidRPr="00BC0D1F" w:rsidRDefault="004F0406" w:rsidP="004F0406"/>
    <w:p w14:paraId="7C9D9204" w14:textId="77777777" w:rsidR="00AD72CC" w:rsidRPr="00BC0D1F" w:rsidRDefault="00AD72CC" w:rsidP="004F0406">
      <w:pPr>
        <w:pStyle w:val="Heading3"/>
      </w:pPr>
      <w:r w:rsidRPr="00BC0D1F">
        <w:t>Northern B Health and Disability Ethics Committee</w:t>
      </w:r>
    </w:p>
    <w:p w14:paraId="43F79438" w14:textId="77777777" w:rsidR="00AD72CC" w:rsidRPr="00BC0D1F" w:rsidRDefault="00AD72CC" w:rsidP="004F0406">
      <w:pPr>
        <w:spacing w:before="30"/>
      </w:pPr>
      <w:r w:rsidRPr="00BC0D1F">
        <w:rPr>
          <w:b/>
        </w:rPr>
        <w:t xml:space="preserve">Ms </w:t>
      </w:r>
      <w:proofErr w:type="spellStart"/>
      <w:r w:rsidRPr="00BC0D1F">
        <w:rPr>
          <w:b/>
        </w:rPr>
        <w:t>Raewyn</w:t>
      </w:r>
      <w:proofErr w:type="spellEnd"/>
      <w:r w:rsidRPr="00BC0D1F">
        <w:rPr>
          <w:b/>
        </w:rPr>
        <w:t xml:space="preserve"> </w:t>
      </w:r>
      <w:proofErr w:type="spellStart"/>
      <w:r w:rsidRPr="00BC0D1F">
        <w:rPr>
          <w:b/>
        </w:rPr>
        <w:t>Sporle</w:t>
      </w:r>
      <w:proofErr w:type="spellEnd"/>
      <w:r w:rsidRPr="00BC0D1F">
        <w:rPr>
          <w:b/>
        </w:rPr>
        <w:t xml:space="preserve"> (Chair)</w:t>
      </w:r>
      <w:r w:rsidRPr="00BC0D1F">
        <w:t xml:space="preserve"> (to November 2015)</w:t>
      </w:r>
    </w:p>
    <w:p w14:paraId="0BFE106C" w14:textId="77777777" w:rsidR="00AD72CC" w:rsidRPr="00BC0D1F" w:rsidRDefault="00AD72CC" w:rsidP="004F0406">
      <w:pPr>
        <w:spacing w:before="30"/>
      </w:pPr>
      <w:r w:rsidRPr="00BC0D1F">
        <w:rPr>
          <w:b/>
        </w:rPr>
        <w:t>Ms Kate O</w:t>
      </w:r>
      <w:r w:rsidR="00DF4B9A" w:rsidRPr="00BC0D1F">
        <w:rPr>
          <w:b/>
        </w:rPr>
        <w:t>’</w:t>
      </w:r>
      <w:r w:rsidRPr="00BC0D1F">
        <w:rPr>
          <w:b/>
        </w:rPr>
        <w:t>Connor (Chair)</w:t>
      </w:r>
      <w:r w:rsidRPr="00BC0D1F">
        <w:t xml:space="preserve"> (appointed December 2015)</w:t>
      </w:r>
    </w:p>
    <w:p w14:paraId="2CC8BE2D" w14:textId="77777777" w:rsidR="00AD72CC" w:rsidRPr="00BC0D1F" w:rsidRDefault="00AD72CC" w:rsidP="004F0406">
      <w:pPr>
        <w:spacing w:before="30"/>
      </w:pPr>
      <w:r w:rsidRPr="00BC0D1F">
        <w:t>Mrs Mali Erick</w:t>
      </w:r>
    </w:p>
    <w:p w14:paraId="2C348E01" w14:textId="77777777" w:rsidR="00AD72CC" w:rsidRPr="00BC0D1F" w:rsidRDefault="00AD72CC" w:rsidP="004F0406">
      <w:pPr>
        <w:spacing w:before="30"/>
      </w:pPr>
      <w:r w:rsidRPr="00BC0D1F">
        <w:t xml:space="preserve">Mrs Phyllis </w:t>
      </w:r>
      <w:proofErr w:type="spellStart"/>
      <w:r w:rsidRPr="00BC0D1F">
        <w:t>Huitema</w:t>
      </w:r>
      <w:proofErr w:type="spellEnd"/>
    </w:p>
    <w:p w14:paraId="7738850A" w14:textId="77777777" w:rsidR="00AD72CC" w:rsidRPr="00BC0D1F" w:rsidRDefault="00AD72CC" w:rsidP="004F0406">
      <w:pPr>
        <w:spacing w:before="30"/>
      </w:pPr>
      <w:r w:rsidRPr="00BC0D1F">
        <w:t xml:space="preserve">Miss </w:t>
      </w:r>
      <w:proofErr w:type="spellStart"/>
      <w:r w:rsidRPr="00BC0D1F">
        <w:t>Tangihaere</w:t>
      </w:r>
      <w:proofErr w:type="spellEnd"/>
      <w:r w:rsidRPr="00BC0D1F">
        <w:t xml:space="preserve"> Macfarlane</w:t>
      </w:r>
    </w:p>
    <w:p w14:paraId="4E54D82D" w14:textId="77777777" w:rsidR="00AD72CC" w:rsidRPr="00BC0D1F" w:rsidRDefault="00AD72CC" w:rsidP="004F0406">
      <w:pPr>
        <w:spacing w:before="30"/>
      </w:pPr>
      <w:r w:rsidRPr="00BC0D1F">
        <w:t>Mrs Stephanie Pollard</w:t>
      </w:r>
    </w:p>
    <w:p w14:paraId="27F626D1" w14:textId="77777777" w:rsidR="00AD72CC" w:rsidRPr="00BC0D1F" w:rsidRDefault="00AD72CC" w:rsidP="004F0406">
      <w:pPr>
        <w:spacing w:before="30"/>
      </w:pPr>
      <w:r w:rsidRPr="00BC0D1F">
        <w:t xml:space="preserve">Dr Paul </w:t>
      </w:r>
      <w:proofErr w:type="spellStart"/>
      <w:r w:rsidRPr="00BC0D1F">
        <w:t>Tanser</w:t>
      </w:r>
      <w:proofErr w:type="spellEnd"/>
      <w:r w:rsidRPr="00BC0D1F">
        <w:t xml:space="preserve"> (to July 2015)</w:t>
      </w:r>
    </w:p>
    <w:p w14:paraId="293BEC0E" w14:textId="77777777" w:rsidR="00AD72CC" w:rsidRPr="00BC0D1F" w:rsidRDefault="00AD72CC" w:rsidP="004F0406">
      <w:pPr>
        <w:spacing w:before="30"/>
      </w:pPr>
      <w:r w:rsidRPr="00BC0D1F">
        <w:t xml:space="preserve">Ms </w:t>
      </w:r>
      <w:proofErr w:type="spellStart"/>
      <w:r w:rsidRPr="00BC0D1F">
        <w:t>Kerin</w:t>
      </w:r>
      <w:proofErr w:type="spellEnd"/>
      <w:r w:rsidRPr="00BC0D1F">
        <w:t xml:space="preserve"> Thompson (to July 2015)</w:t>
      </w:r>
    </w:p>
    <w:p w14:paraId="7ADB9D8A" w14:textId="77777777" w:rsidR="00AD72CC" w:rsidRPr="00BC0D1F" w:rsidRDefault="00AD72CC" w:rsidP="004F0406">
      <w:pPr>
        <w:spacing w:before="30"/>
      </w:pPr>
      <w:r w:rsidRPr="00BC0D1F">
        <w:t>Mr John Hancock (appointed December 2015)</w:t>
      </w:r>
    </w:p>
    <w:p w14:paraId="5637A9C6" w14:textId="77777777" w:rsidR="00AD72CC" w:rsidRPr="00BC0D1F" w:rsidRDefault="00AD72CC" w:rsidP="004F0406">
      <w:pPr>
        <w:spacing w:before="30"/>
      </w:pPr>
      <w:r w:rsidRPr="00BC0D1F">
        <w:t xml:space="preserve">Mrs </w:t>
      </w:r>
      <w:proofErr w:type="spellStart"/>
      <w:r w:rsidRPr="00BC0D1F">
        <w:t>Leesa</w:t>
      </w:r>
      <w:proofErr w:type="spellEnd"/>
      <w:r w:rsidRPr="00BC0D1F">
        <w:t xml:space="preserve"> Russell (appointed December 2015)</w:t>
      </w:r>
    </w:p>
    <w:p w14:paraId="3078E779" w14:textId="77777777" w:rsidR="00AD72CC" w:rsidRPr="00BC0D1F" w:rsidRDefault="00AD72CC" w:rsidP="004F0406">
      <w:pPr>
        <w:spacing w:before="30"/>
      </w:pPr>
      <w:r w:rsidRPr="00BC0D1F">
        <w:t>Dr Nora Lynch (appointed July 2015)</w:t>
      </w:r>
    </w:p>
    <w:p w14:paraId="2954DEEE" w14:textId="77777777" w:rsidR="004F0406" w:rsidRPr="00BC0D1F" w:rsidRDefault="004F0406" w:rsidP="004F0406"/>
    <w:p w14:paraId="37F91F5C" w14:textId="77777777" w:rsidR="00AD72CC" w:rsidRPr="00BC0D1F" w:rsidRDefault="00AD72CC" w:rsidP="004F0406">
      <w:pPr>
        <w:pStyle w:val="Heading3"/>
      </w:pPr>
      <w:r w:rsidRPr="00BC0D1F">
        <w:t>Central Health and Disability Ethics Committee</w:t>
      </w:r>
    </w:p>
    <w:p w14:paraId="6B34F086" w14:textId="77777777" w:rsidR="00AD72CC" w:rsidRPr="00BC0D1F" w:rsidRDefault="00AD72CC" w:rsidP="004F0406">
      <w:pPr>
        <w:spacing w:before="30"/>
        <w:rPr>
          <w:b/>
        </w:rPr>
      </w:pPr>
      <w:r w:rsidRPr="00BC0D1F">
        <w:rPr>
          <w:b/>
        </w:rPr>
        <w:t>Mrs Helen Walker (Chair)</w:t>
      </w:r>
    </w:p>
    <w:p w14:paraId="68FC384B" w14:textId="77777777" w:rsidR="00AD72CC" w:rsidRPr="00BC0D1F" w:rsidRDefault="00AD72CC" w:rsidP="004F0406">
      <w:pPr>
        <w:spacing w:before="30"/>
      </w:pPr>
      <w:r w:rsidRPr="00BC0D1F">
        <w:t>Mr Paul Barnett (to July 2015)</w:t>
      </w:r>
    </w:p>
    <w:p w14:paraId="2F087994" w14:textId="77777777" w:rsidR="00AD72CC" w:rsidRPr="00BC0D1F" w:rsidRDefault="00AD72CC" w:rsidP="004F0406">
      <w:pPr>
        <w:spacing w:before="30"/>
      </w:pPr>
      <w:r w:rsidRPr="00BC0D1F">
        <w:t xml:space="preserve">Dr Kay de </w:t>
      </w:r>
      <w:proofErr w:type="spellStart"/>
      <w:r w:rsidRPr="00BC0D1F">
        <w:t>Vries</w:t>
      </w:r>
      <w:proofErr w:type="spellEnd"/>
      <w:r w:rsidRPr="00BC0D1F">
        <w:t xml:space="preserve"> (resigned February 2015)</w:t>
      </w:r>
    </w:p>
    <w:p w14:paraId="732CDE8E" w14:textId="77777777" w:rsidR="00AD72CC" w:rsidRPr="00BC0D1F" w:rsidRDefault="00AD72CC" w:rsidP="004F0406">
      <w:pPr>
        <w:spacing w:before="30"/>
      </w:pPr>
      <w:r w:rsidRPr="00BC0D1F">
        <w:t>Mrs Gael Donoghue (to July 2015)</w:t>
      </w:r>
    </w:p>
    <w:p w14:paraId="1B62EBD8" w14:textId="77777777" w:rsidR="00AD72CC" w:rsidRPr="00BC0D1F" w:rsidRDefault="00AD72CC" w:rsidP="004F0406">
      <w:pPr>
        <w:spacing w:before="30"/>
      </w:pPr>
      <w:r w:rsidRPr="00BC0D1F">
        <w:t>Ms Sandy Gill</w:t>
      </w:r>
    </w:p>
    <w:p w14:paraId="3CFE737E" w14:textId="77777777" w:rsidR="00AD72CC" w:rsidRPr="00BC0D1F" w:rsidRDefault="00AD72CC" w:rsidP="004F0406">
      <w:pPr>
        <w:spacing w:before="30"/>
      </w:pPr>
      <w:r w:rsidRPr="00BC0D1F">
        <w:t xml:space="preserve">Dr </w:t>
      </w:r>
      <w:proofErr w:type="spellStart"/>
      <w:r w:rsidRPr="00BC0D1F">
        <w:t>Patries</w:t>
      </w:r>
      <w:proofErr w:type="spellEnd"/>
      <w:r w:rsidRPr="00BC0D1F">
        <w:t xml:space="preserve"> </w:t>
      </w:r>
      <w:proofErr w:type="spellStart"/>
      <w:r w:rsidRPr="00BC0D1F">
        <w:t>Herst</w:t>
      </w:r>
      <w:proofErr w:type="spellEnd"/>
    </w:p>
    <w:p w14:paraId="08A18131" w14:textId="77777777" w:rsidR="00AD72CC" w:rsidRPr="00BC0D1F" w:rsidRDefault="00AD72CC" w:rsidP="004F0406">
      <w:pPr>
        <w:spacing w:before="30"/>
      </w:pPr>
      <w:r w:rsidRPr="00BC0D1F">
        <w:t>Dr Dean Quinn</w:t>
      </w:r>
    </w:p>
    <w:p w14:paraId="36E5F52A" w14:textId="77777777" w:rsidR="00AD72CC" w:rsidRPr="00BC0D1F" w:rsidRDefault="00AD72CC" w:rsidP="004F0406">
      <w:pPr>
        <w:spacing w:before="30"/>
      </w:pPr>
      <w:r w:rsidRPr="00BC0D1F">
        <w:t>Dr Cordelia Thomas</w:t>
      </w:r>
    </w:p>
    <w:p w14:paraId="2EFB2739" w14:textId="77777777" w:rsidR="00AD72CC" w:rsidRPr="00BC0D1F" w:rsidRDefault="00AD72CC" w:rsidP="004F0406">
      <w:pPr>
        <w:spacing w:before="30"/>
      </w:pPr>
      <w:r w:rsidRPr="00BC0D1F">
        <w:t xml:space="preserve">Dr Angela </w:t>
      </w:r>
      <w:proofErr w:type="spellStart"/>
      <w:r w:rsidRPr="00BC0D1F">
        <w:t>Ballantyne</w:t>
      </w:r>
      <w:proofErr w:type="spellEnd"/>
      <w:r w:rsidRPr="00BC0D1F">
        <w:t xml:space="preserve"> (appointed July 2015)</w:t>
      </w:r>
    </w:p>
    <w:p w14:paraId="741C7CD0" w14:textId="77777777" w:rsidR="00AD72CC" w:rsidRPr="00BC0D1F" w:rsidRDefault="00AD72CC" w:rsidP="004F0406">
      <w:pPr>
        <w:spacing w:before="30"/>
      </w:pPr>
      <w:r w:rsidRPr="00BC0D1F">
        <w:t>Dr Peter Gallagher (appointed July 2015)</w:t>
      </w:r>
    </w:p>
    <w:p w14:paraId="03ED1FDE" w14:textId="77777777" w:rsidR="004F0406" w:rsidRPr="00BC0D1F" w:rsidRDefault="004F0406" w:rsidP="004F0406"/>
    <w:p w14:paraId="3AEC3521" w14:textId="77777777" w:rsidR="00AD72CC" w:rsidRPr="00BC0D1F" w:rsidRDefault="00AD72CC" w:rsidP="004F0406">
      <w:pPr>
        <w:pStyle w:val="Heading3"/>
      </w:pPr>
      <w:r w:rsidRPr="00BC0D1F">
        <w:t>Southern Health and Disability Ethics Committee</w:t>
      </w:r>
    </w:p>
    <w:p w14:paraId="12BF16A5" w14:textId="77777777" w:rsidR="00AD72CC" w:rsidRPr="00BC0D1F" w:rsidRDefault="00AD72CC" w:rsidP="004F0406">
      <w:pPr>
        <w:spacing w:before="30"/>
        <w:rPr>
          <w:b/>
        </w:rPr>
      </w:pPr>
      <w:r w:rsidRPr="00BC0D1F">
        <w:rPr>
          <w:b/>
        </w:rPr>
        <w:t xml:space="preserve">Ms </w:t>
      </w:r>
      <w:proofErr w:type="spellStart"/>
      <w:r w:rsidRPr="00BC0D1F">
        <w:rPr>
          <w:b/>
        </w:rPr>
        <w:t>Raewyn</w:t>
      </w:r>
      <w:proofErr w:type="spellEnd"/>
      <w:r w:rsidRPr="00BC0D1F">
        <w:rPr>
          <w:b/>
        </w:rPr>
        <w:t xml:space="preserve"> </w:t>
      </w:r>
      <w:proofErr w:type="spellStart"/>
      <w:r w:rsidRPr="00BC0D1F">
        <w:rPr>
          <w:b/>
        </w:rPr>
        <w:t>Idoine</w:t>
      </w:r>
      <w:proofErr w:type="spellEnd"/>
      <w:r w:rsidRPr="00BC0D1F">
        <w:rPr>
          <w:b/>
        </w:rPr>
        <w:t xml:space="preserve"> (Chair)</w:t>
      </w:r>
    </w:p>
    <w:p w14:paraId="47D481BF" w14:textId="77777777" w:rsidR="00AD72CC" w:rsidRPr="00BC0D1F" w:rsidRDefault="00AD72CC" w:rsidP="004F0406">
      <w:pPr>
        <w:spacing w:before="30"/>
      </w:pPr>
      <w:r w:rsidRPr="00BC0D1F">
        <w:t>Mrs Angelika Frank-Alexander</w:t>
      </w:r>
    </w:p>
    <w:p w14:paraId="3E825301" w14:textId="77777777" w:rsidR="00AD72CC" w:rsidRPr="00BC0D1F" w:rsidRDefault="00AD72CC" w:rsidP="004F0406">
      <w:pPr>
        <w:spacing w:before="30"/>
      </w:pPr>
      <w:r w:rsidRPr="00BC0D1F">
        <w:t xml:space="preserve">Dr Sarah </w:t>
      </w:r>
      <w:proofErr w:type="spellStart"/>
      <w:r w:rsidRPr="00BC0D1F">
        <w:t>Gunningham</w:t>
      </w:r>
      <w:proofErr w:type="spellEnd"/>
    </w:p>
    <w:p w14:paraId="28B7264E" w14:textId="77777777" w:rsidR="00AD72CC" w:rsidRPr="00BC0D1F" w:rsidRDefault="00AD72CC" w:rsidP="004F0406">
      <w:pPr>
        <w:spacing w:before="30"/>
      </w:pPr>
      <w:r w:rsidRPr="00BC0D1F">
        <w:t>Dr Nicola Swain</w:t>
      </w:r>
    </w:p>
    <w:p w14:paraId="1545491E" w14:textId="77777777" w:rsidR="00AD72CC" w:rsidRPr="00BC0D1F" w:rsidRDefault="00AD72CC" w:rsidP="004F0406">
      <w:pPr>
        <w:spacing w:before="30"/>
      </w:pPr>
      <w:r w:rsidRPr="00BC0D1F">
        <w:t xml:space="preserve">Dr </w:t>
      </w:r>
      <w:proofErr w:type="spellStart"/>
      <w:r w:rsidRPr="00BC0D1F">
        <w:t>Devonie</w:t>
      </w:r>
      <w:proofErr w:type="spellEnd"/>
      <w:r w:rsidRPr="00BC0D1F">
        <w:t xml:space="preserve"> </w:t>
      </w:r>
      <w:proofErr w:type="spellStart"/>
      <w:r w:rsidRPr="00BC0D1F">
        <w:t>Waaka</w:t>
      </w:r>
      <w:proofErr w:type="spellEnd"/>
    </w:p>
    <w:p w14:paraId="1E12C204" w14:textId="77777777" w:rsidR="00AD72CC" w:rsidRPr="00BC0D1F" w:rsidRDefault="00AD72CC" w:rsidP="004F0406">
      <w:pPr>
        <w:spacing w:before="30"/>
      </w:pPr>
      <w:r w:rsidRPr="00BC0D1F">
        <w:t>Dr Mathew Zacharias</w:t>
      </w:r>
    </w:p>
    <w:p w14:paraId="50A9DD2F" w14:textId="77777777" w:rsidR="00AD72CC" w:rsidRPr="00BC0D1F" w:rsidRDefault="00AD72CC" w:rsidP="004F0406">
      <w:pPr>
        <w:spacing w:before="30"/>
      </w:pPr>
      <w:r w:rsidRPr="00BC0D1F">
        <w:t xml:space="preserve">Assoc. </w:t>
      </w:r>
      <w:proofErr w:type="spellStart"/>
      <w:r w:rsidRPr="00BC0D1F">
        <w:t>Prof.</w:t>
      </w:r>
      <w:proofErr w:type="spellEnd"/>
      <w:r w:rsidRPr="00BC0D1F">
        <w:t xml:space="preserve"> Mira Harrison-</w:t>
      </w:r>
      <w:proofErr w:type="spellStart"/>
      <w:r w:rsidRPr="00BC0D1F">
        <w:t>Woolrych</w:t>
      </w:r>
      <w:proofErr w:type="spellEnd"/>
      <w:r w:rsidRPr="00BC0D1F">
        <w:t xml:space="preserve"> (appointed September 2014)</w:t>
      </w:r>
    </w:p>
    <w:p w14:paraId="1F9723BA" w14:textId="77777777" w:rsidR="00AD72CC" w:rsidRPr="00BC0D1F" w:rsidRDefault="00AD72CC" w:rsidP="00AD72CC">
      <w:pPr>
        <w:spacing w:before="60" w:after="60"/>
      </w:pPr>
      <w:r w:rsidRPr="00BC0D1F">
        <w:t xml:space="preserve">Dr Fiona </w:t>
      </w:r>
      <w:proofErr w:type="spellStart"/>
      <w:r w:rsidRPr="00BC0D1F">
        <w:t>McCrimmon</w:t>
      </w:r>
      <w:proofErr w:type="spellEnd"/>
      <w:r w:rsidRPr="00BC0D1F">
        <w:t xml:space="preserve"> (appointed September 2014)</w:t>
      </w:r>
    </w:p>
    <w:p w14:paraId="04424D46" w14:textId="77777777" w:rsidR="004F0406" w:rsidRPr="00BC0D1F" w:rsidRDefault="004F0406" w:rsidP="004F0406"/>
    <w:p w14:paraId="7E9B1A77" w14:textId="77777777" w:rsidR="00AD72CC" w:rsidRPr="00BC0D1F" w:rsidRDefault="00AD72CC" w:rsidP="004F0406">
      <w:pPr>
        <w:pStyle w:val="Heading3"/>
      </w:pPr>
      <w:r w:rsidRPr="00BC0D1F">
        <w:t>Ethics Committee on Assisted Reproductive Technology</w:t>
      </w:r>
    </w:p>
    <w:p w14:paraId="1F535599" w14:textId="77777777" w:rsidR="00AD72CC" w:rsidRPr="00BC0D1F" w:rsidRDefault="00AD72CC" w:rsidP="004F0406">
      <w:pPr>
        <w:spacing w:before="30"/>
      </w:pPr>
      <w:r w:rsidRPr="00BC0D1F">
        <w:rPr>
          <w:b/>
        </w:rPr>
        <w:t>Ms Kate Davenport (Chair)</w:t>
      </w:r>
      <w:r w:rsidRPr="00BC0D1F">
        <w:t xml:space="preserve"> (to July 2015)</w:t>
      </w:r>
    </w:p>
    <w:p w14:paraId="5B07868D" w14:textId="77777777" w:rsidR="00AD72CC" w:rsidRPr="00BC0D1F" w:rsidRDefault="00AD72CC" w:rsidP="004F0406">
      <w:pPr>
        <w:spacing w:before="30"/>
      </w:pPr>
      <w:r w:rsidRPr="00BC0D1F">
        <w:rPr>
          <w:b/>
        </w:rPr>
        <w:t xml:space="preserve">Ms Iris </w:t>
      </w:r>
      <w:proofErr w:type="spellStart"/>
      <w:r w:rsidRPr="00BC0D1F">
        <w:rPr>
          <w:b/>
        </w:rPr>
        <w:t>Reuvecamp</w:t>
      </w:r>
      <w:proofErr w:type="spellEnd"/>
      <w:r w:rsidRPr="00BC0D1F">
        <w:rPr>
          <w:b/>
        </w:rPr>
        <w:t xml:space="preserve"> (Chair)</w:t>
      </w:r>
      <w:r w:rsidRPr="00BC0D1F">
        <w:t xml:space="preserve"> (appointed August 2015)</w:t>
      </w:r>
    </w:p>
    <w:p w14:paraId="4AC1C35C" w14:textId="77777777" w:rsidR="00AD72CC" w:rsidRPr="00BC0D1F" w:rsidRDefault="00AD72CC" w:rsidP="004F0406">
      <w:pPr>
        <w:spacing w:before="30"/>
      </w:pPr>
      <w:r w:rsidRPr="00BC0D1F">
        <w:t>Dr Deborah Payne</w:t>
      </w:r>
    </w:p>
    <w:p w14:paraId="06708F18" w14:textId="77777777" w:rsidR="00AD72CC" w:rsidRPr="00BC0D1F" w:rsidRDefault="00AD72CC" w:rsidP="004F0406">
      <w:pPr>
        <w:spacing w:before="30"/>
      </w:pPr>
      <w:r w:rsidRPr="00BC0D1F">
        <w:t>Dr Freddie Graham</w:t>
      </w:r>
    </w:p>
    <w:p w14:paraId="272E4A10" w14:textId="77777777" w:rsidR="00AD72CC" w:rsidRPr="00BC0D1F" w:rsidRDefault="00AD72CC" w:rsidP="004F0406">
      <w:pPr>
        <w:spacing w:before="30"/>
      </w:pPr>
      <w:r w:rsidRPr="00BC0D1F">
        <w:t>Dr Carolyn Mason</w:t>
      </w:r>
    </w:p>
    <w:p w14:paraId="35DC0016" w14:textId="77777777" w:rsidR="00AD72CC" w:rsidRPr="00BC0D1F" w:rsidRDefault="00AD72CC" w:rsidP="004F0406">
      <w:pPr>
        <w:spacing w:before="30"/>
      </w:pPr>
      <w:r w:rsidRPr="00BC0D1F">
        <w:t xml:space="preserve">Dr Adriana </w:t>
      </w:r>
      <w:proofErr w:type="spellStart"/>
      <w:r w:rsidRPr="00BC0D1F">
        <w:t>Gunder</w:t>
      </w:r>
      <w:proofErr w:type="spellEnd"/>
      <w:r w:rsidRPr="00BC0D1F">
        <w:t xml:space="preserve"> (to May 2016)</w:t>
      </w:r>
    </w:p>
    <w:p w14:paraId="53FC0F47" w14:textId="77777777" w:rsidR="00AD72CC" w:rsidRPr="00BC0D1F" w:rsidRDefault="00AD72CC" w:rsidP="004F0406">
      <w:pPr>
        <w:spacing w:before="30"/>
      </w:pPr>
      <w:r w:rsidRPr="00BC0D1F">
        <w:lastRenderedPageBreak/>
        <w:t>Ms Jo Fitzpatrick</w:t>
      </w:r>
    </w:p>
    <w:p w14:paraId="07E2F4FB" w14:textId="77777777" w:rsidR="00AD72CC" w:rsidRPr="00BC0D1F" w:rsidRDefault="00AD72CC" w:rsidP="004F0406">
      <w:pPr>
        <w:spacing w:before="30"/>
      </w:pPr>
      <w:r w:rsidRPr="00BC0D1F">
        <w:t>Dr Paul Copland (appointed August 2015)</w:t>
      </w:r>
    </w:p>
    <w:p w14:paraId="28DD0106" w14:textId="77777777" w:rsidR="00AD72CC" w:rsidRPr="00BC0D1F" w:rsidRDefault="00AD72CC" w:rsidP="004F0406">
      <w:pPr>
        <w:spacing w:before="30"/>
      </w:pPr>
      <w:r w:rsidRPr="00BC0D1F">
        <w:t>Ms Michele Stanton (appointed August 2015)</w:t>
      </w:r>
    </w:p>
    <w:p w14:paraId="417D13BA" w14:textId="77777777" w:rsidR="00AD72CC" w:rsidRPr="00BC0D1F" w:rsidRDefault="00AD72CC" w:rsidP="004F0406">
      <w:pPr>
        <w:spacing w:before="30"/>
      </w:pPr>
      <w:r w:rsidRPr="00BC0D1F">
        <w:t>Mrs Judith Charlton (appointed May 2016)</w:t>
      </w:r>
    </w:p>
    <w:p w14:paraId="766AAA86" w14:textId="77777777" w:rsidR="00DC320E" w:rsidRPr="00BC0D1F" w:rsidRDefault="00DC320E" w:rsidP="00DC320E"/>
    <w:p w14:paraId="751CBC5B" w14:textId="77777777" w:rsidR="00AD72CC" w:rsidRPr="00BC0D1F" w:rsidRDefault="00AD72CC" w:rsidP="00DC320E">
      <w:pPr>
        <w:pStyle w:val="Heading3"/>
      </w:pPr>
      <w:r w:rsidRPr="00BC0D1F">
        <w:t>Advisory Committee on Assisted Reproductive Technology</w:t>
      </w:r>
    </w:p>
    <w:p w14:paraId="6A72DBA1" w14:textId="77777777" w:rsidR="00AD72CC" w:rsidRPr="00BC0D1F" w:rsidRDefault="00AD72CC" w:rsidP="00DC320E">
      <w:pPr>
        <w:spacing w:before="30"/>
        <w:rPr>
          <w:b/>
        </w:rPr>
      </w:pPr>
      <w:r w:rsidRPr="00BC0D1F">
        <w:rPr>
          <w:b/>
        </w:rPr>
        <w:t>Ms Alison Douglass (Chair)</w:t>
      </w:r>
    </w:p>
    <w:p w14:paraId="536090F8"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 xml:space="preserve">Associate Professor Michael </w:t>
      </w:r>
      <w:proofErr w:type="spellStart"/>
      <w:r w:rsidRPr="00BC0D1F">
        <w:rPr>
          <w:rFonts w:cs="Arial"/>
          <w:color w:val="000000"/>
          <w:szCs w:val="22"/>
          <w:lang w:eastAsia="en-NZ"/>
        </w:rPr>
        <w:t>Legge</w:t>
      </w:r>
      <w:proofErr w:type="spellEnd"/>
      <w:r w:rsidRPr="00BC0D1F">
        <w:rPr>
          <w:rFonts w:cs="Arial"/>
          <w:color w:val="000000"/>
          <w:szCs w:val="22"/>
          <w:lang w:eastAsia="en-NZ"/>
        </w:rPr>
        <w:t xml:space="preserve"> (Deputy Chair) (resigned in June 2016)</w:t>
      </w:r>
    </w:p>
    <w:p w14:paraId="3AA65FFF"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Dr Karen Buckingham</w:t>
      </w:r>
    </w:p>
    <w:p w14:paraId="1BBD94AD"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Mr Jonathan Darby</w:t>
      </w:r>
    </w:p>
    <w:p w14:paraId="52FD7EEC"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Gillian Ferguson</w:t>
      </w:r>
    </w:p>
    <w:p w14:paraId="61FB07E9"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Dr Kathleen Logan</w:t>
      </w:r>
    </w:p>
    <w:p w14:paraId="766B7039"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Mrs Sue McKenzie</w:t>
      </w:r>
    </w:p>
    <w:p w14:paraId="12BD4135"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Professor John McMillan</w:t>
      </w:r>
    </w:p>
    <w:p w14:paraId="017B4388"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 xml:space="preserve">Catherine </w:t>
      </w:r>
      <w:proofErr w:type="spellStart"/>
      <w:r w:rsidRPr="00BC0D1F">
        <w:rPr>
          <w:rFonts w:cs="Arial"/>
          <w:color w:val="000000"/>
          <w:szCs w:val="22"/>
          <w:lang w:eastAsia="en-NZ"/>
        </w:rPr>
        <w:t>Poutasi</w:t>
      </w:r>
      <w:proofErr w:type="spellEnd"/>
    </w:p>
    <w:p w14:paraId="70DA7180"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Dr Barry Smith</w:t>
      </w:r>
    </w:p>
    <w:p w14:paraId="07412514" w14:textId="77777777" w:rsidR="00AD72CC" w:rsidRPr="00BC0D1F" w:rsidRDefault="00AD72CC" w:rsidP="00DC320E">
      <w:pPr>
        <w:spacing w:before="30"/>
        <w:rPr>
          <w:rFonts w:cs="Arial"/>
          <w:color w:val="000000"/>
          <w:szCs w:val="22"/>
          <w:lang w:eastAsia="en-NZ"/>
        </w:rPr>
      </w:pPr>
      <w:r w:rsidRPr="00BC0D1F">
        <w:rPr>
          <w:rFonts w:cs="Arial"/>
          <w:color w:val="000000"/>
          <w:szCs w:val="22"/>
          <w:lang w:eastAsia="en-NZ"/>
        </w:rPr>
        <w:t>Ms Nikki Horne (resigned December 2015)</w:t>
      </w:r>
    </w:p>
    <w:p w14:paraId="69382CBB" w14:textId="77777777" w:rsidR="00AD72CC" w:rsidRPr="00BC0D1F" w:rsidRDefault="00AD72CC" w:rsidP="00DC320E">
      <w:pPr>
        <w:rPr>
          <w:lang w:eastAsia="en-NZ"/>
        </w:rPr>
      </w:pPr>
    </w:p>
    <w:p w14:paraId="2B18F22E" w14:textId="77777777" w:rsidR="00AD72CC" w:rsidRPr="00BC0D1F" w:rsidRDefault="00AD72CC" w:rsidP="00DC320E">
      <w:pPr>
        <w:pStyle w:val="Heading3"/>
      </w:pPr>
      <w:r w:rsidRPr="00BC0D1F">
        <w:t>National Ethics Advisory Committee</w:t>
      </w:r>
      <w:r w:rsidRPr="00BC0D1F">
        <w:rPr>
          <w:rStyle w:val="FootnoteReference"/>
        </w:rPr>
        <w:footnoteReference w:id="37"/>
      </w:r>
    </w:p>
    <w:p w14:paraId="770F85EE" w14:textId="77777777" w:rsidR="00AD72CC" w:rsidRPr="00BC0D1F" w:rsidRDefault="00AD72CC" w:rsidP="00DC320E">
      <w:pPr>
        <w:spacing w:before="30"/>
      </w:pPr>
      <w:r w:rsidRPr="00BC0D1F">
        <w:rPr>
          <w:b/>
        </w:rPr>
        <w:t>Victoria Hinson (Chair)</w:t>
      </w:r>
      <w:r w:rsidRPr="00BC0D1F">
        <w:t xml:space="preserve"> (resigned in May 2016)</w:t>
      </w:r>
    </w:p>
    <w:p w14:paraId="2991F6A5" w14:textId="77777777" w:rsidR="00AD72CC" w:rsidRPr="00BC0D1F" w:rsidRDefault="00AD72CC" w:rsidP="00DC320E">
      <w:pPr>
        <w:spacing w:before="30"/>
        <w:rPr>
          <w:rFonts w:cs="Arial"/>
          <w:color w:val="000000"/>
          <w:lang w:eastAsia="en-NZ"/>
        </w:rPr>
      </w:pPr>
      <w:r w:rsidRPr="00BC0D1F">
        <w:rPr>
          <w:rFonts w:cs="Arial"/>
          <w:color w:val="000000"/>
          <w:lang w:eastAsia="en-NZ"/>
        </w:rPr>
        <w:t>Associate Professor Martin Wilkinson (Deputy Chair) (resigned in June 2016)</w:t>
      </w:r>
    </w:p>
    <w:p w14:paraId="5FAFE318"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Adriana </w:t>
      </w:r>
      <w:proofErr w:type="spellStart"/>
      <w:r w:rsidRPr="00BC0D1F">
        <w:rPr>
          <w:rFonts w:cs="Arial"/>
          <w:color w:val="000000"/>
          <w:lang w:eastAsia="en-NZ"/>
        </w:rPr>
        <w:t>Gunder</w:t>
      </w:r>
      <w:proofErr w:type="spellEnd"/>
      <w:r w:rsidRPr="00BC0D1F">
        <w:rPr>
          <w:rFonts w:cs="Arial"/>
          <w:color w:val="000000"/>
          <w:lang w:eastAsia="en-NZ"/>
        </w:rPr>
        <w:t xml:space="preserve"> (QSM)</w:t>
      </w:r>
    </w:p>
    <w:p w14:paraId="79A7F0AC"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Maureen </w:t>
      </w:r>
      <w:proofErr w:type="spellStart"/>
      <w:r w:rsidRPr="00BC0D1F">
        <w:rPr>
          <w:rFonts w:cs="Arial"/>
          <w:color w:val="000000"/>
          <w:lang w:eastAsia="en-NZ"/>
        </w:rPr>
        <w:t>Holdaway</w:t>
      </w:r>
      <w:proofErr w:type="spellEnd"/>
    </w:p>
    <w:p w14:paraId="3AC8F856" w14:textId="77777777" w:rsidR="00AD72CC" w:rsidRPr="00BC0D1F" w:rsidRDefault="00AD72CC" w:rsidP="00DC320E">
      <w:pPr>
        <w:spacing w:before="30"/>
        <w:rPr>
          <w:rFonts w:cs="Arial"/>
          <w:color w:val="000000"/>
          <w:lang w:eastAsia="en-NZ"/>
        </w:rPr>
      </w:pPr>
      <w:r w:rsidRPr="00BC0D1F">
        <w:rPr>
          <w:rFonts w:cs="Arial"/>
          <w:color w:val="000000"/>
          <w:lang w:eastAsia="en-NZ"/>
        </w:rPr>
        <w:t>Dr Julian Crane</w:t>
      </w:r>
    </w:p>
    <w:p w14:paraId="4AEBCCD7"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Fiona </w:t>
      </w:r>
      <w:proofErr w:type="spellStart"/>
      <w:r w:rsidRPr="00BC0D1F">
        <w:rPr>
          <w:rFonts w:cs="Arial"/>
          <w:color w:val="000000"/>
          <w:lang w:eastAsia="en-NZ"/>
        </w:rPr>
        <w:t>Imlach</w:t>
      </w:r>
      <w:proofErr w:type="spellEnd"/>
    </w:p>
    <w:p w14:paraId="531E2687"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w:t>
      </w:r>
      <w:proofErr w:type="spellStart"/>
      <w:r w:rsidRPr="00BC0D1F">
        <w:rPr>
          <w:rFonts w:cs="Arial"/>
          <w:color w:val="000000"/>
          <w:lang w:eastAsia="en-NZ"/>
        </w:rPr>
        <w:t>Kahu</w:t>
      </w:r>
      <w:proofErr w:type="spellEnd"/>
      <w:r w:rsidRPr="00BC0D1F">
        <w:rPr>
          <w:rFonts w:cs="Arial"/>
          <w:color w:val="000000"/>
          <w:lang w:eastAsia="en-NZ"/>
        </w:rPr>
        <w:t xml:space="preserve"> McClintock</w:t>
      </w:r>
    </w:p>
    <w:p w14:paraId="46B8DB64" w14:textId="77777777" w:rsidR="00AD72CC" w:rsidRPr="00BC0D1F" w:rsidRDefault="00AD72CC" w:rsidP="00DC320E">
      <w:pPr>
        <w:spacing w:before="30"/>
        <w:rPr>
          <w:rFonts w:cs="Arial"/>
          <w:color w:val="000000"/>
          <w:lang w:eastAsia="en-NZ"/>
        </w:rPr>
      </w:pPr>
      <w:r w:rsidRPr="00BC0D1F">
        <w:rPr>
          <w:rFonts w:cs="Arial"/>
          <w:color w:val="000000"/>
          <w:lang w:eastAsia="en-NZ"/>
        </w:rPr>
        <w:t>Dr Wayne Miles</w:t>
      </w:r>
    </w:p>
    <w:p w14:paraId="3CC556B5" w14:textId="77777777" w:rsidR="00AD72CC" w:rsidRPr="00BC0D1F" w:rsidRDefault="00AD72CC" w:rsidP="00DC320E">
      <w:pPr>
        <w:spacing w:before="30"/>
        <w:rPr>
          <w:rFonts w:cs="Arial"/>
          <w:color w:val="000000"/>
          <w:lang w:eastAsia="en-NZ"/>
        </w:rPr>
      </w:pPr>
      <w:r w:rsidRPr="00BC0D1F">
        <w:rPr>
          <w:rFonts w:cs="Arial"/>
          <w:color w:val="000000"/>
          <w:lang w:eastAsia="en-NZ"/>
        </w:rPr>
        <w:t>Dr Neil Pickering</w:t>
      </w:r>
    </w:p>
    <w:p w14:paraId="799C2D40" w14:textId="77777777" w:rsidR="00AD72CC" w:rsidRPr="00BC0D1F" w:rsidRDefault="00AD72CC" w:rsidP="00DC320E">
      <w:pPr>
        <w:spacing w:before="30"/>
        <w:rPr>
          <w:rFonts w:cs="Arial"/>
          <w:color w:val="000000"/>
          <w:lang w:eastAsia="en-NZ"/>
        </w:rPr>
      </w:pPr>
      <w:r w:rsidRPr="00BC0D1F">
        <w:rPr>
          <w:rFonts w:cs="Arial"/>
          <w:color w:val="000000"/>
          <w:lang w:eastAsia="en-NZ"/>
        </w:rPr>
        <w:t>Liz Richards</w:t>
      </w:r>
    </w:p>
    <w:p w14:paraId="7780E5BC"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Hope </w:t>
      </w:r>
      <w:proofErr w:type="spellStart"/>
      <w:r w:rsidRPr="00BC0D1F">
        <w:rPr>
          <w:rFonts w:cs="Arial"/>
          <w:color w:val="000000"/>
          <w:lang w:eastAsia="en-NZ"/>
        </w:rPr>
        <w:t>Tupara</w:t>
      </w:r>
      <w:proofErr w:type="spellEnd"/>
    </w:p>
    <w:p w14:paraId="26FA564F"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Dr Dana </w:t>
      </w:r>
      <w:proofErr w:type="spellStart"/>
      <w:r w:rsidRPr="00BC0D1F">
        <w:rPr>
          <w:rFonts w:cs="Arial"/>
          <w:color w:val="000000"/>
          <w:lang w:eastAsia="en-NZ"/>
        </w:rPr>
        <w:t>Wensley</w:t>
      </w:r>
      <w:proofErr w:type="spellEnd"/>
    </w:p>
    <w:p w14:paraId="6CCDD5A9" w14:textId="77777777" w:rsidR="00AD72CC" w:rsidRPr="00BC0D1F" w:rsidRDefault="00AD72CC" w:rsidP="00DC320E">
      <w:pPr>
        <w:spacing w:before="30"/>
        <w:rPr>
          <w:rFonts w:cs="Arial"/>
          <w:color w:val="000000"/>
          <w:lang w:eastAsia="en-NZ"/>
        </w:rPr>
      </w:pPr>
      <w:r w:rsidRPr="00BC0D1F">
        <w:rPr>
          <w:rFonts w:cs="Arial"/>
          <w:color w:val="000000"/>
          <w:lang w:eastAsia="en-NZ"/>
        </w:rPr>
        <w:t xml:space="preserve">Ms Nola </w:t>
      </w:r>
      <w:proofErr w:type="spellStart"/>
      <w:r w:rsidRPr="00BC0D1F">
        <w:rPr>
          <w:rFonts w:cs="Arial"/>
          <w:color w:val="000000"/>
          <w:lang w:eastAsia="en-NZ"/>
        </w:rPr>
        <w:t>Dangen</w:t>
      </w:r>
      <w:proofErr w:type="spellEnd"/>
      <w:r w:rsidRPr="00BC0D1F">
        <w:rPr>
          <w:rFonts w:cs="Arial"/>
          <w:color w:val="000000"/>
          <w:lang w:eastAsia="en-NZ"/>
        </w:rPr>
        <w:t xml:space="preserve"> (term ended in October 2015)</w:t>
      </w:r>
    </w:p>
    <w:p w14:paraId="2F8AA0BE" w14:textId="77777777" w:rsidR="00AD72CC" w:rsidRPr="00BC0D1F" w:rsidRDefault="00AD72CC" w:rsidP="00DC320E">
      <w:pPr>
        <w:spacing w:before="30"/>
        <w:rPr>
          <w:rFonts w:cs="Arial"/>
          <w:color w:val="000000"/>
          <w:lang w:eastAsia="en-NZ"/>
        </w:rPr>
      </w:pPr>
      <w:r w:rsidRPr="00BC0D1F">
        <w:rPr>
          <w:rFonts w:cs="Arial"/>
          <w:color w:val="000000"/>
          <w:lang w:eastAsia="en-NZ"/>
        </w:rPr>
        <w:t>Mr Andrew Hall (term ended in October 2015)</w:t>
      </w:r>
    </w:p>
    <w:p w14:paraId="744565AC" w14:textId="77777777" w:rsidR="00AD72CC" w:rsidRPr="00BC0D1F" w:rsidRDefault="00AD72CC" w:rsidP="00DC320E">
      <w:pPr>
        <w:spacing w:before="30"/>
        <w:rPr>
          <w:rFonts w:cs="Arial"/>
          <w:color w:val="000000"/>
          <w:lang w:eastAsia="en-NZ"/>
        </w:rPr>
      </w:pPr>
      <w:r w:rsidRPr="00BC0D1F">
        <w:rPr>
          <w:rFonts w:cs="Arial"/>
          <w:color w:val="000000"/>
          <w:lang w:eastAsia="en-NZ"/>
        </w:rPr>
        <w:t>Dr Robert Logan (term ended in October 2015)</w:t>
      </w:r>
    </w:p>
    <w:p w14:paraId="255A70B8" w14:textId="77777777" w:rsidR="00DF4B9A" w:rsidRPr="00BC0D1F" w:rsidRDefault="00AD72CC" w:rsidP="00AD72CC">
      <w:pPr>
        <w:pStyle w:val="Heading1"/>
      </w:pPr>
      <w:bookmarkStart w:id="251" w:name="_Toc367364319"/>
      <w:bookmarkStart w:id="252" w:name="_Toc368320094"/>
      <w:bookmarkStart w:id="253" w:name="_Toc388007477"/>
      <w:bookmarkStart w:id="254" w:name="_Toc388008170"/>
      <w:bookmarkStart w:id="255" w:name="_Toc398730624"/>
      <w:bookmarkStart w:id="256" w:name="_Toc419971991"/>
      <w:bookmarkStart w:id="257" w:name="_Toc430768862"/>
      <w:bookmarkStart w:id="258" w:name="_Toc459730034"/>
      <w:bookmarkStart w:id="259" w:name="_Toc461544308"/>
      <w:bookmarkStart w:id="260" w:name="_Toc463507969"/>
      <w:r w:rsidRPr="00BC0D1F">
        <w:lastRenderedPageBreak/>
        <w:t>Appendix C</w:t>
      </w:r>
      <w:proofErr w:type="gramStart"/>
      <w:r w:rsidRPr="00BC0D1F">
        <w:t>:</w:t>
      </w:r>
      <w:proofErr w:type="gramEnd"/>
      <w:r w:rsidRPr="00BC0D1F">
        <w:br/>
        <w:t>Organisational structure</w:t>
      </w:r>
      <w:bookmarkEnd w:id="251"/>
      <w:bookmarkEnd w:id="252"/>
      <w:bookmarkEnd w:id="253"/>
      <w:bookmarkEnd w:id="254"/>
      <w:bookmarkEnd w:id="255"/>
      <w:bookmarkEnd w:id="256"/>
      <w:bookmarkEnd w:id="257"/>
      <w:bookmarkEnd w:id="258"/>
      <w:bookmarkEnd w:id="259"/>
      <w:bookmarkEnd w:id="260"/>
    </w:p>
    <w:p w14:paraId="19A318CA" w14:textId="77777777" w:rsidR="00DF4B9A" w:rsidRPr="00BC0D1F" w:rsidRDefault="00AE3BCF" w:rsidP="00F8735F">
      <w:pPr>
        <w:pStyle w:val="Heading3"/>
      </w:pPr>
      <w:hyperlink r:id="rId46" w:history="1">
        <w:r w:rsidR="00AD72CC" w:rsidRPr="00BC0D1F">
          <w:t>Client Insight and Analytics</w:t>
        </w:r>
      </w:hyperlink>
    </w:p>
    <w:p w14:paraId="20FABDF9" w14:textId="77777777" w:rsidR="00DF4B9A" w:rsidRPr="00BC0D1F" w:rsidRDefault="00AD72CC" w:rsidP="00F8735F">
      <w:r w:rsidRPr="00BC0D1F">
        <w:t>Acting Chief Client Officer: Deb Struthers. The Client Insights and Analytics business unit is responsible for ensuring that all of the Ministry</w:t>
      </w:r>
      <w:r w:rsidR="00DF4B9A" w:rsidRPr="00BC0D1F">
        <w:t>’</w:t>
      </w:r>
      <w:r w:rsidRPr="00BC0D1F">
        <w:t>s clients are the focus of what the Ministry does. The business unit manages national data collections and provides evidence-based insights and analytics relating to the health and wellbeing of New Zealanders.</w:t>
      </w:r>
    </w:p>
    <w:p w14:paraId="4E56C2F6" w14:textId="77777777" w:rsidR="00F8735F" w:rsidRPr="00BC0D1F" w:rsidRDefault="00F8735F" w:rsidP="00F8735F"/>
    <w:p w14:paraId="71823879" w14:textId="77777777" w:rsidR="00DF4B9A" w:rsidRPr="00BC0D1F" w:rsidRDefault="00AE3BCF" w:rsidP="00F8735F">
      <w:pPr>
        <w:pStyle w:val="Heading3"/>
      </w:pPr>
      <w:hyperlink r:id="rId47" w:history="1">
        <w:r w:rsidR="00AD72CC" w:rsidRPr="00BC0D1F">
          <w:t>Finance and Performance</w:t>
        </w:r>
      </w:hyperlink>
    </w:p>
    <w:p w14:paraId="2BBD6362" w14:textId="77777777" w:rsidR="00AD72CC" w:rsidRPr="00BC0D1F" w:rsidRDefault="00AD72CC" w:rsidP="00F8735F">
      <w:r w:rsidRPr="00BC0D1F">
        <w:t>Chief Financial Officer: Stephen O</w:t>
      </w:r>
      <w:r w:rsidR="00DF4B9A" w:rsidRPr="00BC0D1F">
        <w:t>’</w:t>
      </w:r>
      <w:r w:rsidRPr="00BC0D1F">
        <w:t>Keefe. The Finance and Performance business unit is the authority on the health and disability system</w:t>
      </w:r>
      <w:r w:rsidR="00DF4B9A" w:rsidRPr="00BC0D1F">
        <w:t>’</w:t>
      </w:r>
      <w:r w:rsidRPr="00BC0D1F">
        <w:t>s finance, financial and non-financial performance and risk. It is also responsible for managing and delivering the Ministry</w:t>
      </w:r>
      <w:r w:rsidR="00DF4B9A" w:rsidRPr="00BC0D1F">
        <w:t>’</w:t>
      </w:r>
      <w:r w:rsidRPr="00BC0D1F">
        <w:t>s finance functions and payments to the health and disability sector. The Finance and Performance business unit works closely with the Service Commissioning business unit supporting and advising the commissioning of services.</w:t>
      </w:r>
    </w:p>
    <w:p w14:paraId="1B9A6FF5" w14:textId="77777777" w:rsidR="00F8735F" w:rsidRPr="00BC0D1F" w:rsidRDefault="00F8735F" w:rsidP="00F8735F"/>
    <w:p w14:paraId="0EC5DD2D" w14:textId="77777777" w:rsidR="00DF4B9A" w:rsidRPr="00BC0D1F" w:rsidRDefault="00AE3BCF" w:rsidP="00F8735F">
      <w:pPr>
        <w:pStyle w:val="Heading3"/>
      </w:pPr>
      <w:hyperlink r:id="rId48" w:history="1">
        <w:r w:rsidR="00AD72CC" w:rsidRPr="00BC0D1F">
          <w:t>People and Transformation</w:t>
        </w:r>
      </w:hyperlink>
    </w:p>
    <w:p w14:paraId="57C2D2A6" w14:textId="77777777" w:rsidR="00AD72CC" w:rsidRPr="00BC0D1F" w:rsidRDefault="00AD72CC" w:rsidP="00F8735F">
      <w:r w:rsidRPr="00BC0D1F">
        <w:t>Chief People and Transformation Officer: Stephen Barclay. The People and Transformation business unit is responsible for sector workforce and managing and delivering the Ministry</w:t>
      </w:r>
      <w:r w:rsidR="00DF4B9A" w:rsidRPr="00BC0D1F">
        <w:t>’</w:t>
      </w:r>
      <w:r w:rsidRPr="00BC0D1F">
        <w:t>s human resources and internal organisational strategy. The unit is also the business owner for the Ministry</w:t>
      </w:r>
      <w:r w:rsidR="00DF4B9A" w:rsidRPr="00BC0D1F">
        <w:t>’</w:t>
      </w:r>
      <w:r w:rsidRPr="00BC0D1F">
        <w:t>s in-house information technology strategy and leads the Ministry</w:t>
      </w:r>
      <w:r w:rsidR="00DF4B9A" w:rsidRPr="00BC0D1F">
        <w:t>’</w:t>
      </w:r>
      <w:r w:rsidRPr="00BC0D1F">
        <w:t>s change programme and operating model.</w:t>
      </w:r>
    </w:p>
    <w:p w14:paraId="68181932" w14:textId="77777777" w:rsidR="00F8735F" w:rsidRPr="00BC0D1F" w:rsidRDefault="00F8735F" w:rsidP="00F8735F"/>
    <w:p w14:paraId="7F8B8CC5" w14:textId="77777777" w:rsidR="00DF4B9A" w:rsidRPr="00BC0D1F" w:rsidRDefault="00AE3BCF" w:rsidP="00F8735F">
      <w:pPr>
        <w:pStyle w:val="Heading3"/>
      </w:pPr>
      <w:hyperlink r:id="rId49" w:history="1">
        <w:r w:rsidR="00AD72CC" w:rsidRPr="00BC0D1F">
          <w:t>Protection, Regulation and Assurance</w:t>
        </w:r>
      </w:hyperlink>
    </w:p>
    <w:p w14:paraId="27A45A34" w14:textId="77777777" w:rsidR="00AD72CC" w:rsidRPr="00BC0D1F" w:rsidRDefault="00AD72CC" w:rsidP="00F8735F">
      <w:r w:rsidRPr="00BC0D1F">
        <w:t>Director, Protection, Regulation and Assurance: Stewart Jessamine. The Protection, Regulation and Assurance business unit ensures the quality and safety of health and disability services, protects and promotes the health of New Zealanders, and provides assurance and enforcement for both regulatory and contract compliance. The business unit works closely with the Service Commissioning business unit and DHBs to ensure service quality is of a high standard.</w:t>
      </w:r>
    </w:p>
    <w:p w14:paraId="67254173" w14:textId="77777777" w:rsidR="00F8735F" w:rsidRPr="00BC0D1F" w:rsidRDefault="00F8735F" w:rsidP="00F8735F"/>
    <w:p w14:paraId="1B4CBA56" w14:textId="77777777" w:rsidR="00DF4B9A" w:rsidRPr="00BC0D1F" w:rsidRDefault="00AE3BCF" w:rsidP="00F8735F">
      <w:pPr>
        <w:pStyle w:val="Heading3"/>
      </w:pPr>
      <w:hyperlink r:id="rId50" w:history="1">
        <w:r w:rsidR="00AD72CC" w:rsidRPr="00BC0D1F">
          <w:t>Service Commissioning</w:t>
        </w:r>
      </w:hyperlink>
    </w:p>
    <w:p w14:paraId="69953BBF" w14:textId="77777777" w:rsidR="00AD72CC" w:rsidRPr="00BC0D1F" w:rsidRDefault="00AD72CC" w:rsidP="00F8735F">
      <w:r w:rsidRPr="00BC0D1F">
        <w:t>Director, Service Commissioning: Jill Lane. The Service Commissioning business unit manages the relationships between the Ministry and health and disability service providers. This includes funding, purchasing, performance management, commercial advice and contractual arrangements. The business unit works closely with the Strategy and Policy and the Finance and Performance business units to design, plan and fund health and disability initiatives.</w:t>
      </w:r>
    </w:p>
    <w:p w14:paraId="1D220BAB" w14:textId="77777777" w:rsidR="00F8735F" w:rsidRPr="00BC0D1F" w:rsidRDefault="00F8735F" w:rsidP="00F8735F"/>
    <w:p w14:paraId="3E266D92" w14:textId="77777777" w:rsidR="00DF4B9A" w:rsidRPr="00BC0D1F" w:rsidRDefault="00AE3BCF" w:rsidP="00F8735F">
      <w:pPr>
        <w:pStyle w:val="Heading3"/>
      </w:pPr>
      <w:hyperlink r:id="rId51" w:history="1">
        <w:r w:rsidR="00AD72CC" w:rsidRPr="00BC0D1F">
          <w:t>Strategy and Policy</w:t>
        </w:r>
      </w:hyperlink>
    </w:p>
    <w:p w14:paraId="63465AB2" w14:textId="77777777" w:rsidR="00AD72CC" w:rsidRPr="00BC0D1F" w:rsidRDefault="00AD72CC" w:rsidP="00F8735F">
      <w:pPr>
        <w:keepLines/>
      </w:pPr>
      <w:r w:rsidRPr="00BC0D1F">
        <w:t xml:space="preserve">Chief Strategy and Policy Officer: </w:t>
      </w:r>
      <w:proofErr w:type="spellStart"/>
      <w:r w:rsidRPr="00BC0D1F">
        <w:t>Hamiora</w:t>
      </w:r>
      <w:proofErr w:type="spellEnd"/>
      <w:r w:rsidRPr="00BC0D1F">
        <w:t xml:space="preserve"> </w:t>
      </w:r>
      <w:proofErr w:type="spellStart"/>
      <w:r w:rsidRPr="00BC0D1F">
        <w:t>Bowkett</w:t>
      </w:r>
      <w:proofErr w:type="spellEnd"/>
      <w:r w:rsidRPr="00BC0D1F">
        <w:t>. The Strategy and Policy business unit is responsible for the Ministry</w:t>
      </w:r>
      <w:r w:rsidR="00DF4B9A" w:rsidRPr="00BC0D1F">
        <w:t>’</w:t>
      </w:r>
      <w:r w:rsidRPr="00BC0D1F">
        <w:t>s advice on the health and disability system. It develops and enables</w:t>
      </w:r>
      <w:r w:rsidR="00F8735F" w:rsidRPr="00BC0D1F">
        <w:t xml:space="preserve"> </w:t>
      </w:r>
      <w:r w:rsidRPr="00BC0D1F">
        <w:t>implementation of</w:t>
      </w:r>
      <w:r w:rsidR="00F8735F" w:rsidRPr="00BC0D1F">
        <w:t xml:space="preserve"> </w:t>
      </w:r>
      <w:r w:rsidRPr="00BC0D1F">
        <w:t>strategy and policy, including advice on Māori health, the health workforce, technology and regulation.</w:t>
      </w:r>
    </w:p>
    <w:p w14:paraId="1D1244A5" w14:textId="77777777" w:rsidR="00F8735F" w:rsidRPr="00BC0D1F" w:rsidRDefault="00F8735F" w:rsidP="00F8735F"/>
    <w:p w14:paraId="60E02995" w14:textId="77777777" w:rsidR="00DF4B9A" w:rsidRPr="00BC0D1F" w:rsidRDefault="00AE3BCF" w:rsidP="00F8735F">
      <w:pPr>
        <w:pStyle w:val="Heading3"/>
      </w:pPr>
      <w:hyperlink r:id="rId52" w:history="1">
        <w:r w:rsidR="00AD72CC" w:rsidRPr="00BC0D1F">
          <w:t>Technology and Digital Services</w:t>
        </w:r>
      </w:hyperlink>
    </w:p>
    <w:p w14:paraId="12A82973" w14:textId="77777777" w:rsidR="00AD72CC" w:rsidRPr="00BC0D1F" w:rsidRDefault="00AD72CC" w:rsidP="00F8735F">
      <w:r w:rsidRPr="00BC0D1F">
        <w:t>Acting Chief Technology and Digital Services Officer: Giles Southwell. The Technology and Digital Services business unit delivers technology and digital services to the Ministry and the health and disability sector. It also plays an important role in assessing the potential impact of existing and emerging health technology. The business unit works closely with the Strategy and Policy business unit, the Chief Medical Officer and the Chief Nursing Officer to develop and implement the technology and digital strategy for the health and disability sector.</w:t>
      </w:r>
    </w:p>
    <w:p w14:paraId="584ADEF7" w14:textId="77777777" w:rsidR="00F8735F" w:rsidRPr="00BC0D1F" w:rsidRDefault="00F8735F" w:rsidP="00F8735F"/>
    <w:p w14:paraId="4B58A0CB" w14:textId="77777777" w:rsidR="00DF4B9A" w:rsidRPr="00BC0D1F" w:rsidRDefault="00AE3BCF" w:rsidP="00F8735F">
      <w:pPr>
        <w:pStyle w:val="Heading3"/>
      </w:pPr>
      <w:hyperlink r:id="rId53" w:history="1">
        <w:r w:rsidR="00AD72CC" w:rsidRPr="00BC0D1F">
          <w:t>Office of the Director-General</w:t>
        </w:r>
      </w:hyperlink>
    </w:p>
    <w:p w14:paraId="221D5747" w14:textId="59D13366" w:rsidR="00AD72CC" w:rsidRPr="00BC0D1F" w:rsidRDefault="00AD72CC" w:rsidP="00F8735F">
      <w:r w:rsidRPr="00BC0D1F">
        <w:t>Executive Director: Jill Bond. The Office of the Director-General of Health is responsible for government and ministerial services, internal and external communications, assurance and risk management, and provides support to the Director-General of Health, Ministers and the Executive Leadership Team. The office also supports the Chief Science Officer.</w:t>
      </w:r>
    </w:p>
    <w:p w14:paraId="5AA9F5DD" w14:textId="77777777" w:rsidR="00F8735F" w:rsidRPr="00BC0D1F" w:rsidRDefault="00F8735F" w:rsidP="00F8735F"/>
    <w:p w14:paraId="454A0C88" w14:textId="77777777" w:rsidR="00DF4B9A" w:rsidRPr="00BC0D1F" w:rsidRDefault="00AE3BCF" w:rsidP="00F8735F">
      <w:pPr>
        <w:pStyle w:val="Heading3"/>
      </w:pPr>
      <w:hyperlink r:id="rId54" w:history="1">
        <w:r w:rsidR="00AD72CC" w:rsidRPr="00BC0D1F">
          <w:t>Māori Leadership</w:t>
        </w:r>
      </w:hyperlink>
    </w:p>
    <w:p w14:paraId="44CF90CD" w14:textId="77777777" w:rsidR="00AD72CC" w:rsidRPr="00BC0D1F" w:rsidRDefault="00AD72CC" w:rsidP="00F8735F">
      <w:r w:rsidRPr="00BC0D1F">
        <w:t xml:space="preserve">Māori Leadership: Alison Thom. Māori Leadership is a strategic role that leads the Ministry and sector in reducing Māori health inequalities. It is the </w:t>
      </w:r>
      <w:proofErr w:type="spellStart"/>
      <w:r w:rsidRPr="00BC0D1F">
        <w:t>poutoko</w:t>
      </w:r>
      <w:proofErr w:type="spellEnd"/>
      <w:r w:rsidRPr="00BC0D1F">
        <w:t xml:space="preserve"> </w:t>
      </w:r>
      <w:proofErr w:type="spellStart"/>
      <w:r w:rsidRPr="00BC0D1F">
        <w:t>manawa</w:t>
      </w:r>
      <w:proofErr w:type="spellEnd"/>
      <w:r w:rsidRPr="00BC0D1F">
        <w:t xml:space="preserve"> (backbone) for the Ministry and health and disability sector in their efforts to promote, protect and partner with Māori. Māori Leadership has strong relationships within the health and disability sector and government agencies, and with iwi Māori.</w:t>
      </w:r>
    </w:p>
    <w:p w14:paraId="69F2E8AE" w14:textId="77777777" w:rsidR="00F8735F" w:rsidRPr="00BC0D1F" w:rsidRDefault="00F8735F" w:rsidP="00F8735F"/>
    <w:p w14:paraId="26D53DBE" w14:textId="77777777" w:rsidR="00DF4B9A" w:rsidRPr="00BC0D1F" w:rsidRDefault="00AE3BCF" w:rsidP="00F8735F">
      <w:pPr>
        <w:pStyle w:val="Heading3"/>
      </w:pPr>
      <w:hyperlink r:id="rId55" w:history="1">
        <w:r w:rsidR="00AD72CC" w:rsidRPr="00BC0D1F">
          <w:t>Chief Nursing Officer</w:t>
        </w:r>
      </w:hyperlink>
    </w:p>
    <w:p w14:paraId="5DAE7664" w14:textId="77777777" w:rsidR="00AD72CC" w:rsidRPr="00BC0D1F" w:rsidRDefault="00AD72CC" w:rsidP="00F8735F">
      <w:r w:rsidRPr="00BC0D1F">
        <w:t>Chief Nursing Officer: Jane O</w:t>
      </w:r>
      <w:r w:rsidR="00DF4B9A" w:rsidRPr="00BC0D1F">
        <w:t>’</w:t>
      </w:r>
      <w:r w:rsidRPr="00BC0D1F">
        <w:t>Malley. The Chief Nursing Officer is the point of contact for clinical leadership and advice to the Ministry, Ministers and the health and disability sector. It supports professional development within the Ministry and the nursing workforce. The Chief Nursing Officer works in partnership with the Chief Medical Officer, DHBs and clinicians.</w:t>
      </w:r>
    </w:p>
    <w:p w14:paraId="0900C867" w14:textId="77777777" w:rsidR="00F8735F" w:rsidRPr="00BC0D1F" w:rsidRDefault="00F8735F" w:rsidP="00F8735F"/>
    <w:p w14:paraId="7E14C45F" w14:textId="77777777" w:rsidR="00DF4B9A" w:rsidRPr="00BC0D1F" w:rsidRDefault="00AE3BCF" w:rsidP="00F8735F">
      <w:pPr>
        <w:pStyle w:val="Heading3"/>
      </w:pPr>
      <w:hyperlink r:id="rId56" w:history="1">
        <w:r w:rsidR="00AD72CC" w:rsidRPr="00BC0D1F">
          <w:t>Chief Medical Officer</w:t>
        </w:r>
      </w:hyperlink>
    </w:p>
    <w:p w14:paraId="7DBE701C" w14:textId="77777777" w:rsidR="00AD72CC" w:rsidRPr="00BC0D1F" w:rsidRDefault="00AD72CC" w:rsidP="00F8735F">
      <w:r w:rsidRPr="00BC0D1F">
        <w:t>Acting Chief Medical Officer: Andy Simpson. The Chief Medical Officer is the point of contact for clinical leadership and advice to the Ministry, Ministers and health and disability sector. He/she supports professional development within the Ministry and the clinical workforce. The Chief Medical Officer works in partnership with the Chief Nursing Officer, DHBs and clinicians.</w:t>
      </w:r>
    </w:p>
    <w:p w14:paraId="0DDFEF44" w14:textId="77777777" w:rsidR="00F8735F" w:rsidRPr="00BC0D1F" w:rsidRDefault="00F8735F" w:rsidP="00F8735F"/>
    <w:p w14:paraId="62EAB860" w14:textId="77777777" w:rsidR="00DF4B9A" w:rsidRPr="00BC0D1F" w:rsidRDefault="00AE3BCF" w:rsidP="00F8735F">
      <w:pPr>
        <w:pStyle w:val="Heading3"/>
      </w:pPr>
      <w:hyperlink r:id="rId57" w:history="1">
        <w:r w:rsidR="00AD72CC" w:rsidRPr="00BC0D1F">
          <w:t>Critical Projects</w:t>
        </w:r>
      </w:hyperlink>
    </w:p>
    <w:p w14:paraId="61B02F50" w14:textId="77777777" w:rsidR="00AD72CC" w:rsidRPr="00BC0D1F" w:rsidRDefault="00AD72CC" w:rsidP="00F8735F">
      <w:r w:rsidRPr="00BC0D1F">
        <w:t xml:space="preserve">Director, Critical Projects: Michael </w:t>
      </w:r>
      <w:proofErr w:type="spellStart"/>
      <w:r w:rsidRPr="00BC0D1F">
        <w:t>Hundleby</w:t>
      </w:r>
      <w:proofErr w:type="spellEnd"/>
      <w:r w:rsidRPr="00BC0D1F">
        <w:t>. Critical Projects oversees and manages critical priority projects on behalf of the Director-General of Health. Critical Projects has been established for a fixed term of two years.</w:t>
      </w:r>
    </w:p>
    <w:p w14:paraId="3F13F43E" w14:textId="77777777" w:rsidR="00AD72CC" w:rsidRPr="00BC0D1F" w:rsidRDefault="00AD72CC" w:rsidP="00F8735F"/>
    <w:p w14:paraId="7B8DC2BD" w14:textId="77777777" w:rsidR="00DF4B9A" w:rsidRPr="00BC0D1F" w:rsidRDefault="00AD72CC" w:rsidP="00F8735F">
      <w:pPr>
        <w:pStyle w:val="Heading1"/>
      </w:pPr>
      <w:bookmarkStart w:id="261" w:name="_Toc337209251"/>
      <w:bookmarkStart w:id="262" w:name="_Toc368320095"/>
      <w:bookmarkStart w:id="263" w:name="_Toc388007478"/>
      <w:bookmarkStart w:id="264" w:name="_Toc388008171"/>
      <w:bookmarkStart w:id="265" w:name="_Toc398730625"/>
      <w:bookmarkStart w:id="266" w:name="_Toc419971992"/>
      <w:bookmarkStart w:id="267" w:name="_Toc430768863"/>
      <w:bookmarkStart w:id="268" w:name="_Toc459730035"/>
      <w:bookmarkStart w:id="269" w:name="_Toc461544309"/>
      <w:bookmarkStart w:id="270" w:name="_Toc463507970"/>
      <w:r w:rsidRPr="00BC0D1F">
        <w:lastRenderedPageBreak/>
        <w:t>Appendix D</w:t>
      </w:r>
      <w:proofErr w:type="gramStart"/>
      <w:r w:rsidRPr="00BC0D1F">
        <w:t>:</w:t>
      </w:r>
      <w:proofErr w:type="gramEnd"/>
      <w:r w:rsidR="00F8735F" w:rsidRPr="00BC0D1F">
        <w:br/>
      </w:r>
      <w:r w:rsidRPr="00BC0D1F">
        <w:t>Staff information</w:t>
      </w:r>
      <w:bookmarkEnd w:id="261"/>
      <w:bookmarkEnd w:id="262"/>
      <w:bookmarkEnd w:id="263"/>
      <w:bookmarkEnd w:id="264"/>
      <w:bookmarkEnd w:id="265"/>
      <w:bookmarkEnd w:id="266"/>
      <w:bookmarkEnd w:id="267"/>
      <w:bookmarkEnd w:id="268"/>
      <w:bookmarkEnd w:id="269"/>
      <w:bookmarkEnd w:id="270"/>
    </w:p>
    <w:p w14:paraId="0874D329" w14:textId="77777777" w:rsidR="00AD72CC" w:rsidRPr="00BC0D1F" w:rsidRDefault="00AD72CC" w:rsidP="00F15FAC">
      <w:pPr>
        <w:pStyle w:val="Heading3"/>
      </w:pPr>
      <w:bookmarkStart w:id="271" w:name="_Toc390259050"/>
      <w:bookmarkStart w:id="272" w:name="_Toc422822382"/>
      <w:r w:rsidRPr="00BC0D1F">
        <w:t>Permanent staff</w:t>
      </w:r>
    </w:p>
    <w:p w14:paraId="04D5812C" w14:textId="77777777" w:rsidR="00AD72CC" w:rsidRPr="00BC0D1F" w:rsidRDefault="00AD72CC" w:rsidP="00F15FAC">
      <w:r w:rsidRPr="00BC0D1F">
        <w:t>The number of permanent staff at the Ministry as at 30 June 2016 was 1038.41 full-time equivalents (FTEs), or 1081 individuals.</w:t>
      </w:r>
    </w:p>
    <w:p w14:paraId="0DC92E15" w14:textId="77777777" w:rsidR="00AD72CC" w:rsidRPr="00BC0D1F" w:rsidRDefault="00AD72CC" w:rsidP="00F15FAC"/>
    <w:p w14:paraId="79F99ED6" w14:textId="77777777" w:rsidR="00AD72CC" w:rsidRPr="00BC0D1F" w:rsidRDefault="00AD72CC" w:rsidP="00F15FAC">
      <w:pPr>
        <w:pStyle w:val="Figure"/>
      </w:pPr>
      <w:bookmarkStart w:id="273" w:name="_Toc462926729"/>
      <w:r w:rsidRPr="00BC0D1F">
        <w:t>Figure D1: Staff FTEs and headcounts, by business unit</w:t>
      </w:r>
      <w:bookmarkEnd w:id="273"/>
    </w:p>
    <w:p w14:paraId="784F7552" w14:textId="77777777" w:rsidR="00AD72CC" w:rsidRPr="00BC0D1F" w:rsidRDefault="00CD7E9C" w:rsidP="009209A5">
      <w:r w:rsidRPr="00BC0D1F">
        <w:rPr>
          <w:noProof/>
          <w:lang w:eastAsia="en-NZ"/>
        </w:rPr>
        <w:drawing>
          <wp:inline distT="0" distB="0" distL="0" distR="0" wp14:anchorId="7B153A5F" wp14:editId="786D5588">
            <wp:extent cx="4679950" cy="2851150"/>
            <wp:effectExtent l="0" t="0" r="6350" b="6350"/>
            <wp:docPr id="144" name="Picture 1" title="Figure D1: Staff FTEs and headcounts, by busines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1B54B51D" w14:textId="77777777" w:rsidR="00AD72CC" w:rsidRPr="00BC0D1F" w:rsidRDefault="00AD72CC" w:rsidP="00F15FAC"/>
    <w:p w14:paraId="1BB4E9C9" w14:textId="77777777" w:rsidR="00AD72CC" w:rsidRPr="00BC0D1F" w:rsidRDefault="00AD72CC" w:rsidP="00F15FAC">
      <w:pPr>
        <w:pStyle w:val="Heading3"/>
      </w:pPr>
      <w:r w:rsidRPr="00BC0D1F">
        <w:t>Turnover</w:t>
      </w:r>
    </w:p>
    <w:p w14:paraId="06798C1B" w14:textId="77777777" w:rsidR="00AD72CC" w:rsidRPr="00BC0D1F" w:rsidRDefault="00AD72CC" w:rsidP="00F15FAC">
      <w:r w:rsidRPr="00BC0D1F">
        <w:t>The 12-month gross rolling average turnover rate for 2015/16 was 14.8 percent; 163 staff left the Ministry during the year.</w:t>
      </w:r>
    </w:p>
    <w:p w14:paraId="00009140" w14:textId="77777777" w:rsidR="00AD72CC" w:rsidRPr="00BC0D1F" w:rsidRDefault="00AD72CC" w:rsidP="00F15FAC"/>
    <w:p w14:paraId="30D0E286" w14:textId="77777777" w:rsidR="00AD72CC" w:rsidRPr="00BC0D1F" w:rsidRDefault="00AD72CC" w:rsidP="00F15FAC">
      <w:pPr>
        <w:pStyle w:val="Heading3"/>
      </w:pPr>
      <w:r w:rsidRPr="00BC0D1F">
        <w:lastRenderedPageBreak/>
        <w:t>Length of service</w:t>
      </w:r>
    </w:p>
    <w:p w14:paraId="588EF0D7" w14:textId="77777777" w:rsidR="00AD72CC" w:rsidRPr="00BC0D1F" w:rsidRDefault="00AD72CC" w:rsidP="000D7CBA">
      <w:pPr>
        <w:keepNext/>
      </w:pPr>
      <w:r w:rsidRPr="00BC0D1F">
        <w:t>The average length of service for Ministry staff is seven years. Over 50 percent of current staff have been with the Ministry over five years.</w:t>
      </w:r>
    </w:p>
    <w:p w14:paraId="7EBA5EA3" w14:textId="77777777" w:rsidR="00AD72CC" w:rsidRPr="00BC0D1F" w:rsidRDefault="00AD72CC" w:rsidP="000D7CBA">
      <w:pPr>
        <w:keepNext/>
      </w:pPr>
    </w:p>
    <w:p w14:paraId="4ECDA10E" w14:textId="77777777" w:rsidR="00AD72CC" w:rsidRPr="00BC0D1F" w:rsidRDefault="00AD72CC" w:rsidP="00F15FAC">
      <w:pPr>
        <w:pStyle w:val="Figure"/>
      </w:pPr>
      <w:bookmarkStart w:id="274" w:name="_Toc462926730"/>
      <w:r w:rsidRPr="00BC0D1F">
        <w:t>Figure D2: Staff numbers, by length of service</w:t>
      </w:r>
      <w:bookmarkEnd w:id="274"/>
    </w:p>
    <w:p w14:paraId="41A86A15" w14:textId="77777777" w:rsidR="00AD72CC" w:rsidRPr="00BC0D1F" w:rsidRDefault="00CD7E9C" w:rsidP="00AD72CC">
      <w:r w:rsidRPr="00BC0D1F">
        <w:rPr>
          <w:noProof/>
          <w:lang w:eastAsia="en-NZ"/>
        </w:rPr>
        <w:drawing>
          <wp:inline distT="0" distB="0" distL="0" distR="0" wp14:anchorId="15772889" wp14:editId="175AD96D">
            <wp:extent cx="4679950" cy="2851150"/>
            <wp:effectExtent l="0" t="0" r="6350" b="6350"/>
            <wp:docPr id="148" name="Picture 1" title="Figure D2: Staff numbers, by length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74FA72DB" w14:textId="77777777" w:rsidR="00AD72CC" w:rsidRPr="00BC0D1F" w:rsidRDefault="00AD72CC" w:rsidP="00F15FAC"/>
    <w:p w14:paraId="4715237C" w14:textId="77777777" w:rsidR="00AD72CC" w:rsidRPr="00BC0D1F" w:rsidRDefault="00AD72CC" w:rsidP="00F15FAC">
      <w:pPr>
        <w:pStyle w:val="Heading3"/>
      </w:pPr>
      <w:r w:rsidRPr="00BC0D1F">
        <w:t>Ethnicity</w:t>
      </w:r>
    </w:p>
    <w:p w14:paraId="10FF237E" w14:textId="77777777" w:rsidR="00AD72CC" w:rsidRPr="00BC0D1F" w:rsidRDefault="00AD72CC" w:rsidP="00F15FAC">
      <w:r w:rsidRPr="00BC0D1F">
        <w:t>The New Zealand European ethnic group is the most dominant group within the Ministry, at 63 percent.</w:t>
      </w:r>
    </w:p>
    <w:p w14:paraId="27014B47" w14:textId="77777777" w:rsidR="00AD72CC" w:rsidRPr="00BC0D1F" w:rsidRDefault="00AD72CC" w:rsidP="00F15FAC"/>
    <w:p w14:paraId="77B1A69A" w14:textId="77777777" w:rsidR="00AD72CC" w:rsidRPr="00BC0D1F" w:rsidRDefault="00AD72CC" w:rsidP="00F15FAC">
      <w:pPr>
        <w:pStyle w:val="Figure"/>
      </w:pPr>
      <w:bookmarkStart w:id="275" w:name="_Toc462926731"/>
      <w:r w:rsidRPr="00BC0D1F">
        <w:t>Figure D3: Staff ethnicity</w:t>
      </w:r>
      <w:bookmarkEnd w:id="275"/>
    </w:p>
    <w:p w14:paraId="75514A8B" w14:textId="77777777" w:rsidR="00F15FAC" w:rsidRPr="00BC0D1F" w:rsidRDefault="00CD7E9C" w:rsidP="00875022">
      <w:r w:rsidRPr="00BC0D1F">
        <w:rPr>
          <w:noProof/>
          <w:lang w:eastAsia="en-NZ"/>
        </w:rPr>
        <w:drawing>
          <wp:inline distT="0" distB="0" distL="0" distR="0" wp14:anchorId="1353F348" wp14:editId="16A8CBFA">
            <wp:extent cx="4679950" cy="2851150"/>
            <wp:effectExtent l="0" t="0" r="6350" b="6350"/>
            <wp:docPr id="152" name="Picture 1" title="Figure D3: Staff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4AA5A637" w14:textId="77777777" w:rsidR="00AD72CC" w:rsidRPr="00BC0D1F" w:rsidRDefault="00AD72CC" w:rsidP="00F15FAC"/>
    <w:p w14:paraId="4FE65F3A" w14:textId="77777777" w:rsidR="00AD72CC" w:rsidRPr="00BC0D1F" w:rsidRDefault="00AD72CC" w:rsidP="00F15FAC">
      <w:pPr>
        <w:pStyle w:val="Heading3"/>
      </w:pPr>
      <w:r w:rsidRPr="00BC0D1F">
        <w:lastRenderedPageBreak/>
        <w:t>Gender and age</w:t>
      </w:r>
    </w:p>
    <w:p w14:paraId="53E00657" w14:textId="77777777" w:rsidR="00DF4B9A" w:rsidRPr="00BC0D1F" w:rsidRDefault="00AD72CC" w:rsidP="000D7CBA">
      <w:pPr>
        <w:keepNext/>
      </w:pPr>
      <w:r w:rsidRPr="00BC0D1F">
        <w:t>Approximately 33 percent of Ministry staff are male and 67 percent are female.</w:t>
      </w:r>
    </w:p>
    <w:p w14:paraId="54602261" w14:textId="77777777" w:rsidR="00AD72CC" w:rsidRPr="00BC0D1F" w:rsidRDefault="00AD72CC" w:rsidP="000D7CBA">
      <w:pPr>
        <w:keepNext/>
      </w:pPr>
    </w:p>
    <w:p w14:paraId="0713B6DD" w14:textId="77777777" w:rsidR="00AD72CC" w:rsidRPr="00BC0D1F" w:rsidRDefault="00AD72CC" w:rsidP="000D7CBA">
      <w:pPr>
        <w:keepNext/>
      </w:pPr>
      <w:r w:rsidRPr="00BC0D1F">
        <w:t>The overall average age of Ministry staff is 46 years (47 for males and 45 for females).</w:t>
      </w:r>
    </w:p>
    <w:p w14:paraId="1A5AE4AD" w14:textId="77777777" w:rsidR="00AD72CC" w:rsidRPr="00BC0D1F" w:rsidRDefault="00AD72CC" w:rsidP="00F15FAC"/>
    <w:p w14:paraId="2C0370A7" w14:textId="77777777" w:rsidR="00AD72CC" w:rsidRPr="00BC0D1F" w:rsidRDefault="00AD72CC" w:rsidP="00F15FAC">
      <w:pPr>
        <w:pStyle w:val="Figure"/>
      </w:pPr>
      <w:bookmarkStart w:id="276" w:name="_Toc462926732"/>
      <w:r w:rsidRPr="00BC0D1F">
        <w:t>Figure D4: Staff numbers, by age group and gender</w:t>
      </w:r>
      <w:bookmarkEnd w:id="276"/>
    </w:p>
    <w:p w14:paraId="1B058C2A" w14:textId="77777777" w:rsidR="00AD72CC" w:rsidRPr="00BC0D1F" w:rsidRDefault="00CD7E9C" w:rsidP="00875022">
      <w:r w:rsidRPr="00BC0D1F">
        <w:rPr>
          <w:noProof/>
          <w:lang w:eastAsia="en-NZ"/>
        </w:rPr>
        <w:drawing>
          <wp:inline distT="0" distB="0" distL="0" distR="0" wp14:anchorId="64A5FFD9" wp14:editId="4F55135B">
            <wp:extent cx="4679950" cy="2851150"/>
            <wp:effectExtent l="0" t="0" r="6350" b="6350"/>
            <wp:docPr id="156" name="Picture 1" title="Figure D4: Staff numbers, by age group and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3EDEE466" w14:textId="77777777" w:rsidR="00AD72CC" w:rsidRPr="00BC0D1F" w:rsidRDefault="00AD72CC" w:rsidP="00F15FAC"/>
    <w:p w14:paraId="07ECFF4A" w14:textId="77777777" w:rsidR="00AD72CC" w:rsidRPr="00BC0D1F" w:rsidRDefault="00AD72CC" w:rsidP="00F15FAC">
      <w:pPr>
        <w:pStyle w:val="Figure"/>
      </w:pPr>
      <w:bookmarkStart w:id="277" w:name="_Toc462926733"/>
      <w:r w:rsidRPr="00BC0D1F">
        <w:t>Figure D5: Gender proportion, by age group</w:t>
      </w:r>
      <w:bookmarkEnd w:id="277"/>
    </w:p>
    <w:p w14:paraId="2A0A7261" w14:textId="77777777" w:rsidR="00AD72CC" w:rsidRPr="00BC0D1F" w:rsidRDefault="00CD7E9C" w:rsidP="00AD72CC">
      <w:pPr>
        <w:rPr>
          <w:noProof/>
          <w:lang w:eastAsia="en-NZ"/>
        </w:rPr>
      </w:pPr>
      <w:r w:rsidRPr="00BC0D1F">
        <w:rPr>
          <w:noProof/>
          <w:lang w:eastAsia="en-NZ"/>
        </w:rPr>
        <w:drawing>
          <wp:inline distT="0" distB="0" distL="0" distR="0" wp14:anchorId="0DD456A4" wp14:editId="260C771E">
            <wp:extent cx="4679950" cy="2851150"/>
            <wp:effectExtent l="0" t="0" r="6350" b="6350"/>
            <wp:docPr id="160" name="Picture 1" title="Figure D5: Gender proportion,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79950" cy="2851150"/>
                    </a:xfrm>
                    <a:prstGeom prst="rect">
                      <a:avLst/>
                    </a:prstGeom>
                    <a:noFill/>
                    <a:ln>
                      <a:noFill/>
                    </a:ln>
                  </pic:spPr>
                </pic:pic>
              </a:graphicData>
            </a:graphic>
          </wp:inline>
        </w:drawing>
      </w:r>
    </w:p>
    <w:p w14:paraId="6DD2CB6D" w14:textId="77777777" w:rsidR="00AD72CC" w:rsidRPr="00BC0D1F" w:rsidRDefault="00AD72CC" w:rsidP="00F15FAC"/>
    <w:p w14:paraId="4AD30CC8" w14:textId="77777777" w:rsidR="00AD72CC" w:rsidRPr="00BC0D1F" w:rsidRDefault="00AD72CC" w:rsidP="000B0F53">
      <w:pPr>
        <w:pStyle w:val="Heading3"/>
      </w:pPr>
      <w:r w:rsidRPr="00BC0D1F">
        <w:lastRenderedPageBreak/>
        <w:t>Salary</w:t>
      </w:r>
    </w:p>
    <w:p w14:paraId="1D9E3BFC" w14:textId="77777777" w:rsidR="00AD72CC" w:rsidRPr="00BC0D1F" w:rsidRDefault="00AD72CC" w:rsidP="000D7CBA">
      <w:pPr>
        <w:keepNext/>
      </w:pPr>
      <w:r w:rsidRPr="00BC0D1F">
        <w:t>Overall, average salaries of Ministry staff have increased since 2014/15, from approximately $90,000 to approximately $92,000. This is an increase of approximately 2.2 percent.</w:t>
      </w:r>
    </w:p>
    <w:p w14:paraId="5A6FF887" w14:textId="77777777" w:rsidR="00AD72CC" w:rsidRPr="00BC0D1F" w:rsidRDefault="00AD72CC" w:rsidP="000D7CBA">
      <w:pPr>
        <w:keepNext/>
        <w:rPr>
          <w:noProof/>
          <w:lang w:eastAsia="en-NZ"/>
        </w:rPr>
      </w:pPr>
    </w:p>
    <w:p w14:paraId="149E45E9" w14:textId="77777777" w:rsidR="00AD72CC" w:rsidRPr="00BC0D1F" w:rsidRDefault="00AD72CC" w:rsidP="000D7CBA">
      <w:pPr>
        <w:keepNext/>
        <w:rPr>
          <w:noProof/>
          <w:lang w:eastAsia="en-NZ"/>
        </w:rPr>
      </w:pPr>
      <w:r w:rsidRPr="00BC0D1F">
        <w:rPr>
          <w:noProof/>
          <w:lang w:eastAsia="en-NZ"/>
        </w:rPr>
        <w:t>Approximately 34 percent of staff are paid over $100,000, and there is approximately a $16,367 difference between the average salaries paid to male and female staff ($103,551 for male staff and $87,184 for female staff). There are a number of potential factors relating to this difference. A major influence is that more female staff work part time.</w:t>
      </w:r>
    </w:p>
    <w:p w14:paraId="16ECC095" w14:textId="77777777" w:rsidR="00AD72CC" w:rsidRPr="00BC0D1F" w:rsidRDefault="00AD72CC" w:rsidP="000B0F53">
      <w:pPr>
        <w:rPr>
          <w:noProof/>
          <w:lang w:eastAsia="en-NZ"/>
        </w:rPr>
      </w:pPr>
    </w:p>
    <w:p w14:paraId="13A4CBCE" w14:textId="77777777" w:rsidR="00AD72CC" w:rsidRPr="00BC0D1F" w:rsidRDefault="00AD72CC" w:rsidP="000B0F53">
      <w:pPr>
        <w:rPr>
          <w:noProof/>
          <w:lang w:eastAsia="en-NZ"/>
        </w:rPr>
      </w:pPr>
      <w:r w:rsidRPr="00BC0D1F">
        <w:rPr>
          <w:noProof/>
          <w:lang w:eastAsia="en-NZ"/>
        </w:rPr>
        <w:t>The Ministry is an equal employment opportunity employer. The Ministry</w:t>
      </w:r>
      <w:r w:rsidR="00DF4B9A" w:rsidRPr="00BC0D1F">
        <w:rPr>
          <w:noProof/>
          <w:lang w:eastAsia="en-NZ"/>
        </w:rPr>
        <w:t>’</w:t>
      </w:r>
      <w:r w:rsidRPr="00BC0D1F">
        <w:rPr>
          <w:noProof/>
          <w:lang w:eastAsia="en-NZ"/>
        </w:rPr>
        <w:t>s remuneration policy ensures that all roles in the Ministry are evaluated using a recognised methodology and that salary bands are set accordingly, ensuring all employees, regardless of their age, gender or ethnicity, are rewarded on an appropriate salary scale.</w:t>
      </w:r>
    </w:p>
    <w:p w14:paraId="342B4FBD" w14:textId="77777777" w:rsidR="00AD72CC" w:rsidRPr="00BC0D1F" w:rsidRDefault="00AD72CC" w:rsidP="000B0F53">
      <w:pPr>
        <w:rPr>
          <w:noProof/>
          <w:lang w:eastAsia="en-NZ"/>
        </w:rPr>
      </w:pPr>
    </w:p>
    <w:p w14:paraId="7C9EDE72" w14:textId="77777777" w:rsidR="00AD72CC" w:rsidRPr="00BC0D1F" w:rsidRDefault="00AD72CC" w:rsidP="000B0F53">
      <w:pPr>
        <w:rPr>
          <w:noProof/>
          <w:lang w:eastAsia="en-NZ"/>
        </w:rPr>
      </w:pPr>
      <w:r w:rsidRPr="00BC0D1F">
        <w:rPr>
          <w:noProof/>
          <w:lang w:eastAsia="en-NZ"/>
        </w:rPr>
        <w:t>The Ministry is committed to equal employment opportunities and has a transparent system for job applications.</w:t>
      </w:r>
    </w:p>
    <w:p w14:paraId="75C8C4FB" w14:textId="77777777" w:rsidR="00AD72CC" w:rsidRPr="00BC0D1F" w:rsidRDefault="00AD72CC" w:rsidP="000B0F53">
      <w:pPr>
        <w:rPr>
          <w:noProof/>
          <w:lang w:eastAsia="en-NZ"/>
        </w:rPr>
      </w:pPr>
    </w:p>
    <w:p w14:paraId="3239BDE8" w14:textId="77777777" w:rsidR="00AD72CC" w:rsidRPr="00BC0D1F" w:rsidRDefault="00AD72CC" w:rsidP="00AD72CC">
      <w:pPr>
        <w:pStyle w:val="Figure"/>
      </w:pPr>
      <w:bookmarkStart w:id="278" w:name="_Toc462926734"/>
      <w:r w:rsidRPr="00BC0D1F">
        <w:t>Figure D6: Staff numbers, by salary band</w:t>
      </w:r>
      <w:bookmarkEnd w:id="278"/>
    </w:p>
    <w:p w14:paraId="6C373655" w14:textId="77777777" w:rsidR="00AD72CC" w:rsidRPr="00BC0D1F" w:rsidRDefault="00CD7E9C" w:rsidP="00AD72CC">
      <w:pPr>
        <w:rPr>
          <w:noProof/>
          <w:lang w:eastAsia="en-NZ"/>
        </w:rPr>
      </w:pPr>
      <w:r w:rsidRPr="00BC0D1F">
        <w:rPr>
          <w:noProof/>
          <w:lang w:eastAsia="en-NZ"/>
        </w:rPr>
        <w:drawing>
          <wp:inline distT="0" distB="0" distL="0" distR="0" wp14:anchorId="474293D0" wp14:editId="602D6B33">
            <wp:extent cx="4688205" cy="2859405"/>
            <wp:effectExtent l="0" t="0" r="0" b="0"/>
            <wp:docPr id="7" name="Picture 1" title="Figure D6: Staff numbers, by salary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88205" cy="2859405"/>
                    </a:xfrm>
                    <a:prstGeom prst="rect">
                      <a:avLst/>
                    </a:prstGeom>
                    <a:noFill/>
                    <a:ln>
                      <a:noFill/>
                    </a:ln>
                  </pic:spPr>
                </pic:pic>
              </a:graphicData>
            </a:graphic>
          </wp:inline>
        </w:drawing>
      </w:r>
    </w:p>
    <w:p w14:paraId="1D2C5EE8" w14:textId="77777777" w:rsidR="000B0F53" w:rsidRPr="00BC0D1F" w:rsidRDefault="000B0F53" w:rsidP="000B0F53"/>
    <w:p w14:paraId="4A419FDB" w14:textId="77777777" w:rsidR="00AD72CC" w:rsidRPr="00BC0D1F" w:rsidRDefault="00AD72CC" w:rsidP="000B0F53">
      <w:pPr>
        <w:pStyle w:val="Figure"/>
      </w:pPr>
      <w:bookmarkStart w:id="279" w:name="_Toc462926735"/>
      <w:r w:rsidRPr="00BC0D1F">
        <w:lastRenderedPageBreak/>
        <w:t>Figure D7: Gender proportion, by salary band</w:t>
      </w:r>
      <w:bookmarkEnd w:id="279"/>
    </w:p>
    <w:bookmarkEnd w:id="271"/>
    <w:bookmarkEnd w:id="272"/>
    <w:p w14:paraId="529E6987" w14:textId="77777777" w:rsidR="00AD72CC" w:rsidRPr="00BC0D1F" w:rsidRDefault="00CD7E9C" w:rsidP="00AD72CC">
      <w:pPr>
        <w:spacing w:line="240" w:lineRule="auto"/>
        <w:rPr>
          <w:color w:val="000000"/>
        </w:rPr>
      </w:pPr>
      <w:r w:rsidRPr="00BC0D1F">
        <w:rPr>
          <w:noProof/>
          <w:lang w:eastAsia="en-NZ"/>
        </w:rPr>
        <w:drawing>
          <wp:inline distT="0" distB="0" distL="0" distR="0" wp14:anchorId="49767F29" wp14:editId="61F9167E">
            <wp:extent cx="4696460" cy="2867660"/>
            <wp:effectExtent l="0" t="0" r="8890" b="8890"/>
            <wp:docPr id="5" name="Picture 1" title="Figure D7: Gender proportion, by salary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6460" cy="2867660"/>
                    </a:xfrm>
                    <a:prstGeom prst="rect">
                      <a:avLst/>
                    </a:prstGeom>
                    <a:noFill/>
                    <a:ln>
                      <a:noFill/>
                    </a:ln>
                  </pic:spPr>
                </pic:pic>
              </a:graphicData>
            </a:graphic>
          </wp:inline>
        </w:drawing>
      </w:r>
    </w:p>
    <w:p w14:paraId="22433923" w14:textId="77777777" w:rsidR="00AD72CC" w:rsidRPr="00BC0D1F" w:rsidRDefault="00AD72CC" w:rsidP="00AD72CC">
      <w:pPr>
        <w:spacing w:line="240" w:lineRule="auto"/>
        <w:rPr>
          <w:color w:val="000000"/>
        </w:rPr>
      </w:pPr>
    </w:p>
    <w:p w14:paraId="07F3A612" w14:textId="77777777" w:rsidR="00AD72CC" w:rsidRPr="00BC0D1F" w:rsidRDefault="00AD72CC" w:rsidP="000B0F53">
      <w:pPr>
        <w:pStyle w:val="Heading1"/>
      </w:pPr>
      <w:bookmarkStart w:id="280" w:name="_Toc422822388"/>
      <w:bookmarkStart w:id="281" w:name="_Toc430768864"/>
      <w:bookmarkStart w:id="282" w:name="_Toc459730036"/>
      <w:bookmarkStart w:id="283" w:name="_Toc461544310"/>
      <w:bookmarkStart w:id="284" w:name="_Toc463507971"/>
      <w:r w:rsidRPr="00BC0D1F">
        <w:lastRenderedPageBreak/>
        <w:t>Appendix E: Staff locatio</w:t>
      </w:r>
      <w:bookmarkEnd w:id="280"/>
      <w:bookmarkEnd w:id="281"/>
      <w:r w:rsidRPr="00BC0D1F">
        <w:t>n</w:t>
      </w:r>
      <w:bookmarkEnd w:id="282"/>
      <w:bookmarkEnd w:id="283"/>
      <w:bookmarkEnd w:id="284"/>
    </w:p>
    <w:p w14:paraId="2936B66A" w14:textId="77777777" w:rsidR="00AD72CC" w:rsidRPr="00BC0D1F" w:rsidRDefault="00AD72CC" w:rsidP="000B0F53">
      <w:r w:rsidRPr="00BC0D1F">
        <w:t>Ministry of Health permanent staff are located throughout the country, with the highest concentration of numbers in Wellington.</w:t>
      </w:r>
    </w:p>
    <w:p w14:paraId="3300CAFD" w14:textId="77777777" w:rsidR="00AD72CC" w:rsidRPr="00BC0D1F" w:rsidRDefault="00AD72CC" w:rsidP="00AD72CC"/>
    <w:p w14:paraId="40781484" w14:textId="77777777" w:rsidR="005C0E27" w:rsidRPr="00BC0D1F" w:rsidRDefault="005C0E27" w:rsidP="000B0F53">
      <w:pPr>
        <w:pStyle w:val="Figure"/>
        <w:rPr>
          <w:lang w:eastAsia="en-NZ"/>
        </w:rPr>
      </w:pPr>
      <w:bookmarkStart w:id="285" w:name="_Toc462926736"/>
      <w:r w:rsidRPr="00BC0D1F">
        <w:t>Figure E1: Staff location</w:t>
      </w:r>
      <w:bookmarkEnd w:id="285"/>
    </w:p>
    <w:p w14:paraId="59B7E62A" w14:textId="77777777" w:rsidR="00F25970" w:rsidRPr="00BC0D1F" w:rsidRDefault="00CD7E9C" w:rsidP="000B0F53">
      <w:r w:rsidRPr="00BC0D1F">
        <w:rPr>
          <w:noProof/>
          <w:lang w:eastAsia="en-NZ"/>
        </w:rPr>
        <w:drawing>
          <wp:inline distT="0" distB="0" distL="0" distR="0" wp14:anchorId="2BE0CE5F" wp14:editId="6A59C9E2">
            <wp:extent cx="5577840" cy="6259195"/>
            <wp:effectExtent l="0" t="0" r="3810" b="8255"/>
            <wp:docPr id="19" name="Picture 1" title="Figure E1: Staff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77840" cy="6259195"/>
                    </a:xfrm>
                    <a:prstGeom prst="rect">
                      <a:avLst/>
                    </a:prstGeom>
                    <a:noFill/>
                    <a:ln>
                      <a:noFill/>
                    </a:ln>
                  </pic:spPr>
                </pic:pic>
              </a:graphicData>
            </a:graphic>
          </wp:inline>
        </w:drawing>
      </w:r>
    </w:p>
    <w:sectPr w:rsidR="00F25970" w:rsidRPr="00BC0D1F" w:rsidSect="006B0DC3">
      <w:footerReference w:type="even" r:id="rId66"/>
      <w:footerReference w:type="default" r:id="rId67"/>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1370" w14:textId="77777777" w:rsidR="001F6BD1" w:rsidRDefault="001F6BD1">
      <w:pPr>
        <w:spacing w:line="240" w:lineRule="auto"/>
      </w:pPr>
      <w:r>
        <w:separator/>
      </w:r>
    </w:p>
    <w:p w14:paraId="1E527E4A" w14:textId="77777777" w:rsidR="001F6BD1" w:rsidRDefault="001F6BD1"/>
  </w:endnote>
  <w:endnote w:type="continuationSeparator" w:id="0">
    <w:p w14:paraId="35A22745" w14:textId="77777777" w:rsidR="001F6BD1" w:rsidRDefault="001F6BD1">
      <w:pPr>
        <w:spacing w:line="240" w:lineRule="auto"/>
      </w:pPr>
      <w:r>
        <w:continuationSeparator/>
      </w:r>
    </w:p>
    <w:p w14:paraId="28C964D3" w14:textId="77777777" w:rsidR="001F6BD1" w:rsidRDefault="001F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Mi">
    <w:altName w:val="Lucida Sans Unicode"/>
    <w:charset w:val="00"/>
    <w:family w:val="swiss"/>
    <w:pitch w:val="variable"/>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othamXNarrow-Book">
    <w:altName w:val="Arial"/>
    <w:panose1 w:val="00000000000000000000"/>
    <w:charset w:val="EE"/>
    <w:family w:val="swiss"/>
    <w:notTrueType/>
    <w:pitch w:val="default"/>
    <w:sig w:usb0="00000005" w:usb1="00000000" w:usb2="00000000" w:usb3="00000000" w:csb0="00000002" w:csb1="00000000"/>
  </w:font>
  <w:font w:name="GothamNarrow-Book">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CDB4" w14:textId="77777777" w:rsidR="001F6BD1" w:rsidRPr="00581136" w:rsidRDefault="001F6BD1"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450A" w14:textId="0740F44E" w:rsidR="001F6BD1" w:rsidRPr="00E60BDC" w:rsidRDefault="001F6BD1" w:rsidP="00DB771A">
    <w:pPr>
      <w:pStyle w:val="RectoFooter"/>
      <w:pBdr>
        <w:top w:val="none" w:sz="0" w:space="0" w:color="auto"/>
      </w:pBdr>
      <w:spacing w:before="60" w:after="360"/>
      <w:rPr>
        <w:sz w:val="18"/>
      </w:rPr>
    </w:pPr>
    <w:r w:rsidRPr="00E60BDC">
      <w:rPr>
        <w:sz w:val="18"/>
      </w:rPr>
      <w:t xml:space="preserve">The notes </w:t>
    </w:r>
    <w:r>
      <w:rPr>
        <w:sz w:val="18"/>
      </w:rPr>
      <w:t xml:space="preserve">set out </w:t>
    </w:r>
    <w:r w:rsidRPr="00E60BDC">
      <w:rPr>
        <w:sz w:val="18"/>
      </w:rPr>
      <w:t xml:space="preserve">on pages </w:t>
    </w:r>
    <w:r>
      <w:rPr>
        <w:sz w:val="18"/>
      </w:rPr>
      <w:t>87</w:t>
    </w:r>
    <w:r w:rsidRPr="00E60BDC">
      <w:rPr>
        <w:sz w:val="18"/>
      </w:rPr>
      <w:t xml:space="preserve"> to </w:t>
    </w:r>
    <w:r>
      <w:rPr>
        <w:sz w:val="18"/>
      </w:rPr>
      <w:t>104</w:t>
    </w:r>
    <w:r w:rsidRPr="00E60BDC">
      <w:rPr>
        <w:sz w:val="18"/>
      </w:rPr>
      <w:t xml:space="preserve"> </w:t>
    </w:r>
    <w:r>
      <w:rPr>
        <w:sz w:val="18"/>
      </w:rPr>
      <w:t xml:space="preserve">form part of, and are to be read in conjunction with, these </w:t>
    </w:r>
    <w:r w:rsidRPr="00E60BDC">
      <w:rPr>
        <w:sz w:val="18"/>
      </w:rPr>
      <w:t>financial statements.</w:t>
    </w:r>
  </w:p>
  <w:p w14:paraId="41B657AA" w14:textId="77777777" w:rsidR="001F6BD1" w:rsidRDefault="001F6BD1" w:rsidP="00E60BDC">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85</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A852" w14:textId="77777777" w:rsidR="001F6BD1" w:rsidRPr="00275D08" w:rsidRDefault="001F6BD1" w:rsidP="00FC46E7">
    <w:pPr>
      <w:pStyle w:val="VersoFooter"/>
      <w:rPr>
        <w:b/>
      </w:rPr>
    </w:pPr>
    <w:r w:rsidRPr="004C0035">
      <w:rPr>
        <w:rStyle w:val="PageNumber"/>
      </w:rPr>
      <w:fldChar w:fldCharType="begin"/>
    </w:r>
    <w:r w:rsidRPr="004C0035">
      <w:rPr>
        <w:rStyle w:val="PageNumber"/>
      </w:rPr>
      <w:instrText xml:space="preserve"> PAGE   \* MERGEFORMAT </w:instrText>
    </w:r>
    <w:r w:rsidRPr="004C0035">
      <w:rPr>
        <w:rStyle w:val="PageNumber"/>
      </w:rPr>
      <w:fldChar w:fldCharType="separate"/>
    </w:r>
    <w:r w:rsidR="000D381E">
      <w:rPr>
        <w:rStyle w:val="PageNumber"/>
        <w:noProof/>
      </w:rPr>
      <w:t>90</w:t>
    </w:r>
    <w:r w:rsidRPr="004C0035">
      <w:rPr>
        <w:rStyle w:val="PageNumber"/>
      </w:rPr>
      <w:fldChar w:fldCharType="end"/>
    </w:r>
    <w:r>
      <w:tab/>
      <w:t>Annual Report for the year ended 30 June 2016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4C0DE" w14:textId="77777777" w:rsidR="001F6BD1" w:rsidRDefault="001F6BD1" w:rsidP="00E60BDC">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89</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574B" w14:textId="04EF9CA1" w:rsidR="001F6BD1" w:rsidRPr="00E60BDC" w:rsidRDefault="001F6BD1" w:rsidP="004C0035">
    <w:pPr>
      <w:pStyle w:val="RectoFooter"/>
      <w:pBdr>
        <w:top w:val="none" w:sz="0" w:space="0" w:color="auto"/>
      </w:pBdr>
      <w:spacing w:before="60"/>
      <w:rPr>
        <w:sz w:val="18"/>
      </w:rPr>
    </w:pPr>
    <w:r w:rsidRPr="00E60BDC">
      <w:rPr>
        <w:sz w:val="18"/>
      </w:rPr>
      <w:t xml:space="preserve">The accompanying notes on pages </w:t>
    </w:r>
    <w:r>
      <w:rPr>
        <w:sz w:val="18"/>
      </w:rPr>
      <w:t>111</w:t>
    </w:r>
    <w:r w:rsidRPr="00E60BDC">
      <w:rPr>
        <w:sz w:val="18"/>
      </w:rPr>
      <w:t xml:space="preserve"> to </w:t>
    </w:r>
    <w:r>
      <w:rPr>
        <w:sz w:val="18"/>
      </w:rPr>
      <w:t>114</w:t>
    </w:r>
    <w:r w:rsidRPr="00E60BDC">
      <w:rPr>
        <w:sz w:val="18"/>
      </w:rPr>
      <w:t xml:space="preserve"> are an integral part of these financial statements and schedules.</w:t>
    </w:r>
  </w:p>
  <w:p w14:paraId="0DE3B4A3" w14:textId="77777777" w:rsidR="001F6BD1" w:rsidRPr="00E60BDC" w:rsidRDefault="001F6BD1" w:rsidP="004C0035">
    <w:pPr>
      <w:pStyle w:val="RectoFooter"/>
      <w:pBdr>
        <w:top w:val="none" w:sz="0" w:space="0" w:color="auto"/>
      </w:pBdr>
      <w:spacing w:before="60"/>
      <w:rPr>
        <w:sz w:val="18"/>
      </w:rPr>
    </w:pPr>
    <w:r w:rsidRPr="00E60BDC">
      <w:rPr>
        <w:sz w:val="18"/>
      </w:rPr>
      <w:t>For a full understanding of the Crown’s financial position and the results of its operations for the period, reference should be made to the consolidated Financial Statements of the Government for the year ended 30 June 2016.</w:t>
    </w:r>
  </w:p>
  <w:p w14:paraId="4A947B12" w14:textId="77777777" w:rsidR="001F6BD1" w:rsidRPr="00E60BDC" w:rsidRDefault="001F6BD1" w:rsidP="004C0035">
    <w:pPr>
      <w:pStyle w:val="RectoFooter"/>
      <w:pBdr>
        <w:top w:val="none" w:sz="0" w:space="0" w:color="auto"/>
      </w:pBdr>
      <w:spacing w:before="60" w:after="360"/>
      <w:rPr>
        <w:sz w:val="18"/>
      </w:rPr>
    </w:pPr>
    <w:r w:rsidRPr="00E60BDC">
      <w:rPr>
        <w:sz w:val="18"/>
      </w:rPr>
      <w:t>Reference should also be made to the separate Vote Health Report in relation to selected Non-departmental Appropriations completed in accordance with S19B of the Public Finance Act.</w:t>
    </w:r>
  </w:p>
  <w:p w14:paraId="107C0883" w14:textId="77777777" w:rsidR="001F6BD1" w:rsidRPr="00275D08" w:rsidRDefault="001F6BD1" w:rsidP="00FC46E7">
    <w:pPr>
      <w:pStyle w:val="VersoFooter"/>
      <w:rPr>
        <w:b/>
      </w:rPr>
    </w:pPr>
    <w:r w:rsidRPr="004C0035">
      <w:rPr>
        <w:rStyle w:val="PageNumber"/>
      </w:rPr>
      <w:fldChar w:fldCharType="begin"/>
    </w:r>
    <w:r w:rsidRPr="004C0035">
      <w:rPr>
        <w:rStyle w:val="PageNumber"/>
      </w:rPr>
      <w:instrText xml:space="preserve"> PAGE   \* MERGEFORMAT </w:instrText>
    </w:r>
    <w:r w:rsidRPr="004C0035">
      <w:rPr>
        <w:rStyle w:val="PageNumber"/>
      </w:rPr>
      <w:fldChar w:fldCharType="separate"/>
    </w:r>
    <w:r w:rsidR="000D381E">
      <w:rPr>
        <w:rStyle w:val="PageNumber"/>
        <w:noProof/>
      </w:rPr>
      <w:t>110</w:t>
    </w:r>
    <w:r w:rsidRPr="004C0035">
      <w:rPr>
        <w:rStyle w:val="PageNumber"/>
      </w:rPr>
      <w:fldChar w:fldCharType="end"/>
    </w:r>
    <w:r>
      <w:tab/>
      <w:t>Annual Report for the year ended 30 June 2016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BBAB" w14:textId="53D9CF45" w:rsidR="001F6BD1" w:rsidRPr="00E60BDC" w:rsidRDefault="001F6BD1" w:rsidP="004C0035">
    <w:pPr>
      <w:pStyle w:val="RectoFooter"/>
      <w:pBdr>
        <w:top w:val="none" w:sz="0" w:space="0" w:color="auto"/>
      </w:pBdr>
      <w:spacing w:before="60"/>
      <w:rPr>
        <w:sz w:val="18"/>
      </w:rPr>
    </w:pPr>
    <w:r w:rsidRPr="00E60BDC">
      <w:rPr>
        <w:sz w:val="18"/>
      </w:rPr>
      <w:t xml:space="preserve">The accompanying notes on pages </w:t>
    </w:r>
    <w:r>
      <w:rPr>
        <w:sz w:val="18"/>
      </w:rPr>
      <w:t>111</w:t>
    </w:r>
    <w:r w:rsidRPr="00E60BDC">
      <w:rPr>
        <w:sz w:val="18"/>
      </w:rPr>
      <w:t xml:space="preserve"> to </w:t>
    </w:r>
    <w:r>
      <w:rPr>
        <w:sz w:val="18"/>
      </w:rPr>
      <w:t>114</w:t>
    </w:r>
    <w:r w:rsidRPr="00E60BDC">
      <w:rPr>
        <w:sz w:val="18"/>
      </w:rPr>
      <w:t xml:space="preserve"> are an integral part of these financial statements and schedules.</w:t>
    </w:r>
  </w:p>
  <w:p w14:paraId="441773D3" w14:textId="77777777" w:rsidR="001F6BD1" w:rsidRPr="00E60BDC" w:rsidRDefault="001F6BD1" w:rsidP="004C0035">
    <w:pPr>
      <w:pStyle w:val="RectoFooter"/>
      <w:pBdr>
        <w:top w:val="none" w:sz="0" w:space="0" w:color="auto"/>
      </w:pBdr>
      <w:spacing w:before="60"/>
      <w:rPr>
        <w:sz w:val="18"/>
      </w:rPr>
    </w:pPr>
    <w:r w:rsidRPr="00E60BDC">
      <w:rPr>
        <w:sz w:val="18"/>
      </w:rPr>
      <w:t>For a full understanding of the Crown’s financial position and the results of its operations for the period, reference should be made to the consolidated Financial Statements of the Government for the year ended 30 June 2016.</w:t>
    </w:r>
  </w:p>
  <w:p w14:paraId="52C34FC0" w14:textId="77777777" w:rsidR="001F6BD1" w:rsidRPr="00E60BDC" w:rsidRDefault="001F6BD1" w:rsidP="004C0035">
    <w:pPr>
      <w:pStyle w:val="RectoFooter"/>
      <w:pBdr>
        <w:top w:val="none" w:sz="0" w:space="0" w:color="auto"/>
      </w:pBdr>
      <w:spacing w:before="60" w:after="360"/>
      <w:rPr>
        <w:sz w:val="18"/>
      </w:rPr>
    </w:pPr>
    <w:r w:rsidRPr="00E60BDC">
      <w:rPr>
        <w:sz w:val="18"/>
      </w:rPr>
      <w:t>Reference should also be made to the separate Vote Health Report in relation to selected Non-departmental Appropriations completed in accordance with S19B of the Public Finance Act.</w:t>
    </w:r>
  </w:p>
  <w:p w14:paraId="41BA6966" w14:textId="77777777" w:rsidR="001F6BD1" w:rsidRPr="004C0035" w:rsidRDefault="001F6BD1" w:rsidP="004C0035">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109</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4219C" w14:textId="77777777" w:rsidR="001F6BD1" w:rsidRPr="00275D08" w:rsidRDefault="001F6BD1" w:rsidP="00FC46E7">
    <w:pPr>
      <w:pStyle w:val="VersoFooter"/>
      <w:rPr>
        <w:b/>
      </w:rPr>
    </w:pPr>
    <w:r w:rsidRPr="004C0035">
      <w:rPr>
        <w:rStyle w:val="PageNumber"/>
      </w:rPr>
      <w:fldChar w:fldCharType="begin"/>
    </w:r>
    <w:r w:rsidRPr="004C0035">
      <w:rPr>
        <w:rStyle w:val="PageNumber"/>
      </w:rPr>
      <w:instrText xml:space="preserve"> PAGE   \* MERGEFORMAT </w:instrText>
    </w:r>
    <w:r w:rsidRPr="004C0035">
      <w:rPr>
        <w:rStyle w:val="PageNumber"/>
      </w:rPr>
      <w:fldChar w:fldCharType="separate"/>
    </w:r>
    <w:r w:rsidR="000D381E">
      <w:rPr>
        <w:rStyle w:val="PageNumber"/>
        <w:noProof/>
      </w:rPr>
      <w:t>134</w:t>
    </w:r>
    <w:r w:rsidRPr="004C0035">
      <w:rPr>
        <w:rStyle w:val="PageNumber"/>
      </w:rPr>
      <w:fldChar w:fldCharType="end"/>
    </w:r>
    <w:r>
      <w:tab/>
      <w:t>Annual Report for the year ended 30 June 2016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5552" w14:textId="77777777" w:rsidR="001F6BD1" w:rsidRPr="004C0035" w:rsidRDefault="001F6BD1" w:rsidP="004C0035">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135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42F61" w14:textId="77777777" w:rsidR="001F6BD1" w:rsidRDefault="001F6BD1"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72D1" w14:textId="77777777" w:rsidR="001F6BD1" w:rsidRDefault="001F6B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1AF0" w14:textId="77777777" w:rsidR="001F6BD1" w:rsidRPr="00275D08" w:rsidRDefault="001F6BD1"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D381E">
      <w:rPr>
        <w:rStyle w:val="PageNumber"/>
        <w:noProof/>
      </w:rPr>
      <w:t>78</w:t>
    </w:r>
    <w:r w:rsidRPr="00FC46E7">
      <w:rPr>
        <w:rStyle w:val="PageNumber"/>
      </w:rPr>
      <w:fldChar w:fldCharType="end"/>
    </w:r>
    <w:r>
      <w:tab/>
      <w:t>Annual Report for the year ended 30 June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5C982" w14:textId="77777777" w:rsidR="001F6BD1" w:rsidRDefault="001F6BD1" w:rsidP="00533B90">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7561" w14:textId="77777777" w:rsidR="001F6BD1" w:rsidRDefault="001F6BD1" w:rsidP="009E3C8C">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77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048CD" w14:textId="77777777" w:rsidR="001F6BD1" w:rsidRPr="00E60BDC" w:rsidRDefault="001F6BD1" w:rsidP="00E60BDC">
    <w:pPr>
      <w:pStyle w:val="RectoFooter"/>
      <w:pBdr>
        <w:top w:val="none" w:sz="0" w:space="0" w:color="auto"/>
      </w:pBdr>
      <w:spacing w:before="60"/>
      <w:rPr>
        <w:sz w:val="18"/>
      </w:rPr>
    </w:pPr>
    <w:r w:rsidRPr="00E60BDC">
      <w:rPr>
        <w:sz w:val="18"/>
      </w:rPr>
      <w:t>For a full understanding of the Crown’s financial position and the results of its operations for the period, reference should be made to the consolidated Financial Statements of the Government for the year ended 30 June 2016.</w:t>
    </w:r>
  </w:p>
  <w:p w14:paraId="6A25BBBC" w14:textId="77777777" w:rsidR="001F6BD1" w:rsidRPr="00E60BDC" w:rsidRDefault="001F6BD1" w:rsidP="00E60BDC">
    <w:pPr>
      <w:pStyle w:val="RectoFooter"/>
      <w:pBdr>
        <w:top w:val="none" w:sz="0" w:space="0" w:color="auto"/>
      </w:pBdr>
      <w:spacing w:before="60"/>
      <w:rPr>
        <w:sz w:val="18"/>
      </w:rPr>
    </w:pPr>
    <w:r w:rsidRPr="00E60BDC">
      <w:rPr>
        <w:sz w:val="18"/>
      </w:rPr>
      <w:t>Reference should also be made to the separate Vote Health Report in relation to selected Non-departmental Appropriations completed in accordance with S19B of the Public Finance Act.</w:t>
    </w:r>
  </w:p>
  <w:p w14:paraId="449FFE47" w14:textId="52CB0638" w:rsidR="001F6BD1" w:rsidRPr="00E60BDC" w:rsidRDefault="001F6BD1" w:rsidP="00E60BDC">
    <w:pPr>
      <w:pStyle w:val="RectoFooter"/>
      <w:pBdr>
        <w:top w:val="none" w:sz="0" w:space="0" w:color="auto"/>
      </w:pBdr>
      <w:spacing w:before="60" w:after="360"/>
      <w:rPr>
        <w:sz w:val="18"/>
      </w:rPr>
    </w:pPr>
    <w:r w:rsidRPr="00E60BDC">
      <w:rPr>
        <w:sz w:val="18"/>
      </w:rPr>
      <w:t xml:space="preserve">The accompanying notes on pages </w:t>
    </w:r>
    <w:r>
      <w:rPr>
        <w:sz w:val="18"/>
      </w:rPr>
      <w:t>87</w:t>
    </w:r>
    <w:r w:rsidRPr="00E60BDC">
      <w:rPr>
        <w:sz w:val="18"/>
      </w:rPr>
      <w:t xml:space="preserve"> to </w:t>
    </w:r>
    <w:r>
      <w:rPr>
        <w:sz w:val="18"/>
      </w:rPr>
      <w:t>104</w:t>
    </w:r>
    <w:r w:rsidRPr="00E60BDC">
      <w:rPr>
        <w:sz w:val="18"/>
      </w:rPr>
      <w:t xml:space="preserve"> </w:t>
    </w:r>
    <w:r>
      <w:rPr>
        <w:sz w:val="18"/>
      </w:rPr>
      <w:t xml:space="preserve">and 111 to 114 </w:t>
    </w:r>
    <w:r w:rsidRPr="00E60BDC">
      <w:rPr>
        <w:sz w:val="18"/>
      </w:rPr>
      <w:t>are an integral part of these financial statements and schedules.</w:t>
    </w:r>
  </w:p>
  <w:p w14:paraId="48EAC19C" w14:textId="77777777" w:rsidR="001F6BD1" w:rsidRPr="00275D08" w:rsidRDefault="001F6BD1" w:rsidP="00FC46E7">
    <w:pPr>
      <w:pStyle w:val="VersoFooter"/>
      <w:rPr>
        <w:b/>
      </w:rPr>
    </w:pPr>
    <w:r>
      <w:fldChar w:fldCharType="begin"/>
    </w:r>
    <w:r>
      <w:instrText xml:space="preserve"> PAGE   \* MERGEFORMAT </w:instrText>
    </w:r>
    <w:r>
      <w:fldChar w:fldCharType="separate"/>
    </w:r>
    <w:r w:rsidR="000D381E">
      <w:rPr>
        <w:noProof/>
      </w:rPr>
      <w:t>80</w:t>
    </w:r>
    <w:r>
      <w:rPr>
        <w:noProof/>
      </w:rPr>
      <w:fldChar w:fldCharType="end"/>
    </w:r>
    <w:r>
      <w:tab/>
      <w:t>Annual Report for the year ended 30 June 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9605" w14:textId="77777777" w:rsidR="001F6BD1" w:rsidRPr="00E60BDC" w:rsidRDefault="001F6BD1" w:rsidP="00E60BDC">
    <w:pPr>
      <w:pStyle w:val="RectoFooter"/>
      <w:pBdr>
        <w:top w:val="none" w:sz="0" w:space="0" w:color="auto"/>
      </w:pBdr>
      <w:spacing w:before="60"/>
      <w:rPr>
        <w:sz w:val="18"/>
      </w:rPr>
    </w:pPr>
    <w:r w:rsidRPr="00E60BDC">
      <w:rPr>
        <w:sz w:val="18"/>
      </w:rPr>
      <w:t>For a full understanding of the Crown’s financial position and the results of its operations for the period, reference should be made to the consolidated Financial Statements of the Government for the year ended 30 June 2016.</w:t>
    </w:r>
  </w:p>
  <w:p w14:paraId="29132871" w14:textId="77777777" w:rsidR="001F6BD1" w:rsidRPr="00E60BDC" w:rsidRDefault="001F6BD1" w:rsidP="00E60BDC">
    <w:pPr>
      <w:pStyle w:val="RectoFooter"/>
      <w:pBdr>
        <w:top w:val="none" w:sz="0" w:space="0" w:color="auto"/>
      </w:pBdr>
      <w:spacing w:before="60"/>
      <w:rPr>
        <w:sz w:val="18"/>
      </w:rPr>
    </w:pPr>
    <w:r w:rsidRPr="00E60BDC">
      <w:rPr>
        <w:sz w:val="18"/>
      </w:rPr>
      <w:t>Reference should also be made to the separate Vote Health Report in relation to selected Non-departmental Appropriations completed in accordance with S19B of the Public Finance Act.</w:t>
    </w:r>
  </w:p>
  <w:p w14:paraId="5F033CBC" w14:textId="10136309" w:rsidR="001F6BD1" w:rsidRPr="00E60BDC" w:rsidRDefault="001F6BD1" w:rsidP="00E60BDC">
    <w:pPr>
      <w:pStyle w:val="RectoFooter"/>
      <w:pBdr>
        <w:top w:val="none" w:sz="0" w:space="0" w:color="auto"/>
      </w:pBdr>
      <w:spacing w:before="60" w:after="360"/>
      <w:rPr>
        <w:sz w:val="18"/>
      </w:rPr>
    </w:pPr>
    <w:r w:rsidRPr="00E60BDC">
      <w:rPr>
        <w:sz w:val="18"/>
      </w:rPr>
      <w:t xml:space="preserve">The accompanying notes on pages </w:t>
    </w:r>
    <w:r>
      <w:rPr>
        <w:sz w:val="18"/>
      </w:rPr>
      <w:t>87</w:t>
    </w:r>
    <w:r w:rsidRPr="00E60BDC">
      <w:rPr>
        <w:sz w:val="18"/>
      </w:rPr>
      <w:t xml:space="preserve"> to </w:t>
    </w:r>
    <w:r>
      <w:rPr>
        <w:sz w:val="18"/>
      </w:rPr>
      <w:t>104</w:t>
    </w:r>
    <w:r w:rsidRPr="00E60BDC">
      <w:rPr>
        <w:sz w:val="18"/>
      </w:rPr>
      <w:t xml:space="preserve"> </w:t>
    </w:r>
    <w:r>
      <w:rPr>
        <w:sz w:val="18"/>
      </w:rPr>
      <w:t xml:space="preserve">and 111 to 114 </w:t>
    </w:r>
    <w:r w:rsidRPr="00E60BDC">
      <w:rPr>
        <w:sz w:val="18"/>
      </w:rPr>
      <w:t>are an integral part of these financial statements and schedules.</w:t>
    </w:r>
  </w:p>
  <w:p w14:paraId="1A3DCF4B" w14:textId="77777777" w:rsidR="001F6BD1" w:rsidRDefault="001F6BD1" w:rsidP="00E60BDC">
    <w:pPr>
      <w:pStyle w:val="RectoFooter"/>
    </w:pPr>
    <w:r>
      <w:tab/>
      <w:t>Annual Report for the year ended 30 June 2016</w:t>
    </w:r>
    <w:r>
      <w:tab/>
    </w:r>
    <w:r>
      <w:rPr>
        <w:rStyle w:val="PageNumber"/>
      </w:rPr>
      <w:fldChar w:fldCharType="begin"/>
    </w:r>
    <w:r>
      <w:rPr>
        <w:rStyle w:val="PageNumber"/>
      </w:rPr>
      <w:instrText xml:space="preserve"> PAGE </w:instrText>
    </w:r>
    <w:r>
      <w:rPr>
        <w:rStyle w:val="PageNumber"/>
      </w:rPr>
      <w:fldChar w:fldCharType="separate"/>
    </w:r>
    <w:r w:rsidR="000D381E">
      <w:rPr>
        <w:rStyle w:val="PageNumber"/>
        <w:noProof/>
      </w:rPr>
      <w:t>81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A983" w14:textId="45CC8C33" w:rsidR="001F6BD1" w:rsidRPr="00E60BDC" w:rsidRDefault="001F6BD1" w:rsidP="00E60BDC">
    <w:pPr>
      <w:pStyle w:val="RectoFooter"/>
      <w:pBdr>
        <w:top w:val="none" w:sz="0" w:space="0" w:color="auto"/>
      </w:pBdr>
      <w:spacing w:before="60" w:after="360"/>
      <w:rPr>
        <w:sz w:val="18"/>
      </w:rPr>
    </w:pPr>
    <w:r w:rsidRPr="00E60BDC">
      <w:rPr>
        <w:sz w:val="18"/>
      </w:rPr>
      <w:t xml:space="preserve">The notes </w:t>
    </w:r>
    <w:r>
      <w:rPr>
        <w:sz w:val="18"/>
      </w:rPr>
      <w:t xml:space="preserve">set out </w:t>
    </w:r>
    <w:r w:rsidRPr="00E60BDC">
      <w:rPr>
        <w:sz w:val="18"/>
      </w:rPr>
      <w:t xml:space="preserve">on pages </w:t>
    </w:r>
    <w:r>
      <w:rPr>
        <w:sz w:val="18"/>
      </w:rPr>
      <w:t>87</w:t>
    </w:r>
    <w:r w:rsidRPr="00E60BDC">
      <w:rPr>
        <w:sz w:val="18"/>
      </w:rPr>
      <w:t xml:space="preserve"> to </w:t>
    </w:r>
    <w:r>
      <w:rPr>
        <w:sz w:val="18"/>
      </w:rPr>
      <w:t>104</w:t>
    </w:r>
    <w:r w:rsidRPr="00E60BDC">
      <w:rPr>
        <w:sz w:val="18"/>
      </w:rPr>
      <w:t xml:space="preserve"> </w:t>
    </w:r>
    <w:r>
      <w:rPr>
        <w:sz w:val="18"/>
      </w:rPr>
      <w:t xml:space="preserve">form part of, and are to be read in conjunction with, these </w:t>
    </w:r>
    <w:r w:rsidRPr="00E60BDC">
      <w:rPr>
        <w:sz w:val="18"/>
      </w:rPr>
      <w:t>financial statements.</w:t>
    </w:r>
  </w:p>
  <w:p w14:paraId="7F12C693" w14:textId="77777777" w:rsidR="001F6BD1" w:rsidRPr="00275D08" w:rsidRDefault="001F6BD1" w:rsidP="00FC46E7">
    <w:pPr>
      <w:pStyle w:val="VersoFooter"/>
      <w:rPr>
        <w:b/>
      </w:rPr>
    </w:pPr>
    <w:r w:rsidRPr="008D2A3A">
      <w:rPr>
        <w:rStyle w:val="PageNumber"/>
      </w:rPr>
      <w:fldChar w:fldCharType="begin"/>
    </w:r>
    <w:r w:rsidRPr="008D2A3A">
      <w:rPr>
        <w:rStyle w:val="PageNumber"/>
      </w:rPr>
      <w:instrText xml:space="preserve"> PAGE   \* MERGEFORMAT </w:instrText>
    </w:r>
    <w:r w:rsidRPr="008D2A3A">
      <w:rPr>
        <w:rStyle w:val="PageNumber"/>
      </w:rPr>
      <w:fldChar w:fldCharType="separate"/>
    </w:r>
    <w:r w:rsidR="000D381E">
      <w:rPr>
        <w:rStyle w:val="PageNumber"/>
        <w:noProof/>
      </w:rPr>
      <w:t>86</w:t>
    </w:r>
    <w:r w:rsidRPr="008D2A3A">
      <w:rPr>
        <w:rStyle w:val="PageNumber"/>
      </w:rPr>
      <w:fldChar w:fldCharType="end"/>
    </w:r>
    <w:r>
      <w:tab/>
      <w:t>Annual Report for the year ended 30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5B6DE" w14:textId="77777777" w:rsidR="001F6BD1" w:rsidRPr="00A26E6B" w:rsidRDefault="001F6BD1" w:rsidP="00A26E6B"/>
  </w:footnote>
  <w:footnote w:type="continuationSeparator" w:id="0">
    <w:p w14:paraId="7F618FF8" w14:textId="77777777" w:rsidR="001F6BD1" w:rsidRDefault="001F6BD1">
      <w:pPr>
        <w:spacing w:line="240" w:lineRule="auto"/>
      </w:pPr>
      <w:r>
        <w:continuationSeparator/>
      </w:r>
    </w:p>
    <w:p w14:paraId="5CDD1D5F" w14:textId="77777777" w:rsidR="001F6BD1" w:rsidRDefault="001F6BD1"/>
  </w:footnote>
  <w:footnote w:id="1">
    <w:p w14:paraId="2EC13565" w14:textId="77777777" w:rsidR="001F6BD1" w:rsidRDefault="001F6BD1" w:rsidP="00493A42">
      <w:pPr>
        <w:pStyle w:val="FootnoteText"/>
      </w:pPr>
      <w:r w:rsidRPr="00493A42">
        <w:rPr>
          <w:rStyle w:val="FootnoteReference"/>
        </w:rPr>
        <w:footnoteRef/>
      </w:r>
      <w:r>
        <w:tab/>
      </w:r>
      <w:r w:rsidRPr="00CE0A60">
        <w:t>Acute rheumatic fever is 23 times more likely in Māori and nearly 50 times more likely in Pacific people</w:t>
      </w:r>
      <w:r>
        <w:t>s</w:t>
      </w:r>
      <w:r w:rsidRPr="00CE0A60">
        <w:t xml:space="preserve"> than in other ethnic groups. From 1996 to 2005, while acute rheumatic fever rates significantly decreased among the European population rates among Māori and Pacific children increased significantly.</w:t>
      </w:r>
    </w:p>
  </w:footnote>
  <w:footnote w:id="2">
    <w:p w14:paraId="452A2960" w14:textId="77777777" w:rsidR="001F6BD1" w:rsidRDefault="001F6BD1" w:rsidP="00493A42">
      <w:pPr>
        <w:pStyle w:val="FootnoteText"/>
      </w:pPr>
      <w:r w:rsidRPr="00493A42">
        <w:rPr>
          <w:rStyle w:val="FootnoteReference"/>
        </w:rPr>
        <w:footnoteRef/>
      </w:r>
      <w:r>
        <w:tab/>
      </w:r>
      <w:r w:rsidRPr="00CE0A60">
        <w:t>To reduce the incidence of rheumatic fever by two-thirds to 1.4 cases per 100,000 people by June 2017.</w:t>
      </w:r>
    </w:p>
  </w:footnote>
  <w:footnote w:id="3">
    <w:p w14:paraId="7D821EDD" w14:textId="77777777" w:rsidR="001F6BD1" w:rsidRDefault="001F6BD1" w:rsidP="00493A42">
      <w:pPr>
        <w:pStyle w:val="FootnoteText"/>
      </w:pPr>
      <w:r w:rsidRPr="00493A42">
        <w:rPr>
          <w:rStyle w:val="FootnoteReference"/>
        </w:rPr>
        <w:footnoteRef/>
      </w:r>
      <w:r>
        <w:tab/>
      </w:r>
      <w:r w:rsidRPr="00AF6A1C">
        <w:t xml:space="preserve">HEEADSSS (Home, Education/Employment, Eating, Activities, Drugs and Alcohol, Sexuality, Suicide and Depression, Safety) </w:t>
      </w:r>
      <w:r>
        <w:t>a</w:t>
      </w:r>
      <w:r w:rsidRPr="00AF6A1C">
        <w:t xml:space="preserve">ssessment allows for early identification of mental health, </w:t>
      </w:r>
      <w:r>
        <w:t>a</w:t>
      </w:r>
      <w:r w:rsidRPr="00AF6A1C">
        <w:t xml:space="preserve">lcohol and </w:t>
      </w:r>
      <w:r>
        <w:t>o</w:t>
      </w:r>
      <w:r w:rsidRPr="00AF6A1C">
        <w:t xml:space="preserve">ther </w:t>
      </w:r>
      <w:r>
        <w:t>d</w:t>
      </w:r>
      <w:r w:rsidRPr="00AF6A1C">
        <w:t>rug (AOD) issues and other information to assist young people in their development.</w:t>
      </w:r>
    </w:p>
  </w:footnote>
  <w:footnote w:id="4">
    <w:p w14:paraId="561532C5" w14:textId="4FA8ECC9" w:rsidR="001F6BD1" w:rsidRDefault="001F6BD1">
      <w:pPr>
        <w:pStyle w:val="FootnoteText"/>
      </w:pPr>
      <w:r>
        <w:rPr>
          <w:rStyle w:val="FootnoteReference"/>
        </w:rPr>
        <w:footnoteRef/>
      </w:r>
      <w:r>
        <w:t xml:space="preserve"> </w:t>
      </w:r>
      <w:r>
        <w:tab/>
        <w:t>Officially published as 90% for quarter one of 2015/16.</w:t>
      </w:r>
    </w:p>
  </w:footnote>
  <w:footnote w:id="5">
    <w:p w14:paraId="03E70012" w14:textId="77777777" w:rsidR="001F6BD1" w:rsidRDefault="001F6BD1" w:rsidP="00EB053E">
      <w:pPr>
        <w:pStyle w:val="FootnoteText"/>
      </w:pPr>
      <w:r w:rsidRPr="00EB053E">
        <w:rPr>
          <w:rStyle w:val="FootnoteReference"/>
        </w:rPr>
        <w:footnoteRef/>
      </w:r>
      <w:r>
        <w:tab/>
      </w:r>
      <w:r w:rsidRPr="00B8179C">
        <w:t>Health target results are sourced from individual DHB reports, national collections systems and information provided by primary health organisations (PHOs). From quarter two 2015/16, PHO health target results are based on data sourced from the Ministry of Health and directly from PHOs rather than using information previously provided through Technical Advisory Services.</w:t>
      </w:r>
    </w:p>
  </w:footnote>
  <w:footnote w:id="6">
    <w:p w14:paraId="4FFA68B6" w14:textId="77777777" w:rsidR="001F6BD1" w:rsidRDefault="001F6BD1" w:rsidP="00060B23">
      <w:pPr>
        <w:pStyle w:val="FootnoteText"/>
      </w:pPr>
      <w:r w:rsidRPr="00060B23">
        <w:rPr>
          <w:rStyle w:val="FootnoteReference"/>
        </w:rPr>
        <w:footnoteRef/>
      </w:r>
      <w:r>
        <w:tab/>
        <w:t>‘</w:t>
      </w:r>
      <w:r w:rsidRPr="00970654">
        <w:t>Elective surgery</w:t>
      </w:r>
      <w:r>
        <w:t>’</w:t>
      </w:r>
      <w:r w:rsidRPr="00970654">
        <w:t xml:space="preserve"> refers to planned rather than emergency procedures.</w:t>
      </w:r>
    </w:p>
  </w:footnote>
  <w:footnote w:id="7">
    <w:p w14:paraId="548FF478" w14:textId="77777777" w:rsidR="001F6BD1" w:rsidRDefault="001F6BD1" w:rsidP="006407C8">
      <w:pPr>
        <w:pStyle w:val="FootnoteText"/>
      </w:pPr>
      <w:r w:rsidRPr="006407C8">
        <w:rPr>
          <w:rStyle w:val="FootnoteReference"/>
        </w:rPr>
        <w:footnoteRef/>
      </w:r>
      <w:r>
        <w:tab/>
        <w:t xml:space="preserve">‘Priority women’ in </w:t>
      </w:r>
      <w:proofErr w:type="spellStart"/>
      <w:r>
        <w:t>BreastScreen</w:t>
      </w:r>
      <w:proofErr w:type="spellEnd"/>
      <w:r>
        <w:t xml:space="preserve"> </w:t>
      </w:r>
      <w:proofErr w:type="spellStart"/>
      <w:r>
        <w:t>Aotearoa</w:t>
      </w:r>
      <w:proofErr w:type="spellEnd"/>
      <w:r>
        <w:t xml:space="preserve"> and the National Cervical Screening Programme are Māori and Pacific women, women who have never been screened, and women who are under-screened. In addition, Asian women are a priority group in the National Cervical Screening Programme.</w:t>
      </w:r>
    </w:p>
  </w:footnote>
  <w:footnote w:id="8">
    <w:p w14:paraId="31A27E14" w14:textId="75705E22" w:rsidR="001F6BD1" w:rsidRDefault="001F6BD1" w:rsidP="00D4652C">
      <w:pPr>
        <w:pStyle w:val="FootnoteText"/>
      </w:pPr>
      <w:r w:rsidRPr="00D4652C">
        <w:rPr>
          <w:rStyle w:val="FootnoteReference"/>
        </w:rPr>
        <w:footnoteRef/>
      </w:r>
      <w:r>
        <w:rPr>
          <w:szCs w:val="16"/>
          <w:lang w:val="en" w:eastAsia="en-NZ"/>
        </w:rPr>
        <w:tab/>
        <w:t xml:space="preserve">Published by The </w:t>
      </w:r>
      <w:r w:rsidRPr="00361E69">
        <w:rPr>
          <w:lang w:val="en"/>
        </w:rPr>
        <w:t>Treasury</w:t>
      </w:r>
      <w:r>
        <w:rPr>
          <w:lang w:val="en"/>
        </w:rPr>
        <w:t>,</w:t>
      </w:r>
      <w:r w:rsidRPr="00361E69">
        <w:rPr>
          <w:lang w:val="en"/>
        </w:rPr>
        <w:t xml:space="preserve"> Ministry of Health, </w:t>
      </w:r>
      <w:proofErr w:type="gramStart"/>
      <w:r w:rsidRPr="00361E69">
        <w:rPr>
          <w:lang w:val="en"/>
        </w:rPr>
        <w:t>Health</w:t>
      </w:r>
      <w:proofErr w:type="gramEnd"/>
      <w:r w:rsidRPr="00361E69">
        <w:rPr>
          <w:lang w:val="en"/>
        </w:rPr>
        <w:t xml:space="preserve"> Quality </w:t>
      </w:r>
      <w:r>
        <w:rPr>
          <w:lang w:val="en"/>
        </w:rPr>
        <w:t>&amp;</w:t>
      </w:r>
      <w:r w:rsidRPr="00361E69">
        <w:rPr>
          <w:lang w:val="en"/>
        </w:rPr>
        <w:t xml:space="preserve"> Safety Commission</w:t>
      </w:r>
      <w:r w:rsidRPr="00361E69">
        <w:t xml:space="preserve"> </w:t>
      </w:r>
      <w:r>
        <w:t xml:space="preserve">New Zealand </w:t>
      </w:r>
      <w:r w:rsidRPr="00361E69">
        <w:t>2016</w:t>
      </w:r>
      <w:r>
        <w:t>.</w:t>
      </w:r>
    </w:p>
  </w:footnote>
  <w:footnote w:id="9">
    <w:p w14:paraId="41CBA0FA" w14:textId="12640A46" w:rsidR="001F6BD1" w:rsidRPr="00BA70EF" w:rsidRDefault="001F6BD1" w:rsidP="00D4652C">
      <w:pPr>
        <w:pStyle w:val="FootnoteText"/>
        <w:rPr>
          <w:szCs w:val="16"/>
        </w:rPr>
      </w:pPr>
      <w:r w:rsidRPr="00D4652C">
        <w:rPr>
          <w:rStyle w:val="FootnoteReference"/>
        </w:rPr>
        <w:footnoteRef/>
      </w:r>
      <w:r w:rsidRPr="00AF1957">
        <w:tab/>
        <w:t xml:space="preserve">SPARX is an online game-style tool to help young people develop skills to deal with feeling down, depressed, anxious or stressed. It was developed by a team of researchers from </w:t>
      </w:r>
      <w:r>
        <w:t>t</w:t>
      </w:r>
      <w:r w:rsidRPr="00AF1957">
        <w:t>he University of Auckland and has been made available</w:t>
      </w:r>
      <w:r>
        <w:t>,</w:t>
      </w:r>
      <w:r w:rsidRPr="00AF1957">
        <w:t xml:space="preserve"> free</w:t>
      </w:r>
      <w:r>
        <w:t>,</w:t>
      </w:r>
      <w:r w:rsidRPr="00AF1957">
        <w:t xml:space="preserve"> </w:t>
      </w:r>
      <w:proofErr w:type="gramStart"/>
      <w:r w:rsidRPr="00AF1957">
        <w:t>online</w:t>
      </w:r>
      <w:proofErr w:type="gramEnd"/>
      <w:r w:rsidRPr="00AF1957">
        <w:t xml:space="preserve"> through </w:t>
      </w:r>
      <w:r>
        <w:t>t</w:t>
      </w:r>
      <w:r w:rsidRPr="00AF1957">
        <w:t>he Prime Minister</w:t>
      </w:r>
      <w:r>
        <w:t>’</w:t>
      </w:r>
      <w:r w:rsidRPr="00AF1957">
        <w:t xml:space="preserve">s Youth Mental Health Project. SPARX is available at </w:t>
      </w:r>
      <w:hyperlink r:id="rId1" w:history="1">
        <w:r w:rsidRPr="00E421FD">
          <w:rPr>
            <w:rStyle w:val="Hyperlink"/>
            <w:szCs w:val="18"/>
          </w:rPr>
          <w:t>www.sparx.org.nz</w:t>
        </w:r>
      </w:hyperlink>
      <w:r w:rsidRPr="00E421FD">
        <w:t xml:space="preserve"> </w:t>
      </w:r>
      <w:r w:rsidRPr="00AF1957">
        <w:t>As well as the SPARX e-therapy programme, the website also offers a mood quiz to help young people identify depression and information on where to get help.</w:t>
      </w:r>
    </w:p>
  </w:footnote>
  <w:footnote w:id="10">
    <w:p w14:paraId="3BEB7D3F" w14:textId="77777777" w:rsidR="001F6BD1" w:rsidRPr="00725AE8" w:rsidRDefault="001F6BD1" w:rsidP="00B45F1A">
      <w:pPr>
        <w:pStyle w:val="FootnoteText"/>
      </w:pPr>
      <w:r w:rsidRPr="00B45F1A">
        <w:rPr>
          <w:rStyle w:val="FootnoteReference"/>
        </w:rPr>
        <w:footnoteRef/>
      </w:r>
      <w:r>
        <w:tab/>
        <w:t>‘</w:t>
      </w:r>
      <w:r w:rsidRPr="00725AE8">
        <w:t>Full</w:t>
      </w:r>
      <w:r w:rsidRPr="00725AE8">
        <w:rPr>
          <w:vertAlign w:val="superscript"/>
        </w:rPr>
        <w:t xml:space="preserve"> </w:t>
      </w:r>
      <w:r w:rsidRPr="00725AE8">
        <w:t>health</w:t>
      </w:r>
      <w:r>
        <w:t>’</w:t>
      </w:r>
      <w:r w:rsidRPr="00725AE8">
        <w:t xml:space="preserve"> is defined here as 1 minus the all-cause YLD (years lost due to disability)</w:t>
      </w:r>
      <w:r>
        <w:t xml:space="preserve"> rate</w:t>
      </w:r>
      <w:r w:rsidRPr="00725AE8">
        <w:t>.</w:t>
      </w:r>
    </w:p>
  </w:footnote>
  <w:footnote w:id="11">
    <w:p w14:paraId="4A44D621" w14:textId="2E5AE4AA" w:rsidR="001F6BD1" w:rsidRDefault="001F6BD1">
      <w:pPr>
        <w:pStyle w:val="FootnoteText"/>
      </w:pPr>
      <w:r>
        <w:rPr>
          <w:rStyle w:val="FootnoteReference"/>
        </w:rPr>
        <w:footnoteRef/>
      </w:r>
      <w:r>
        <w:t xml:space="preserve"> </w:t>
      </w:r>
      <w:r>
        <w:tab/>
        <w:t>T</w:t>
      </w:r>
      <w:r w:rsidRPr="00BC0D1F">
        <w:t xml:space="preserve">he 2013 results are not comparable </w:t>
      </w:r>
      <w:r>
        <w:t>with</w:t>
      </w:r>
      <w:r w:rsidRPr="00BC0D1F">
        <w:t xml:space="preserve"> 2006 ILE measures due to differences in the questions used in the 2006 and 2013 post-</w:t>
      </w:r>
      <w:proofErr w:type="spellStart"/>
      <w:r w:rsidRPr="00BC0D1F">
        <w:t>censal</w:t>
      </w:r>
      <w:proofErr w:type="spellEnd"/>
      <w:r w:rsidRPr="00BC0D1F">
        <w:t xml:space="preserve"> Disability Surveys (Ministry of Health 2013)</w:t>
      </w:r>
      <w:r>
        <w:t>, so the comparison is against 1996 data.</w:t>
      </w:r>
    </w:p>
  </w:footnote>
  <w:footnote w:id="12">
    <w:p w14:paraId="5430BF57" w14:textId="3D59CAA8" w:rsidR="001F6BD1" w:rsidRPr="005329FB" w:rsidRDefault="001F6BD1" w:rsidP="00B45F1A">
      <w:pPr>
        <w:pStyle w:val="FootnoteText"/>
      </w:pPr>
      <w:r w:rsidRPr="00B45F1A">
        <w:rPr>
          <w:rStyle w:val="FootnoteReference"/>
        </w:rPr>
        <w:footnoteRef/>
      </w:r>
      <w:r>
        <w:tab/>
      </w:r>
      <w:r w:rsidRPr="005329FB">
        <w:t xml:space="preserve">NZ Social </w:t>
      </w:r>
      <w:r>
        <w:t>I</w:t>
      </w:r>
      <w:r w:rsidRPr="005329FB">
        <w:t>ndicators</w:t>
      </w:r>
      <w:r>
        <w:t>:</w:t>
      </w:r>
      <w:r w:rsidRPr="005329FB">
        <w:t xml:space="preserve"> Life Expectancy</w:t>
      </w:r>
      <w:r>
        <w:t>,</w:t>
      </w:r>
      <w:r w:rsidRPr="005329FB">
        <w:t xml:space="preserve"> </w:t>
      </w:r>
      <w:r>
        <w:t xml:space="preserve">2014. URL: www.stats.govt.nz </w:t>
      </w:r>
    </w:p>
  </w:footnote>
  <w:footnote w:id="13">
    <w:p w14:paraId="6D294432" w14:textId="70031A68" w:rsidR="001F6BD1" w:rsidRPr="005329FB" w:rsidRDefault="001F6BD1" w:rsidP="00B45F1A">
      <w:pPr>
        <w:pStyle w:val="FootnoteText"/>
      </w:pPr>
      <w:r w:rsidRPr="00B45F1A">
        <w:rPr>
          <w:rStyle w:val="FootnoteReference"/>
        </w:rPr>
        <w:footnoteRef/>
      </w:r>
      <w:r w:rsidRPr="005329FB">
        <w:tab/>
        <w:t>OECD Health Statistics 2016</w:t>
      </w:r>
      <w:r>
        <w:t xml:space="preserve">. URL: </w:t>
      </w:r>
      <w:r w:rsidRPr="005329FB">
        <w:t>www.stats.oecd.org</w:t>
      </w:r>
    </w:p>
  </w:footnote>
  <w:footnote w:id="14">
    <w:p w14:paraId="632A18F7" w14:textId="77777777" w:rsidR="001F6BD1" w:rsidRPr="005329FB" w:rsidRDefault="001F6BD1" w:rsidP="00B45F1A">
      <w:pPr>
        <w:pStyle w:val="FootnoteText"/>
      </w:pPr>
      <w:r w:rsidRPr="00B45F1A">
        <w:rPr>
          <w:rStyle w:val="FootnoteReference"/>
        </w:rPr>
        <w:footnoteRef/>
      </w:r>
      <w:r w:rsidRPr="005329FB">
        <w:tab/>
        <w:t>OECD Health Statistics 2015. OECD converts local currency units to United States dollars (USD), using a purchasing power parity (PPP) exchange rate.</w:t>
      </w:r>
    </w:p>
  </w:footnote>
  <w:footnote w:id="15">
    <w:p w14:paraId="610C9DA9" w14:textId="428DF774" w:rsidR="001F6BD1" w:rsidRPr="00B35675" w:rsidRDefault="001F6BD1" w:rsidP="00B45F1A">
      <w:pPr>
        <w:pStyle w:val="FootnoteText"/>
      </w:pPr>
      <w:r w:rsidRPr="00B45F1A">
        <w:rPr>
          <w:rStyle w:val="FootnoteReference"/>
        </w:rPr>
        <w:footnoteRef/>
      </w:r>
      <w:r w:rsidRPr="00970B79">
        <w:tab/>
        <w:t xml:space="preserve">The </w:t>
      </w:r>
      <w:r w:rsidRPr="00B35675">
        <w:t>New Zealand Burden of Diseases, Injuries and Risk Factors Study, 2006–2016 (the New Zealand Burden of Disease Study) analyses health losses sustained by New Zealanders of all ages, both sex</w:t>
      </w:r>
      <w:r>
        <w:t>es and both major ethnic groups</w:t>
      </w:r>
      <w:r w:rsidRPr="00B35675">
        <w:t xml:space="preserve"> (Ministry of Health 201</w:t>
      </w:r>
      <w:r>
        <w:t>6)</w:t>
      </w:r>
      <w:r w:rsidRPr="00B35675">
        <w:t>.</w:t>
      </w:r>
    </w:p>
  </w:footnote>
  <w:footnote w:id="16">
    <w:p w14:paraId="3C0945BF" w14:textId="77777777" w:rsidR="001F6BD1" w:rsidRPr="00B35675" w:rsidRDefault="001F6BD1" w:rsidP="00B45F1A">
      <w:pPr>
        <w:pStyle w:val="FootnoteText"/>
      </w:pPr>
      <w:r w:rsidRPr="00B45F1A">
        <w:rPr>
          <w:rStyle w:val="FootnoteReference"/>
        </w:rPr>
        <w:footnoteRef/>
      </w:r>
      <w:r w:rsidRPr="00B35675">
        <w:tab/>
        <w:t>The New Zealand Health Survey (NZHS) is an important data collection tool for monitoring the health of the population. A survey methodology report, the questionnaires and the content guides have been published. Further information about the survey can be found at the Ministry</w:t>
      </w:r>
      <w:r>
        <w:t>’</w:t>
      </w:r>
      <w:r w:rsidRPr="00B35675">
        <w:t xml:space="preserve">s </w:t>
      </w:r>
      <w:r>
        <w:t>website (www.health.govt.nz).</w:t>
      </w:r>
    </w:p>
  </w:footnote>
  <w:footnote w:id="17">
    <w:p w14:paraId="4AC572B3" w14:textId="77777777" w:rsidR="001F6BD1" w:rsidRPr="00B35675" w:rsidRDefault="001F6BD1" w:rsidP="00B45F1A">
      <w:pPr>
        <w:pStyle w:val="FootnoteText"/>
      </w:pPr>
      <w:r w:rsidRPr="00B45F1A">
        <w:rPr>
          <w:rStyle w:val="FootnoteReference"/>
        </w:rPr>
        <w:footnoteRef/>
      </w:r>
      <w:r w:rsidRPr="00B35675">
        <w:tab/>
        <w:t xml:space="preserve">Note: a p-value less than 0.05 indicates a statistically significant difference between the two data points. P-values have been calculated using age-standardised </w:t>
      </w:r>
      <w:proofErr w:type="spellStart"/>
      <w:r w:rsidRPr="00B35675">
        <w:t>prevalences</w:t>
      </w:r>
      <w:proofErr w:type="spellEnd"/>
      <w:r w:rsidRPr="00B35675">
        <w:t>, which take into account changing age structures in the underlying populations over time.</w:t>
      </w:r>
    </w:p>
  </w:footnote>
  <w:footnote w:id="18">
    <w:p w14:paraId="208B567A" w14:textId="77777777" w:rsidR="001F6BD1" w:rsidRDefault="001F6BD1" w:rsidP="00887E69">
      <w:pPr>
        <w:pStyle w:val="FootnoteText"/>
      </w:pPr>
      <w:r w:rsidRPr="009A42E5">
        <w:rPr>
          <w:rStyle w:val="FootnoteReference"/>
        </w:rPr>
        <w:footnoteRef/>
      </w:r>
      <w:r>
        <w:tab/>
      </w:r>
      <w:r w:rsidRPr="00BE3759">
        <w:t>Plunket is contracted to provide approximately 85</w:t>
      </w:r>
      <w:r>
        <w:t xml:space="preserve"> percent</w:t>
      </w:r>
      <w:r w:rsidRPr="00BE3759">
        <w:t xml:space="preserve"> service coverage. The balance of service coverage is by local providers contracted via DHBs.</w:t>
      </w:r>
    </w:p>
  </w:footnote>
  <w:footnote w:id="19">
    <w:p w14:paraId="13CE0D5A" w14:textId="43026EDA" w:rsidR="001F6BD1" w:rsidRDefault="001F6BD1" w:rsidP="00587875">
      <w:pPr>
        <w:pStyle w:val="FootnoteText"/>
      </w:pPr>
      <w:r w:rsidRPr="00587875">
        <w:rPr>
          <w:rStyle w:val="FootnoteReference"/>
        </w:rPr>
        <w:footnoteRef/>
      </w:r>
      <w:r>
        <w:tab/>
      </w:r>
      <w:r w:rsidRPr="00BE3759">
        <w:t>In 2011/12</w:t>
      </w:r>
      <w:r>
        <w:t>,</w:t>
      </w:r>
      <w:r w:rsidRPr="00BE3759">
        <w:t xml:space="preserve"> daily smoking prevalence was 16.</w:t>
      </w:r>
      <w:r>
        <w:t>4 percent</w:t>
      </w:r>
      <w:r w:rsidRPr="00BE3759">
        <w:t xml:space="preserve"> for adults aged 15 and over. For Māori and Pacific peoples</w:t>
      </w:r>
      <w:r>
        <w:t>,</w:t>
      </w:r>
      <w:r w:rsidRPr="00BE3759">
        <w:t xml:space="preserve"> the</w:t>
      </w:r>
      <w:r>
        <w:t xml:space="preserve"> rates were much higher, at 38 percent</w:t>
      </w:r>
      <w:r w:rsidRPr="00BE3759">
        <w:t xml:space="preserve"> a</w:t>
      </w:r>
      <w:r>
        <w:t>nd 22.7 percent respectively (</w:t>
      </w:r>
      <w:r w:rsidRPr="00DC4452">
        <w:t xml:space="preserve">Ministry of Health. 2012. </w:t>
      </w:r>
      <w:r w:rsidRPr="00DC4452">
        <w:rPr>
          <w:i/>
        </w:rPr>
        <w:t>The Health of New Zealand Adults 2011/12: Key findings of the New Zealand Health Survey</w:t>
      </w:r>
      <w:r w:rsidRPr="00DC4452">
        <w:t>. Wellington: Ministry of Health</w:t>
      </w:r>
      <w:r>
        <w:t>).</w:t>
      </w:r>
    </w:p>
  </w:footnote>
  <w:footnote w:id="20">
    <w:p w14:paraId="62E304BE" w14:textId="77777777" w:rsidR="001F6BD1" w:rsidRDefault="001F6BD1" w:rsidP="00587875">
      <w:pPr>
        <w:pStyle w:val="FootnoteText"/>
      </w:pPr>
      <w:r w:rsidRPr="00587875">
        <w:rPr>
          <w:rStyle w:val="FootnoteReference"/>
        </w:rPr>
        <w:footnoteRef/>
      </w:r>
      <w:r>
        <w:tab/>
      </w:r>
      <w:r w:rsidRPr="00BE3759">
        <w:t xml:space="preserve">Government Response to the Report of the Māori Affairs Committee on </w:t>
      </w:r>
      <w:r>
        <w:t>I</w:t>
      </w:r>
      <w:r w:rsidRPr="00BE3759">
        <w:t xml:space="preserve">ts Inquiry into the Tobacco Industry in </w:t>
      </w:r>
      <w:proofErr w:type="spellStart"/>
      <w:r w:rsidRPr="00BE3759">
        <w:t>Aotearoa</w:t>
      </w:r>
      <w:proofErr w:type="spellEnd"/>
      <w:r w:rsidRPr="00BE3759">
        <w:t xml:space="preserve"> and the Consequences of Tobacco Use for Māori (Final Response), March 2011.</w:t>
      </w:r>
    </w:p>
  </w:footnote>
  <w:footnote w:id="21">
    <w:p w14:paraId="3A39DF11" w14:textId="77777777" w:rsidR="001F6BD1" w:rsidRPr="005329FB" w:rsidRDefault="001F6BD1" w:rsidP="00587875">
      <w:pPr>
        <w:pStyle w:val="FootnoteText"/>
      </w:pPr>
      <w:r w:rsidRPr="00587875">
        <w:rPr>
          <w:rStyle w:val="FootnoteReference"/>
        </w:rPr>
        <w:footnoteRef/>
      </w:r>
      <w:r w:rsidRPr="005329FB">
        <w:tab/>
        <w:t xml:space="preserve">Ministry of Health. 2015. </w:t>
      </w:r>
      <w:r w:rsidRPr="00587875">
        <w:rPr>
          <w:i/>
        </w:rPr>
        <w:t>Annual Update of Key Results 2014/15: New Zealand Health Survey</w:t>
      </w:r>
      <w:r w:rsidRPr="005329FB">
        <w:t>. Wellington: Ministry of Health.</w:t>
      </w:r>
    </w:p>
  </w:footnote>
  <w:footnote w:id="22">
    <w:p w14:paraId="592F542F" w14:textId="5BA2A0E1" w:rsidR="001F6BD1" w:rsidRDefault="001F6BD1" w:rsidP="00587875">
      <w:pPr>
        <w:pStyle w:val="FootnoteText"/>
      </w:pPr>
      <w:r w:rsidRPr="00587875">
        <w:rPr>
          <w:rStyle w:val="FootnoteReference"/>
        </w:rPr>
        <w:footnoteRef/>
      </w:r>
      <w:r>
        <w:tab/>
      </w:r>
      <w:r w:rsidRPr="00A65BE4">
        <w:t xml:space="preserve">The Ministry </w:t>
      </w:r>
      <w:r>
        <w:t>leads</w:t>
      </w:r>
      <w:r w:rsidRPr="00A65BE4">
        <w:t xml:space="preserve"> the cross-government New</w:t>
      </w:r>
      <w:r>
        <w:t> </w:t>
      </w:r>
      <w:r w:rsidRPr="00A65BE4">
        <w:t>Zealand Suicide Prevention Action Plan2013–2016.</w:t>
      </w:r>
    </w:p>
  </w:footnote>
  <w:footnote w:id="23">
    <w:p w14:paraId="07BD7415" w14:textId="363A5C87" w:rsidR="001F6BD1" w:rsidRDefault="001F6BD1" w:rsidP="00587875">
      <w:pPr>
        <w:pStyle w:val="FootnoteText"/>
      </w:pPr>
      <w:r w:rsidRPr="00587875">
        <w:rPr>
          <w:rStyle w:val="FootnoteReference"/>
        </w:rPr>
        <w:footnoteRef/>
      </w:r>
      <w:r>
        <w:tab/>
      </w:r>
      <w:r w:rsidRPr="000D4A85">
        <w:t>www.health.govt.nz/publication/suicide-facts-2013-data</w:t>
      </w:r>
    </w:p>
  </w:footnote>
  <w:footnote w:id="24">
    <w:p w14:paraId="0A1AF76A" w14:textId="77777777" w:rsidR="001F6BD1" w:rsidRDefault="001F6BD1" w:rsidP="00C121BD">
      <w:pPr>
        <w:pStyle w:val="FootnoteText"/>
      </w:pPr>
      <w:r w:rsidRPr="00C121BD">
        <w:rPr>
          <w:rStyle w:val="FootnoteReference"/>
        </w:rPr>
        <w:footnoteRef/>
      </w:r>
      <w:r>
        <w:tab/>
        <w:t>Reported as 510 in the 2014/15 Annual Report.</w:t>
      </w:r>
    </w:p>
  </w:footnote>
  <w:footnote w:id="25">
    <w:p w14:paraId="543F12B1" w14:textId="64A32015" w:rsidR="001F6BD1" w:rsidRDefault="001F6BD1">
      <w:pPr>
        <w:pStyle w:val="FootnoteText"/>
      </w:pPr>
      <w:r>
        <w:rPr>
          <w:rStyle w:val="FootnoteReference"/>
        </w:rPr>
        <w:footnoteRef/>
      </w:r>
      <w:r>
        <w:t xml:space="preserve"> </w:t>
      </w:r>
      <w:r>
        <w:tab/>
        <w:t>Results are for January to December 2015.</w:t>
      </w:r>
    </w:p>
  </w:footnote>
  <w:footnote w:id="26">
    <w:p w14:paraId="4792504F" w14:textId="77777777" w:rsidR="001F6BD1" w:rsidRDefault="001F6BD1" w:rsidP="00C121BD">
      <w:pPr>
        <w:pStyle w:val="FootnoteText"/>
      </w:pPr>
      <w:r w:rsidRPr="00C121BD">
        <w:rPr>
          <w:rStyle w:val="FootnoteReference"/>
        </w:rPr>
        <w:footnoteRef/>
      </w:r>
      <w:r>
        <w:tab/>
      </w:r>
      <w:r w:rsidRPr="0096278D">
        <w:t>Deaths from those conditions for which variation in mortality rates (over time and across populations) reflects variation in the cover and quality of health care (preventive or therapeutic services) delivered to individuals.</w:t>
      </w:r>
    </w:p>
  </w:footnote>
  <w:footnote w:id="27">
    <w:p w14:paraId="531FC662" w14:textId="77777777" w:rsidR="001F6BD1" w:rsidRDefault="001F6BD1" w:rsidP="00C121BD">
      <w:pPr>
        <w:pStyle w:val="FootnoteText"/>
      </w:pPr>
      <w:r w:rsidRPr="00C121BD">
        <w:rPr>
          <w:rStyle w:val="FootnoteReference"/>
        </w:rPr>
        <w:footnoteRef/>
      </w:r>
      <w:r>
        <w:tab/>
        <w:t>‘</w:t>
      </w:r>
      <w:r w:rsidRPr="00DD788E">
        <w:t>Falls</w:t>
      </w:r>
      <w:r>
        <w:t>’</w:t>
      </w:r>
      <w:r w:rsidRPr="00DD788E">
        <w:t xml:space="preserve"> refers to incidents that required hospitalisation for older people (not serious and sentinel events).</w:t>
      </w:r>
    </w:p>
  </w:footnote>
  <w:footnote w:id="28">
    <w:p w14:paraId="050A75B9" w14:textId="77777777" w:rsidR="001F6BD1" w:rsidRDefault="001F6BD1" w:rsidP="009679C3">
      <w:pPr>
        <w:pStyle w:val="FootnoteText"/>
      </w:pPr>
      <w:r w:rsidRPr="009679C3">
        <w:rPr>
          <w:rStyle w:val="FootnoteReference"/>
        </w:rPr>
        <w:footnoteRef/>
      </w:r>
      <w:r>
        <w:tab/>
        <w:t>Aged residential care</w:t>
      </w:r>
      <w:r>
        <w:rPr>
          <w:b/>
        </w:rPr>
        <w:t xml:space="preserve"> </w:t>
      </w:r>
      <w:r>
        <w:t>(</w:t>
      </w:r>
      <w:r w:rsidRPr="00755C4C">
        <w:t>ARC</w:t>
      </w:r>
      <w:r>
        <w:t xml:space="preserve">) numbers are derived from the demand planner that DHBs and providers are able to use </w:t>
      </w:r>
      <w:r w:rsidRPr="00755C4C">
        <w:t xml:space="preserve">to </w:t>
      </w:r>
      <w:r>
        <w:t xml:space="preserve">predict </w:t>
      </w:r>
      <w:r w:rsidRPr="00755C4C">
        <w:t>future demand</w:t>
      </w:r>
      <w:r>
        <w:t xml:space="preserve"> for ARC services. See http://centraltas.co.nz/health-of-older-people</w:t>
      </w:r>
    </w:p>
  </w:footnote>
  <w:footnote w:id="29">
    <w:p w14:paraId="7D52DEB2" w14:textId="77777777" w:rsidR="001F6BD1" w:rsidRDefault="001F6BD1" w:rsidP="009679C3">
      <w:pPr>
        <w:pStyle w:val="FootnoteText"/>
      </w:pPr>
      <w:r w:rsidRPr="009679C3">
        <w:rPr>
          <w:rStyle w:val="FootnoteReference"/>
        </w:rPr>
        <w:footnoteRef/>
      </w:r>
      <w:r>
        <w:tab/>
        <w:t>Ministry of Health system-level measure.</w:t>
      </w:r>
    </w:p>
  </w:footnote>
  <w:footnote w:id="30">
    <w:p w14:paraId="6F363E1C" w14:textId="309CD263" w:rsidR="001F6BD1" w:rsidRDefault="001F6BD1" w:rsidP="009679C3">
      <w:pPr>
        <w:pStyle w:val="FootnoteText"/>
      </w:pPr>
      <w:r w:rsidRPr="009679C3">
        <w:rPr>
          <w:rStyle w:val="FootnoteReference"/>
        </w:rPr>
        <w:footnoteRef/>
      </w:r>
      <w:r>
        <w:tab/>
      </w:r>
      <w:r w:rsidRPr="007959F0">
        <w:t>Although the national picture of health is positive, there are substantial variations in outcomes for diffe</w:t>
      </w:r>
      <w:r>
        <w:t>rent populations, particularly Māori,</w:t>
      </w:r>
      <w:r w:rsidRPr="007959F0">
        <w:t xml:space="preserve"> Pacific people and those living in more socioeconomically deprived areas</w:t>
      </w:r>
      <w:r>
        <w:t xml:space="preserve">, </w:t>
      </w:r>
      <w:proofErr w:type="spellStart"/>
      <w:r>
        <w:t>eg</w:t>
      </w:r>
      <w:proofErr w:type="spellEnd"/>
      <w:r w:rsidRPr="007959F0">
        <w:t xml:space="preserve">, </w:t>
      </w:r>
      <w:proofErr w:type="gramStart"/>
      <w:r w:rsidRPr="007959F0">
        <w:t>rates</w:t>
      </w:r>
      <w:proofErr w:type="gramEnd"/>
      <w:r w:rsidRPr="007959F0">
        <w:t xml:space="preserve"> of some</w:t>
      </w:r>
      <w:r>
        <w:t xml:space="preserve"> illnesses (</w:t>
      </w:r>
      <w:proofErr w:type="spellStart"/>
      <w:r>
        <w:t>eg</w:t>
      </w:r>
      <w:proofErr w:type="spellEnd"/>
      <w:r>
        <w:t>,</w:t>
      </w:r>
      <w:r w:rsidRPr="007959F0">
        <w:t xml:space="preserve"> rheumatic fever and skin infections) are much higher among Māori and Pacific people.</w:t>
      </w:r>
    </w:p>
  </w:footnote>
  <w:footnote w:id="31">
    <w:p w14:paraId="0EF9A44C" w14:textId="77777777" w:rsidR="001F6BD1" w:rsidRPr="005329FB" w:rsidRDefault="001F6BD1" w:rsidP="009679C3">
      <w:pPr>
        <w:pStyle w:val="FootnoteText"/>
      </w:pPr>
      <w:r w:rsidRPr="009679C3">
        <w:rPr>
          <w:rStyle w:val="FootnoteReference"/>
        </w:rPr>
        <w:footnoteRef/>
      </w:r>
      <w:r w:rsidRPr="005329FB">
        <w:tab/>
        <w:t>Source: www.health.govt.nz/publication/fetal-and-infant-deaths-2012.</w:t>
      </w:r>
    </w:p>
  </w:footnote>
  <w:footnote w:id="32">
    <w:p w14:paraId="1A20AF49" w14:textId="77777777" w:rsidR="001F6BD1" w:rsidRDefault="001F6BD1" w:rsidP="009679C3">
      <w:pPr>
        <w:pStyle w:val="FootnoteText"/>
      </w:pPr>
      <w:r w:rsidRPr="009679C3">
        <w:rPr>
          <w:rStyle w:val="FootnoteReference"/>
        </w:rPr>
        <w:footnoteRef/>
      </w:r>
      <w:r>
        <w:tab/>
      </w:r>
      <w:r w:rsidRPr="007959F0">
        <w:t>A 10-item questionnaire intended to yield a global measure of distress, based on questions about anxiety and depressive symptoms.</w:t>
      </w:r>
    </w:p>
  </w:footnote>
  <w:footnote w:id="33">
    <w:p w14:paraId="72F1356B" w14:textId="77777777" w:rsidR="001F6BD1" w:rsidRDefault="001F6BD1" w:rsidP="009679C3">
      <w:pPr>
        <w:pStyle w:val="FootnoteText"/>
      </w:pPr>
      <w:r w:rsidRPr="009679C3">
        <w:rPr>
          <w:rStyle w:val="FootnoteReference"/>
        </w:rPr>
        <w:footnoteRef/>
      </w:r>
      <w:r>
        <w:tab/>
      </w:r>
      <w:r w:rsidRPr="00CE0A60">
        <w:t>Includes shifting services closer to home, integrated acute demand planning and the development of clinical pathways.</w:t>
      </w:r>
    </w:p>
  </w:footnote>
  <w:footnote w:id="34">
    <w:p w14:paraId="2A9B4907" w14:textId="77777777" w:rsidR="001F6BD1" w:rsidRDefault="001F6BD1" w:rsidP="00D74409">
      <w:pPr>
        <w:pStyle w:val="FootnoteText"/>
      </w:pPr>
      <w:r w:rsidRPr="00D74409">
        <w:rPr>
          <w:rStyle w:val="FootnoteReference"/>
        </w:rPr>
        <w:footnoteRef/>
      </w:r>
      <w:r>
        <w:tab/>
      </w:r>
      <w:r w:rsidRPr="00076AC1">
        <w:t xml:space="preserve">Reported against the National Infrastructure and Information Systems work programme for </w:t>
      </w:r>
      <w:r>
        <w:t>s</w:t>
      </w:r>
      <w:r w:rsidRPr="00076AC1">
        <w:t xml:space="preserve">ystem </w:t>
      </w:r>
      <w:r>
        <w:t>i</w:t>
      </w:r>
      <w:r w:rsidRPr="00076AC1">
        <w:t>ntegration</w:t>
      </w:r>
      <w:r>
        <w:t>,</w:t>
      </w:r>
      <w:r w:rsidRPr="00076AC1">
        <w:t xml:space="preserve"> the </w:t>
      </w:r>
      <w:r>
        <w:t>h</w:t>
      </w:r>
      <w:r w:rsidRPr="00076AC1">
        <w:t xml:space="preserve">ealth </w:t>
      </w:r>
      <w:r>
        <w:t>i</w:t>
      </w:r>
      <w:r w:rsidRPr="00076AC1">
        <w:t xml:space="preserve">nformation </w:t>
      </w:r>
      <w:r>
        <w:t>p</w:t>
      </w:r>
      <w:r w:rsidRPr="00076AC1">
        <w:t>latform</w:t>
      </w:r>
      <w:r>
        <w:t>,</w:t>
      </w:r>
      <w:r w:rsidRPr="00076AC1">
        <w:t xml:space="preserve"> </w:t>
      </w:r>
      <w:r>
        <w:t>l</w:t>
      </w:r>
      <w:r w:rsidRPr="00076AC1">
        <w:t xml:space="preserve">everaging </w:t>
      </w:r>
      <w:r>
        <w:t>h</w:t>
      </w:r>
      <w:r w:rsidRPr="00076AC1">
        <w:t xml:space="preserve">ealth </w:t>
      </w:r>
      <w:r>
        <w:t>i</w:t>
      </w:r>
      <w:r w:rsidRPr="00076AC1">
        <w:t>dentity</w:t>
      </w:r>
      <w:r>
        <w:t>,</w:t>
      </w:r>
      <w:r w:rsidRPr="00076AC1">
        <w:t xml:space="preserve"> and IT </w:t>
      </w:r>
      <w:r>
        <w:t>i</w:t>
      </w:r>
      <w:r w:rsidRPr="00076AC1">
        <w:t xml:space="preserve">nfrastructure and </w:t>
      </w:r>
      <w:r>
        <w:t>p</w:t>
      </w:r>
      <w:r w:rsidRPr="00076AC1">
        <w:t>latforms.</w:t>
      </w:r>
    </w:p>
  </w:footnote>
  <w:footnote w:id="35">
    <w:p w14:paraId="224D4E76" w14:textId="77777777" w:rsidR="001F6BD1" w:rsidRDefault="001F6BD1" w:rsidP="00D74409">
      <w:pPr>
        <w:pStyle w:val="FootnoteText"/>
      </w:pPr>
      <w:r w:rsidRPr="00D74409">
        <w:rPr>
          <w:rStyle w:val="FootnoteReference"/>
        </w:rPr>
        <w:footnoteRef/>
      </w:r>
      <w:r>
        <w:tab/>
      </w:r>
      <w:r w:rsidRPr="00076AC1">
        <w:t>The National Health IT Plan outlines the priority programmes required to deliver this target.</w:t>
      </w:r>
    </w:p>
  </w:footnote>
  <w:footnote w:id="36">
    <w:p w14:paraId="0AC7D232" w14:textId="77777777" w:rsidR="001F6BD1" w:rsidRDefault="001F6BD1" w:rsidP="004F0406">
      <w:pPr>
        <w:pStyle w:val="FootnoteText"/>
      </w:pPr>
      <w:r w:rsidRPr="004F0406">
        <w:rPr>
          <w:rStyle w:val="FootnoteReference"/>
        </w:rPr>
        <w:footnoteRef/>
      </w:r>
      <w:r>
        <w:tab/>
        <w:t>S</w:t>
      </w:r>
      <w:r w:rsidRPr="007B1A9D">
        <w:t>ection 11 committees are not DHB or Crown entity boards.</w:t>
      </w:r>
    </w:p>
  </w:footnote>
  <w:footnote w:id="37">
    <w:p w14:paraId="2ED78D06" w14:textId="77777777" w:rsidR="001F6BD1" w:rsidRPr="00755C4C" w:rsidRDefault="001F6BD1" w:rsidP="00DC320E">
      <w:pPr>
        <w:pStyle w:val="FootnoteText"/>
        <w:rPr>
          <w:b/>
        </w:rPr>
      </w:pPr>
      <w:r w:rsidRPr="00DC320E">
        <w:rPr>
          <w:rStyle w:val="FootnoteReference"/>
        </w:rPr>
        <w:footnoteRef/>
      </w:r>
      <w:r>
        <w:tab/>
        <w:t xml:space="preserve">The National Ethics Advisory Committee was established under s16 of the </w:t>
      </w:r>
      <w:r w:rsidRPr="00214C84">
        <w:t>New</w:t>
      </w:r>
      <w:r>
        <w:t> </w:t>
      </w:r>
      <w:r w:rsidRPr="00214C84">
        <w:t>Zealand Public</w:t>
      </w:r>
      <w:r>
        <w:t xml:space="preserve"> Health and Disability Act 2000. As such, </w:t>
      </w:r>
      <w:r w:rsidRPr="00563E0E">
        <w:t>it does not</w:t>
      </w:r>
      <w:r>
        <w:t xml:space="preserve"> fall under the annual report requirement in </w:t>
      </w:r>
      <w:proofErr w:type="gramStart"/>
      <w:r>
        <w:t>s12(</w:t>
      </w:r>
      <w:proofErr w:type="gramEnd"/>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FCDF" w14:textId="77777777" w:rsidR="001F6BD1" w:rsidRDefault="001F6BD1" w:rsidP="006E7B5E">
    <w:pPr>
      <w:pStyle w:val="Header"/>
      <w:ind w:left="-1559"/>
      <w:jc w:val="right"/>
    </w:pPr>
    <w:r>
      <w:t>E.10 AR (2015/16)</w:t>
    </w:r>
  </w:p>
  <w:p w14:paraId="646DA1CB" w14:textId="77777777" w:rsidR="001F6BD1" w:rsidRDefault="001F6BD1" w:rsidP="006E7B5E">
    <w:pPr>
      <w:pStyle w:val="Header"/>
      <w:spacing w:before="240"/>
      <w:ind w:left="-1559"/>
    </w:pPr>
    <w:r>
      <w:rPr>
        <w:noProof/>
        <w:lang w:eastAsia="en-NZ"/>
      </w:rPr>
      <w:drawing>
        <wp:inline distT="0" distB="0" distL="0" distR="0" wp14:anchorId="57634436" wp14:editId="163C9F8A">
          <wp:extent cx="6467475" cy="532130"/>
          <wp:effectExtent l="0" t="0" r="9525" b="127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532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BC3FC" w14:textId="77777777" w:rsidR="001F6BD1" w:rsidRDefault="001F6BD1"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93B9" w14:textId="77777777" w:rsidR="001F6BD1" w:rsidRDefault="001F6BD1"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6B54" w14:textId="77777777" w:rsidR="001F6BD1" w:rsidRDefault="001F6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2D0AED"/>
    <w:multiLevelType w:val="hybridMultilevel"/>
    <w:tmpl w:val="609A5B22"/>
    <w:lvl w:ilvl="0" w:tplc="8CA2CCC6">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FF55FA4"/>
    <w:multiLevelType w:val="multilevel"/>
    <w:tmpl w:val="BE8C8038"/>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nsid w:val="68C224AC"/>
    <w:multiLevelType w:val="multilevel"/>
    <w:tmpl w:val="A146876C"/>
    <w:lvl w:ilvl="0">
      <w:start w:val="1"/>
      <w:numFmt w:val="decimal"/>
      <w:pStyle w:val="ANZAppendix"/>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6D8F5B3B"/>
    <w:multiLevelType w:val="hybridMultilevel"/>
    <w:tmpl w:val="802EF040"/>
    <w:lvl w:ilvl="0" w:tplc="150A6BD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6"/>
  </w:num>
  <w:num w:numId="3">
    <w:abstractNumId w:val="3"/>
  </w:num>
  <w:num w:numId="4">
    <w:abstractNumId w:val="5"/>
  </w:num>
  <w:num w:numId="5">
    <w:abstractNumId w:val="0"/>
  </w:num>
  <w:num w:numId="6">
    <w:abstractNumId w:val="1"/>
  </w:num>
  <w:num w:numId="7">
    <w:abstractNumId w:val="9"/>
  </w:num>
  <w:num w:numId="8">
    <w:abstractNumId w:val="9"/>
  </w:num>
  <w:num w:numId="9">
    <w:abstractNumId w:val="9"/>
  </w:num>
  <w:num w:numId="10">
    <w:abstractNumId w:val="9"/>
  </w:num>
  <w:num w:numId="11">
    <w:abstractNumId w:val="9"/>
  </w:num>
  <w:num w:numId="12">
    <w:abstractNumId w:val="9"/>
  </w:num>
  <w:num w:numId="13">
    <w:abstractNumId w:val="8"/>
  </w:num>
  <w:num w:numId="14">
    <w:abstractNumId w:val="2"/>
  </w:num>
  <w:num w:numId="15">
    <w:abstractNumId w:val="9"/>
  </w:num>
  <w:num w:numId="16">
    <w:abstractNumId w:val="9"/>
  </w:num>
  <w:num w:numId="17">
    <w:abstractNumId w:val="7"/>
  </w:num>
  <w:num w:numId="18">
    <w:abstractNumId w:val="4"/>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2F28"/>
    <w:rsid w:val="00005BBB"/>
    <w:rsid w:val="00012DEA"/>
    <w:rsid w:val="00014B00"/>
    <w:rsid w:val="000157EF"/>
    <w:rsid w:val="00016CF5"/>
    <w:rsid w:val="00030B26"/>
    <w:rsid w:val="00035257"/>
    <w:rsid w:val="00047BE0"/>
    <w:rsid w:val="00060B23"/>
    <w:rsid w:val="0006228D"/>
    <w:rsid w:val="0006570D"/>
    <w:rsid w:val="000677F9"/>
    <w:rsid w:val="000715E4"/>
    <w:rsid w:val="00072BD6"/>
    <w:rsid w:val="00075B78"/>
    <w:rsid w:val="00081AA5"/>
    <w:rsid w:val="00081FF0"/>
    <w:rsid w:val="000820E5"/>
    <w:rsid w:val="00082CD6"/>
    <w:rsid w:val="000831C8"/>
    <w:rsid w:val="00085AFE"/>
    <w:rsid w:val="00091C3D"/>
    <w:rsid w:val="000B0730"/>
    <w:rsid w:val="000B0F53"/>
    <w:rsid w:val="000B186D"/>
    <w:rsid w:val="000B3720"/>
    <w:rsid w:val="000D381E"/>
    <w:rsid w:val="000D4A85"/>
    <w:rsid w:val="000D7CBA"/>
    <w:rsid w:val="000E6006"/>
    <w:rsid w:val="000F2AE2"/>
    <w:rsid w:val="000F2F95"/>
    <w:rsid w:val="00101148"/>
    <w:rsid w:val="00101D87"/>
    <w:rsid w:val="00102063"/>
    <w:rsid w:val="0010541C"/>
    <w:rsid w:val="00106F93"/>
    <w:rsid w:val="00110096"/>
    <w:rsid w:val="00111D50"/>
    <w:rsid w:val="00113B8E"/>
    <w:rsid w:val="001157A2"/>
    <w:rsid w:val="0013160A"/>
    <w:rsid w:val="001342C7"/>
    <w:rsid w:val="0013585C"/>
    <w:rsid w:val="00136F36"/>
    <w:rsid w:val="0014210E"/>
    <w:rsid w:val="00142954"/>
    <w:rsid w:val="001460E0"/>
    <w:rsid w:val="00147F71"/>
    <w:rsid w:val="00150A6E"/>
    <w:rsid w:val="00153945"/>
    <w:rsid w:val="00164546"/>
    <w:rsid w:val="0016468A"/>
    <w:rsid w:val="001734C6"/>
    <w:rsid w:val="00175E73"/>
    <w:rsid w:val="00191DB8"/>
    <w:rsid w:val="0019597D"/>
    <w:rsid w:val="001A343C"/>
    <w:rsid w:val="001A5CF5"/>
    <w:rsid w:val="001B39D2"/>
    <w:rsid w:val="001B4BF8"/>
    <w:rsid w:val="001C4326"/>
    <w:rsid w:val="001C4EDB"/>
    <w:rsid w:val="001D3541"/>
    <w:rsid w:val="001E3C47"/>
    <w:rsid w:val="001F0539"/>
    <w:rsid w:val="001F45A7"/>
    <w:rsid w:val="001F6BD1"/>
    <w:rsid w:val="00201A01"/>
    <w:rsid w:val="00202C6B"/>
    <w:rsid w:val="002104D3"/>
    <w:rsid w:val="00210570"/>
    <w:rsid w:val="00213A33"/>
    <w:rsid w:val="0021763B"/>
    <w:rsid w:val="00232A09"/>
    <w:rsid w:val="00246DB1"/>
    <w:rsid w:val="002476B5"/>
    <w:rsid w:val="0025196A"/>
    <w:rsid w:val="00253ECF"/>
    <w:rsid w:val="002546A1"/>
    <w:rsid w:val="00254F70"/>
    <w:rsid w:val="0026055C"/>
    <w:rsid w:val="00267C94"/>
    <w:rsid w:val="00271082"/>
    <w:rsid w:val="00275D08"/>
    <w:rsid w:val="002858E3"/>
    <w:rsid w:val="0028793C"/>
    <w:rsid w:val="0029190A"/>
    <w:rsid w:val="00292C5A"/>
    <w:rsid w:val="00294DD7"/>
    <w:rsid w:val="00295241"/>
    <w:rsid w:val="002A549D"/>
    <w:rsid w:val="002B047D"/>
    <w:rsid w:val="002B732B"/>
    <w:rsid w:val="002B743A"/>
    <w:rsid w:val="002C2219"/>
    <w:rsid w:val="002D0DF2"/>
    <w:rsid w:val="002D23BD"/>
    <w:rsid w:val="002D75A1"/>
    <w:rsid w:val="002E0B47"/>
    <w:rsid w:val="002E4096"/>
    <w:rsid w:val="002F7213"/>
    <w:rsid w:val="002F77A2"/>
    <w:rsid w:val="00301EBE"/>
    <w:rsid w:val="0030382F"/>
    <w:rsid w:val="0030408D"/>
    <w:rsid w:val="003060E4"/>
    <w:rsid w:val="00313412"/>
    <w:rsid w:val="003160E7"/>
    <w:rsid w:val="0031739E"/>
    <w:rsid w:val="00320073"/>
    <w:rsid w:val="00320431"/>
    <w:rsid w:val="003325AB"/>
    <w:rsid w:val="0033412B"/>
    <w:rsid w:val="0033499F"/>
    <w:rsid w:val="00343365"/>
    <w:rsid w:val="00353501"/>
    <w:rsid w:val="003606F8"/>
    <w:rsid w:val="00361228"/>
    <w:rsid w:val="003648EF"/>
    <w:rsid w:val="003673E6"/>
    <w:rsid w:val="00373692"/>
    <w:rsid w:val="003744AD"/>
    <w:rsid w:val="00377264"/>
    <w:rsid w:val="00382192"/>
    <w:rsid w:val="00384854"/>
    <w:rsid w:val="00396B77"/>
    <w:rsid w:val="003A26A5"/>
    <w:rsid w:val="003A3761"/>
    <w:rsid w:val="003A5FEA"/>
    <w:rsid w:val="003A7973"/>
    <w:rsid w:val="003B1D10"/>
    <w:rsid w:val="003B3D80"/>
    <w:rsid w:val="003C76D4"/>
    <w:rsid w:val="003D0C07"/>
    <w:rsid w:val="003D2CC5"/>
    <w:rsid w:val="003D53A0"/>
    <w:rsid w:val="003D580B"/>
    <w:rsid w:val="003D7809"/>
    <w:rsid w:val="003E0F85"/>
    <w:rsid w:val="003E2480"/>
    <w:rsid w:val="003E7C46"/>
    <w:rsid w:val="003F52A7"/>
    <w:rsid w:val="00401C54"/>
    <w:rsid w:val="0040240C"/>
    <w:rsid w:val="00403972"/>
    <w:rsid w:val="00404B5D"/>
    <w:rsid w:val="00413021"/>
    <w:rsid w:val="00427626"/>
    <w:rsid w:val="00440BE0"/>
    <w:rsid w:val="00442C1C"/>
    <w:rsid w:val="0044584B"/>
    <w:rsid w:val="004467CB"/>
    <w:rsid w:val="00447CB7"/>
    <w:rsid w:val="00450D8C"/>
    <w:rsid w:val="00452FC6"/>
    <w:rsid w:val="00454A1C"/>
    <w:rsid w:val="00460826"/>
    <w:rsid w:val="00460EA7"/>
    <w:rsid w:val="0046195B"/>
    <w:rsid w:val="00461C15"/>
    <w:rsid w:val="00463E91"/>
    <w:rsid w:val="0046596D"/>
    <w:rsid w:val="00465C19"/>
    <w:rsid w:val="00471EB2"/>
    <w:rsid w:val="00480D00"/>
    <w:rsid w:val="00482FD3"/>
    <w:rsid w:val="00487C04"/>
    <w:rsid w:val="004907E1"/>
    <w:rsid w:val="00492362"/>
    <w:rsid w:val="00493A42"/>
    <w:rsid w:val="004A035B"/>
    <w:rsid w:val="004A38D7"/>
    <w:rsid w:val="004A6AF6"/>
    <w:rsid w:val="004A778C"/>
    <w:rsid w:val="004B5436"/>
    <w:rsid w:val="004C0035"/>
    <w:rsid w:val="004C2E6A"/>
    <w:rsid w:val="004C64B8"/>
    <w:rsid w:val="004D2A2D"/>
    <w:rsid w:val="004D389C"/>
    <w:rsid w:val="004D50A0"/>
    <w:rsid w:val="004D6689"/>
    <w:rsid w:val="004E1685"/>
    <w:rsid w:val="004E1D1D"/>
    <w:rsid w:val="004E7AC8"/>
    <w:rsid w:val="004F0406"/>
    <w:rsid w:val="004F0C94"/>
    <w:rsid w:val="004F2956"/>
    <w:rsid w:val="004F3D83"/>
    <w:rsid w:val="005019AE"/>
    <w:rsid w:val="00502903"/>
    <w:rsid w:val="00503749"/>
    <w:rsid w:val="00504CF4"/>
    <w:rsid w:val="0050635B"/>
    <w:rsid w:val="00507B56"/>
    <w:rsid w:val="00513D33"/>
    <w:rsid w:val="00514C4B"/>
    <w:rsid w:val="00516C2F"/>
    <w:rsid w:val="0053199F"/>
    <w:rsid w:val="00533B90"/>
    <w:rsid w:val="00536FEA"/>
    <w:rsid w:val="005410F8"/>
    <w:rsid w:val="00541B4E"/>
    <w:rsid w:val="005448EC"/>
    <w:rsid w:val="00544CF9"/>
    <w:rsid w:val="00545963"/>
    <w:rsid w:val="00550256"/>
    <w:rsid w:val="00553958"/>
    <w:rsid w:val="00556A3E"/>
    <w:rsid w:val="0055763D"/>
    <w:rsid w:val="005621F2"/>
    <w:rsid w:val="00567B58"/>
    <w:rsid w:val="005763E0"/>
    <w:rsid w:val="00581136"/>
    <w:rsid w:val="005846C1"/>
    <w:rsid w:val="00587875"/>
    <w:rsid w:val="00590B83"/>
    <w:rsid w:val="00591C9D"/>
    <w:rsid w:val="00595726"/>
    <w:rsid w:val="00595CF6"/>
    <w:rsid w:val="005A0CEA"/>
    <w:rsid w:val="005A27CA"/>
    <w:rsid w:val="005A43BD"/>
    <w:rsid w:val="005A5B65"/>
    <w:rsid w:val="005B63E2"/>
    <w:rsid w:val="005C0E27"/>
    <w:rsid w:val="005C5B1C"/>
    <w:rsid w:val="005D6F4D"/>
    <w:rsid w:val="005D78F1"/>
    <w:rsid w:val="005E226E"/>
    <w:rsid w:val="005E2636"/>
    <w:rsid w:val="005F0C7D"/>
    <w:rsid w:val="005F77CF"/>
    <w:rsid w:val="006015D7"/>
    <w:rsid w:val="00601B21"/>
    <w:rsid w:val="006041F0"/>
    <w:rsid w:val="006064ED"/>
    <w:rsid w:val="006114EB"/>
    <w:rsid w:val="00611BC5"/>
    <w:rsid w:val="006227C3"/>
    <w:rsid w:val="006241EF"/>
    <w:rsid w:val="00626CF8"/>
    <w:rsid w:val="00636D7D"/>
    <w:rsid w:val="00637408"/>
    <w:rsid w:val="006407C8"/>
    <w:rsid w:val="00640F70"/>
    <w:rsid w:val="00641535"/>
    <w:rsid w:val="00642868"/>
    <w:rsid w:val="006444F4"/>
    <w:rsid w:val="00647AFE"/>
    <w:rsid w:val="0065005F"/>
    <w:rsid w:val="006512BC"/>
    <w:rsid w:val="00653A5A"/>
    <w:rsid w:val="00656B5D"/>
    <w:rsid w:val="006575F4"/>
    <w:rsid w:val="006579E6"/>
    <w:rsid w:val="00663EDC"/>
    <w:rsid w:val="00666B83"/>
    <w:rsid w:val="00666CAB"/>
    <w:rsid w:val="00671078"/>
    <w:rsid w:val="00673354"/>
    <w:rsid w:val="006758CA"/>
    <w:rsid w:val="00675A6F"/>
    <w:rsid w:val="0068012E"/>
    <w:rsid w:val="00680A04"/>
    <w:rsid w:val="00686D80"/>
    <w:rsid w:val="0068740F"/>
    <w:rsid w:val="00690092"/>
    <w:rsid w:val="00694895"/>
    <w:rsid w:val="00697E2E"/>
    <w:rsid w:val="006A25A2"/>
    <w:rsid w:val="006A557B"/>
    <w:rsid w:val="006B0DC3"/>
    <w:rsid w:val="006B0E35"/>
    <w:rsid w:val="006B0E73"/>
    <w:rsid w:val="006B2F4C"/>
    <w:rsid w:val="006B4A4D"/>
    <w:rsid w:val="006B4BEA"/>
    <w:rsid w:val="006B5695"/>
    <w:rsid w:val="006B71EB"/>
    <w:rsid w:val="006B7687"/>
    <w:rsid w:val="006C78EB"/>
    <w:rsid w:val="006C7CE8"/>
    <w:rsid w:val="006D1660"/>
    <w:rsid w:val="006D368C"/>
    <w:rsid w:val="006D4D06"/>
    <w:rsid w:val="006E7B5E"/>
    <w:rsid w:val="006F1B67"/>
    <w:rsid w:val="0070091D"/>
    <w:rsid w:val="00702854"/>
    <w:rsid w:val="0071399A"/>
    <w:rsid w:val="00716D48"/>
    <w:rsid w:val="0071741C"/>
    <w:rsid w:val="00726113"/>
    <w:rsid w:val="00742B90"/>
    <w:rsid w:val="0074434D"/>
    <w:rsid w:val="00747D05"/>
    <w:rsid w:val="00752320"/>
    <w:rsid w:val="00761C6E"/>
    <w:rsid w:val="00771B1E"/>
    <w:rsid w:val="00772E03"/>
    <w:rsid w:val="0077376D"/>
    <w:rsid w:val="00773C95"/>
    <w:rsid w:val="0078171E"/>
    <w:rsid w:val="00782696"/>
    <w:rsid w:val="00792E4C"/>
    <w:rsid w:val="00795B34"/>
    <w:rsid w:val="007B047F"/>
    <w:rsid w:val="007B1770"/>
    <w:rsid w:val="007B4D3E"/>
    <w:rsid w:val="007B7C70"/>
    <w:rsid w:val="007C4364"/>
    <w:rsid w:val="007D2151"/>
    <w:rsid w:val="007D42CC"/>
    <w:rsid w:val="007D5DE4"/>
    <w:rsid w:val="007E0777"/>
    <w:rsid w:val="007E1341"/>
    <w:rsid w:val="007E1B41"/>
    <w:rsid w:val="007E30B9"/>
    <w:rsid w:val="007E74F1"/>
    <w:rsid w:val="007F0F0C"/>
    <w:rsid w:val="007F1288"/>
    <w:rsid w:val="00800915"/>
    <w:rsid w:val="00800A8A"/>
    <w:rsid w:val="0080155C"/>
    <w:rsid w:val="00802415"/>
    <w:rsid w:val="008052E1"/>
    <w:rsid w:val="008062D6"/>
    <w:rsid w:val="00810942"/>
    <w:rsid w:val="00822F2C"/>
    <w:rsid w:val="008234DC"/>
    <w:rsid w:val="008305E8"/>
    <w:rsid w:val="00830D80"/>
    <w:rsid w:val="00852C97"/>
    <w:rsid w:val="00860826"/>
    <w:rsid w:val="00860E21"/>
    <w:rsid w:val="008619BE"/>
    <w:rsid w:val="00863117"/>
    <w:rsid w:val="0086388B"/>
    <w:rsid w:val="008642E5"/>
    <w:rsid w:val="00867DD6"/>
    <w:rsid w:val="00871195"/>
    <w:rsid w:val="00872D93"/>
    <w:rsid w:val="00875022"/>
    <w:rsid w:val="008753CB"/>
    <w:rsid w:val="00880470"/>
    <w:rsid w:val="00880D94"/>
    <w:rsid w:val="0088767E"/>
    <w:rsid w:val="00887E69"/>
    <w:rsid w:val="00887E78"/>
    <w:rsid w:val="00891971"/>
    <w:rsid w:val="008924DE"/>
    <w:rsid w:val="008940B4"/>
    <w:rsid w:val="008A3755"/>
    <w:rsid w:val="008B264F"/>
    <w:rsid w:val="008B6E5C"/>
    <w:rsid w:val="008B6F83"/>
    <w:rsid w:val="008B7FD8"/>
    <w:rsid w:val="008C2973"/>
    <w:rsid w:val="008C6324"/>
    <w:rsid w:val="008C64C4"/>
    <w:rsid w:val="008D2A3A"/>
    <w:rsid w:val="008D3000"/>
    <w:rsid w:val="008D4375"/>
    <w:rsid w:val="008D74D5"/>
    <w:rsid w:val="008E04EC"/>
    <w:rsid w:val="008E3728"/>
    <w:rsid w:val="008F29BE"/>
    <w:rsid w:val="008F4AE5"/>
    <w:rsid w:val="008F51EB"/>
    <w:rsid w:val="00900197"/>
    <w:rsid w:val="00902BA4"/>
    <w:rsid w:val="00902ED2"/>
    <w:rsid w:val="00902F55"/>
    <w:rsid w:val="0090582B"/>
    <w:rsid w:val="009060C0"/>
    <w:rsid w:val="0090730F"/>
    <w:rsid w:val="00912D8A"/>
    <w:rsid w:val="009132C7"/>
    <w:rsid w:val="009133F5"/>
    <w:rsid w:val="00913F68"/>
    <w:rsid w:val="009209A5"/>
    <w:rsid w:val="00920A27"/>
    <w:rsid w:val="00921216"/>
    <w:rsid w:val="009216CC"/>
    <w:rsid w:val="00924CD5"/>
    <w:rsid w:val="00932D69"/>
    <w:rsid w:val="0093551C"/>
    <w:rsid w:val="00944647"/>
    <w:rsid w:val="00956644"/>
    <w:rsid w:val="009679C3"/>
    <w:rsid w:val="00976E58"/>
    <w:rsid w:val="00977B8A"/>
    <w:rsid w:val="00982971"/>
    <w:rsid w:val="009845AD"/>
    <w:rsid w:val="00991280"/>
    <w:rsid w:val="00995BA0"/>
    <w:rsid w:val="00997238"/>
    <w:rsid w:val="009A418B"/>
    <w:rsid w:val="009A43C0"/>
    <w:rsid w:val="009A4473"/>
    <w:rsid w:val="009C151C"/>
    <w:rsid w:val="009C7F08"/>
    <w:rsid w:val="009D5125"/>
    <w:rsid w:val="009D60B8"/>
    <w:rsid w:val="009D7D4B"/>
    <w:rsid w:val="009E2A59"/>
    <w:rsid w:val="009E36ED"/>
    <w:rsid w:val="009E3C8C"/>
    <w:rsid w:val="009E5791"/>
    <w:rsid w:val="009E6B77"/>
    <w:rsid w:val="009F3D3A"/>
    <w:rsid w:val="009F460A"/>
    <w:rsid w:val="00A043FB"/>
    <w:rsid w:val="00A0570B"/>
    <w:rsid w:val="00A0729C"/>
    <w:rsid w:val="00A07779"/>
    <w:rsid w:val="00A14336"/>
    <w:rsid w:val="00A202BF"/>
    <w:rsid w:val="00A20B2E"/>
    <w:rsid w:val="00A22BD7"/>
    <w:rsid w:val="00A25069"/>
    <w:rsid w:val="00A26E6B"/>
    <w:rsid w:val="00A3068F"/>
    <w:rsid w:val="00A3145B"/>
    <w:rsid w:val="00A32F04"/>
    <w:rsid w:val="00A339D0"/>
    <w:rsid w:val="00A34148"/>
    <w:rsid w:val="00A41002"/>
    <w:rsid w:val="00A4201A"/>
    <w:rsid w:val="00A42286"/>
    <w:rsid w:val="00A553CE"/>
    <w:rsid w:val="00A5677A"/>
    <w:rsid w:val="00A6490D"/>
    <w:rsid w:val="00A7707B"/>
    <w:rsid w:val="00A7770A"/>
    <w:rsid w:val="00A80363"/>
    <w:rsid w:val="00A83697"/>
    <w:rsid w:val="00A9169D"/>
    <w:rsid w:val="00A97459"/>
    <w:rsid w:val="00AA0713"/>
    <w:rsid w:val="00AA240C"/>
    <w:rsid w:val="00AA7359"/>
    <w:rsid w:val="00AB1210"/>
    <w:rsid w:val="00AB2C9F"/>
    <w:rsid w:val="00AC0260"/>
    <w:rsid w:val="00AC101C"/>
    <w:rsid w:val="00AC6954"/>
    <w:rsid w:val="00AD4A16"/>
    <w:rsid w:val="00AD4CF1"/>
    <w:rsid w:val="00AD5988"/>
    <w:rsid w:val="00AD72CC"/>
    <w:rsid w:val="00AE3BCF"/>
    <w:rsid w:val="00AF1712"/>
    <w:rsid w:val="00AF2898"/>
    <w:rsid w:val="00AF3A6E"/>
    <w:rsid w:val="00AF7800"/>
    <w:rsid w:val="00B01C77"/>
    <w:rsid w:val="00B02C0A"/>
    <w:rsid w:val="00B072E0"/>
    <w:rsid w:val="00B13D2F"/>
    <w:rsid w:val="00B16D05"/>
    <w:rsid w:val="00B23CCE"/>
    <w:rsid w:val="00B253F6"/>
    <w:rsid w:val="00B305DB"/>
    <w:rsid w:val="00B31453"/>
    <w:rsid w:val="00B332F8"/>
    <w:rsid w:val="00B3492B"/>
    <w:rsid w:val="00B35673"/>
    <w:rsid w:val="00B36AEF"/>
    <w:rsid w:val="00B45F1A"/>
    <w:rsid w:val="00B4646F"/>
    <w:rsid w:val="00B47ADB"/>
    <w:rsid w:val="00B55C7D"/>
    <w:rsid w:val="00B57FC1"/>
    <w:rsid w:val="00B621AF"/>
    <w:rsid w:val="00B63038"/>
    <w:rsid w:val="00B64BD8"/>
    <w:rsid w:val="00B701D1"/>
    <w:rsid w:val="00B73AF2"/>
    <w:rsid w:val="00B7551A"/>
    <w:rsid w:val="00B75DE7"/>
    <w:rsid w:val="00B8024B"/>
    <w:rsid w:val="00B94A87"/>
    <w:rsid w:val="00B94DE0"/>
    <w:rsid w:val="00BB2CBB"/>
    <w:rsid w:val="00BC0C29"/>
    <w:rsid w:val="00BC0D1F"/>
    <w:rsid w:val="00BC59F1"/>
    <w:rsid w:val="00BE59A9"/>
    <w:rsid w:val="00BE6ED1"/>
    <w:rsid w:val="00BE70F3"/>
    <w:rsid w:val="00BF3DE1"/>
    <w:rsid w:val="00BF4479"/>
    <w:rsid w:val="00BF4843"/>
    <w:rsid w:val="00BF5205"/>
    <w:rsid w:val="00BF547F"/>
    <w:rsid w:val="00C01309"/>
    <w:rsid w:val="00C02369"/>
    <w:rsid w:val="00C024A1"/>
    <w:rsid w:val="00C121BD"/>
    <w:rsid w:val="00C12508"/>
    <w:rsid w:val="00C13BF2"/>
    <w:rsid w:val="00C204B5"/>
    <w:rsid w:val="00C228BE"/>
    <w:rsid w:val="00C2586D"/>
    <w:rsid w:val="00C27285"/>
    <w:rsid w:val="00C31E7A"/>
    <w:rsid w:val="00C3250D"/>
    <w:rsid w:val="00C42B28"/>
    <w:rsid w:val="00C45AA2"/>
    <w:rsid w:val="00C55BEF"/>
    <w:rsid w:val="00C57215"/>
    <w:rsid w:val="00C63725"/>
    <w:rsid w:val="00C66296"/>
    <w:rsid w:val="00C74455"/>
    <w:rsid w:val="00C77282"/>
    <w:rsid w:val="00C81438"/>
    <w:rsid w:val="00C84DE5"/>
    <w:rsid w:val="00C85493"/>
    <w:rsid w:val="00C86248"/>
    <w:rsid w:val="00C94034"/>
    <w:rsid w:val="00CA4C33"/>
    <w:rsid w:val="00CA6F4A"/>
    <w:rsid w:val="00CB2716"/>
    <w:rsid w:val="00CC3F88"/>
    <w:rsid w:val="00CD2119"/>
    <w:rsid w:val="00CD237A"/>
    <w:rsid w:val="00CD36AC"/>
    <w:rsid w:val="00CD7E9C"/>
    <w:rsid w:val="00CE13A3"/>
    <w:rsid w:val="00CF1747"/>
    <w:rsid w:val="00CF4DCF"/>
    <w:rsid w:val="00D13004"/>
    <w:rsid w:val="00D134CF"/>
    <w:rsid w:val="00D13507"/>
    <w:rsid w:val="00D17286"/>
    <w:rsid w:val="00D23323"/>
    <w:rsid w:val="00D2392A"/>
    <w:rsid w:val="00D25FFE"/>
    <w:rsid w:val="00D27D7F"/>
    <w:rsid w:val="00D31199"/>
    <w:rsid w:val="00D31F0B"/>
    <w:rsid w:val="00D4476F"/>
    <w:rsid w:val="00D4652C"/>
    <w:rsid w:val="00D543B3"/>
    <w:rsid w:val="00D54D50"/>
    <w:rsid w:val="00D60822"/>
    <w:rsid w:val="00D66797"/>
    <w:rsid w:val="00D67BA9"/>
    <w:rsid w:val="00D7087C"/>
    <w:rsid w:val="00D70C3C"/>
    <w:rsid w:val="00D72BE5"/>
    <w:rsid w:val="00D74409"/>
    <w:rsid w:val="00D81E5F"/>
    <w:rsid w:val="00D82F26"/>
    <w:rsid w:val="00D863D0"/>
    <w:rsid w:val="00D87C87"/>
    <w:rsid w:val="00D90E07"/>
    <w:rsid w:val="00D979B1"/>
    <w:rsid w:val="00DA00C3"/>
    <w:rsid w:val="00DB3576"/>
    <w:rsid w:val="00DB3946"/>
    <w:rsid w:val="00DB39CF"/>
    <w:rsid w:val="00DB771A"/>
    <w:rsid w:val="00DB7FAB"/>
    <w:rsid w:val="00DC0C98"/>
    <w:rsid w:val="00DC320E"/>
    <w:rsid w:val="00DD0BCD"/>
    <w:rsid w:val="00DD0FC4"/>
    <w:rsid w:val="00DD447A"/>
    <w:rsid w:val="00DE1D74"/>
    <w:rsid w:val="00DE3B20"/>
    <w:rsid w:val="00DE6C94"/>
    <w:rsid w:val="00DE6FD7"/>
    <w:rsid w:val="00DF4B9A"/>
    <w:rsid w:val="00E0560D"/>
    <w:rsid w:val="00E23271"/>
    <w:rsid w:val="00E24B7E"/>
    <w:rsid w:val="00E24F80"/>
    <w:rsid w:val="00E259F3"/>
    <w:rsid w:val="00E2677A"/>
    <w:rsid w:val="00E33238"/>
    <w:rsid w:val="00E36CBF"/>
    <w:rsid w:val="00E421FD"/>
    <w:rsid w:val="00E4486C"/>
    <w:rsid w:val="00E460B6"/>
    <w:rsid w:val="00E511D5"/>
    <w:rsid w:val="00E56F5C"/>
    <w:rsid w:val="00E60249"/>
    <w:rsid w:val="00E60BDC"/>
    <w:rsid w:val="00E65269"/>
    <w:rsid w:val="00E76D66"/>
    <w:rsid w:val="00E9517E"/>
    <w:rsid w:val="00E95B4D"/>
    <w:rsid w:val="00EA2636"/>
    <w:rsid w:val="00EA2A1E"/>
    <w:rsid w:val="00EA796A"/>
    <w:rsid w:val="00EB053E"/>
    <w:rsid w:val="00EB08E3"/>
    <w:rsid w:val="00EB1856"/>
    <w:rsid w:val="00EC50CE"/>
    <w:rsid w:val="00EC5B34"/>
    <w:rsid w:val="00ED3378"/>
    <w:rsid w:val="00ED7758"/>
    <w:rsid w:val="00EE0E22"/>
    <w:rsid w:val="00EE2D5C"/>
    <w:rsid w:val="00EE4ADE"/>
    <w:rsid w:val="00EE5CB7"/>
    <w:rsid w:val="00EE7838"/>
    <w:rsid w:val="00EF10E4"/>
    <w:rsid w:val="00EF3F8D"/>
    <w:rsid w:val="00F024FE"/>
    <w:rsid w:val="00F03E64"/>
    <w:rsid w:val="00F05AD4"/>
    <w:rsid w:val="00F06348"/>
    <w:rsid w:val="00F15FAC"/>
    <w:rsid w:val="00F17CC5"/>
    <w:rsid w:val="00F254C3"/>
    <w:rsid w:val="00F25970"/>
    <w:rsid w:val="00F5180D"/>
    <w:rsid w:val="00F5251E"/>
    <w:rsid w:val="00F67496"/>
    <w:rsid w:val="00F73020"/>
    <w:rsid w:val="00F801BA"/>
    <w:rsid w:val="00F8735F"/>
    <w:rsid w:val="00F9366A"/>
    <w:rsid w:val="00F946C9"/>
    <w:rsid w:val="00FA5E17"/>
    <w:rsid w:val="00FA74EE"/>
    <w:rsid w:val="00FC3711"/>
    <w:rsid w:val="00FC46E7"/>
    <w:rsid w:val="00FC5D25"/>
    <w:rsid w:val="00FD0D7E"/>
    <w:rsid w:val="00FD1153"/>
    <w:rsid w:val="00FE3146"/>
    <w:rsid w:val="00FE6E13"/>
    <w:rsid w:val="00FF15F6"/>
    <w:rsid w:val="00FF394D"/>
    <w:rsid w:val="00FF527C"/>
    <w:rsid w:val="00FF65CD"/>
    <w:rsid w:val="00FF78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4F74D9"/>
  <w15:docId w15:val="{870AD48B-76FA-4077-A3FC-BF42ACB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link w:val="Heading4Char"/>
    <w:qFormat/>
    <w:rsid w:val="00F254C3"/>
    <w:pPr>
      <w:keepNext/>
      <w:spacing w:before="120" w:after="120"/>
      <w:outlineLvl w:val="3"/>
    </w:pPr>
    <w:rPr>
      <w:b/>
      <w:sz w:val="24"/>
    </w:rPr>
  </w:style>
  <w:style w:type="paragraph" w:styleId="Heading5">
    <w:name w:val="heading 5"/>
    <w:basedOn w:val="Normal"/>
    <w:next w:val="Normal"/>
    <w:link w:val="Heading5Char"/>
    <w:qFormat/>
    <w:rsid w:val="00F254C3"/>
    <w:pPr>
      <w:keepNext/>
      <w:spacing w:before="120" w:after="120"/>
      <w:outlineLvl w:val="4"/>
    </w:pPr>
    <w:rPr>
      <w:b/>
    </w:rPr>
  </w:style>
  <w:style w:type="paragraph" w:styleId="Heading6">
    <w:name w:val="heading 6"/>
    <w:basedOn w:val="Normal"/>
    <w:next w:val="Normal"/>
    <w:link w:val="Heading6Char"/>
    <w:qFormat/>
    <w:rsid w:val="00BE59A9"/>
    <w:pPr>
      <w:keepNext/>
      <w:spacing w:after="120"/>
      <w:outlineLvl w:val="5"/>
    </w:pPr>
    <w:rPr>
      <w:rFonts w:eastAsia="Arial"/>
      <w:bCs/>
      <w:i/>
      <w:szCs w:val="22"/>
      <w:lang w:eastAsia="en-US"/>
    </w:rPr>
  </w:style>
  <w:style w:type="paragraph" w:styleId="Heading7">
    <w:name w:val="heading 7"/>
    <w:basedOn w:val="Normal"/>
    <w:next w:val="Normal"/>
    <w:link w:val="Heading7Char"/>
    <w:qFormat/>
    <w:rsid w:val="00AD72CC"/>
    <w:pPr>
      <w:keepNext/>
      <w:keepLines/>
      <w:spacing w:before="200" w:line="276" w:lineRule="auto"/>
      <w:outlineLvl w:val="6"/>
    </w:pPr>
    <w:rPr>
      <w:rFonts w:ascii="Cambria" w:hAnsi="Cambria"/>
      <w:i/>
      <w:iCs/>
      <w:color w:val="404040"/>
      <w:szCs w:val="22"/>
      <w:lang w:eastAsia="en-US"/>
    </w:rPr>
  </w:style>
  <w:style w:type="paragraph" w:styleId="Heading8">
    <w:name w:val="heading 8"/>
    <w:basedOn w:val="Normal"/>
    <w:next w:val="Normal"/>
    <w:link w:val="Heading8Char"/>
    <w:qFormat/>
    <w:rsid w:val="00AD72CC"/>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AD72CC"/>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C94034"/>
    <w:pPr>
      <w:tabs>
        <w:tab w:val="right" w:pos="9356"/>
      </w:tabs>
      <w:spacing w:before="90"/>
      <w:ind w:left="1191" w:right="454" w:hanging="1191"/>
    </w:pPr>
  </w:style>
  <w:style w:type="paragraph" w:customStyle="1" w:styleId="Bullet">
    <w:name w:val="Bullet"/>
    <w:basedOn w:val="Normal"/>
    <w:link w:val="BulletChar"/>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D60822"/>
    <w:pPr>
      <w:spacing w:before="80"/>
      <w:ind w:left="284" w:hanging="284"/>
    </w:pPr>
    <w:rPr>
      <w:rFonts w:ascii="Arial" w:hAnsi="Arial"/>
      <w:sz w:val="18"/>
    </w:rPr>
  </w:style>
  <w:style w:type="paragraph" w:customStyle="1" w:styleId="Subhead">
    <w:name w:val="Subhead"/>
    <w:basedOn w:val="Normal"/>
    <w:next w:val="Normal"/>
    <w:qFormat/>
    <w:rsid w:val="006E7B5E"/>
    <w:pPr>
      <w:spacing w:before="180"/>
      <w:ind w:right="1701"/>
    </w:pPr>
    <w:rPr>
      <w:sz w:val="2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D60822"/>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rsid w:val="00035257"/>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rsid w:val="0086388B"/>
    <w:rPr>
      <w:rFonts w:ascii="Georgia" w:hAnsi="Georgia"/>
      <w:b/>
      <w:sz w:val="40"/>
      <w:lang w:eastAsia="en-GB"/>
    </w:rPr>
  </w:style>
  <w:style w:type="character" w:customStyle="1" w:styleId="Heading3Char">
    <w:name w:val="Heading 3 Char"/>
    <w:link w:val="Heading3"/>
    <w:rsid w:val="0086388B"/>
    <w:rPr>
      <w:rFonts w:ascii="Georgia" w:hAnsi="Georgia"/>
      <w:b/>
      <w:sz w:val="28"/>
      <w:lang w:eastAsia="en-GB"/>
    </w:rPr>
  </w:style>
  <w:style w:type="character" w:customStyle="1" w:styleId="Heading6Char">
    <w:name w:val="Heading 6 Char"/>
    <w:link w:val="Heading6"/>
    <w:rsid w:val="00BE59A9"/>
    <w:rPr>
      <w:rFonts w:ascii="Georgia" w:eastAsia="Arial" w:hAnsi="Georgia"/>
      <w:bCs/>
      <w:i/>
      <w:sz w:val="22"/>
      <w:szCs w:val="22"/>
      <w:lang w:eastAsia="en-US"/>
    </w:rPr>
  </w:style>
  <w:style w:type="character" w:customStyle="1" w:styleId="Heading7Char">
    <w:name w:val="Heading 7 Char"/>
    <w:link w:val="Heading7"/>
    <w:rsid w:val="00AD72CC"/>
    <w:rPr>
      <w:rFonts w:ascii="Cambria" w:hAnsi="Cambria"/>
      <w:i/>
      <w:iCs/>
      <w:color w:val="404040"/>
      <w:sz w:val="22"/>
      <w:szCs w:val="22"/>
      <w:lang w:eastAsia="en-US"/>
    </w:rPr>
  </w:style>
  <w:style w:type="character" w:customStyle="1" w:styleId="Heading8Char">
    <w:name w:val="Heading 8 Char"/>
    <w:link w:val="Heading8"/>
    <w:rsid w:val="00AD72CC"/>
    <w:rPr>
      <w:rFonts w:ascii="Calibri" w:hAnsi="Calibri"/>
      <w:i/>
      <w:iCs/>
      <w:sz w:val="24"/>
      <w:szCs w:val="24"/>
      <w:lang w:eastAsia="en-GB"/>
    </w:rPr>
  </w:style>
  <w:style w:type="character" w:customStyle="1" w:styleId="Heading9Char">
    <w:name w:val="Heading 9 Char"/>
    <w:link w:val="Heading9"/>
    <w:rsid w:val="00AD72CC"/>
    <w:rPr>
      <w:rFonts w:ascii="Cambria" w:hAnsi="Cambria"/>
      <w:sz w:val="22"/>
      <w:szCs w:val="22"/>
      <w:lang w:eastAsia="en-GB"/>
    </w:rPr>
  </w:style>
  <w:style w:type="character" w:customStyle="1" w:styleId="Heading4Char">
    <w:name w:val="Heading 4 Char"/>
    <w:link w:val="Heading4"/>
    <w:locked/>
    <w:rsid w:val="00F254C3"/>
    <w:rPr>
      <w:rFonts w:ascii="Georgia" w:hAnsi="Georgia"/>
      <w:b/>
      <w:sz w:val="24"/>
      <w:lang w:eastAsia="en-GB"/>
    </w:rPr>
  </w:style>
  <w:style w:type="character" w:customStyle="1" w:styleId="Heading5Char">
    <w:name w:val="Heading 5 Char"/>
    <w:link w:val="Heading5"/>
    <w:locked/>
    <w:rsid w:val="00F254C3"/>
    <w:rPr>
      <w:rFonts w:ascii="Georgia" w:hAnsi="Georgia"/>
      <w:b/>
      <w:sz w:val="22"/>
      <w:lang w:eastAsia="en-GB"/>
    </w:rPr>
  </w:style>
  <w:style w:type="character" w:customStyle="1" w:styleId="BulletChar">
    <w:name w:val="Bullet Char"/>
    <w:link w:val="Bullet"/>
    <w:locked/>
    <w:rsid w:val="00AD72CC"/>
    <w:rPr>
      <w:rFonts w:ascii="Georgia" w:hAnsi="Georgia"/>
      <w:sz w:val="22"/>
      <w:lang w:eastAsia="en-GB"/>
    </w:rPr>
  </w:style>
  <w:style w:type="character" w:customStyle="1" w:styleId="QuoteChar">
    <w:name w:val="Quote Char"/>
    <w:link w:val="Quote"/>
    <w:locked/>
    <w:rsid w:val="00AD72CC"/>
    <w:rPr>
      <w:rFonts w:ascii="Georgia" w:hAnsi="Georgia"/>
      <w:sz w:val="22"/>
      <w:lang w:eastAsia="en-GB"/>
    </w:rPr>
  </w:style>
  <w:style w:type="character" w:customStyle="1" w:styleId="TitleChar">
    <w:name w:val="Title Char"/>
    <w:link w:val="Title"/>
    <w:locked/>
    <w:rsid w:val="00AD72CC"/>
    <w:rPr>
      <w:rFonts w:ascii="Georgia" w:hAnsi="Georgia"/>
      <w:b/>
      <w:sz w:val="80"/>
      <w:lang w:eastAsia="en-GB"/>
    </w:rPr>
  </w:style>
  <w:style w:type="character" w:customStyle="1" w:styleId="FigureChar">
    <w:name w:val="Figure Char"/>
    <w:link w:val="Figure"/>
    <w:locked/>
    <w:rsid w:val="00AD72CC"/>
    <w:rPr>
      <w:rFonts w:ascii="Georgia" w:hAnsi="Georgia"/>
      <w:b/>
      <w:lang w:eastAsia="en-GB"/>
    </w:rPr>
  </w:style>
  <w:style w:type="character" w:customStyle="1" w:styleId="TableChar">
    <w:name w:val="Table Char"/>
    <w:link w:val="Table"/>
    <w:locked/>
    <w:rsid w:val="00AD72CC"/>
    <w:rPr>
      <w:rFonts w:ascii="Georgia" w:hAnsi="Georgia"/>
      <w:b/>
      <w:lang w:eastAsia="en-GB"/>
    </w:rPr>
  </w:style>
  <w:style w:type="paragraph" w:customStyle="1" w:styleId="Sectionheading">
    <w:name w:val="Section heading"/>
    <w:basedOn w:val="Heading1"/>
    <w:next w:val="Heading1"/>
    <w:qFormat/>
    <w:rsid w:val="00AD72CC"/>
    <w:pPr>
      <w:pageBreakBefore w:val="0"/>
      <w:spacing w:after="600"/>
    </w:pPr>
    <w:rPr>
      <w:sz w:val="64"/>
    </w:rPr>
  </w:style>
  <w:style w:type="paragraph" w:customStyle="1" w:styleId="Year">
    <w:name w:val="Year"/>
    <w:basedOn w:val="Subhead"/>
    <w:next w:val="Subhead"/>
    <w:qFormat/>
    <w:rsid w:val="00AD72CC"/>
    <w:pPr>
      <w:pBdr>
        <w:bottom w:val="single" w:sz="48" w:space="6" w:color="auto"/>
      </w:pBdr>
    </w:pPr>
    <w:rPr>
      <w:sz w:val="56"/>
    </w:rPr>
  </w:style>
  <w:style w:type="paragraph" w:styleId="TOC4">
    <w:name w:val="toc 4"/>
    <w:basedOn w:val="Normal"/>
    <w:next w:val="Normal"/>
    <w:rsid w:val="00AD72CC"/>
    <w:pPr>
      <w:tabs>
        <w:tab w:val="right" w:pos="9356"/>
      </w:tabs>
      <w:spacing w:before="120"/>
      <w:ind w:left="1134" w:right="567" w:hanging="1134"/>
    </w:pPr>
  </w:style>
  <w:style w:type="paragraph" w:customStyle="1" w:styleId="TableNote">
    <w:name w:val="TableNote"/>
    <w:basedOn w:val="Note"/>
    <w:next w:val="Normal"/>
    <w:qFormat/>
    <w:rsid w:val="00AD72CC"/>
    <w:pPr>
      <w:spacing w:before="60"/>
    </w:pPr>
    <w:rPr>
      <w:sz w:val="16"/>
    </w:rPr>
  </w:style>
  <w:style w:type="paragraph" w:customStyle="1" w:styleId="TableSource">
    <w:name w:val="TableSource"/>
    <w:basedOn w:val="Source"/>
    <w:qFormat/>
    <w:rsid w:val="00AD72CC"/>
    <w:pPr>
      <w:pBdr>
        <w:bottom w:val="single" w:sz="4" w:space="6" w:color="auto"/>
      </w:pBdr>
      <w:ind w:left="0" w:firstLine="0"/>
    </w:pPr>
  </w:style>
  <w:style w:type="paragraph" w:customStyle="1" w:styleId="Number">
    <w:name w:val="Number"/>
    <w:basedOn w:val="Normal"/>
    <w:link w:val="NumberChar"/>
    <w:qFormat/>
    <w:rsid w:val="00AD72CC"/>
    <w:pPr>
      <w:tabs>
        <w:tab w:val="num" w:pos="567"/>
      </w:tabs>
      <w:spacing w:before="240" w:line="240" w:lineRule="auto"/>
      <w:ind w:left="567" w:hanging="567"/>
    </w:pPr>
  </w:style>
  <w:style w:type="character" w:customStyle="1" w:styleId="RomanChar">
    <w:name w:val="Roman Char"/>
    <w:link w:val="Roman"/>
    <w:rsid w:val="00AD72CC"/>
    <w:rPr>
      <w:rFonts w:ascii="Georgia" w:hAnsi="Georgia"/>
      <w:sz w:val="22"/>
      <w:lang w:eastAsia="en-GB"/>
    </w:rPr>
  </w:style>
  <w:style w:type="paragraph" w:customStyle="1" w:styleId="Roman">
    <w:name w:val="Roman"/>
    <w:basedOn w:val="Normal"/>
    <w:link w:val="RomanChar"/>
    <w:rsid w:val="00AD72CC"/>
    <w:pPr>
      <w:numPr>
        <w:numId w:val="6"/>
      </w:numPr>
      <w:spacing w:before="120" w:line="240" w:lineRule="auto"/>
    </w:pPr>
  </w:style>
  <w:style w:type="character" w:customStyle="1" w:styleId="NumberChar">
    <w:name w:val="Number Char"/>
    <w:link w:val="Number"/>
    <w:rsid w:val="00AD72CC"/>
    <w:rPr>
      <w:rFonts w:ascii="Georgia" w:hAnsi="Georgia"/>
      <w:sz w:val="22"/>
      <w:lang w:eastAsia="en-GB"/>
    </w:rPr>
  </w:style>
  <w:style w:type="paragraph" w:styleId="BalloonText">
    <w:name w:val="Balloon Text"/>
    <w:basedOn w:val="Normal"/>
    <w:link w:val="BalloonTextChar"/>
    <w:semiHidden/>
    <w:unhideWhenUsed/>
    <w:rsid w:val="00F254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254C3"/>
    <w:rPr>
      <w:rFonts w:ascii="Segoe UI" w:hAnsi="Segoe UI" w:cs="Segoe UI"/>
      <w:sz w:val="18"/>
      <w:szCs w:val="18"/>
      <w:lang w:eastAsia="en-GB"/>
    </w:rPr>
  </w:style>
  <w:style w:type="character" w:styleId="CommentReference">
    <w:name w:val="annotation reference"/>
    <w:basedOn w:val="DefaultParagraphFont"/>
    <w:unhideWhenUsed/>
    <w:rsid w:val="000157EF"/>
    <w:rPr>
      <w:sz w:val="16"/>
      <w:szCs w:val="16"/>
    </w:rPr>
  </w:style>
  <w:style w:type="paragraph" w:styleId="CommentText">
    <w:name w:val="annotation text"/>
    <w:basedOn w:val="Normal"/>
    <w:link w:val="CommentTextChar"/>
    <w:unhideWhenUsed/>
    <w:rsid w:val="000157EF"/>
    <w:pPr>
      <w:spacing w:line="240" w:lineRule="auto"/>
    </w:pPr>
    <w:rPr>
      <w:sz w:val="20"/>
    </w:rPr>
  </w:style>
  <w:style w:type="character" w:customStyle="1" w:styleId="CommentTextChar">
    <w:name w:val="Comment Text Char"/>
    <w:basedOn w:val="DefaultParagraphFont"/>
    <w:link w:val="CommentText"/>
    <w:rsid w:val="000157EF"/>
    <w:rPr>
      <w:rFonts w:ascii="Georgia" w:hAnsi="Georgia"/>
      <w:lang w:eastAsia="en-GB"/>
    </w:rPr>
  </w:style>
  <w:style w:type="paragraph" w:styleId="CommentSubject">
    <w:name w:val="annotation subject"/>
    <w:basedOn w:val="CommentText"/>
    <w:next w:val="CommentText"/>
    <w:link w:val="CommentSubjectChar"/>
    <w:semiHidden/>
    <w:unhideWhenUsed/>
    <w:rsid w:val="000157EF"/>
    <w:rPr>
      <w:b/>
      <w:bCs/>
    </w:rPr>
  </w:style>
  <w:style w:type="character" w:customStyle="1" w:styleId="CommentSubjectChar">
    <w:name w:val="Comment Subject Char"/>
    <w:basedOn w:val="CommentTextChar"/>
    <w:link w:val="CommentSubject"/>
    <w:semiHidden/>
    <w:rsid w:val="000157EF"/>
    <w:rPr>
      <w:rFonts w:ascii="Georgia" w:hAnsi="Georgia"/>
      <w:b/>
      <w:bCs/>
      <w:lang w:eastAsia="en-GB"/>
    </w:rPr>
  </w:style>
  <w:style w:type="paragraph" w:styleId="EndnoteText">
    <w:name w:val="endnote text"/>
    <w:basedOn w:val="Normal"/>
    <w:link w:val="EndnoteTextChar"/>
    <w:uiPriority w:val="99"/>
    <w:semiHidden/>
    <w:unhideWhenUsed/>
    <w:rsid w:val="00B01C77"/>
    <w:pPr>
      <w:spacing w:line="240" w:lineRule="auto"/>
    </w:pPr>
    <w:rPr>
      <w:sz w:val="20"/>
    </w:rPr>
  </w:style>
  <w:style w:type="character" w:customStyle="1" w:styleId="EndnoteTextChar">
    <w:name w:val="Endnote Text Char"/>
    <w:basedOn w:val="DefaultParagraphFont"/>
    <w:link w:val="EndnoteText"/>
    <w:uiPriority w:val="99"/>
    <w:semiHidden/>
    <w:rsid w:val="00B01C77"/>
    <w:rPr>
      <w:rFonts w:ascii="Georgia" w:hAnsi="Georgia"/>
      <w:lang w:eastAsia="en-GB"/>
    </w:rPr>
  </w:style>
  <w:style w:type="character" w:styleId="EndnoteReference">
    <w:name w:val="endnote reference"/>
    <w:basedOn w:val="DefaultParagraphFont"/>
    <w:uiPriority w:val="99"/>
    <w:semiHidden/>
    <w:unhideWhenUsed/>
    <w:rsid w:val="00B01C77"/>
    <w:rPr>
      <w:vertAlign w:val="superscript"/>
    </w:rPr>
  </w:style>
  <w:style w:type="character" w:styleId="Strong">
    <w:name w:val="Strong"/>
    <w:basedOn w:val="DefaultParagraphFont"/>
    <w:uiPriority w:val="22"/>
    <w:qFormat/>
    <w:rsid w:val="006B0E35"/>
    <w:rPr>
      <w:b/>
      <w:bCs/>
    </w:rPr>
  </w:style>
  <w:style w:type="paragraph" w:customStyle="1" w:styleId="Default">
    <w:name w:val="Default"/>
    <w:rsid w:val="00FD1153"/>
    <w:pPr>
      <w:autoSpaceDE w:val="0"/>
      <w:autoSpaceDN w:val="0"/>
      <w:adjustRightInd w:val="0"/>
    </w:pPr>
    <w:rPr>
      <w:rFonts w:ascii="Arial" w:hAnsi="Arial" w:cs="Arial"/>
      <w:color w:val="000000"/>
      <w:sz w:val="24"/>
      <w:szCs w:val="24"/>
    </w:rPr>
  </w:style>
  <w:style w:type="paragraph" w:customStyle="1" w:styleId="ANZAppendix">
    <w:name w:val="ANZ Appendix"/>
    <w:basedOn w:val="Normal"/>
    <w:next w:val="Normal"/>
    <w:qFormat/>
    <w:rsid w:val="00081AA5"/>
    <w:pPr>
      <w:keepNext/>
      <w:numPr>
        <w:numId w:val="17"/>
      </w:numPr>
      <w:spacing w:after="680" w:line="240" w:lineRule="auto"/>
      <w:outlineLvl w:val="1"/>
    </w:pPr>
    <w:rPr>
      <w:rFonts w:ascii="Tw Cen MT Mi" w:hAnsi="Tw Cen MT Mi"/>
      <w:b/>
      <w:sz w:val="36"/>
      <w:szCs w:val="22"/>
    </w:rPr>
  </w:style>
  <w:style w:type="paragraph" w:customStyle="1" w:styleId="ANZBulletLevel1">
    <w:name w:val="ANZ Bullet Level 1"/>
    <w:basedOn w:val="Normal"/>
    <w:qFormat/>
    <w:rsid w:val="00081AA5"/>
    <w:pPr>
      <w:numPr>
        <w:numId w:val="18"/>
      </w:numPr>
      <w:spacing w:after="240" w:line="260" w:lineRule="atLeast"/>
    </w:pPr>
    <w:rPr>
      <w:rFonts w:ascii="Tw Cen MT Mi" w:hAnsi="Tw Cen MT Mi"/>
      <w:sz w:val="24"/>
      <w:szCs w:val="22"/>
    </w:rPr>
  </w:style>
  <w:style w:type="paragraph" w:customStyle="1" w:styleId="ANZBulletLevel2">
    <w:name w:val="ANZ Bullet Level 2"/>
    <w:basedOn w:val="ANZBulletLevel1"/>
    <w:qFormat/>
    <w:rsid w:val="00081AA5"/>
    <w:pPr>
      <w:numPr>
        <w:ilvl w:val="1"/>
      </w:numPr>
    </w:pPr>
  </w:style>
  <w:style w:type="paragraph" w:customStyle="1" w:styleId="ANZBulletLevel3">
    <w:name w:val="ANZ Bullet Level 3"/>
    <w:basedOn w:val="ANZBulletLevel1"/>
    <w:qFormat/>
    <w:rsid w:val="00081AA5"/>
    <w:pPr>
      <w:numPr>
        <w:ilvl w:val="2"/>
      </w:numPr>
    </w:pPr>
  </w:style>
  <w:style w:type="paragraph" w:customStyle="1" w:styleId="ANZHeading-L1">
    <w:name w:val="ANZ Heading - L1"/>
    <w:basedOn w:val="Normal"/>
    <w:next w:val="Normal"/>
    <w:qFormat/>
    <w:rsid w:val="00081AA5"/>
    <w:pPr>
      <w:keepNext/>
      <w:spacing w:after="240" w:line="260" w:lineRule="atLeast"/>
    </w:pPr>
    <w:rPr>
      <w:rFonts w:ascii="Tw Cen MT Mi" w:hAnsi="Tw Cen MT Mi"/>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84536">
      <w:bodyDiv w:val="1"/>
      <w:marLeft w:val="0"/>
      <w:marRight w:val="0"/>
      <w:marTop w:val="0"/>
      <w:marBottom w:val="0"/>
      <w:divBdr>
        <w:top w:val="none" w:sz="0" w:space="0" w:color="auto"/>
        <w:left w:val="none" w:sz="0" w:space="0" w:color="auto"/>
        <w:bottom w:val="none" w:sz="0" w:space="0" w:color="auto"/>
        <w:right w:val="none" w:sz="0" w:space="0" w:color="auto"/>
      </w:divBdr>
    </w:div>
    <w:div w:id="1195771947">
      <w:bodyDiv w:val="1"/>
      <w:marLeft w:val="0"/>
      <w:marRight w:val="0"/>
      <w:marTop w:val="0"/>
      <w:marBottom w:val="0"/>
      <w:divBdr>
        <w:top w:val="none" w:sz="0" w:space="0" w:color="auto"/>
        <w:left w:val="none" w:sz="0" w:space="0" w:color="auto"/>
        <w:bottom w:val="none" w:sz="0" w:space="0" w:color="auto"/>
        <w:right w:val="none" w:sz="0" w:space="0" w:color="auto"/>
      </w:divBdr>
    </w:div>
    <w:div w:id="1240364169">
      <w:bodyDiv w:val="1"/>
      <w:marLeft w:val="0"/>
      <w:marRight w:val="0"/>
      <w:marTop w:val="0"/>
      <w:marBottom w:val="0"/>
      <w:divBdr>
        <w:top w:val="none" w:sz="0" w:space="0" w:color="auto"/>
        <w:left w:val="none" w:sz="0" w:space="0" w:color="auto"/>
        <w:bottom w:val="none" w:sz="0" w:space="0" w:color="auto"/>
        <w:right w:val="none" w:sz="0" w:space="0" w:color="auto"/>
      </w:divBdr>
    </w:div>
    <w:div w:id="1535999188">
      <w:bodyDiv w:val="1"/>
      <w:marLeft w:val="0"/>
      <w:marRight w:val="0"/>
      <w:marTop w:val="0"/>
      <w:marBottom w:val="0"/>
      <w:divBdr>
        <w:top w:val="none" w:sz="0" w:space="0" w:color="auto"/>
        <w:left w:val="none" w:sz="0" w:space="0" w:color="auto"/>
        <w:bottom w:val="none" w:sz="0" w:space="0" w:color="auto"/>
        <w:right w:val="none" w:sz="0" w:space="0" w:color="auto"/>
      </w:divBdr>
    </w:div>
    <w:div w:id="1590775015">
      <w:bodyDiv w:val="1"/>
      <w:marLeft w:val="0"/>
      <w:marRight w:val="0"/>
      <w:marTop w:val="0"/>
      <w:marBottom w:val="0"/>
      <w:divBdr>
        <w:top w:val="none" w:sz="0" w:space="0" w:color="auto"/>
        <w:left w:val="none" w:sz="0" w:space="0" w:color="auto"/>
        <w:bottom w:val="none" w:sz="0" w:space="0" w:color="auto"/>
        <w:right w:val="none" w:sz="0" w:space="0" w:color="auto"/>
      </w:divBdr>
    </w:div>
    <w:div w:id="16987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health.govt.nz/our-work/diseases-and-conditions/obesity/childhood-obesity-plan" TargetMode="External"/><Relationship Id="rId39" Type="http://schemas.openxmlformats.org/officeDocument/2006/relationships/footer" Target="footer9.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footer" Target="footer12.xml"/><Relationship Id="rId47" Type="http://schemas.openxmlformats.org/officeDocument/2006/relationships/hyperlink" Target="http://intranet.moh.govt.nz/about-ministry/business-units/finance-and-performance" TargetMode="External"/><Relationship Id="rId50" Type="http://schemas.openxmlformats.org/officeDocument/2006/relationships/hyperlink" Target="http://intranet.moh.govt.nz/about-ministry/business-units/service-commissioning" TargetMode="External"/><Relationship Id="rId55" Type="http://schemas.openxmlformats.org/officeDocument/2006/relationships/hyperlink" Target="http://intranet.moh.govt.nz/about-ministry/business-units/chief-nursing-officer" TargetMode="External"/><Relationship Id="rId63" Type="http://schemas.openxmlformats.org/officeDocument/2006/relationships/image" Target="media/image19.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hqsc.govt.nz/our-programmes/adverse-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1.emf"/><Relationship Id="rId37" Type="http://schemas.openxmlformats.org/officeDocument/2006/relationships/footer" Target="footer7.xml"/><Relationship Id="rId40" Type="http://schemas.openxmlformats.org/officeDocument/2006/relationships/footer" Target="footer10.xml"/><Relationship Id="rId45" Type="http://schemas.openxmlformats.org/officeDocument/2006/relationships/hyperlink" Target="http://www.legislation.govt.nz" TargetMode="External"/><Relationship Id="rId53" Type="http://schemas.openxmlformats.org/officeDocument/2006/relationships/hyperlink" Target="http://intranet.moh.govt.nz/about-ministry/business-units/office-director-general" TargetMode="External"/><Relationship Id="rId58" Type="http://schemas.openxmlformats.org/officeDocument/2006/relationships/image" Target="media/image14.png"/><Relationship Id="rId66"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health.govt.nz/healthtargets" TargetMode="External"/><Relationship Id="rId28" Type="http://schemas.openxmlformats.org/officeDocument/2006/relationships/hyperlink" Target="http://www.health.govt.nz/our-work/diseases-and-conditions/obesity/childhood-obesity-plan" TargetMode="External"/><Relationship Id="rId36" Type="http://schemas.openxmlformats.org/officeDocument/2006/relationships/footer" Target="footer6.xml"/><Relationship Id="rId49" Type="http://schemas.openxmlformats.org/officeDocument/2006/relationships/hyperlink" Target="http://intranet.moh.govt.nz/about-ministry/business-units/protection-regulation-and-assurance" TargetMode="External"/><Relationship Id="rId57" Type="http://schemas.openxmlformats.org/officeDocument/2006/relationships/hyperlink" Target="http://intranet.moh.govt.nz/about-ministry/business-units/critical-projects" TargetMode="External"/><Relationship Id="rId61"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http://www.health.govt.nz/publications" TargetMode="External"/><Relationship Id="rId44" Type="http://schemas.openxmlformats.org/officeDocument/2006/relationships/footer" Target="footer14.xml"/><Relationship Id="rId52" Type="http://schemas.openxmlformats.org/officeDocument/2006/relationships/hyperlink" Target="http://intranet.moh.govt.nz/about-ministry/business-units/technology-and-digital-services" TargetMode="External"/><Relationship Id="rId60" Type="http://schemas.openxmlformats.org/officeDocument/2006/relationships/image" Target="media/image16.png"/><Relationship Id="rId65"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yperlink" Target="http://www.health.govt.nz/our-work/diseases-and-conditions/obesity/childhood-obesity-plan" TargetMode="External"/><Relationship Id="rId30" Type="http://schemas.openxmlformats.org/officeDocument/2006/relationships/hyperlink" Target="http://www.ssc.govt.nz/kiwis-count" TargetMode="External"/><Relationship Id="rId35" Type="http://schemas.openxmlformats.org/officeDocument/2006/relationships/header" Target="header4.xml"/><Relationship Id="rId43" Type="http://schemas.openxmlformats.org/officeDocument/2006/relationships/footer" Target="footer13.xml"/><Relationship Id="rId48" Type="http://schemas.openxmlformats.org/officeDocument/2006/relationships/hyperlink" Target="http://intranet.moh.govt.nz/about-ministry/business-units/people-and-transformation" TargetMode="External"/><Relationship Id="rId56" Type="http://schemas.openxmlformats.org/officeDocument/2006/relationships/hyperlink" Target="http://intranet.moh.govt.nz/about-ministry/business-units/chief-medical-officer" TargetMode="External"/><Relationship Id="rId64" Type="http://schemas.openxmlformats.org/officeDocument/2006/relationships/image" Target="media/image20.png"/><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intranet.moh.govt.nz/about-ministry/business-units/strategy-and-policy"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2.jpeg"/><Relationship Id="rId38" Type="http://schemas.openxmlformats.org/officeDocument/2006/relationships/footer" Target="footer8.xml"/><Relationship Id="rId46" Type="http://schemas.openxmlformats.org/officeDocument/2006/relationships/hyperlink" Target="http://intranet.moh.govt.nz/about-ministry/business-units/client-insight-and-analytics" TargetMode="External"/><Relationship Id="rId59" Type="http://schemas.openxmlformats.org/officeDocument/2006/relationships/image" Target="media/image15.png"/><Relationship Id="rId67" Type="http://schemas.openxmlformats.org/officeDocument/2006/relationships/footer" Target="footer16.xml"/><Relationship Id="rId20" Type="http://schemas.openxmlformats.org/officeDocument/2006/relationships/image" Target="media/image6.png"/><Relationship Id="rId41" Type="http://schemas.openxmlformats.org/officeDocument/2006/relationships/footer" Target="footer11.xml"/><Relationship Id="rId54" Type="http://schemas.openxmlformats.org/officeDocument/2006/relationships/hyperlink" Target="http://intranet.moh.govt.nz/about-ministry/business-units/m%C4%81ori-leadership" TargetMode="External"/><Relationship Id="rId62" Type="http://schemas.openxmlformats.org/officeDocument/2006/relationships/image" Target="media/image18.png"/></Relationships>
</file>

<file path=word/_rels/footnotes.xml.rels><?xml version="1.0" encoding="UTF-8" standalone="yes"?>
<Relationships xmlns="http://schemas.openxmlformats.org/package/2006/relationships"><Relationship Id="rId1" Type="http://schemas.openxmlformats.org/officeDocument/2006/relationships/hyperlink" Target="http://www.sparx.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C500-6957-47B3-BF29-6C80320F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143</Pages>
  <Words>46351</Words>
  <Characters>264203</Characters>
  <Application>Microsoft Office Word</Application>
  <DocSecurity>0</DocSecurity>
  <Lines>2201</Lines>
  <Paragraphs>619</Paragraphs>
  <ScaleCrop>false</ScaleCrop>
  <HeadingPairs>
    <vt:vector size="2" baseType="variant">
      <vt:variant>
        <vt:lpstr>Title</vt:lpstr>
      </vt:variant>
      <vt:variant>
        <vt:i4>1</vt:i4>
      </vt:variant>
    </vt:vector>
  </HeadingPairs>
  <TitlesOfParts>
    <vt:vector size="1" baseType="lpstr">
      <vt:lpstr>Annual Report for the year ended 30 June 2016 Ministry of Health</vt:lpstr>
    </vt:vector>
  </TitlesOfParts>
  <Company>Microsoft</Company>
  <LinksUpToDate>false</LinksUpToDate>
  <CharactersWithSpaces>309935</CharactersWithSpaces>
  <SharedDoc>false</SharedDoc>
  <HLinks>
    <vt:vector size="126" baseType="variant">
      <vt:variant>
        <vt:i4>2293801</vt:i4>
      </vt:variant>
      <vt:variant>
        <vt:i4>219</vt:i4>
      </vt:variant>
      <vt:variant>
        <vt:i4>0</vt:i4>
      </vt:variant>
      <vt:variant>
        <vt:i4>5</vt:i4>
      </vt:variant>
      <vt:variant>
        <vt:lpwstr>http://intranet.moh.govt.nz/about-ministry/business-units/critical-projects</vt:lpwstr>
      </vt:variant>
      <vt:variant>
        <vt:lpwstr/>
      </vt:variant>
      <vt:variant>
        <vt:i4>3014781</vt:i4>
      </vt:variant>
      <vt:variant>
        <vt:i4>216</vt:i4>
      </vt:variant>
      <vt:variant>
        <vt:i4>0</vt:i4>
      </vt:variant>
      <vt:variant>
        <vt:i4>5</vt:i4>
      </vt:variant>
      <vt:variant>
        <vt:lpwstr>http://intranet.moh.govt.nz/about-ministry/business-units/chief-medical-officer</vt:lpwstr>
      </vt:variant>
      <vt:variant>
        <vt:lpwstr/>
      </vt:variant>
      <vt:variant>
        <vt:i4>2818153</vt:i4>
      </vt:variant>
      <vt:variant>
        <vt:i4>213</vt:i4>
      </vt:variant>
      <vt:variant>
        <vt:i4>0</vt:i4>
      </vt:variant>
      <vt:variant>
        <vt:i4>5</vt:i4>
      </vt:variant>
      <vt:variant>
        <vt:lpwstr>http://intranet.moh.govt.nz/about-ministry/business-units/chief-nursing-officer</vt:lpwstr>
      </vt:variant>
      <vt:variant>
        <vt:lpwstr/>
      </vt:variant>
      <vt:variant>
        <vt:i4>7929891</vt:i4>
      </vt:variant>
      <vt:variant>
        <vt:i4>210</vt:i4>
      </vt:variant>
      <vt:variant>
        <vt:i4>0</vt:i4>
      </vt:variant>
      <vt:variant>
        <vt:i4>5</vt:i4>
      </vt:variant>
      <vt:variant>
        <vt:lpwstr>http://intranet.moh.govt.nz/about-ministry/business-units/m%C4%81ori-leadership</vt:lpwstr>
      </vt:variant>
      <vt:variant>
        <vt:lpwstr/>
      </vt:variant>
      <vt:variant>
        <vt:i4>1572939</vt:i4>
      </vt:variant>
      <vt:variant>
        <vt:i4>207</vt:i4>
      </vt:variant>
      <vt:variant>
        <vt:i4>0</vt:i4>
      </vt:variant>
      <vt:variant>
        <vt:i4>5</vt:i4>
      </vt:variant>
      <vt:variant>
        <vt:lpwstr>http://intranet.moh.govt.nz/about-ministry/business-units/office-director-general</vt:lpwstr>
      </vt:variant>
      <vt:variant>
        <vt:lpwstr/>
      </vt:variant>
      <vt:variant>
        <vt:i4>4391005</vt:i4>
      </vt:variant>
      <vt:variant>
        <vt:i4>204</vt:i4>
      </vt:variant>
      <vt:variant>
        <vt:i4>0</vt:i4>
      </vt:variant>
      <vt:variant>
        <vt:i4>5</vt:i4>
      </vt:variant>
      <vt:variant>
        <vt:lpwstr>http://intranet.moh.govt.nz/about-ministry/business-units/technology-and-digital-services</vt:lpwstr>
      </vt:variant>
      <vt:variant>
        <vt:lpwstr/>
      </vt:variant>
      <vt:variant>
        <vt:i4>5701639</vt:i4>
      </vt:variant>
      <vt:variant>
        <vt:i4>201</vt:i4>
      </vt:variant>
      <vt:variant>
        <vt:i4>0</vt:i4>
      </vt:variant>
      <vt:variant>
        <vt:i4>5</vt:i4>
      </vt:variant>
      <vt:variant>
        <vt:lpwstr>http://intranet.moh.govt.nz/about-ministry/business-units/strategy-and-policy</vt:lpwstr>
      </vt:variant>
      <vt:variant>
        <vt:lpwstr/>
      </vt:variant>
      <vt:variant>
        <vt:i4>6357090</vt:i4>
      </vt:variant>
      <vt:variant>
        <vt:i4>198</vt:i4>
      </vt:variant>
      <vt:variant>
        <vt:i4>0</vt:i4>
      </vt:variant>
      <vt:variant>
        <vt:i4>5</vt:i4>
      </vt:variant>
      <vt:variant>
        <vt:lpwstr>http://intranet.moh.govt.nz/about-ministry/business-units/service-commissioning</vt:lpwstr>
      </vt:variant>
      <vt:variant>
        <vt:lpwstr/>
      </vt:variant>
      <vt:variant>
        <vt:i4>5111884</vt:i4>
      </vt:variant>
      <vt:variant>
        <vt:i4>195</vt:i4>
      </vt:variant>
      <vt:variant>
        <vt:i4>0</vt:i4>
      </vt:variant>
      <vt:variant>
        <vt:i4>5</vt:i4>
      </vt:variant>
      <vt:variant>
        <vt:lpwstr>http://intranet.moh.govt.nz/about-ministry/business-units/protection-regulation-and-assurance</vt:lpwstr>
      </vt:variant>
      <vt:variant>
        <vt:lpwstr/>
      </vt:variant>
      <vt:variant>
        <vt:i4>3014752</vt:i4>
      </vt:variant>
      <vt:variant>
        <vt:i4>192</vt:i4>
      </vt:variant>
      <vt:variant>
        <vt:i4>0</vt:i4>
      </vt:variant>
      <vt:variant>
        <vt:i4>5</vt:i4>
      </vt:variant>
      <vt:variant>
        <vt:lpwstr>http://intranet.moh.govt.nz/about-ministry/business-units/people-and-transformation</vt:lpwstr>
      </vt:variant>
      <vt:variant>
        <vt:lpwstr/>
      </vt:variant>
      <vt:variant>
        <vt:i4>5373973</vt:i4>
      </vt:variant>
      <vt:variant>
        <vt:i4>189</vt:i4>
      </vt:variant>
      <vt:variant>
        <vt:i4>0</vt:i4>
      </vt:variant>
      <vt:variant>
        <vt:i4>5</vt:i4>
      </vt:variant>
      <vt:variant>
        <vt:lpwstr>http://intranet.moh.govt.nz/about-ministry/business-units/finance-and-performance</vt:lpwstr>
      </vt:variant>
      <vt:variant>
        <vt:lpwstr/>
      </vt:variant>
      <vt:variant>
        <vt:i4>3538976</vt:i4>
      </vt:variant>
      <vt:variant>
        <vt:i4>186</vt:i4>
      </vt:variant>
      <vt:variant>
        <vt:i4>0</vt:i4>
      </vt:variant>
      <vt:variant>
        <vt:i4>5</vt:i4>
      </vt:variant>
      <vt:variant>
        <vt:lpwstr>http://intranet.moh.govt.nz/about-ministry/business-units/client-insight-and-analytics</vt:lpwstr>
      </vt:variant>
      <vt:variant>
        <vt:lpwstr/>
      </vt:variant>
      <vt:variant>
        <vt:i4>7340144</vt:i4>
      </vt:variant>
      <vt:variant>
        <vt:i4>183</vt:i4>
      </vt:variant>
      <vt:variant>
        <vt:i4>0</vt:i4>
      </vt:variant>
      <vt:variant>
        <vt:i4>5</vt:i4>
      </vt:variant>
      <vt:variant>
        <vt:lpwstr>http://www.legislation.govt.nz/</vt:lpwstr>
      </vt:variant>
      <vt:variant>
        <vt:lpwstr/>
      </vt:variant>
      <vt:variant>
        <vt:i4>3145833</vt:i4>
      </vt:variant>
      <vt:variant>
        <vt:i4>177</vt:i4>
      </vt:variant>
      <vt:variant>
        <vt:i4>0</vt:i4>
      </vt:variant>
      <vt:variant>
        <vt:i4>5</vt:i4>
      </vt:variant>
      <vt:variant>
        <vt:lpwstr>http://www.health.govt.nz/publications</vt:lpwstr>
      </vt:variant>
      <vt:variant>
        <vt:lpwstr/>
      </vt:variant>
      <vt:variant>
        <vt:i4>7536763</vt:i4>
      </vt:variant>
      <vt:variant>
        <vt:i4>174</vt:i4>
      </vt:variant>
      <vt:variant>
        <vt:i4>0</vt:i4>
      </vt:variant>
      <vt:variant>
        <vt:i4>5</vt:i4>
      </vt:variant>
      <vt:variant>
        <vt:lpwstr>http://www.ssc.govt.nz/kiwis-count</vt:lpwstr>
      </vt:variant>
      <vt:variant>
        <vt:lpwstr/>
      </vt:variant>
      <vt:variant>
        <vt:i4>2949220</vt:i4>
      </vt:variant>
      <vt:variant>
        <vt:i4>171</vt:i4>
      </vt:variant>
      <vt:variant>
        <vt:i4>0</vt:i4>
      </vt:variant>
      <vt:variant>
        <vt:i4>5</vt:i4>
      </vt:variant>
      <vt:variant>
        <vt:lpwstr>http://www.hqsc.govt.nz/our-programmes/adverse-events/</vt:lpwstr>
      </vt:variant>
      <vt:variant>
        <vt:lpwstr/>
      </vt:variant>
      <vt:variant>
        <vt:i4>1310790</vt:i4>
      </vt:variant>
      <vt:variant>
        <vt:i4>168</vt:i4>
      </vt:variant>
      <vt:variant>
        <vt:i4>0</vt:i4>
      </vt:variant>
      <vt:variant>
        <vt:i4>5</vt:i4>
      </vt:variant>
      <vt:variant>
        <vt:lpwstr>http://www.health.govt.nz/our-work/diseases-and-conditions/obesity/childhood-obesity-plan</vt:lpwstr>
      </vt:variant>
      <vt:variant>
        <vt:lpwstr/>
      </vt:variant>
      <vt:variant>
        <vt:i4>1310790</vt:i4>
      </vt:variant>
      <vt:variant>
        <vt:i4>165</vt:i4>
      </vt:variant>
      <vt:variant>
        <vt:i4>0</vt:i4>
      </vt:variant>
      <vt:variant>
        <vt:i4>5</vt:i4>
      </vt:variant>
      <vt:variant>
        <vt:lpwstr>http://www.health.govt.nz/our-work/diseases-and-conditions/obesity/childhood-obesity-plan</vt:lpwstr>
      </vt:variant>
      <vt:variant>
        <vt:lpwstr/>
      </vt:variant>
      <vt:variant>
        <vt:i4>1310790</vt:i4>
      </vt:variant>
      <vt:variant>
        <vt:i4>162</vt:i4>
      </vt:variant>
      <vt:variant>
        <vt:i4>0</vt:i4>
      </vt:variant>
      <vt:variant>
        <vt:i4>5</vt:i4>
      </vt:variant>
      <vt:variant>
        <vt:lpwstr>http://www.health.govt.nz/our-work/diseases-and-conditions/obesity/childhood-obesity-plan</vt:lpwstr>
      </vt:variant>
      <vt:variant>
        <vt:lpwstr/>
      </vt:variant>
      <vt:variant>
        <vt:i4>3211370</vt:i4>
      </vt:variant>
      <vt:variant>
        <vt:i4>159</vt:i4>
      </vt:variant>
      <vt:variant>
        <vt:i4>0</vt:i4>
      </vt:variant>
      <vt:variant>
        <vt:i4>5</vt:i4>
      </vt:variant>
      <vt:variant>
        <vt:lpwstr>http://www.health.govt.nz/healthtargets</vt:lpwstr>
      </vt:variant>
      <vt:variant>
        <vt:lpwstr/>
      </vt:variant>
      <vt:variant>
        <vt:i4>524378</vt:i4>
      </vt:variant>
      <vt:variant>
        <vt:i4>0</vt:i4>
      </vt:variant>
      <vt:variant>
        <vt:i4>0</vt:i4>
      </vt:variant>
      <vt:variant>
        <vt:i4>5</vt:i4>
      </vt:variant>
      <vt:variant>
        <vt:lpwstr>http://www.sparx.org.nz/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 the year ended 30 June 2016 Ministry of Health</dc:title>
  <dc:creator>Ministry of Health</dc:creator>
  <cp:lastModifiedBy>Jane Adam</cp:lastModifiedBy>
  <cp:revision>3</cp:revision>
  <cp:lastPrinted>2016-10-17T20:08:00Z</cp:lastPrinted>
  <dcterms:created xsi:type="dcterms:W3CDTF">2016-10-17T20:03:00Z</dcterms:created>
  <dcterms:modified xsi:type="dcterms:W3CDTF">2016-10-17T20:10:00Z</dcterms:modified>
</cp:coreProperties>
</file>