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CC9" w:rsidRDefault="00F44703" w:rsidP="00DC0A66">
      <w:pPr>
        <w:pStyle w:val="Title"/>
      </w:pPr>
      <w:bookmarkStart w:id="0" w:name="_GoBack"/>
      <w:r>
        <w:t xml:space="preserve">Sample Design from </w:t>
      </w:r>
      <w:r w:rsidR="00DC0A66">
        <w:t>2015/16</w:t>
      </w:r>
    </w:p>
    <w:p w:rsidR="00C86248" w:rsidRDefault="00DC0A66" w:rsidP="00343365">
      <w:pPr>
        <w:pStyle w:val="Subhead"/>
      </w:pPr>
      <w:r>
        <w:t>New Zealand Health Survey</w:t>
      </w:r>
    </w:p>
    <w:bookmarkEnd w:id="0"/>
    <w:p w:rsidR="00DC0A66" w:rsidRPr="00DC0A66" w:rsidRDefault="00DC0A66" w:rsidP="00DC0A66"/>
    <w:p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rsidR="00750780" w:rsidRDefault="00750780" w:rsidP="00750780">
      <w:pPr>
        <w:pStyle w:val="Heading2"/>
      </w:pPr>
      <w:bookmarkStart w:id="1" w:name="_Toc436730763"/>
      <w:bookmarkStart w:id="2" w:name="_Toc467831525"/>
      <w:r>
        <w:lastRenderedPageBreak/>
        <w:t>Authors</w:t>
      </w:r>
      <w:bookmarkEnd w:id="1"/>
      <w:bookmarkEnd w:id="2"/>
    </w:p>
    <w:p w:rsidR="00750780" w:rsidRDefault="00750780" w:rsidP="00750780">
      <w:r w:rsidRPr="00FC18E7">
        <w:t>This report was written by Robert Clark (National Institute for Applied Statistics Research Australia, NIASRA, University of Wollongong, Australia), with input from Steven Johnston (Health and Disability Intelligence Group, Ministry of Health).</w:t>
      </w:r>
    </w:p>
    <w:p w:rsidR="00750780" w:rsidRDefault="00750780" w:rsidP="00750780"/>
    <w:p w:rsidR="00A80363" w:rsidRPr="00442C1C" w:rsidRDefault="00A80363" w:rsidP="00750780">
      <w:pPr>
        <w:pStyle w:val="Imprint"/>
        <w:spacing w:before="6000"/>
      </w:pPr>
      <w:r>
        <w:t xml:space="preserve">Citation: </w:t>
      </w:r>
      <w:r w:rsidR="00442C1C">
        <w:t xml:space="preserve">Ministry of Health. </w:t>
      </w:r>
      <w:r w:rsidR="00DC0A66">
        <w:t>2016</w:t>
      </w:r>
      <w:r w:rsidR="00442C1C">
        <w:t xml:space="preserve">. </w:t>
      </w:r>
      <w:r w:rsidR="00F44703">
        <w:rPr>
          <w:i/>
        </w:rPr>
        <w:t xml:space="preserve">Sample Design from </w:t>
      </w:r>
      <w:r w:rsidR="00DC0A66">
        <w:rPr>
          <w:i/>
        </w:rPr>
        <w:t>2015/16</w:t>
      </w:r>
      <w:proofErr w:type="gramStart"/>
      <w:r w:rsidR="00DC0A66">
        <w:rPr>
          <w:i/>
        </w:rPr>
        <w:t>:</w:t>
      </w:r>
      <w:proofErr w:type="gramEnd"/>
      <w:r w:rsidR="00DC0A66">
        <w:rPr>
          <w:i/>
        </w:rPr>
        <w:br/>
        <w:t>New Zealand Health Survey</w:t>
      </w:r>
      <w:r w:rsidR="00442C1C">
        <w:t>. Wellington: Ministry of Health.</w:t>
      </w:r>
    </w:p>
    <w:p w:rsidR="00C86248" w:rsidRDefault="00C86248">
      <w:pPr>
        <w:pStyle w:val="Imprint"/>
      </w:pPr>
      <w:r>
        <w:t xml:space="preserve">Published in </w:t>
      </w:r>
      <w:r w:rsidR="00DC0A66">
        <w:t>December 2016</w:t>
      </w:r>
      <w:r w:rsidR="005019AE">
        <w:br/>
      </w:r>
      <w:r>
        <w:t>by the</w:t>
      </w:r>
      <w:r w:rsidR="00442C1C">
        <w:t xml:space="preserve"> </w:t>
      </w:r>
      <w:r>
        <w:t>Ministry of Health</w:t>
      </w:r>
      <w:r>
        <w:br/>
        <w:t>PO Box 5013, Wellington</w:t>
      </w:r>
      <w:r w:rsidR="00A80363">
        <w:t xml:space="preserve"> 614</w:t>
      </w:r>
      <w:r w:rsidR="006041F0">
        <w:t>0</w:t>
      </w:r>
      <w:r>
        <w:t>, New Zealand</w:t>
      </w:r>
    </w:p>
    <w:p w:rsidR="00082CD6" w:rsidRPr="009C0F2D" w:rsidRDefault="00D863D0" w:rsidP="00082CD6">
      <w:pPr>
        <w:pStyle w:val="Imprint"/>
      </w:pPr>
      <w:r>
        <w:t>ISBN</w:t>
      </w:r>
      <w:r w:rsidR="00442C1C">
        <w:t xml:space="preserve"> </w:t>
      </w:r>
      <w:r w:rsidR="006B16BA" w:rsidRPr="006B16BA">
        <w:rPr>
          <w:lang w:val="en-US"/>
        </w:rPr>
        <w:t>978-0-947515-90-4</w:t>
      </w:r>
      <w:r w:rsidR="00442C1C">
        <w:t xml:space="preserve"> </w:t>
      </w:r>
      <w:r>
        <w:t>(</w:t>
      </w:r>
      <w:r w:rsidR="00442C1C">
        <w:t>online</w:t>
      </w:r>
      <w:proofErr w:type="gramStart"/>
      <w:r>
        <w:t>)</w:t>
      </w:r>
      <w:proofErr w:type="gramEnd"/>
      <w:r w:rsidR="00082CD6">
        <w:br/>
      </w:r>
      <w:r w:rsidR="00082CD6" w:rsidRPr="009C0F2D">
        <w:t xml:space="preserve">HP </w:t>
      </w:r>
      <w:r w:rsidR="006B16BA">
        <w:t>6520</w:t>
      </w:r>
    </w:p>
    <w:p w:rsidR="00C86248" w:rsidRDefault="00C86248">
      <w:pPr>
        <w:pStyle w:val="Imprint"/>
      </w:pPr>
      <w:r>
        <w:t xml:space="preserve">This document is available </w:t>
      </w:r>
      <w:r w:rsidR="006B16BA">
        <w:t xml:space="preserve">at </w:t>
      </w:r>
      <w:r>
        <w:t>h</w:t>
      </w:r>
      <w:r w:rsidR="00A80363">
        <w:t>ealth</w:t>
      </w:r>
      <w:r>
        <w:t>.govt.nz</w:t>
      </w:r>
    </w:p>
    <w:p w:rsidR="00C86248" w:rsidRDefault="008C64C4">
      <w:pPr>
        <w:jc w:val="center"/>
      </w:pPr>
      <w:r>
        <w:rPr>
          <w:noProof/>
          <w:lang w:eastAsia="en-NZ"/>
        </w:rPr>
        <w:drawing>
          <wp:inline distT="0" distB="0" distL="0" distR="0" wp14:anchorId="5614B84C" wp14:editId="73EF3225">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1F45A7" w:rsidRDefault="007E74F1" w:rsidP="001F45A7">
      <w:pPr>
        <w:spacing w:before="240"/>
        <w:ind w:right="-851"/>
        <w:rPr>
          <w:sz w:val="18"/>
          <w:szCs w:val="18"/>
        </w:rPr>
      </w:pPr>
      <w:r w:rsidRPr="001F45A7">
        <w:rPr>
          <w:b/>
          <w:noProof/>
          <w:sz w:val="18"/>
          <w:szCs w:val="18"/>
          <w:lang w:eastAsia="en-NZ"/>
        </w:rPr>
        <w:drawing>
          <wp:inline distT="0" distB="0" distL="0" distR="0" wp14:anchorId="3A639CEB" wp14:editId="1A87B75E">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F45A7">
        <w:rPr>
          <w:sz w:val="18"/>
          <w:szCs w:val="18"/>
        </w:rPr>
        <w:t xml:space="preserve"> This work is licensed under the Creative Commons Attribution 4.0 International licence. In essence, </w:t>
      </w:r>
      <w:r w:rsidRPr="001F45A7">
        <w:rPr>
          <w:bCs/>
          <w:sz w:val="18"/>
          <w:szCs w:val="18"/>
        </w:rPr>
        <w:t xml:space="preserve">you are free to: </w:t>
      </w:r>
      <w:r w:rsidRPr="001F45A7">
        <w:rPr>
          <w:sz w:val="18"/>
          <w:szCs w:val="18"/>
        </w:rPr>
        <w:t xml:space="preserve">share </w:t>
      </w:r>
      <w:proofErr w:type="spellStart"/>
      <w:r w:rsidRPr="001F45A7">
        <w:rPr>
          <w:sz w:val="18"/>
          <w:szCs w:val="18"/>
        </w:rPr>
        <w:t>ie</w:t>
      </w:r>
      <w:proofErr w:type="spellEnd"/>
      <w:r w:rsidRPr="001F45A7">
        <w:rPr>
          <w:sz w:val="18"/>
          <w:szCs w:val="18"/>
        </w:rPr>
        <w:t xml:space="preserve">, copy and redistribute the material in any medium or format; adapt </w:t>
      </w:r>
      <w:proofErr w:type="spellStart"/>
      <w:r w:rsidRPr="001F45A7">
        <w:rPr>
          <w:sz w:val="18"/>
          <w:szCs w:val="18"/>
        </w:rPr>
        <w:t>ie</w:t>
      </w:r>
      <w:proofErr w:type="spellEnd"/>
      <w:r w:rsidRPr="001F45A7">
        <w:rPr>
          <w:sz w:val="18"/>
          <w:szCs w:val="18"/>
        </w:rPr>
        <w:t xml:space="preserve">, remix, transform and build upon the material. </w:t>
      </w:r>
      <w:r w:rsidRPr="001F45A7">
        <w:rPr>
          <w:bCs/>
          <w:sz w:val="18"/>
          <w:szCs w:val="18"/>
        </w:rPr>
        <w:t>You must give appropriate credit, provide a link to the licence and indicate if changes were made.</w:t>
      </w:r>
    </w:p>
    <w:p w:rsidR="00C86248" w:rsidRDefault="00C86248">
      <w:pPr>
        <w:jc w:val="center"/>
        <w:sectPr w:rsidR="00C86248" w:rsidSect="00750780">
          <w:footerReference w:type="even" r:id="rId12"/>
          <w:footerReference w:type="default" r:id="rId13"/>
          <w:pgSz w:w="11907" w:h="16834" w:code="9"/>
          <w:pgMar w:top="1701" w:right="1134" w:bottom="1134" w:left="1985" w:header="0" w:footer="0" w:gutter="0"/>
          <w:cols w:space="720"/>
        </w:sectPr>
      </w:pPr>
    </w:p>
    <w:p w:rsidR="00C86248" w:rsidRDefault="00C86248">
      <w:pPr>
        <w:pStyle w:val="IntroHead"/>
      </w:pPr>
      <w:bookmarkStart w:id="3" w:name="_Toc405792991"/>
      <w:bookmarkStart w:id="4" w:name="_Toc405793224"/>
      <w:r>
        <w:lastRenderedPageBreak/>
        <w:t>Contents</w:t>
      </w:r>
      <w:bookmarkEnd w:id="3"/>
      <w:bookmarkEnd w:id="4"/>
    </w:p>
    <w:p w:rsidR="008B0164"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8B0164">
        <w:rPr>
          <w:noProof/>
        </w:rPr>
        <w:t>1</w:t>
      </w:r>
      <w:r w:rsidR="008B0164">
        <w:rPr>
          <w:rFonts w:asciiTheme="minorHAnsi" w:eastAsiaTheme="minorEastAsia" w:hAnsiTheme="minorHAnsi" w:cstheme="minorBidi"/>
          <w:b w:val="0"/>
          <w:noProof/>
          <w:szCs w:val="22"/>
          <w:lang w:eastAsia="en-NZ"/>
        </w:rPr>
        <w:tab/>
      </w:r>
      <w:r w:rsidR="008B0164">
        <w:rPr>
          <w:noProof/>
        </w:rPr>
        <w:t>Introduction</w:t>
      </w:r>
      <w:r w:rsidR="008B0164">
        <w:rPr>
          <w:noProof/>
        </w:rPr>
        <w:tab/>
      </w:r>
      <w:r w:rsidR="008B0164">
        <w:rPr>
          <w:noProof/>
        </w:rPr>
        <w:fldChar w:fldCharType="begin"/>
      </w:r>
      <w:r w:rsidR="008B0164">
        <w:rPr>
          <w:noProof/>
        </w:rPr>
        <w:instrText xml:space="preserve"> PAGEREF _Toc468183649 \h </w:instrText>
      </w:r>
      <w:r w:rsidR="008B0164">
        <w:rPr>
          <w:noProof/>
        </w:rPr>
      </w:r>
      <w:r w:rsidR="008B0164">
        <w:rPr>
          <w:noProof/>
        </w:rPr>
        <w:fldChar w:fldCharType="separate"/>
      </w:r>
      <w:r w:rsidR="00FA14BF">
        <w:rPr>
          <w:noProof/>
        </w:rPr>
        <w:t>1</w:t>
      </w:r>
      <w:r w:rsidR="008B0164">
        <w:rPr>
          <w:noProof/>
        </w:rPr>
        <w:fldChar w:fldCharType="end"/>
      </w:r>
    </w:p>
    <w:p w:rsidR="008B0164" w:rsidRDefault="008B0164">
      <w:pPr>
        <w:pStyle w:val="TOC2"/>
        <w:rPr>
          <w:rFonts w:asciiTheme="minorHAnsi" w:eastAsiaTheme="minorEastAsia" w:hAnsiTheme="minorHAnsi" w:cstheme="minorBidi"/>
          <w:noProof/>
          <w:szCs w:val="22"/>
          <w:lang w:eastAsia="en-NZ"/>
        </w:rPr>
      </w:pPr>
      <w:r>
        <w:rPr>
          <w:noProof/>
        </w:rPr>
        <w:t>1.1</w:t>
      </w:r>
      <w:r>
        <w:rPr>
          <w:rFonts w:asciiTheme="minorHAnsi" w:eastAsiaTheme="minorEastAsia" w:hAnsiTheme="minorHAnsi" w:cstheme="minorBidi"/>
          <w:noProof/>
          <w:szCs w:val="22"/>
          <w:lang w:eastAsia="en-NZ"/>
        </w:rPr>
        <w:tab/>
      </w:r>
      <w:r>
        <w:rPr>
          <w:noProof/>
        </w:rPr>
        <w:t>Sample design</w:t>
      </w:r>
      <w:r>
        <w:rPr>
          <w:noProof/>
        </w:rPr>
        <w:tab/>
      </w:r>
      <w:r>
        <w:rPr>
          <w:noProof/>
        </w:rPr>
        <w:fldChar w:fldCharType="begin"/>
      </w:r>
      <w:r>
        <w:rPr>
          <w:noProof/>
        </w:rPr>
        <w:instrText xml:space="preserve"> PAGEREF _Toc468183650 \h </w:instrText>
      </w:r>
      <w:r>
        <w:rPr>
          <w:noProof/>
        </w:rPr>
      </w:r>
      <w:r>
        <w:rPr>
          <w:noProof/>
        </w:rPr>
        <w:fldChar w:fldCharType="separate"/>
      </w:r>
      <w:r w:rsidR="00FA14BF">
        <w:rPr>
          <w:noProof/>
        </w:rPr>
        <w:t>1</w:t>
      </w:r>
      <w:r>
        <w:rPr>
          <w:noProof/>
        </w:rPr>
        <w:fldChar w:fldCharType="end"/>
      </w:r>
    </w:p>
    <w:p w:rsidR="008B0164" w:rsidRDefault="008B0164">
      <w:pPr>
        <w:pStyle w:val="TOC2"/>
        <w:rPr>
          <w:rFonts w:asciiTheme="minorHAnsi" w:eastAsiaTheme="minorEastAsia" w:hAnsiTheme="minorHAnsi" w:cstheme="minorBidi"/>
          <w:noProof/>
          <w:szCs w:val="22"/>
          <w:lang w:eastAsia="en-NZ"/>
        </w:rPr>
      </w:pPr>
      <w:r>
        <w:rPr>
          <w:noProof/>
        </w:rPr>
        <w:t>1.2</w:t>
      </w:r>
      <w:r>
        <w:rPr>
          <w:rFonts w:asciiTheme="minorHAnsi" w:eastAsiaTheme="minorEastAsia" w:hAnsiTheme="minorHAnsi" w:cstheme="minorBidi"/>
          <w:noProof/>
          <w:szCs w:val="22"/>
          <w:lang w:eastAsia="en-NZ"/>
        </w:rPr>
        <w:tab/>
      </w:r>
      <w:r>
        <w:rPr>
          <w:noProof/>
        </w:rPr>
        <w:t>Survey content</w:t>
      </w:r>
      <w:r>
        <w:rPr>
          <w:noProof/>
        </w:rPr>
        <w:tab/>
      </w:r>
      <w:r>
        <w:rPr>
          <w:noProof/>
        </w:rPr>
        <w:fldChar w:fldCharType="begin"/>
      </w:r>
      <w:r>
        <w:rPr>
          <w:noProof/>
        </w:rPr>
        <w:instrText xml:space="preserve"> PAGEREF _Toc468183651 \h </w:instrText>
      </w:r>
      <w:r>
        <w:rPr>
          <w:noProof/>
        </w:rPr>
      </w:r>
      <w:r>
        <w:rPr>
          <w:noProof/>
        </w:rPr>
        <w:fldChar w:fldCharType="separate"/>
      </w:r>
      <w:r w:rsidR="00FA14BF">
        <w:rPr>
          <w:noProof/>
        </w:rPr>
        <w:t>2</w:t>
      </w:r>
      <w:r>
        <w:rPr>
          <w:noProof/>
        </w:rPr>
        <w:fldChar w:fldCharType="end"/>
      </w:r>
    </w:p>
    <w:p w:rsidR="008B0164" w:rsidRDefault="008B0164">
      <w:pPr>
        <w:pStyle w:val="TOC2"/>
        <w:rPr>
          <w:rFonts w:asciiTheme="minorHAnsi" w:eastAsiaTheme="minorEastAsia" w:hAnsiTheme="minorHAnsi" w:cstheme="minorBidi"/>
          <w:noProof/>
          <w:szCs w:val="22"/>
          <w:lang w:eastAsia="en-NZ"/>
        </w:rPr>
      </w:pPr>
      <w:r>
        <w:rPr>
          <w:noProof/>
        </w:rPr>
        <w:t>1.3</w:t>
      </w:r>
      <w:r>
        <w:rPr>
          <w:rFonts w:asciiTheme="minorHAnsi" w:eastAsiaTheme="minorEastAsia" w:hAnsiTheme="minorHAnsi" w:cstheme="minorBidi"/>
          <w:noProof/>
          <w:szCs w:val="22"/>
          <w:lang w:eastAsia="en-NZ"/>
        </w:rPr>
        <w:tab/>
      </w:r>
      <w:r>
        <w:rPr>
          <w:noProof/>
        </w:rPr>
        <w:t>Reporting</w:t>
      </w:r>
      <w:r>
        <w:rPr>
          <w:noProof/>
        </w:rPr>
        <w:tab/>
      </w:r>
      <w:r>
        <w:rPr>
          <w:noProof/>
        </w:rPr>
        <w:fldChar w:fldCharType="begin"/>
      </w:r>
      <w:r>
        <w:rPr>
          <w:noProof/>
        </w:rPr>
        <w:instrText xml:space="preserve"> PAGEREF _Toc468183652 \h </w:instrText>
      </w:r>
      <w:r>
        <w:rPr>
          <w:noProof/>
        </w:rPr>
      </w:r>
      <w:r>
        <w:rPr>
          <w:noProof/>
        </w:rPr>
        <w:fldChar w:fldCharType="separate"/>
      </w:r>
      <w:r w:rsidR="00FA14BF">
        <w:rPr>
          <w:noProof/>
        </w:rPr>
        <w:t>2</w:t>
      </w:r>
      <w:r>
        <w:rPr>
          <w:noProof/>
        </w:rPr>
        <w:fldChar w:fldCharType="end"/>
      </w:r>
    </w:p>
    <w:p w:rsidR="008B0164" w:rsidRDefault="008B0164">
      <w:pPr>
        <w:pStyle w:val="TOC1"/>
        <w:rPr>
          <w:rFonts w:asciiTheme="minorHAnsi" w:eastAsiaTheme="minorEastAsia" w:hAnsiTheme="minorHAnsi" w:cstheme="minorBidi"/>
          <w:b w:val="0"/>
          <w:noProof/>
          <w:szCs w:val="22"/>
          <w:lang w:eastAsia="en-NZ"/>
        </w:rPr>
      </w:pPr>
      <w:r>
        <w:rPr>
          <w:noProof/>
        </w:rPr>
        <w:t>2</w:t>
      </w:r>
      <w:r>
        <w:rPr>
          <w:rFonts w:asciiTheme="minorHAnsi" w:eastAsiaTheme="minorEastAsia" w:hAnsiTheme="minorHAnsi" w:cstheme="minorBidi"/>
          <w:b w:val="0"/>
          <w:noProof/>
          <w:szCs w:val="22"/>
          <w:lang w:eastAsia="en-NZ"/>
        </w:rPr>
        <w:tab/>
      </w:r>
      <w:r>
        <w:rPr>
          <w:noProof/>
        </w:rPr>
        <w:t>Sample design objectives</w:t>
      </w:r>
      <w:r>
        <w:rPr>
          <w:noProof/>
        </w:rPr>
        <w:tab/>
      </w:r>
      <w:r>
        <w:rPr>
          <w:noProof/>
        </w:rPr>
        <w:fldChar w:fldCharType="begin"/>
      </w:r>
      <w:r>
        <w:rPr>
          <w:noProof/>
        </w:rPr>
        <w:instrText xml:space="preserve"> PAGEREF _Toc468183653 \h </w:instrText>
      </w:r>
      <w:r>
        <w:rPr>
          <w:noProof/>
        </w:rPr>
      </w:r>
      <w:r>
        <w:rPr>
          <w:noProof/>
        </w:rPr>
        <w:fldChar w:fldCharType="separate"/>
      </w:r>
      <w:r w:rsidR="00FA14BF">
        <w:rPr>
          <w:noProof/>
        </w:rPr>
        <w:t>3</w:t>
      </w:r>
      <w:r>
        <w:rPr>
          <w:noProof/>
        </w:rPr>
        <w:fldChar w:fldCharType="end"/>
      </w:r>
    </w:p>
    <w:p w:rsidR="008B0164" w:rsidRDefault="008B0164">
      <w:pPr>
        <w:pStyle w:val="TOC1"/>
        <w:rPr>
          <w:rFonts w:asciiTheme="minorHAnsi" w:eastAsiaTheme="minorEastAsia" w:hAnsiTheme="minorHAnsi" w:cstheme="minorBidi"/>
          <w:b w:val="0"/>
          <w:noProof/>
          <w:szCs w:val="22"/>
          <w:lang w:eastAsia="en-NZ"/>
        </w:rPr>
      </w:pPr>
      <w:r>
        <w:rPr>
          <w:noProof/>
        </w:rPr>
        <w:t>3</w:t>
      </w:r>
      <w:r>
        <w:rPr>
          <w:rFonts w:asciiTheme="minorHAnsi" w:eastAsiaTheme="minorEastAsia" w:hAnsiTheme="minorHAnsi" w:cstheme="minorBidi"/>
          <w:b w:val="0"/>
          <w:noProof/>
          <w:szCs w:val="22"/>
          <w:lang w:eastAsia="en-NZ"/>
        </w:rPr>
        <w:tab/>
      </w:r>
      <w:r>
        <w:rPr>
          <w:noProof/>
        </w:rPr>
        <w:t>Determining sample size</w:t>
      </w:r>
      <w:r>
        <w:rPr>
          <w:noProof/>
        </w:rPr>
        <w:tab/>
      </w:r>
      <w:r>
        <w:rPr>
          <w:noProof/>
        </w:rPr>
        <w:fldChar w:fldCharType="begin"/>
      </w:r>
      <w:r>
        <w:rPr>
          <w:noProof/>
        </w:rPr>
        <w:instrText xml:space="preserve"> PAGEREF _Toc468183654 \h </w:instrText>
      </w:r>
      <w:r>
        <w:rPr>
          <w:noProof/>
        </w:rPr>
      </w:r>
      <w:r>
        <w:rPr>
          <w:noProof/>
        </w:rPr>
        <w:fldChar w:fldCharType="separate"/>
      </w:r>
      <w:r w:rsidR="00FA14BF">
        <w:rPr>
          <w:noProof/>
        </w:rPr>
        <w:t>4</w:t>
      </w:r>
      <w:r>
        <w:rPr>
          <w:noProof/>
        </w:rPr>
        <w:fldChar w:fldCharType="end"/>
      </w:r>
    </w:p>
    <w:p w:rsidR="008B0164" w:rsidRDefault="008B0164">
      <w:pPr>
        <w:pStyle w:val="TOC1"/>
        <w:rPr>
          <w:rFonts w:asciiTheme="minorHAnsi" w:eastAsiaTheme="minorEastAsia" w:hAnsiTheme="minorHAnsi" w:cstheme="minorBidi"/>
          <w:b w:val="0"/>
          <w:noProof/>
          <w:szCs w:val="22"/>
          <w:lang w:eastAsia="en-NZ"/>
        </w:rPr>
      </w:pPr>
      <w:r>
        <w:rPr>
          <w:noProof/>
        </w:rPr>
        <w:t>4</w:t>
      </w:r>
      <w:r>
        <w:rPr>
          <w:rFonts w:asciiTheme="minorHAnsi" w:eastAsiaTheme="minorEastAsia" w:hAnsiTheme="minorHAnsi" w:cstheme="minorBidi"/>
          <w:b w:val="0"/>
          <w:noProof/>
          <w:szCs w:val="22"/>
          <w:lang w:eastAsia="en-NZ"/>
        </w:rPr>
        <w:tab/>
      </w:r>
      <w:r>
        <w:rPr>
          <w:noProof/>
        </w:rPr>
        <w:t>Sample design</w:t>
      </w:r>
      <w:r>
        <w:rPr>
          <w:noProof/>
        </w:rPr>
        <w:tab/>
      </w:r>
      <w:r>
        <w:rPr>
          <w:noProof/>
        </w:rPr>
        <w:fldChar w:fldCharType="begin"/>
      </w:r>
      <w:r>
        <w:rPr>
          <w:noProof/>
        </w:rPr>
        <w:instrText xml:space="preserve"> PAGEREF _Toc468183655 \h </w:instrText>
      </w:r>
      <w:r>
        <w:rPr>
          <w:noProof/>
        </w:rPr>
      </w:r>
      <w:r>
        <w:rPr>
          <w:noProof/>
        </w:rPr>
        <w:fldChar w:fldCharType="separate"/>
      </w:r>
      <w:r w:rsidR="00FA14BF">
        <w:rPr>
          <w:noProof/>
        </w:rPr>
        <w:t>7</w:t>
      </w:r>
      <w:r>
        <w:rPr>
          <w:noProof/>
        </w:rPr>
        <w:fldChar w:fldCharType="end"/>
      </w:r>
    </w:p>
    <w:p w:rsidR="008B0164" w:rsidRDefault="008B0164">
      <w:pPr>
        <w:pStyle w:val="TOC2"/>
        <w:rPr>
          <w:rFonts w:asciiTheme="minorHAnsi" w:eastAsiaTheme="minorEastAsia" w:hAnsiTheme="minorHAnsi" w:cstheme="minorBidi"/>
          <w:noProof/>
          <w:szCs w:val="22"/>
          <w:lang w:eastAsia="en-NZ"/>
        </w:rPr>
      </w:pPr>
      <w:r>
        <w:rPr>
          <w:noProof/>
        </w:rPr>
        <w:t>4.1</w:t>
      </w:r>
      <w:r>
        <w:rPr>
          <w:rFonts w:asciiTheme="minorHAnsi" w:eastAsiaTheme="minorEastAsia" w:hAnsiTheme="minorHAnsi" w:cstheme="minorBidi"/>
          <w:noProof/>
          <w:szCs w:val="22"/>
          <w:lang w:eastAsia="en-NZ"/>
        </w:rPr>
        <w:tab/>
      </w:r>
      <w:r>
        <w:rPr>
          <w:noProof/>
        </w:rPr>
        <w:t>Survey population</w:t>
      </w:r>
      <w:r>
        <w:rPr>
          <w:noProof/>
        </w:rPr>
        <w:tab/>
      </w:r>
      <w:r>
        <w:rPr>
          <w:noProof/>
        </w:rPr>
        <w:fldChar w:fldCharType="begin"/>
      </w:r>
      <w:r>
        <w:rPr>
          <w:noProof/>
        </w:rPr>
        <w:instrText xml:space="preserve"> PAGEREF _Toc468183656 \h </w:instrText>
      </w:r>
      <w:r>
        <w:rPr>
          <w:noProof/>
        </w:rPr>
      </w:r>
      <w:r>
        <w:rPr>
          <w:noProof/>
        </w:rPr>
        <w:fldChar w:fldCharType="separate"/>
      </w:r>
      <w:r w:rsidR="00FA14BF">
        <w:rPr>
          <w:noProof/>
        </w:rPr>
        <w:t>7</w:t>
      </w:r>
      <w:r>
        <w:rPr>
          <w:noProof/>
        </w:rPr>
        <w:fldChar w:fldCharType="end"/>
      </w:r>
    </w:p>
    <w:p w:rsidR="008B0164" w:rsidRDefault="008B0164">
      <w:pPr>
        <w:pStyle w:val="TOC2"/>
        <w:rPr>
          <w:rFonts w:asciiTheme="minorHAnsi" w:eastAsiaTheme="minorEastAsia" w:hAnsiTheme="minorHAnsi" w:cstheme="minorBidi"/>
          <w:noProof/>
          <w:szCs w:val="22"/>
          <w:lang w:eastAsia="en-NZ"/>
        </w:rPr>
      </w:pPr>
      <w:r>
        <w:rPr>
          <w:noProof/>
        </w:rPr>
        <w:t>4.2</w:t>
      </w:r>
      <w:r>
        <w:rPr>
          <w:rFonts w:asciiTheme="minorHAnsi" w:eastAsiaTheme="minorEastAsia" w:hAnsiTheme="minorHAnsi" w:cstheme="minorBidi"/>
          <w:noProof/>
          <w:szCs w:val="22"/>
          <w:lang w:eastAsia="en-NZ"/>
        </w:rPr>
        <w:tab/>
      </w:r>
      <w:r>
        <w:rPr>
          <w:noProof/>
        </w:rPr>
        <w:t>Area component</w:t>
      </w:r>
      <w:r>
        <w:rPr>
          <w:noProof/>
        </w:rPr>
        <w:tab/>
      </w:r>
      <w:r>
        <w:rPr>
          <w:noProof/>
        </w:rPr>
        <w:fldChar w:fldCharType="begin"/>
      </w:r>
      <w:r>
        <w:rPr>
          <w:noProof/>
        </w:rPr>
        <w:instrText xml:space="preserve"> PAGEREF _Toc468183657 \h </w:instrText>
      </w:r>
      <w:r>
        <w:rPr>
          <w:noProof/>
        </w:rPr>
      </w:r>
      <w:r>
        <w:rPr>
          <w:noProof/>
        </w:rPr>
        <w:fldChar w:fldCharType="separate"/>
      </w:r>
      <w:r w:rsidR="00FA14BF">
        <w:rPr>
          <w:noProof/>
        </w:rPr>
        <w:t>7</w:t>
      </w:r>
      <w:r>
        <w:rPr>
          <w:noProof/>
        </w:rPr>
        <w:fldChar w:fldCharType="end"/>
      </w:r>
    </w:p>
    <w:p w:rsidR="008B0164" w:rsidRDefault="008B0164">
      <w:pPr>
        <w:pStyle w:val="TOC2"/>
        <w:rPr>
          <w:rFonts w:asciiTheme="minorHAnsi" w:eastAsiaTheme="minorEastAsia" w:hAnsiTheme="minorHAnsi" w:cstheme="minorBidi"/>
          <w:noProof/>
          <w:szCs w:val="22"/>
          <w:lang w:eastAsia="en-NZ"/>
        </w:rPr>
      </w:pPr>
      <w:r>
        <w:rPr>
          <w:noProof/>
        </w:rPr>
        <w:t>4.3</w:t>
      </w:r>
      <w:r>
        <w:rPr>
          <w:rFonts w:asciiTheme="minorHAnsi" w:eastAsiaTheme="minorEastAsia" w:hAnsiTheme="minorHAnsi" w:cstheme="minorBidi"/>
          <w:noProof/>
          <w:szCs w:val="22"/>
          <w:lang w:eastAsia="en-NZ"/>
        </w:rPr>
        <w:tab/>
      </w:r>
      <w:r>
        <w:rPr>
          <w:noProof/>
        </w:rPr>
        <w:t>Electoral roll component</w:t>
      </w:r>
      <w:r>
        <w:rPr>
          <w:noProof/>
        </w:rPr>
        <w:tab/>
      </w:r>
      <w:r>
        <w:rPr>
          <w:noProof/>
        </w:rPr>
        <w:fldChar w:fldCharType="begin"/>
      </w:r>
      <w:r>
        <w:rPr>
          <w:noProof/>
        </w:rPr>
        <w:instrText xml:space="preserve"> PAGEREF _Toc468183658 \h </w:instrText>
      </w:r>
      <w:r>
        <w:rPr>
          <w:noProof/>
        </w:rPr>
      </w:r>
      <w:r>
        <w:rPr>
          <w:noProof/>
        </w:rPr>
        <w:fldChar w:fldCharType="separate"/>
      </w:r>
      <w:r w:rsidR="00FA14BF">
        <w:rPr>
          <w:noProof/>
        </w:rPr>
        <w:t>10</w:t>
      </w:r>
      <w:r>
        <w:rPr>
          <w:noProof/>
        </w:rPr>
        <w:fldChar w:fldCharType="end"/>
      </w:r>
    </w:p>
    <w:p w:rsidR="008B0164" w:rsidRDefault="008B0164">
      <w:pPr>
        <w:pStyle w:val="TOC2"/>
        <w:rPr>
          <w:rFonts w:asciiTheme="minorHAnsi" w:eastAsiaTheme="minorEastAsia" w:hAnsiTheme="minorHAnsi" w:cstheme="minorBidi"/>
          <w:noProof/>
          <w:szCs w:val="22"/>
          <w:lang w:eastAsia="en-NZ"/>
        </w:rPr>
      </w:pPr>
      <w:r>
        <w:rPr>
          <w:noProof/>
        </w:rPr>
        <w:t>4.4</w:t>
      </w:r>
      <w:r>
        <w:rPr>
          <w:rFonts w:asciiTheme="minorHAnsi" w:eastAsiaTheme="minorEastAsia" w:hAnsiTheme="minorHAnsi" w:cstheme="minorBidi"/>
          <w:noProof/>
          <w:szCs w:val="22"/>
          <w:lang w:eastAsia="en-NZ"/>
        </w:rPr>
        <w:tab/>
      </w:r>
      <w:r>
        <w:rPr>
          <w:noProof/>
        </w:rPr>
        <w:t>Summary of sample sizes</w:t>
      </w:r>
      <w:r>
        <w:rPr>
          <w:noProof/>
        </w:rPr>
        <w:tab/>
      </w:r>
      <w:r>
        <w:rPr>
          <w:noProof/>
        </w:rPr>
        <w:fldChar w:fldCharType="begin"/>
      </w:r>
      <w:r>
        <w:rPr>
          <w:noProof/>
        </w:rPr>
        <w:instrText xml:space="preserve"> PAGEREF _Toc468183659 \h </w:instrText>
      </w:r>
      <w:r>
        <w:rPr>
          <w:noProof/>
        </w:rPr>
      </w:r>
      <w:r>
        <w:rPr>
          <w:noProof/>
        </w:rPr>
        <w:fldChar w:fldCharType="separate"/>
      </w:r>
      <w:r w:rsidR="00FA14BF">
        <w:rPr>
          <w:noProof/>
        </w:rPr>
        <w:t>11</w:t>
      </w:r>
      <w:r>
        <w:rPr>
          <w:noProof/>
        </w:rPr>
        <w:fldChar w:fldCharType="end"/>
      </w:r>
    </w:p>
    <w:p w:rsidR="008B0164" w:rsidRDefault="008B0164">
      <w:pPr>
        <w:pStyle w:val="TOC1"/>
        <w:rPr>
          <w:rFonts w:asciiTheme="minorHAnsi" w:eastAsiaTheme="minorEastAsia" w:hAnsiTheme="minorHAnsi" w:cstheme="minorBidi"/>
          <w:b w:val="0"/>
          <w:noProof/>
          <w:szCs w:val="22"/>
          <w:lang w:eastAsia="en-NZ"/>
        </w:rPr>
      </w:pPr>
      <w:r>
        <w:rPr>
          <w:noProof/>
        </w:rPr>
        <w:t>5</w:t>
      </w:r>
      <w:r>
        <w:rPr>
          <w:rFonts w:asciiTheme="minorHAnsi" w:eastAsiaTheme="minorEastAsia" w:hAnsiTheme="minorHAnsi" w:cstheme="minorBidi"/>
          <w:b w:val="0"/>
          <w:noProof/>
          <w:szCs w:val="22"/>
          <w:lang w:eastAsia="en-NZ"/>
        </w:rPr>
        <w:tab/>
      </w:r>
      <w:r>
        <w:rPr>
          <w:noProof/>
        </w:rPr>
        <w:t>Sample selection process</w:t>
      </w:r>
      <w:r>
        <w:rPr>
          <w:noProof/>
        </w:rPr>
        <w:tab/>
      </w:r>
      <w:r>
        <w:rPr>
          <w:noProof/>
        </w:rPr>
        <w:fldChar w:fldCharType="begin"/>
      </w:r>
      <w:r>
        <w:rPr>
          <w:noProof/>
        </w:rPr>
        <w:instrText xml:space="preserve"> PAGEREF _Toc468183660 \h </w:instrText>
      </w:r>
      <w:r>
        <w:rPr>
          <w:noProof/>
        </w:rPr>
      </w:r>
      <w:r>
        <w:rPr>
          <w:noProof/>
        </w:rPr>
        <w:fldChar w:fldCharType="separate"/>
      </w:r>
      <w:r w:rsidR="00FA14BF">
        <w:rPr>
          <w:noProof/>
        </w:rPr>
        <w:t>12</w:t>
      </w:r>
      <w:r>
        <w:rPr>
          <w:noProof/>
        </w:rPr>
        <w:fldChar w:fldCharType="end"/>
      </w:r>
    </w:p>
    <w:p w:rsidR="008B0164" w:rsidRDefault="008B0164">
      <w:pPr>
        <w:pStyle w:val="TOC2"/>
        <w:rPr>
          <w:rFonts w:asciiTheme="minorHAnsi" w:eastAsiaTheme="minorEastAsia" w:hAnsiTheme="minorHAnsi" w:cstheme="minorBidi"/>
          <w:noProof/>
          <w:szCs w:val="22"/>
          <w:lang w:eastAsia="en-NZ"/>
        </w:rPr>
      </w:pPr>
      <w:r>
        <w:rPr>
          <w:noProof/>
        </w:rPr>
        <w:t>5.1</w:t>
      </w:r>
      <w:r>
        <w:rPr>
          <w:rFonts w:asciiTheme="minorHAnsi" w:eastAsiaTheme="minorEastAsia" w:hAnsiTheme="minorHAnsi" w:cstheme="minorBidi"/>
          <w:noProof/>
          <w:szCs w:val="22"/>
          <w:lang w:eastAsia="en-NZ"/>
        </w:rPr>
        <w:tab/>
      </w:r>
      <w:r>
        <w:rPr>
          <w:noProof/>
        </w:rPr>
        <w:t>Selecting primary sampling units</w:t>
      </w:r>
      <w:r>
        <w:rPr>
          <w:noProof/>
        </w:rPr>
        <w:tab/>
      </w:r>
      <w:r>
        <w:rPr>
          <w:noProof/>
        </w:rPr>
        <w:fldChar w:fldCharType="begin"/>
      </w:r>
      <w:r>
        <w:rPr>
          <w:noProof/>
        </w:rPr>
        <w:instrText xml:space="preserve"> PAGEREF _Toc468183661 \h </w:instrText>
      </w:r>
      <w:r>
        <w:rPr>
          <w:noProof/>
        </w:rPr>
      </w:r>
      <w:r>
        <w:rPr>
          <w:noProof/>
        </w:rPr>
        <w:fldChar w:fldCharType="separate"/>
      </w:r>
      <w:r w:rsidR="00FA14BF">
        <w:rPr>
          <w:noProof/>
        </w:rPr>
        <w:t>12</w:t>
      </w:r>
      <w:r>
        <w:rPr>
          <w:noProof/>
        </w:rPr>
        <w:fldChar w:fldCharType="end"/>
      </w:r>
    </w:p>
    <w:p w:rsidR="008B0164" w:rsidRDefault="008B0164">
      <w:pPr>
        <w:pStyle w:val="TOC2"/>
        <w:rPr>
          <w:rFonts w:asciiTheme="minorHAnsi" w:eastAsiaTheme="minorEastAsia" w:hAnsiTheme="minorHAnsi" w:cstheme="minorBidi"/>
          <w:noProof/>
          <w:szCs w:val="22"/>
          <w:lang w:eastAsia="en-NZ"/>
        </w:rPr>
      </w:pPr>
      <w:r>
        <w:rPr>
          <w:noProof/>
        </w:rPr>
        <w:t>5.2</w:t>
      </w:r>
      <w:r>
        <w:rPr>
          <w:rFonts w:asciiTheme="minorHAnsi" w:eastAsiaTheme="minorEastAsia" w:hAnsiTheme="minorHAnsi" w:cstheme="minorBidi"/>
          <w:noProof/>
          <w:szCs w:val="22"/>
          <w:lang w:eastAsia="en-NZ"/>
        </w:rPr>
        <w:tab/>
      </w:r>
      <w:r>
        <w:rPr>
          <w:noProof/>
        </w:rPr>
        <w:t>Selecting households within primary sampling units</w:t>
      </w:r>
      <w:r>
        <w:rPr>
          <w:noProof/>
        </w:rPr>
        <w:tab/>
      </w:r>
      <w:r>
        <w:rPr>
          <w:noProof/>
        </w:rPr>
        <w:fldChar w:fldCharType="begin"/>
      </w:r>
      <w:r>
        <w:rPr>
          <w:noProof/>
        </w:rPr>
        <w:instrText xml:space="preserve"> PAGEREF _Toc468183662 \h </w:instrText>
      </w:r>
      <w:r>
        <w:rPr>
          <w:noProof/>
        </w:rPr>
      </w:r>
      <w:r>
        <w:rPr>
          <w:noProof/>
        </w:rPr>
        <w:fldChar w:fldCharType="separate"/>
      </w:r>
      <w:r w:rsidR="00FA14BF">
        <w:rPr>
          <w:noProof/>
        </w:rPr>
        <w:t>12</w:t>
      </w:r>
      <w:r>
        <w:rPr>
          <w:noProof/>
        </w:rPr>
        <w:fldChar w:fldCharType="end"/>
      </w:r>
    </w:p>
    <w:p w:rsidR="008B0164" w:rsidRDefault="008B0164">
      <w:pPr>
        <w:pStyle w:val="TOC2"/>
        <w:rPr>
          <w:rFonts w:asciiTheme="minorHAnsi" w:eastAsiaTheme="minorEastAsia" w:hAnsiTheme="minorHAnsi" w:cstheme="minorBidi"/>
          <w:noProof/>
          <w:szCs w:val="22"/>
          <w:lang w:eastAsia="en-NZ"/>
        </w:rPr>
      </w:pPr>
      <w:r>
        <w:rPr>
          <w:noProof/>
        </w:rPr>
        <w:t>5.3</w:t>
      </w:r>
      <w:r>
        <w:rPr>
          <w:rFonts w:asciiTheme="minorHAnsi" w:eastAsiaTheme="minorEastAsia" w:hAnsiTheme="minorHAnsi" w:cstheme="minorBidi"/>
          <w:noProof/>
          <w:szCs w:val="22"/>
          <w:lang w:eastAsia="en-NZ"/>
        </w:rPr>
        <w:tab/>
      </w:r>
      <w:r>
        <w:rPr>
          <w:noProof/>
        </w:rPr>
        <w:t>Re-using area component primary sampling units</w:t>
      </w:r>
      <w:r>
        <w:rPr>
          <w:noProof/>
        </w:rPr>
        <w:tab/>
      </w:r>
      <w:r>
        <w:rPr>
          <w:noProof/>
        </w:rPr>
        <w:fldChar w:fldCharType="begin"/>
      </w:r>
      <w:r>
        <w:rPr>
          <w:noProof/>
        </w:rPr>
        <w:instrText xml:space="preserve"> PAGEREF _Toc468183663 \h </w:instrText>
      </w:r>
      <w:r>
        <w:rPr>
          <w:noProof/>
        </w:rPr>
      </w:r>
      <w:r>
        <w:rPr>
          <w:noProof/>
        </w:rPr>
        <w:fldChar w:fldCharType="separate"/>
      </w:r>
      <w:r w:rsidR="00FA14BF">
        <w:rPr>
          <w:noProof/>
        </w:rPr>
        <w:t>13</w:t>
      </w:r>
      <w:r>
        <w:rPr>
          <w:noProof/>
        </w:rPr>
        <w:fldChar w:fldCharType="end"/>
      </w:r>
    </w:p>
    <w:p w:rsidR="008B0164" w:rsidRDefault="008B0164">
      <w:pPr>
        <w:pStyle w:val="TOC1"/>
        <w:rPr>
          <w:rFonts w:asciiTheme="minorHAnsi" w:eastAsiaTheme="minorEastAsia" w:hAnsiTheme="minorHAnsi" w:cstheme="minorBidi"/>
          <w:b w:val="0"/>
          <w:noProof/>
          <w:szCs w:val="22"/>
          <w:lang w:eastAsia="en-NZ"/>
        </w:rPr>
      </w:pPr>
      <w:r>
        <w:rPr>
          <w:noProof/>
        </w:rPr>
        <w:t>6</w:t>
      </w:r>
      <w:r>
        <w:rPr>
          <w:rFonts w:asciiTheme="minorHAnsi" w:eastAsiaTheme="minorEastAsia" w:hAnsiTheme="minorHAnsi" w:cstheme="minorBidi"/>
          <w:b w:val="0"/>
          <w:noProof/>
          <w:szCs w:val="22"/>
          <w:lang w:eastAsia="en-NZ"/>
        </w:rPr>
        <w:tab/>
      </w:r>
      <w:r>
        <w:rPr>
          <w:noProof/>
        </w:rPr>
        <w:t>Major changes from the years 1–4 sample design</w:t>
      </w:r>
      <w:r>
        <w:rPr>
          <w:noProof/>
        </w:rPr>
        <w:tab/>
      </w:r>
      <w:r>
        <w:rPr>
          <w:noProof/>
        </w:rPr>
        <w:fldChar w:fldCharType="begin"/>
      </w:r>
      <w:r>
        <w:rPr>
          <w:noProof/>
        </w:rPr>
        <w:instrText xml:space="preserve"> PAGEREF _Toc468183664 \h </w:instrText>
      </w:r>
      <w:r>
        <w:rPr>
          <w:noProof/>
        </w:rPr>
      </w:r>
      <w:r>
        <w:rPr>
          <w:noProof/>
        </w:rPr>
        <w:fldChar w:fldCharType="separate"/>
      </w:r>
      <w:r w:rsidR="00FA14BF">
        <w:rPr>
          <w:noProof/>
        </w:rPr>
        <w:t>14</w:t>
      </w:r>
      <w:r>
        <w:rPr>
          <w:noProof/>
        </w:rPr>
        <w:fldChar w:fldCharType="end"/>
      </w:r>
    </w:p>
    <w:p w:rsidR="008B0164" w:rsidRDefault="008B0164">
      <w:pPr>
        <w:pStyle w:val="TOC2"/>
        <w:rPr>
          <w:rFonts w:asciiTheme="minorHAnsi" w:eastAsiaTheme="minorEastAsia" w:hAnsiTheme="minorHAnsi" w:cstheme="minorBidi"/>
          <w:noProof/>
          <w:szCs w:val="22"/>
          <w:lang w:eastAsia="en-NZ"/>
        </w:rPr>
      </w:pPr>
      <w:r>
        <w:rPr>
          <w:noProof/>
        </w:rPr>
        <w:t>6.1</w:t>
      </w:r>
      <w:r>
        <w:rPr>
          <w:rFonts w:asciiTheme="minorHAnsi" w:eastAsiaTheme="minorEastAsia" w:hAnsiTheme="minorHAnsi" w:cstheme="minorBidi"/>
          <w:noProof/>
          <w:szCs w:val="22"/>
          <w:lang w:eastAsia="en-NZ"/>
        </w:rPr>
        <w:tab/>
      </w:r>
      <w:r>
        <w:rPr>
          <w:noProof/>
        </w:rPr>
        <w:t>Using Statistics New Zealand primary sampling units rather than meshblocks</w:t>
      </w:r>
      <w:r>
        <w:rPr>
          <w:noProof/>
        </w:rPr>
        <w:tab/>
      </w:r>
      <w:r>
        <w:rPr>
          <w:noProof/>
        </w:rPr>
        <w:fldChar w:fldCharType="begin"/>
      </w:r>
      <w:r>
        <w:rPr>
          <w:noProof/>
        </w:rPr>
        <w:instrText xml:space="preserve"> PAGEREF _Toc468183665 \h </w:instrText>
      </w:r>
      <w:r>
        <w:rPr>
          <w:noProof/>
        </w:rPr>
      </w:r>
      <w:r>
        <w:rPr>
          <w:noProof/>
        </w:rPr>
        <w:fldChar w:fldCharType="separate"/>
      </w:r>
      <w:r w:rsidR="00FA14BF">
        <w:rPr>
          <w:noProof/>
        </w:rPr>
        <w:t>14</w:t>
      </w:r>
      <w:r>
        <w:rPr>
          <w:noProof/>
        </w:rPr>
        <w:fldChar w:fldCharType="end"/>
      </w:r>
    </w:p>
    <w:p w:rsidR="008B0164" w:rsidRDefault="008B0164">
      <w:pPr>
        <w:pStyle w:val="TOC2"/>
        <w:rPr>
          <w:rFonts w:asciiTheme="minorHAnsi" w:eastAsiaTheme="minorEastAsia" w:hAnsiTheme="minorHAnsi" w:cstheme="minorBidi"/>
          <w:noProof/>
          <w:szCs w:val="22"/>
          <w:lang w:eastAsia="en-NZ"/>
        </w:rPr>
      </w:pPr>
      <w:r>
        <w:rPr>
          <w:noProof/>
        </w:rPr>
        <w:t>6.2</w:t>
      </w:r>
      <w:r>
        <w:rPr>
          <w:rFonts w:asciiTheme="minorHAnsi" w:eastAsiaTheme="minorEastAsia" w:hAnsiTheme="minorHAnsi" w:cstheme="minorBidi"/>
          <w:noProof/>
          <w:szCs w:val="22"/>
          <w:lang w:eastAsia="en-NZ"/>
        </w:rPr>
        <w:tab/>
      </w:r>
      <w:r>
        <w:rPr>
          <w:noProof/>
        </w:rPr>
        <w:t>Participation in the Statistics New Zealand household survey selections management system</w:t>
      </w:r>
      <w:r>
        <w:rPr>
          <w:noProof/>
        </w:rPr>
        <w:tab/>
      </w:r>
      <w:r>
        <w:rPr>
          <w:noProof/>
        </w:rPr>
        <w:fldChar w:fldCharType="begin"/>
      </w:r>
      <w:r>
        <w:rPr>
          <w:noProof/>
        </w:rPr>
        <w:instrText xml:space="preserve"> PAGEREF _Toc468183666 \h </w:instrText>
      </w:r>
      <w:r>
        <w:rPr>
          <w:noProof/>
        </w:rPr>
      </w:r>
      <w:r>
        <w:rPr>
          <w:noProof/>
        </w:rPr>
        <w:fldChar w:fldCharType="separate"/>
      </w:r>
      <w:r w:rsidR="00FA14BF">
        <w:rPr>
          <w:noProof/>
        </w:rPr>
        <w:t>15</w:t>
      </w:r>
      <w:r>
        <w:rPr>
          <w:noProof/>
        </w:rPr>
        <w:fldChar w:fldCharType="end"/>
      </w:r>
    </w:p>
    <w:p w:rsidR="008B0164" w:rsidRDefault="008B0164">
      <w:pPr>
        <w:pStyle w:val="TOC2"/>
        <w:rPr>
          <w:rFonts w:asciiTheme="minorHAnsi" w:eastAsiaTheme="minorEastAsia" w:hAnsiTheme="minorHAnsi" w:cstheme="minorBidi"/>
          <w:noProof/>
          <w:szCs w:val="22"/>
          <w:lang w:eastAsia="en-NZ"/>
        </w:rPr>
      </w:pPr>
      <w:r>
        <w:rPr>
          <w:noProof/>
        </w:rPr>
        <w:t>6.3</w:t>
      </w:r>
      <w:r>
        <w:rPr>
          <w:rFonts w:asciiTheme="minorHAnsi" w:eastAsiaTheme="minorEastAsia" w:hAnsiTheme="minorHAnsi" w:cstheme="minorBidi"/>
          <w:noProof/>
          <w:szCs w:val="22"/>
          <w:lang w:eastAsia="en-NZ"/>
        </w:rPr>
        <w:tab/>
      </w:r>
      <w:r>
        <w:rPr>
          <w:noProof/>
        </w:rPr>
        <w:t>Re-using area component primary sampling units</w:t>
      </w:r>
      <w:r>
        <w:rPr>
          <w:noProof/>
        </w:rPr>
        <w:tab/>
      </w:r>
      <w:r>
        <w:rPr>
          <w:noProof/>
        </w:rPr>
        <w:fldChar w:fldCharType="begin"/>
      </w:r>
      <w:r>
        <w:rPr>
          <w:noProof/>
        </w:rPr>
        <w:instrText xml:space="preserve"> PAGEREF _Toc468183667 \h </w:instrText>
      </w:r>
      <w:r>
        <w:rPr>
          <w:noProof/>
        </w:rPr>
      </w:r>
      <w:r>
        <w:rPr>
          <w:noProof/>
        </w:rPr>
        <w:fldChar w:fldCharType="separate"/>
      </w:r>
      <w:r w:rsidR="00FA14BF">
        <w:rPr>
          <w:noProof/>
        </w:rPr>
        <w:t>15</w:t>
      </w:r>
      <w:r>
        <w:rPr>
          <w:noProof/>
        </w:rPr>
        <w:fldChar w:fldCharType="end"/>
      </w:r>
    </w:p>
    <w:p w:rsidR="008B0164" w:rsidRDefault="008B0164">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_Toc468183668 \h </w:instrText>
      </w:r>
      <w:r>
        <w:rPr>
          <w:noProof/>
        </w:rPr>
      </w:r>
      <w:r>
        <w:rPr>
          <w:noProof/>
        </w:rPr>
        <w:fldChar w:fldCharType="separate"/>
      </w:r>
      <w:r w:rsidR="00FA14BF">
        <w:rPr>
          <w:noProof/>
        </w:rPr>
        <w:t>18</w:t>
      </w:r>
      <w:r>
        <w:rPr>
          <w:noProof/>
        </w:rPr>
        <w:fldChar w:fldCharType="end"/>
      </w:r>
    </w:p>
    <w:p w:rsidR="00C86248" w:rsidRDefault="00C86248">
      <w:r>
        <w:rPr>
          <w:b/>
        </w:rPr>
        <w:fldChar w:fldCharType="end"/>
      </w:r>
    </w:p>
    <w:p w:rsidR="00C86248" w:rsidRDefault="00C86248" w:rsidP="0069226D">
      <w:pPr>
        <w:pStyle w:val="TOC1"/>
        <w:keepNext/>
        <w:spacing w:before="120"/>
      </w:pPr>
      <w:r>
        <w:t>List of Tables</w:t>
      </w:r>
    </w:p>
    <w:p w:rsidR="0069226D"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69226D">
        <w:rPr>
          <w:noProof/>
        </w:rPr>
        <w:t>Table 1:</w:t>
      </w:r>
      <w:r w:rsidR="0069226D">
        <w:rPr>
          <w:noProof/>
        </w:rPr>
        <w:tab/>
        <w:t>Achieved standard errors for the 2014/15 year national prevalences and annual changes from 2013/14 to 2014/15</w:t>
      </w:r>
      <w:r w:rsidR="0069226D">
        <w:rPr>
          <w:noProof/>
        </w:rPr>
        <w:tab/>
      </w:r>
      <w:r w:rsidR="0069226D">
        <w:rPr>
          <w:noProof/>
        </w:rPr>
        <w:fldChar w:fldCharType="begin"/>
      </w:r>
      <w:r w:rsidR="0069226D">
        <w:rPr>
          <w:noProof/>
        </w:rPr>
        <w:instrText xml:space="preserve"> PAGEREF _Toc467700414 \h </w:instrText>
      </w:r>
      <w:r w:rsidR="0069226D">
        <w:rPr>
          <w:noProof/>
        </w:rPr>
      </w:r>
      <w:r w:rsidR="0069226D">
        <w:rPr>
          <w:noProof/>
        </w:rPr>
        <w:fldChar w:fldCharType="separate"/>
      </w:r>
      <w:r w:rsidR="00FA14BF">
        <w:rPr>
          <w:noProof/>
        </w:rPr>
        <w:t>4</w:t>
      </w:r>
      <w:r w:rsidR="0069226D">
        <w:rPr>
          <w:noProof/>
        </w:rPr>
        <w:fldChar w:fldCharType="end"/>
      </w:r>
    </w:p>
    <w:p w:rsidR="0069226D" w:rsidRDefault="0069226D">
      <w:pPr>
        <w:pStyle w:val="TOC3"/>
        <w:rPr>
          <w:rFonts w:asciiTheme="minorHAnsi" w:eastAsiaTheme="minorEastAsia" w:hAnsiTheme="minorHAnsi" w:cstheme="minorBidi"/>
          <w:noProof/>
          <w:szCs w:val="22"/>
          <w:lang w:eastAsia="en-NZ"/>
        </w:rPr>
      </w:pPr>
      <w:r>
        <w:rPr>
          <w:noProof/>
        </w:rPr>
        <w:t>Table 2:</w:t>
      </w:r>
      <w:r>
        <w:rPr>
          <w:noProof/>
        </w:rPr>
        <w:tab/>
        <w:t>Maximum achieved standard errors across 14 age-group-by-sex cells for the 2014/15 year prevalences and annual changes from 2013/14 to 2014/15</w:t>
      </w:r>
      <w:r>
        <w:rPr>
          <w:noProof/>
        </w:rPr>
        <w:tab/>
      </w:r>
      <w:r>
        <w:rPr>
          <w:noProof/>
        </w:rPr>
        <w:fldChar w:fldCharType="begin"/>
      </w:r>
      <w:r>
        <w:rPr>
          <w:noProof/>
        </w:rPr>
        <w:instrText xml:space="preserve"> PAGEREF _Toc467700415 \h </w:instrText>
      </w:r>
      <w:r>
        <w:rPr>
          <w:noProof/>
        </w:rPr>
      </w:r>
      <w:r>
        <w:rPr>
          <w:noProof/>
        </w:rPr>
        <w:fldChar w:fldCharType="separate"/>
      </w:r>
      <w:r w:rsidR="00FA14BF">
        <w:rPr>
          <w:noProof/>
        </w:rPr>
        <w:t>5</w:t>
      </w:r>
      <w:r>
        <w:rPr>
          <w:noProof/>
        </w:rPr>
        <w:fldChar w:fldCharType="end"/>
      </w:r>
    </w:p>
    <w:p w:rsidR="0069226D" w:rsidRDefault="0069226D">
      <w:pPr>
        <w:pStyle w:val="TOC3"/>
        <w:rPr>
          <w:rFonts w:asciiTheme="minorHAnsi" w:eastAsiaTheme="minorEastAsia" w:hAnsiTheme="minorHAnsi" w:cstheme="minorBidi"/>
          <w:noProof/>
          <w:szCs w:val="22"/>
          <w:lang w:eastAsia="en-NZ"/>
        </w:rPr>
      </w:pPr>
      <w:r>
        <w:rPr>
          <w:noProof/>
        </w:rPr>
        <w:t>Table 3:</w:t>
      </w:r>
      <w:r>
        <w:rPr>
          <w:noProof/>
        </w:rPr>
        <w:tab/>
        <w:t>Achieved standard errors for the 2014/15 year Māori population prevalences and annual changes from 2013/14 to 2014/15</w:t>
      </w:r>
      <w:r>
        <w:rPr>
          <w:noProof/>
        </w:rPr>
        <w:tab/>
      </w:r>
      <w:r>
        <w:rPr>
          <w:noProof/>
        </w:rPr>
        <w:fldChar w:fldCharType="begin"/>
      </w:r>
      <w:r>
        <w:rPr>
          <w:noProof/>
        </w:rPr>
        <w:instrText xml:space="preserve"> PAGEREF _Toc467700416 \h </w:instrText>
      </w:r>
      <w:r>
        <w:rPr>
          <w:noProof/>
        </w:rPr>
      </w:r>
      <w:r>
        <w:rPr>
          <w:noProof/>
        </w:rPr>
        <w:fldChar w:fldCharType="separate"/>
      </w:r>
      <w:r w:rsidR="00FA14BF">
        <w:rPr>
          <w:noProof/>
        </w:rPr>
        <w:t>5</w:t>
      </w:r>
      <w:r>
        <w:rPr>
          <w:noProof/>
        </w:rPr>
        <w:fldChar w:fldCharType="end"/>
      </w:r>
    </w:p>
    <w:p w:rsidR="0069226D" w:rsidRDefault="0069226D">
      <w:pPr>
        <w:pStyle w:val="TOC3"/>
        <w:rPr>
          <w:rFonts w:asciiTheme="minorHAnsi" w:eastAsiaTheme="minorEastAsia" w:hAnsiTheme="minorHAnsi" w:cstheme="minorBidi"/>
          <w:noProof/>
          <w:szCs w:val="22"/>
          <w:lang w:eastAsia="en-NZ"/>
        </w:rPr>
      </w:pPr>
      <w:r>
        <w:rPr>
          <w:noProof/>
        </w:rPr>
        <w:t>Table 4:</w:t>
      </w:r>
      <w:r>
        <w:rPr>
          <w:noProof/>
        </w:rPr>
        <w:tab/>
        <w:t>Achieved standard errors of differences in the 2014/15 year prevalences between Māori/non-Māori, Pacific/non-Pacific and highest/lowest NZDep 2013 quintile</w:t>
      </w:r>
      <w:r>
        <w:rPr>
          <w:noProof/>
        </w:rPr>
        <w:tab/>
      </w:r>
      <w:r>
        <w:rPr>
          <w:noProof/>
        </w:rPr>
        <w:fldChar w:fldCharType="begin"/>
      </w:r>
      <w:r>
        <w:rPr>
          <w:noProof/>
        </w:rPr>
        <w:instrText xml:space="preserve"> PAGEREF _Toc467700417 \h </w:instrText>
      </w:r>
      <w:r>
        <w:rPr>
          <w:noProof/>
        </w:rPr>
      </w:r>
      <w:r>
        <w:rPr>
          <w:noProof/>
        </w:rPr>
        <w:fldChar w:fldCharType="separate"/>
      </w:r>
      <w:r w:rsidR="00FA14BF">
        <w:rPr>
          <w:noProof/>
        </w:rPr>
        <w:t>6</w:t>
      </w:r>
      <w:r>
        <w:rPr>
          <w:noProof/>
        </w:rPr>
        <w:fldChar w:fldCharType="end"/>
      </w:r>
    </w:p>
    <w:p w:rsidR="0069226D" w:rsidRDefault="0069226D">
      <w:pPr>
        <w:pStyle w:val="TOC3"/>
        <w:rPr>
          <w:rFonts w:asciiTheme="minorHAnsi" w:eastAsiaTheme="minorEastAsia" w:hAnsiTheme="minorHAnsi" w:cstheme="minorBidi"/>
          <w:noProof/>
          <w:szCs w:val="22"/>
          <w:lang w:eastAsia="en-NZ"/>
        </w:rPr>
      </w:pPr>
      <w:r>
        <w:rPr>
          <w:noProof/>
        </w:rPr>
        <w:t>Table 5:</w:t>
      </w:r>
      <w:r>
        <w:rPr>
          <w:noProof/>
        </w:rPr>
        <w:tab/>
        <w:t>Maximum achieved standard errors for the 2014/15 year DHB prevalences and annual changes from 2013/14 to 2014/15</w:t>
      </w:r>
      <w:r>
        <w:rPr>
          <w:noProof/>
        </w:rPr>
        <w:tab/>
      </w:r>
      <w:r>
        <w:rPr>
          <w:noProof/>
        </w:rPr>
        <w:fldChar w:fldCharType="begin"/>
      </w:r>
      <w:r>
        <w:rPr>
          <w:noProof/>
        </w:rPr>
        <w:instrText xml:space="preserve"> PAGEREF _Toc467700418 \h </w:instrText>
      </w:r>
      <w:r>
        <w:rPr>
          <w:noProof/>
        </w:rPr>
      </w:r>
      <w:r>
        <w:rPr>
          <w:noProof/>
        </w:rPr>
        <w:fldChar w:fldCharType="separate"/>
      </w:r>
      <w:r w:rsidR="00FA14BF">
        <w:rPr>
          <w:noProof/>
        </w:rPr>
        <w:t>6</w:t>
      </w:r>
      <w:r>
        <w:rPr>
          <w:noProof/>
        </w:rPr>
        <w:fldChar w:fldCharType="end"/>
      </w:r>
    </w:p>
    <w:p w:rsidR="0069226D" w:rsidRDefault="0069226D">
      <w:pPr>
        <w:pStyle w:val="TOC3"/>
        <w:rPr>
          <w:rFonts w:asciiTheme="minorHAnsi" w:eastAsiaTheme="minorEastAsia" w:hAnsiTheme="minorHAnsi" w:cstheme="minorBidi"/>
          <w:noProof/>
          <w:szCs w:val="22"/>
          <w:lang w:eastAsia="en-NZ"/>
        </w:rPr>
      </w:pPr>
      <w:r>
        <w:rPr>
          <w:noProof/>
        </w:rPr>
        <w:t>Table 6:</w:t>
      </w:r>
      <w:r>
        <w:rPr>
          <w:noProof/>
        </w:rPr>
        <w:tab/>
        <w:t>Summary of selected design indicators</w:t>
      </w:r>
      <w:r>
        <w:rPr>
          <w:noProof/>
        </w:rPr>
        <w:tab/>
      </w:r>
      <w:r>
        <w:rPr>
          <w:noProof/>
        </w:rPr>
        <w:fldChar w:fldCharType="begin"/>
      </w:r>
      <w:r>
        <w:rPr>
          <w:noProof/>
        </w:rPr>
        <w:instrText xml:space="preserve"> PAGEREF _Toc467700419 \h </w:instrText>
      </w:r>
      <w:r>
        <w:rPr>
          <w:noProof/>
        </w:rPr>
      </w:r>
      <w:r>
        <w:rPr>
          <w:noProof/>
        </w:rPr>
        <w:fldChar w:fldCharType="separate"/>
      </w:r>
      <w:r w:rsidR="00FA14BF">
        <w:rPr>
          <w:noProof/>
        </w:rPr>
        <w:t>10</w:t>
      </w:r>
      <w:r>
        <w:rPr>
          <w:noProof/>
        </w:rPr>
        <w:fldChar w:fldCharType="end"/>
      </w:r>
    </w:p>
    <w:p w:rsidR="0069226D" w:rsidRDefault="0069226D">
      <w:pPr>
        <w:pStyle w:val="TOC3"/>
        <w:rPr>
          <w:rFonts w:asciiTheme="minorHAnsi" w:eastAsiaTheme="minorEastAsia" w:hAnsiTheme="minorHAnsi" w:cstheme="minorBidi"/>
          <w:noProof/>
          <w:szCs w:val="22"/>
          <w:lang w:eastAsia="en-NZ"/>
        </w:rPr>
      </w:pPr>
      <w:r>
        <w:rPr>
          <w:noProof/>
        </w:rPr>
        <w:t>Table 7:</w:t>
      </w:r>
      <w:r>
        <w:rPr>
          <w:noProof/>
        </w:rPr>
        <w:tab/>
        <w:t>Expected quarterly and annual sample sizes</w:t>
      </w:r>
      <w:r>
        <w:rPr>
          <w:noProof/>
        </w:rPr>
        <w:tab/>
      </w:r>
      <w:r>
        <w:rPr>
          <w:noProof/>
        </w:rPr>
        <w:fldChar w:fldCharType="begin"/>
      </w:r>
      <w:r>
        <w:rPr>
          <w:noProof/>
        </w:rPr>
        <w:instrText xml:space="preserve"> PAGEREF _Toc467700420 \h </w:instrText>
      </w:r>
      <w:r>
        <w:rPr>
          <w:noProof/>
        </w:rPr>
      </w:r>
      <w:r>
        <w:rPr>
          <w:noProof/>
        </w:rPr>
        <w:fldChar w:fldCharType="separate"/>
      </w:r>
      <w:r w:rsidR="00FA14BF">
        <w:rPr>
          <w:noProof/>
        </w:rPr>
        <w:t>11</w:t>
      </w:r>
      <w:r>
        <w:rPr>
          <w:noProof/>
        </w:rPr>
        <w:fldChar w:fldCharType="end"/>
      </w:r>
    </w:p>
    <w:p w:rsidR="00455CC9" w:rsidRDefault="00C86248" w:rsidP="0086388B">
      <w:r>
        <w:fldChar w:fldCharType="end"/>
      </w:r>
    </w:p>
    <w:p w:rsidR="00FC18E7" w:rsidRDefault="00FC18E7" w:rsidP="00FC18E7">
      <w:pPr>
        <w:pStyle w:val="TOC1"/>
      </w:pPr>
      <w:r>
        <w:t>List of Figures</w:t>
      </w:r>
    </w:p>
    <w:p w:rsidR="00FC18E7" w:rsidRDefault="00FC18E7">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Pr>
          <w:noProof/>
        </w:rPr>
        <w:t>Figure 1:</w:t>
      </w:r>
      <w:r>
        <w:rPr>
          <w:noProof/>
        </w:rPr>
        <w:tab/>
        <w:t>PSU selections timing and re-use plan</w:t>
      </w:r>
      <w:r>
        <w:rPr>
          <w:noProof/>
        </w:rPr>
        <w:tab/>
      </w:r>
      <w:r>
        <w:rPr>
          <w:noProof/>
        </w:rPr>
        <w:fldChar w:fldCharType="begin"/>
      </w:r>
      <w:r>
        <w:rPr>
          <w:noProof/>
        </w:rPr>
        <w:instrText xml:space="preserve"> PAGEREF _Toc468810696 \h </w:instrText>
      </w:r>
      <w:r>
        <w:rPr>
          <w:noProof/>
        </w:rPr>
      </w:r>
      <w:r>
        <w:rPr>
          <w:noProof/>
        </w:rPr>
        <w:fldChar w:fldCharType="separate"/>
      </w:r>
      <w:r w:rsidR="00FA14BF">
        <w:rPr>
          <w:noProof/>
        </w:rPr>
        <w:t>17</w:t>
      </w:r>
      <w:r>
        <w:rPr>
          <w:noProof/>
        </w:rPr>
        <w:fldChar w:fldCharType="end"/>
      </w:r>
    </w:p>
    <w:p w:rsidR="00FC18E7" w:rsidRDefault="00FC18E7" w:rsidP="0086388B">
      <w:r>
        <w:fldChar w:fldCharType="end"/>
      </w:r>
    </w:p>
    <w:p w:rsidR="00C86248" w:rsidRDefault="00C86248">
      <w:pPr>
        <w:sectPr w:rsidR="00C86248" w:rsidSect="009D5125">
          <w:headerReference w:type="default" r:id="rId14"/>
          <w:footerReference w:type="even" r:id="rId15"/>
          <w:footerReference w:type="default" r:id="rId16"/>
          <w:pgSz w:w="11907" w:h="16840" w:code="9"/>
          <w:pgMar w:top="851" w:right="1134" w:bottom="1134" w:left="1134" w:header="284" w:footer="567" w:gutter="284"/>
          <w:pgNumType w:fmt="lowerRoman"/>
          <w:cols w:space="720"/>
        </w:sectPr>
      </w:pPr>
    </w:p>
    <w:p w:rsidR="008C2973" w:rsidRDefault="006C698E" w:rsidP="0086388B">
      <w:pPr>
        <w:pStyle w:val="Heading1"/>
      </w:pPr>
      <w:bookmarkStart w:id="5" w:name="_Toc468183649"/>
      <w:r>
        <w:lastRenderedPageBreak/>
        <w:t>1</w:t>
      </w:r>
      <w:r>
        <w:tab/>
      </w:r>
      <w:r w:rsidR="00032C0A">
        <w:t>Introduction</w:t>
      </w:r>
      <w:bookmarkEnd w:id="5"/>
    </w:p>
    <w:p w:rsidR="00F44703" w:rsidRDefault="00F44703" w:rsidP="006C698E">
      <w:r w:rsidRPr="00F276D9">
        <w:t>The New Zealand Health Survey (NZHS) is an important data collection tool</w:t>
      </w:r>
      <w:r>
        <w:t>,</w:t>
      </w:r>
      <w:r w:rsidRPr="00F276D9">
        <w:t xml:space="preserve"> used to</w:t>
      </w:r>
      <w:r>
        <w:t xml:space="preserve"> monitor population health and provide </w:t>
      </w:r>
      <w:r w:rsidRPr="00B9558D">
        <w:t xml:space="preserve">supporting evidence for health policy and strategy development. </w:t>
      </w:r>
      <w:r>
        <w:t>The NZHS is the source for eight Tier 1 statistics, which are the most important official statistics for understanding how well New Zealand is performing. The survey operates under the principles and protocols for producers of Tier 1 Statistics (Statistics New Zealand 2007).</w:t>
      </w:r>
    </w:p>
    <w:p w:rsidR="00F44703" w:rsidRDefault="00F44703" w:rsidP="006C698E"/>
    <w:p w:rsidR="00F44703" w:rsidRDefault="00F44703" w:rsidP="006C698E">
      <w:r w:rsidRPr="00B9558D">
        <w:t xml:space="preserve">The Health </w:t>
      </w:r>
      <w:r>
        <w:t>and</w:t>
      </w:r>
      <w:r w:rsidRPr="00B9558D">
        <w:t xml:space="preserve"> Disability Intelligence </w:t>
      </w:r>
      <w:r w:rsidR="006C698E">
        <w:t>G</w:t>
      </w:r>
      <w:r>
        <w:t>roup,</w:t>
      </w:r>
      <w:r w:rsidRPr="00B9558D">
        <w:t xml:space="preserve"> </w:t>
      </w:r>
      <w:r>
        <w:t>within the Ministry of Health</w:t>
      </w:r>
      <w:r w:rsidR="003B49E1">
        <w:t>’</w:t>
      </w:r>
      <w:r>
        <w:t>s (the Ministry</w:t>
      </w:r>
      <w:r w:rsidR="003B49E1">
        <w:t>’</w:t>
      </w:r>
      <w:r>
        <w:t>s) Client Insights and Analytics business unit,</w:t>
      </w:r>
      <w:r w:rsidRPr="00B9558D">
        <w:t xml:space="preserve"> </w:t>
      </w:r>
      <w:r>
        <w:t>is responsible for designing, analysing and reporting on the NZHS.</w:t>
      </w:r>
    </w:p>
    <w:p w:rsidR="00F44703" w:rsidRDefault="00F44703" w:rsidP="006C698E"/>
    <w:p w:rsidR="00F44703" w:rsidRDefault="00F44703" w:rsidP="006C698E">
      <w:r w:rsidRPr="00273E55">
        <w:t xml:space="preserve">The NZHS </w:t>
      </w:r>
      <w:r>
        <w:t>has been in continuous operation since July 2011. Before this,</w:t>
      </w:r>
      <w:r w:rsidRPr="00FB60E8">
        <w:t xml:space="preserve"> the NZHS </w:t>
      </w:r>
      <w:r>
        <w:t>was</w:t>
      </w:r>
      <w:r w:rsidRPr="00FB60E8">
        <w:t xml:space="preserve"> </w:t>
      </w:r>
      <w:r>
        <w:t>a stand-alone</w:t>
      </w:r>
      <w:r w:rsidRPr="00FB60E8">
        <w:t xml:space="preserve"> survey conducted once every three or four years.</w:t>
      </w:r>
      <w:r>
        <w:t xml:space="preserve"> A previous report</w:t>
      </w:r>
      <w:r w:rsidR="00285D5E">
        <w:t xml:space="preserve">, </w:t>
      </w:r>
      <w:r w:rsidR="00285D5E">
        <w:rPr>
          <w:i/>
        </w:rPr>
        <w:t>The New Zealand Health Survey: Sample design, years 1–3 (2011–2013) (</w:t>
      </w:r>
      <w:r w:rsidR="00285D5E">
        <w:t>Ministry of Health 2011),</w:t>
      </w:r>
      <w:r>
        <w:t xml:space="preserve"> describes the sample design for years 1–3 of the continuous survey (July 2011 to June 2013). Year 4 of the survey (2014/15) used essentially the same design as years 1–3. This report describes the sample design for year 5 of the survey (2015/16) onwards.</w:t>
      </w:r>
    </w:p>
    <w:p w:rsidR="00F44703" w:rsidRDefault="00F44703" w:rsidP="006C698E"/>
    <w:p w:rsidR="00F44703" w:rsidRPr="00F7619F" w:rsidRDefault="00F47721" w:rsidP="006C698E">
      <w:pPr>
        <w:pStyle w:val="Heading2"/>
      </w:pPr>
      <w:bookmarkStart w:id="6" w:name="_Toc468183650"/>
      <w:r>
        <w:t>1.1</w:t>
      </w:r>
      <w:r>
        <w:tab/>
      </w:r>
      <w:r w:rsidR="00F44703" w:rsidRPr="00F7619F">
        <w:t>Sample design</w:t>
      </w:r>
      <w:bookmarkEnd w:id="6"/>
    </w:p>
    <w:p w:rsidR="00F44703" w:rsidRDefault="00F44703" w:rsidP="006C698E">
      <w:r>
        <w:t>The</w:t>
      </w:r>
      <w:r w:rsidRPr="002E7934">
        <w:t xml:space="preserve"> </w:t>
      </w:r>
      <w:r>
        <w:t xml:space="preserve">continuous NZHS </w:t>
      </w:r>
      <w:r w:rsidRPr="002E7934">
        <w:t xml:space="preserve">sample design </w:t>
      </w:r>
      <w:r>
        <w:t xml:space="preserve">was developed in collaboration with </w:t>
      </w:r>
      <w:r w:rsidRPr="002E7934">
        <w:t xml:space="preserve">the </w:t>
      </w:r>
      <w:r>
        <w:t>National Institute for Applied Statistics Research Australia (NIASRA)</w:t>
      </w:r>
      <w:r w:rsidRPr="002E7934">
        <w:t>, University of Wollongong, Australia</w:t>
      </w:r>
      <w:r>
        <w:t xml:space="preserve">. The Ministry has contracted a professional survey company, CBG Health Research Ltd, to conduct the </w:t>
      </w:r>
      <w:r w:rsidRPr="00BD4C0C">
        <w:t>survey</w:t>
      </w:r>
      <w:r>
        <w:t xml:space="preserve"> field activities.</w:t>
      </w:r>
    </w:p>
    <w:p w:rsidR="00F44703" w:rsidRDefault="00F44703" w:rsidP="006C698E"/>
    <w:p w:rsidR="00F44703" w:rsidRDefault="00F44703" w:rsidP="006C698E">
      <w:r w:rsidRPr="002B3AC2">
        <w:t xml:space="preserve">The </w:t>
      </w:r>
      <w:r>
        <w:t xml:space="preserve">NZHS </w:t>
      </w:r>
      <w:r w:rsidRPr="002B3AC2">
        <w:t xml:space="preserve">sample </w:t>
      </w:r>
      <w:r>
        <w:t xml:space="preserve">is </w:t>
      </w:r>
      <w:r w:rsidRPr="002B3AC2">
        <w:t>selected using a</w:t>
      </w:r>
      <w:r>
        <w:t xml:space="preserve"> dual-frame design, with an area component covering the general population and an electoral roll component restricted to addresses where at least one adult has indicated </w:t>
      </w:r>
      <w:r w:rsidRPr="007B311E">
        <w:t xml:space="preserve">Māori </w:t>
      </w:r>
      <w:r>
        <w:t>descent on the electoral roll. Both components use stratified multi-stage area designs: selecting a sample of areas from each district health board (DHB), a sample of households from each selected area, and a sample of one adult and up to one child from each selected household</w:t>
      </w:r>
      <w:r w:rsidRPr="002B3AC2">
        <w:t>.</w:t>
      </w:r>
    </w:p>
    <w:p w:rsidR="00F44703" w:rsidRDefault="00F44703" w:rsidP="006C698E"/>
    <w:p w:rsidR="00F44703" w:rsidRDefault="00F44703" w:rsidP="006C698E">
      <w:r>
        <w:t xml:space="preserve">This report describes in detail the </w:t>
      </w:r>
      <w:r w:rsidRPr="001F1DC1">
        <w:t xml:space="preserve">sample design </w:t>
      </w:r>
      <w:r>
        <w:t xml:space="preserve">and the selection of areas for the year 5 (2015/16) NZHS. The major changes from the </w:t>
      </w:r>
      <w:proofErr w:type="gramStart"/>
      <w:r>
        <w:t>years</w:t>
      </w:r>
      <w:proofErr w:type="gramEnd"/>
      <w:r>
        <w:t xml:space="preserve"> 1–4 design are as follows.</w:t>
      </w:r>
    </w:p>
    <w:p w:rsidR="003B49E1" w:rsidRDefault="00F44703" w:rsidP="006C698E">
      <w:pPr>
        <w:pStyle w:val="Bullet"/>
      </w:pPr>
      <w:r>
        <w:t>The first stage of the sample selection is a sample of areas. The areas used for this purpose are Statistics New Zealand</w:t>
      </w:r>
      <w:r w:rsidR="003B49E1">
        <w:t>’</w:t>
      </w:r>
      <w:r>
        <w:t>s (SNZ</w:t>
      </w:r>
      <w:r w:rsidR="003B49E1">
        <w:t>’</w:t>
      </w:r>
      <w:r>
        <w:t>s) household surveys frame primary sampling units (PSUs). In years 1–4, the areas selected were SNZ</w:t>
      </w:r>
      <w:r w:rsidR="003B49E1">
        <w:t>’</w:t>
      </w:r>
      <w:r>
        <w:t xml:space="preserve">s </w:t>
      </w:r>
      <w:proofErr w:type="spellStart"/>
      <w:r>
        <w:t>meshblocks</w:t>
      </w:r>
      <w:proofErr w:type="spellEnd"/>
      <w:r>
        <w:t xml:space="preserve">. SNZ PSUs are groups made up of one or more </w:t>
      </w:r>
      <w:proofErr w:type="spellStart"/>
      <w:r>
        <w:t>meshblocks</w:t>
      </w:r>
      <w:proofErr w:type="spellEnd"/>
      <w:r>
        <w:t>. There have also been some associated changes to the selection probabilities and the number of dwellings selected from each PSU.</w:t>
      </w:r>
    </w:p>
    <w:p w:rsidR="00F44703" w:rsidRDefault="00F44703" w:rsidP="006C698E">
      <w:pPr>
        <w:pStyle w:val="Bullet"/>
      </w:pPr>
      <w:r>
        <w:t>PSU selection is now conducted using the SNZ coordinated selection facility to manage overlaps between various government household surveys and minimise the number of households being revisited for the NZHS in particular.</w:t>
      </w:r>
    </w:p>
    <w:p w:rsidR="00F44703" w:rsidRDefault="00F44703" w:rsidP="006C698E">
      <w:pPr>
        <w:pStyle w:val="Bullet"/>
      </w:pPr>
      <w:r>
        <w:t>PSUs in the area component of the sample are now used on two separate occasions in the same calendar year but in different reporting years.</w:t>
      </w:r>
    </w:p>
    <w:p w:rsidR="00F44703" w:rsidRDefault="00F44703" w:rsidP="006C698E"/>
    <w:p w:rsidR="00F44703" w:rsidRPr="00F7619F" w:rsidRDefault="00F47721" w:rsidP="006C698E">
      <w:pPr>
        <w:pStyle w:val="Heading2"/>
      </w:pPr>
      <w:bookmarkStart w:id="7" w:name="_Toc468183651"/>
      <w:r>
        <w:lastRenderedPageBreak/>
        <w:t>1.2</w:t>
      </w:r>
      <w:r>
        <w:tab/>
      </w:r>
      <w:r w:rsidR="00F44703" w:rsidRPr="00F7619F">
        <w:t>Survey content</w:t>
      </w:r>
      <w:bookmarkEnd w:id="7"/>
    </w:p>
    <w:p w:rsidR="00F44703" w:rsidRDefault="00F44703" w:rsidP="006C698E">
      <w:r>
        <w:t xml:space="preserve">The survey involves </w:t>
      </w:r>
      <w:r w:rsidRPr="00EE3F36">
        <w:t>fac</w:t>
      </w:r>
      <w:r>
        <w:t xml:space="preserve">e-to-face computer-assisted </w:t>
      </w:r>
      <w:r w:rsidRPr="002B3AC2">
        <w:t>personal</w:t>
      </w:r>
      <w:r>
        <w:t xml:space="preserve"> </w:t>
      </w:r>
      <w:r w:rsidRPr="002B3AC2">
        <w:t>interview</w:t>
      </w:r>
      <w:r>
        <w:t>s (CAPIs)</w:t>
      </w:r>
      <w:r w:rsidRPr="00EE3F36">
        <w:t xml:space="preserve"> </w:t>
      </w:r>
      <w:r>
        <w:t>with</w:t>
      </w:r>
      <w:r w:rsidRPr="00EE3F36">
        <w:t xml:space="preserve"> adults aged 15</w:t>
      </w:r>
      <w:r w:rsidR="006C698E">
        <w:t> </w:t>
      </w:r>
      <w:r w:rsidRPr="00EE3F36">
        <w:t>years and older a</w:t>
      </w:r>
      <w:r>
        <w:t>nd</w:t>
      </w:r>
      <w:r w:rsidRPr="00EE3F36">
        <w:t xml:space="preserve"> children aged 0</w:t>
      </w:r>
      <w:r>
        <w:t>–</w:t>
      </w:r>
      <w:r w:rsidRPr="00EE3F36">
        <w:t xml:space="preserve">14 years, </w:t>
      </w:r>
      <w:r>
        <w:t xml:space="preserve">the latter </w:t>
      </w:r>
      <w:r w:rsidRPr="00EE3F36">
        <w:t xml:space="preserve">through </w:t>
      </w:r>
      <w:r>
        <w:t>a</w:t>
      </w:r>
      <w:r w:rsidRPr="00EE3F36">
        <w:t xml:space="preserve"> p</w:t>
      </w:r>
      <w:r>
        <w:t xml:space="preserve">arent or legal guardian, </w:t>
      </w:r>
      <w:r w:rsidRPr="00EE3F36">
        <w:t>who acts as a proxy</w:t>
      </w:r>
      <w:r>
        <w:t xml:space="preserve"> </w:t>
      </w:r>
      <w:r w:rsidRPr="00EE3F36">
        <w:t>respondent.</w:t>
      </w:r>
    </w:p>
    <w:p w:rsidR="00F44703" w:rsidRDefault="00F44703" w:rsidP="006C698E"/>
    <w:p w:rsidR="00F44703" w:rsidRDefault="00F44703" w:rsidP="006C698E">
      <w:r w:rsidRPr="00880D5C">
        <w:t xml:space="preserve">The objectives and topic areas for the NZHS are summarised in </w:t>
      </w:r>
      <w:r>
        <w:rPr>
          <w:i/>
        </w:rPr>
        <w:t xml:space="preserve">The New Zealand Health Survey: Objectives and topic areas August 2010 </w:t>
      </w:r>
      <w:r>
        <w:t xml:space="preserve">(Ministry of Health 2010). The survey comprises a set of core questions that are always asked and a flexible programme of rotating topic modules, which change </w:t>
      </w:r>
      <w:proofErr w:type="gramStart"/>
      <w:r>
        <w:t>every  or</w:t>
      </w:r>
      <w:proofErr w:type="gramEnd"/>
      <w:r>
        <w:t xml:space="preserve"> 12 months.</w:t>
      </w:r>
    </w:p>
    <w:p w:rsidR="00F44703" w:rsidRDefault="00F44703" w:rsidP="006C698E"/>
    <w:p w:rsidR="003B49E1" w:rsidRDefault="00F44703" w:rsidP="006C698E">
      <w:r>
        <w:t xml:space="preserve">Details of the current survey questionnaire can be found in the </w:t>
      </w:r>
      <w:r w:rsidRPr="00554F21">
        <w:rPr>
          <w:i/>
        </w:rPr>
        <w:t>Content Guide 2015/16</w:t>
      </w:r>
      <w:r>
        <w:t xml:space="preserve"> (Ministry of Health </w:t>
      </w:r>
      <w:r w:rsidR="008D7D15">
        <w:t>2016</w:t>
      </w:r>
      <w:r>
        <w:t xml:space="preserve">). </w:t>
      </w:r>
      <w:r w:rsidRPr="00156FAE">
        <w:t>I</w:t>
      </w:r>
      <w:r>
        <w:t>n</w:t>
      </w:r>
      <w:r w:rsidRPr="00156FAE">
        <w:t xml:space="preserve"> addition</w:t>
      </w:r>
      <w:r>
        <w:t xml:space="preserve"> </w:t>
      </w:r>
      <w:r w:rsidRPr="00156FAE">
        <w:t>to the questionnaire</w:t>
      </w:r>
      <w:r>
        <w:t>,</w:t>
      </w:r>
      <w:r w:rsidRPr="00156FAE">
        <w:t xml:space="preserve"> the survey includes a </w:t>
      </w:r>
      <w:r>
        <w:t xml:space="preserve">range of </w:t>
      </w:r>
      <w:r w:rsidRPr="00156FAE">
        <w:t xml:space="preserve">objective </w:t>
      </w:r>
      <w:r>
        <w:t>tests,</w:t>
      </w:r>
      <w:r w:rsidRPr="00156FAE">
        <w:t xml:space="preserve"> </w:t>
      </w:r>
      <w:r>
        <w:t xml:space="preserve">which currently measure </w:t>
      </w:r>
      <w:r w:rsidRPr="00156FAE">
        <w:t>height</w:t>
      </w:r>
      <w:r>
        <w:t xml:space="preserve">, </w:t>
      </w:r>
      <w:r w:rsidRPr="00156FAE">
        <w:t>weight</w:t>
      </w:r>
      <w:r>
        <w:t xml:space="preserve"> and blood pressure.</w:t>
      </w:r>
    </w:p>
    <w:p w:rsidR="00F44703" w:rsidRDefault="00F44703" w:rsidP="006C698E"/>
    <w:p w:rsidR="003B49E1" w:rsidRDefault="00F44703" w:rsidP="006C698E">
      <w:r>
        <w:t>T</w:t>
      </w:r>
      <w:r w:rsidRPr="00360546">
        <w:t>h</w:t>
      </w:r>
      <w:r>
        <w:t xml:space="preserve">e use of a continuous survey with core and module questions </w:t>
      </w:r>
      <w:r w:rsidRPr="00360546">
        <w:t xml:space="preserve">allows </w:t>
      </w:r>
      <w:r>
        <w:t xml:space="preserve">content to be more flexible </w:t>
      </w:r>
      <w:r w:rsidRPr="00360546">
        <w:t xml:space="preserve">and </w:t>
      </w:r>
      <w:r>
        <w:t xml:space="preserve">information to be updated </w:t>
      </w:r>
      <w:r w:rsidRPr="00360546">
        <w:t>more frequent</w:t>
      </w:r>
      <w:r>
        <w:t>ly</w:t>
      </w:r>
      <w:r w:rsidRPr="00360546">
        <w:t xml:space="preserve">. The ability to add survey questions on a range of topics of emerging policy interest and to monitor outcomes before and after </w:t>
      </w:r>
      <w:r>
        <w:t xml:space="preserve">different </w:t>
      </w:r>
      <w:r w:rsidRPr="00360546">
        <w:t>period</w:t>
      </w:r>
      <w:r>
        <w:t>s</w:t>
      </w:r>
      <w:r w:rsidRPr="00360546">
        <w:t xml:space="preserve"> enhance</w:t>
      </w:r>
      <w:r>
        <w:t>s</w:t>
      </w:r>
      <w:r w:rsidRPr="00360546">
        <w:t xml:space="preserve"> the survey</w:t>
      </w:r>
      <w:r w:rsidR="003B49E1">
        <w:t>’</w:t>
      </w:r>
      <w:r w:rsidRPr="00360546">
        <w:t>s contribution to the evidence base for health policy.</w:t>
      </w:r>
    </w:p>
    <w:p w:rsidR="00F44703" w:rsidRDefault="00F44703" w:rsidP="006C698E"/>
    <w:p w:rsidR="00F44703" w:rsidRPr="00F7619F" w:rsidRDefault="00F47721" w:rsidP="006C698E">
      <w:pPr>
        <w:pStyle w:val="Heading2"/>
      </w:pPr>
      <w:bookmarkStart w:id="8" w:name="_Toc468183652"/>
      <w:r>
        <w:t>1.3</w:t>
      </w:r>
      <w:r>
        <w:tab/>
      </w:r>
      <w:r w:rsidR="00F44703" w:rsidRPr="00F7619F">
        <w:t>Reporting</w:t>
      </w:r>
      <w:bookmarkEnd w:id="8"/>
    </w:p>
    <w:p w:rsidR="00F44703" w:rsidRDefault="00F44703" w:rsidP="006C698E">
      <w:r>
        <w:t>Since 2011/12, key health indicators have been</w:t>
      </w:r>
      <w:r w:rsidRPr="00FB60E8">
        <w:t xml:space="preserve"> compiled using </w:t>
      </w:r>
      <w:r>
        <w:t xml:space="preserve">annual NZHS </w:t>
      </w:r>
      <w:r w:rsidRPr="00FB60E8">
        <w:t>data</w:t>
      </w:r>
      <w:r>
        <w:t xml:space="preserve">. Regional and DHB statistics have also been produced by pooling data from up to three years of the survey to improve the range and statistical quality of analyses that can be undertaken at that level. Pooling annual data </w:t>
      </w:r>
      <w:r w:rsidRPr="007B311E">
        <w:t xml:space="preserve">sets </w:t>
      </w:r>
      <w:r>
        <w:t xml:space="preserve">can also </w:t>
      </w:r>
      <w:r w:rsidRPr="007B311E">
        <w:t>improve the statistical precision of estimates for Māori and ethnic minorities (including Pacific and Asian ethnic groups).</w:t>
      </w:r>
    </w:p>
    <w:p w:rsidR="00F44703" w:rsidRDefault="00F44703" w:rsidP="006C698E"/>
    <w:p w:rsidR="00F44703" w:rsidRPr="00D27EEB" w:rsidRDefault="00F44703" w:rsidP="006C698E">
      <w:pPr>
        <w:pStyle w:val="Heading1"/>
      </w:pPr>
      <w:bookmarkStart w:id="9" w:name="_Toc304976448"/>
      <w:bookmarkStart w:id="10" w:name="_Toc306260969"/>
      <w:bookmarkStart w:id="11" w:name="_Toc465920527"/>
      <w:bookmarkStart w:id="12" w:name="_Toc465924277"/>
      <w:bookmarkStart w:id="13" w:name="_Toc467672154"/>
      <w:bookmarkStart w:id="14" w:name="_Toc468183653"/>
      <w:r w:rsidRPr="00D27EEB">
        <w:lastRenderedPageBreak/>
        <w:t>2</w:t>
      </w:r>
      <w:r>
        <w:tab/>
        <w:t xml:space="preserve">Sample design </w:t>
      </w:r>
      <w:bookmarkEnd w:id="9"/>
      <w:bookmarkEnd w:id="10"/>
      <w:r>
        <w:t>objectives</w:t>
      </w:r>
      <w:bookmarkEnd w:id="11"/>
      <w:bookmarkEnd w:id="12"/>
      <w:bookmarkEnd w:id="13"/>
      <w:bookmarkEnd w:id="14"/>
    </w:p>
    <w:p w:rsidR="00F44703" w:rsidRDefault="00F44703" w:rsidP="006C698E">
      <w:r w:rsidRPr="001F1DC1">
        <w:t>The main o</w:t>
      </w:r>
      <w:r>
        <w:t>bjectives of the sample design a</w:t>
      </w:r>
      <w:r w:rsidRPr="00B46A63">
        <w:t>re</w:t>
      </w:r>
      <w:r>
        <w:t xml:space="preserve"> to</w:t>
      </w:r>
      <w:r w:rsidRPr="00B46A63">
        <w:t>:</w:t>
      </w:r>
    </w:p>
    <w:p w:rsidR="00F44703" w:rsidRDefault="00F44703" w:rsidP="006C698E">
      <w:pPr>
        <w:pStyle w:val="Bullet"/>
      </w:pPr>
      <w:r>
        <w:t>provide e</w:t>
      </w:r>
      <w:r w:rsidRPr="001F1DC1">
        <w:t>st</w:t>
      </w:r>
      <w:r>
        <w:t>imates for a</w:t>
      </w:r>
      <w:r w:rsidRPr="001F1DC1">
        <w:t xml:space="preserve"> range of </w:t>
      </w:r>
      <w:proofErr w:type="spellStart"/>
      <w:r w:rsidRPr="001F1DC1">
        <w:t>prevalences</w:t>
      </w:r>
      <w:proofErr w:type="spellEnd"/>
      <w:r>
        <w:t xml:space="preserve">, including </w:t>
      </w:r>
      <w:r w:rsidRPr="001F1DC1">
        <w:t>health behaviours and health conditions</w:t>
      </w:r>
    </w:p>
    <w:p w:rsidR="00F44703" w:rsidRDefault="00F44703" w:rsidP="006C698E">
      <w:pPr>
        <w:pStyle w:val="Bullet"/>
      </w:pPr>
      <w:r>
        <w:t>provide e</w:t>
      </w:r>
      <w:r w:rsidRPr="001F1DC1">
        <w:t>st</w:t>
      </w:r>
      <w:r>
        <w:t>imates for children and adults</w:t>
      </w:r>
    </w:p>
    <w:p w:rsidR="00F44703" w:rsidRDefault="00F44703" w:rsidP="006C698E">
      <w:pPr>
        <w:pStyle w:val="Bullet"/>
      </w:pPr>
      <w:r>
        <w:t>provide e</w:t>
      </w:r>
      <w:r w:rsidRPr="001F1DC1">
        <w:t>st</w:t>
      </w:r>
      <w:r>
        <w:t>imates by ethnic group</w:t>
      </w:r>
    </w:p>
    <w:p w:rsidR="00F44703" w:rsidRDefault="00F44703" w:rsidP="006C698E">
      <w:pPr>
        <w:pStyle w:val="Bullet"/>
      </w:pPr>
      <w:r>
        <w:t>provide e</w:t>
      </w:r>
      <w:r w:rsidRPr="001F1DC1">
        <w:t>st</w:t>
      </w:r>
      <w:r>
        <w:t xml:space="preserve">imates by geographical region, </w:t>
      </w:r>
      <w:r w:rsidRPr="001F1DC1">
        <w:t xml:space="preserve">including </w:t>
      </w:r>
      <w:r>
        <w:t>DHB regions, with</w:t>
      </w:r>
      <w:r w:rsidRPr="001F1DC1">
        <w:t xml:space="preserve"> age, sex and ethnicity breakdowns where feasible</w:t>
      </w:r>
    </w:p>
    <w:p w:rsidR="00F44703" w:rsidRPr="001F1DC1" w:rsidRDefault="00F44703" w:rsidP="006C698E">
      <w:pPr>
        <w:pStyle w:val="Bullet"/>
      </w:pPr>
      <w:proofErr w:type="gramStart"/>
      <w:r w:rsidRPr="001F1DC1">
        <w:t>support</w:t>
      </w:r>
      <w:proofErr w:type="gramEnd"/>
      <w:r w:rsidRPr="001F1DC1">
        <w:t xml:space="preserve"> analysis of the survey </w:t>
      </w:r>
      <w:r>
        <w:t>data by multiple users.</w:t>
      </w:r>
    </w:p>
    <w:p w:rsidR="00F44703" w:rsidRDefault="00F44703" w:rsidP="006C698E"/>
    <w:p w:rsidR="003B49E1" w:rsidRDefault="00F44703" w:rsidP="006C698E">
      <w:r>
        <w:t>The objective of providing reasonable e</w:t>
      </w:r>
      <w:r w:rsidRPr="001F1DC1">
        <w:t xml:space="preserve">stimates </w:t>
      </w:r>
      <w:r>
        <w:t>for</w:t>
      </w:r>
      <w:r w:rsidRPr="001F1DC1">
        <w:t xml:space="preserve"> </w:t>
      </w:r>
      <w:r>
        <w:t xml:space="preserve">Māori, Pacific and Asian ethnic groups is a particular priority. These groups are a minority of the population, and would have only a small sample size if a </w:t>
      </w:r>
      <w:r w:rsidRPr="001F1DC1">
        <w:t>typical multi-stage area-based</w:t>
      </w:r>
      <w:r>
        <w:t xml:space="preserve"> sample design were used, leading to inadequate precision for statistics for these groups. As a result, the main focus of the sample design is to ensure </w:t>
      </w:r>
      <w:r w:rsidRPr="001F1DC1">
        <w:t>adequate estimates f</w:t>
      </w:r>
      <w:r>
        <w:t>or</w:t>
      </w:r>
      <w:r w:rsidRPr="001F1DC1">
        <w:t xml:space="preserve"> these subpopulations while preserving reasonable preci</w:t>
      </w:r>
      <w:r>
        <w:t>sion at the national level.</w:t>
      </w:r>
    </w:p>
    <w:p w:rsidR="00F44703" w:rsidRDefault="00F44703" w:rsidP="006C698E"/>
    <w:p w:rsidR="00F44703" w:rsidRDefault="00F44703" w:rsidP="006C698E">
      <w:r>
        <w:t>In order to boost the Māori sample size, a dual-frame approach is used. This combines an</w:t>
      </w:r>
      <w:r w:rsidRPr="001F1DC1">
        <w:t xml:space="preserve"> area-based s</w:t>
      </w:r>
      <w:r>
        <w:t xml:space="preserve">ample from New Zealand as a whole </w:t>
      </w:r>
      <w:r w:rsidRPr="001F1DC1">
        <w:t>with a list-ba</w:t>
      </w:r>
      <w:r>
        <w:t>sed sample of addresses from the e</w:t>
      </w:r>
      <w:r w:rsidRPr="001F1DC1">
        <w:t>lec</w:t>
      </w:r>
      <w:r>
        <w:t>toral r</w:t>
      </w:r>
      <w:r w:rsidRPr="001F1DC1">
        <w:t>oll</w:t>
      </w:r>
      <w:r>
        <w:t>. In addition, the area-based sample ha</w:t>
      </w:r>
      <w:r w:rsidRPr="00B46A63">
        <w:t>s</w:t>
      </w:r>
      <w:r>
        <w:t xml:space="preserve"> been</w:t>
      </w:r>
      <w:r w:rsidRPr="001F1DC1">
        <w:t xml:space="preserve"> targeted </w:t>
      </w:r>
      <w:r>
        <w:t>at</w:t>
      </w:r>
      <w:r w:rsidRPr="001F1DC1">
        <w:t xml:space="preserve"> the </w:t>
      </w:r>
      <w:r>
        <w:t>ethnic groups</w:t>
      </w:r>
      <w:r w:rsidRPr="001F1DC1">
        <w:t xml:space="preserve"> of interest by assigning higher probabilities of selection to </w:t>
      </w:r>
      <w:r>
        <w:t>PSUs</w:t>
      </w:r>
      <w:r w:rsidRPr="001F1DC1">
        <w:t xml:space="preserve"> </w:t>
      </w:r>
      <w:r>
        <w:t>that are known to have</w:t>
      </w:r>
      <w:r w:rsidRPr="001F1DC1">
        <w:t xml:space="preserve"> higher concentrations of these groups.</w:t>
      </w:r>
    </w:p>
    <w:p w:rsidR="00F44703" w:rsidRDefault="00F44703" w:rsidP="006C698E"/>
    <w:p w:rsidR="00F44703" w:rsidRDefault="00F44703" w:rsidP="006C698E">
      <w:r>
        <w:t xml:space="preserve">A different approach was used in the 2006/07 survey. For that survey, a subset of the selected households was designated as an ethnic </w:t>
      </w:r>
      <w:r w:rsidR="003B49E1">
        <w:t>‘</w:t>
      </w:r>
      <w:r>
        <w:t>oversample</w:t>
      </w:r>
      <w:r w:rsidR="003B49E1">
        <w:t>’</w:t>
      </w:r>
      <w:r>
        <w:t xml:space="preserve">, which meant that only residents who were identified as </w:t>
      </w:r>
      <w:r w:rsidRPr="007C0877">
        <w:t>Māori, Pacific or Asian</w:t>
      </w:r>
      <w:r>
        <w:t xml:space="preserve"> through a doorstep screening process could be selected. This kind of screening has not been used in the continuous NZHS from 2011 because it was felt that asking </w:t>
      </w:r>
      <w:r w:rsidRPr="00115B0E">
        <w:t>the initial contact</w:t>
      </w:r>
      <w:r>
        <w:t xml:space="preserve"> to report on the ethnicity of all household members might </w:t>
      </w:r>
      <w:r w:rsidRPr="00115B0E">
        <w:t>create a barrier to people</w:t>
      </w:r>
      <w:r w:rsidR="003B49E1">
        <w:t>’</w:t>
      </w:r>
      <w:r w:rsidRPr="00115B0E">
        <w:t>s participation in the survey</w:t>
      </w:r>
      <w:r>
        <w:t xml:space="preserve">. Moreover, this type of screening is not always reliable, particularly for the </w:t>
      </w:r>
      <w:r w:rsidRPr="007C0877">
        <w:t>Māori</w:t>
      </w:r>
      <w:r>
        <w:t xml:space="preserve"> population, of whom about 20 percent are not identified by the approach.</w:t>
      </w:r>
    </w:p>
    <w:p w:rsidR="00F44703" w:rsidRDefault="00F44703" w:rsidP="006C698E"/>
    <w:p w:rsidR="00F44703" w:rsidRPr="007C0877" w:rsidRDefault="00F44703" w:rsidP="006C698E">
      <w:pPr>
        <w:pStyle w:val="Heading1"/>
      </w:pPr>
      <w:bookmarkStart w:id="15" w:name="_Toc304976449"/>
      <w:bookmarkStart w:id="16" w:name="_Toc306260970"/>
      <w:bookmarkStart w:id="17" w:name="_Toc465920528"/>
      <w:bookmarkStart w:id="18" w:name="_Toc465924278"/>
      <w:bookmarkStart w:id="19" w:name="_Toc467672155"/>
      <w:bookmarkStart w:id="20" w:name="_Toc468183654"/>
      <w:r>
        <w:lastRenderedPageBreak/>
        <w:t>3</w:t>
      </w:r>
      <w:r>
        <w:tab/>
        <w:t xml:space="preserve">Determining sample </w:t>
      </w:r>
      <w:bookmarkEnd w:id="15"/>
      <w:bookmarkEnd w:id="16"/>
      <w:r>
        <w:t>size</w:t>
      </w:r>
      <w:bookmarkEnd w:id="17"/>
      <w:bookmarkEnd w:id="18"/>
      <w:bookmarkEnd w:id="19"/>
      <w:bookmarkEnd w:id="20"/>
    </w:p>
    <w:p w:rsidR="003B49E1" w:rsidRDefault="00F44703" w:rsidP="006C698E">
      <w:r>
        <w:t>The sample size was set to approximately 14,000 adults and 5000 children when the NZHS became a continuously operating survey in 2011. These sample sizes were based on both the budget available and an assessment of the required precision for annual levels and changes in key national and Māori indicators.</w:t>
      </w:r>
    </w:p>
    <w:p w:rsidR="00F44703" w:rsidRDefault="00F44703" w:rsidP="006C698E"/>
    <w:p w:rsidR="00F44703" w:rsidRDefault="00F44703" w:rsidP="006C698E">
      <w:r>
        <w:t>The NZHS sample size is more than adequate for sufficiently precise national and Māori indicators. However, the survey is used for more than just national indicators, and comparisons between subgroups are important outputs. We find that for understanding differences and inequalities within New Zealand, the current sample size supports some comparisons of interest but not others. The current sample size remains a reasonable compromise between the budget available and survey users</w:t>
      </w:r>
      <w:r w:rsidR="003B49E1">
        <w:t>’</w:t>
      </w:r>
      <w:r>
        <w:t xml:space="preserve"> requirements.</w:t>
      </w:r>
    </w:p>
    <w:p w:rsidR="00F44703" w:rsidRDefault="00F44703" w:rsidP="006C698E"/>
    <w:p w:rsidR="00F44703" w:rsidRPr="000B46A2" w:rsidRDefault="00F44703" w:rsidP="006C698E">
      <w:r>
        <w:t xml:space="preserve">Table 1 summarises the precision of the national indicators. The table shows estimated </w:t>
      </w:r>
      <w:proofErr w:type="spellStart"/>
      <w:r>
        <w:t>prevalences</w:t>
      </w:r>
      <w:proofErr w:type="spellEnd"/>
      <w:r>
        <w:t xml:space="preserve"> and standard errors for annual level and movement estimates for some of the most important national adult indicators. Statistics for these indicators are published in the annual Tier 1 report.</w:t>
      </w:r>
    </w:p>
    <w:p w:rsidR="00F44703" w:rsidRPr="000B46A2" w:rsidRDefault="00F44703" w:rsidP="006C698E"/>
    <w:p w:rsidR="00F44703" w:rsidRPr="000F1107" w:rsidRDefault="00F44703" w:rsidP="006C698E">
      <w:pPr>
        <w:pStyle w:val="Table"/>
      </w:pPr>
      <w:bookmarkStart w:id="21" w:name="_Ref304978278"/>
      <w:bookmarkStart w:id="22" w:name="_Toc467672198"/>
      <w:bookmarkStart w:id="23" w:name="_Toc467700414"/>
      <w:r w:rsidRPr="00CE4B7F">
        <w:t xml:space="preserve">Table </w:t>
      </w:r>
      <w:fldSimple w:instr=" SEQ Table \* ARABIC ">
        <w:r w:rsidR="00FA14BF">
          <w:rPr>
            <w:noProof/>
          </w:rPr>
          <w:t>1</w:t>
        </w:r>
      </w:fldSimple>
      <w:bookmarkEnd w:id="21"/>
      <w:r w:rsidRPr="00CE4B7F">
        <w:t>:</w:t>
      </w:r>
      <w:r w:rsidR="006C698E">
        <w:t xml:space="preserve"> </w:t>
      </w:r>
      <w:r>
        <w:t xml:space="preserve">Achieved standard errors for the 2014/15 year national </w:t>
      </w:r>
      <w:proofErr w:type="spellStart"/>
      <w:r>
        <w:t>prevalences</w:t>
      </w:r>
      <w:proofErr w:type="spellEnd"/>
      <w:r>
        <w:t xml:space="preserve"> and annual changes from 2013/14 to 2014/15</w:t>
      </w:r>
      <w:bookmarkEnd w:id="22"/>
      <w:bookmarkEnd w:id="23"/>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686"/>
        <w:gridCol w:w="1276"/>
        <w:gridCol w:w="1701"/>
        <w:gridCol w:w="2693"/>
      </w:tblGrid>
      <w:tr w:rsidR="006C698E" w:rsidRPr="006C698E" w:rsidTr="006E1FC2">
        <w:trPr>
          <w:cantSplit/>
        </w:trPr>
        <w:tc>
          <w:tcPr>
            <w:tcW w:w="3686" w:type="dxa"/>
            <w:vMerge w:val="restart"/>
            <w:tcBorders>
              <w:left w:val="nil"/>
              <w:right w:val="nil"/>
            </w:tcBorders>
          </w:tcPr>
          <w:p w:rsidR="006C698E" w:rsidRPr="006C698E" w:rsidRDefault="006C698E" w:rsidP="006C698E">
            <w:pPr>
              <w:pStyle w:val="TableText"/>
              <w:rPr>
                <w:b/>
              </w:rPr>
            </w:pPr>
            <w:r w:rsidRPr="006C698E">
              <w:rPr>
                <w:b/>
              </w:rPr>
              <w:t>Indicator</w:t>
            </w:r>
          </w:p>
        </w:tc>
        <w:tc>
          <w:tcPr>
            <w:tcW w:w="1276" w:type="dxa"/>
            <w:vMerge w:val="restart"/>
            <w:tcBorders>
              <w:left w:val="nil"/>
              <w:right w:val="nil"/>
            </w:tcBorders>
          </w:tcPr>
          <w:p w:rsidR="006C698E" w:rsidRPr="006C698E" w:rsidRDefault="006C698E" w:rsidP="006C698E">
            <w:pPr>
              <w:pStyle w:val="TableText"/>
              <w:jc w:val="center"/>
              <w:rPr>
                <w:b/>
              </w:rPr>
            </w:pPr>
            <w:r w:rsidRPr="006C698E">
              <w:rPr>
                <w:b/>
              </w:rPr>
              <w:t>2014/15 year prevalence (%)</w:t>
            </w:r>
          </w:p>
        </w:tc>
        <w:tc>
          <w:tcPr>
            <w:tcW w:w="4394" w:type="dxa"/>
            <w:gridSpan w:val="2"/>
            <w:tcBorders>
              <w:left w:val="nil"/>
              <w:bottom w:val="single" w:sz="4" w:space="0" w:color="A6A6A6" w:themeColor="background1" w:themeShade="A6"/>
              <w:right w:val="nil"/>
            </w:tcBorders>
          </w:tcPr>
          <w:p w:rsidR="006C698E" w:rsidRPr="006C698E" w:rsidRDefault="006C698E" w:rsidP="006C698E">
            <w:pPr>
              <w:pStyle w:val="TableText"/>
              <w:jc w:val="center"/>
              <w:rPr>
                <w:b/>
              </w:rPr>
            </w:pPr>
            <w:r w:rsidRPr="006C698E">
              <w:rPr>
                <w:b/>
              </w:rPr>
              <w:t>Standard errors (%)</w:t>
            </w:r>
          </w:p>
        </w:tc>
      </w:tr>
      <w:tr w:rsidR="006C698E" w:rsidRPr="006C698E" w:rsidTr="006E1FC2">
        <w:trPr>
          <w:cantSplit/>
        </w:trPr>
        <w:tc>
          <w:tcPr>
            <w:tcW w:w="3686" w:type="dxa"/>
            <w:vMerge/>
            <w:tcBorders>
              <w:left w:val="nil"/>
              <w:bottom w:val="single" w:sz="4" w:space="0" w:color="auto"/>
              <w:right w:val="nil"/>
            </w:tcBorders>
          </w:tcPr>
          <w:p w:rsidR="006C698E" w:rsidRPr="006C698E" w:rsidRDefault="006C698E" w:rsidP="006C698E">
            <w:pPr>
              <w:pStyle w:val="TableText"/>
              <w:rPr>
                <w:b/>
              </w:rPr>
            </w:pPr>
          </w:p>
        </w:tc>
        <w:tc>
          <w:tcPr>
            <w:tcW w:w="1276" w:type="dxa"/>
            <w:vMerge/>
            <w:tcBorders>
              <w:left w:val="nil"/>
              <w:bottom w:val="single" w:sz="4" w:space="0" w:color="auto"/>
              <w:right w:val="nil"/>
            </w:tcBorders>
          </w:tcPr>
          <w:p w:rsidR="006C698E" w:rsidRPr="006C698E" w:rsidDel="008B6DFE" w:rsidRDefault="006C698E" w:rsidP="006C698E">
            <w:pPr>
              <w:pStyle w:val="TableText"/>
              <w:rPr>
                <w:b/>
              </w:rPr>
            </w:pPr>
          </w:p>
        </w:tc>
        <w:tc>
          <w:tcPr>
            <w:tcW w:w="1701" w:type="dxa"/>
            <w:tcBorders>
              <w:top w:val="single" w:sz="4" w:space="0" w:color="A6A6A6" w:themeColor="background1" w:themeShade="A6"/>
              <w:left w:val="nil"/>
              <w:bottom w:val="single" w:sz="4" w:space="0" w:color="auto"/>
              <w:right w:val="nil"/>
            </w:tcBorders>
          </w:tcPr>
          <w:p w:rsidR="006C698E" w:rsidRPr="006C698E" w:rsidRDefault="006C698E" w:rsidP="006C698E">
            <w:pPr>
              <w:pStyle w:val="TableText"/>
              <w:jc w:val="center"/>
              <w:rPr>
                <w:b/>
              </w:rPr>
            </w:pPr>
            <w:r w:rsidRPr="006C698E">
              <w:rPr>
                <w:b/>
              </w:rPr>
              <w:t>2014/15 year</w:t>
            </w:r>
          </w:p>
        </w:tc>
        <w:tc>
          <w:tcPr>
            <w:tcW w:w="2693" w:type="dxa"/>
            <w:tcBorders>
              <w:top w:val="single" w:sz="4" w:space="0" w:color="A6A6A6" w:themeColor="background1" w:themeShade="A6"/>
              <w:left w:val="nil"/>
              <w:bottom w:val="single" w:sz="4" w:space="0" w:color="auto"/>
              <w:right w:val="nil"/>
            </w:tcBorders>
          </w:tcPr>
          <w:p w:rsidR="006C698E" w:rsidRPr="006C698E" w:rsidDel="008B6DFE" w:rsidRDefault="006C698E" w:rsidP="006C698E">
            <w:pPr>
              <w:pStyle w:val="TableText"/>
              <w:jc w:val="center"/>
              <w:rPr>
                <w:b/>
              </w:rPr>
            </w:pPr>
            <w:r>
              <w:rPr>
                <w:b/>
              </w:rPr>
              <w:t>C</w:t>
            </w:r>
            <w:r w:rsidRPr="006C698E">
              <w:rPr>
                <w:b/>
              </w:rPr>
              <w:t>hange from 2013/14 to 2014/15</w:t>
            </w:r>
          </w:p>
        </w:tc>
      </w:tr>
      <w:tr w:rsidR="00F44703" w:rsidRPr="006D5FE2" w:rsidTr="006E1FC2">
        <w:trPr>
          <w:cantSplit/>
        </w:trPr>
        <w:tc>
          <w:tcPr>
            <w:tcW w:w="3686" w:type="dxa"/>
            <w:tcBorders>
              <w:top w:val="single" w:sz="4" w:space="0" w:color="auto"/>
              <w:left w:val="nil"/>
              <w:bottom w:val="single" w:sz="4" w:space="0" w:color="A6A6A6" w:themeColor="background1" w:themeShade="A6"/>
              <w:right w:val="nil"/>
            </w:tcBorders>
          </w:tcPr>
          <w:p w:rsidR="00F44703" w:rsidRPr="00DC3B35" w:rsidRDefault="00F44703" w:rsidP="006C698E">
            <w:pPr>
              <w:pStyle w:val="TableText"/>
            </w:pPr>
            <w:r w:rsidRPr="00DC3B35">
              <w:t>Poor or very poor self-assessed health</w:t>
            </w:r>
          </w:p>
        </w:tc>
        <w:tc>
          <w:tcPr>
            <w:tcW w:w="1276" w:type="dxa"/>
            <w:tcBorders>
              <w:top w:val="single" w:sz="4" w:space="0" w:color="auto"/>
              <w:left w:val="nil"/>
              <w:bottom w:val="single" w:sz="4" w:space="0" w:color="A6A6A6" w:themeColor="background1" w:themeShade="A6"/>
              <w:right w:val="nil"/>
            </w:tcBorders>
          </w:tcPr>
          <w:p w:rsidR="00F44703" w:rsidRPr="00DC3B35" w:rsidRDefault="00F44703" w:rsidP="006E1FC2">
            <w:pPr>
              <w:pStyle w:val="TableText"/>
              <w:tabs>
                <w:tab w:val="decimal" w:pos="567"/>
              </w:tabs>
            </w:pPr>
            <w:r w:rsidRPr="005F010C">
              <w:t>10.7</w:t>
            </w:r>
          </w:p>
        </w:tc>
        <w:tc>
          <w:tcPr>
            <w:tcW w:w="1701" w:type="dxa"/>
            <w:tcBorders>
              <w:top w:val="single" w:sz="4" w:space="0" w:color="auto"/>
              <w:left w:val="nil"/>
              <w:bottom w:val="single" w:sz="4" w:space="0" w:color="A6A6A6" w:themeColor="background1" w:themeShade="A6"/>
              <w:right w:val="nil"/>
            </w:tcBorders>
          </w:tcPr>
          <w:p w:rsidR="00F44703" w:rsidRPr="00071994" w:rsidRDefault="00F44703" w:rsidP="006E1FC2">
            <w:pPr>
              <w:pStyle w:val="TableText"/>
              <w:jc w:val="center"/>
            </w:pPr>
            <w:r w:rsidRPr="00F7619F">
              <w:t>0.44</w:t>
            </w:r>
          </w:p>
        </w:tc>
        <w:tc>
          <w:tcPr>
            <w:tcW w:w="2693" w:type="dxa"/>
            <w:tcBorders>
              <w:top w:val="single" w:sz="4" w:space="0" w:color="auto"/>
              <w:left w:val="nil"/>
              <w:bottom w:val="single" w:sz="4" w:space="0" w:color="A6A6A6" w:themeColor="background1" w:themeShade="A6"/>
              <w:right w:val="nil"/>
            </w:tcBorders>
          </w:tcPr>
          <w:p w:rsidR="00F44703" w:rsidRPr="00071994" w:rsidRDefault="00F44703" w:rsidP="006E1FC2">
            <w:pPr>
              <w:pStyle w:val="TableText"/>
              <w:jc w:val="center"/>
            </w:pPr>
            <w:r w:rsidRPr="00F7619F">
              <w:t>0.56</w:t>
            </w:r>
          </w:p>
        </w:tc>
      </w:tr>
      <w:tr w:rsidR="00F44703" w:rsidRPr="006D5FE2" w:rsidTr="006E1FC2">
        <w:trPr>
          <w:cantSplit/>
        </w:trPr>
        <w:tc>
          <w:tcPr>
            <w:tcW w:w="368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C698E">
            <w:pPr>
              <w:pStyle w:val="TableText"/>
            </w:pPr>
            <w:r w:rsidRPr="00DC3B35">
              <w:t>Current smoking</w:t>
            </w:r>
          </w:p>
        </w:tc>
        <w:tc>
          <w:tcPr>
            <w:tcW w:w="127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tabs>
                <w:tab w:val="decimal" w:pos="567"/>
              </w:tabs>
            </w:pPr>
            <w:r w:rsidRPr="005F010C">
              <w:t>16.4</w:t>
            </w:r>
          </w:p>
        </w:tc>
        <w:tc>
          <w:tcPr>
            <w:tcW w:w="1701" w:type="dxa"/>
            <w:tcBorders>
              <w:top w:val="single" w:sz="4" w:space="0" w:color="A6A6A6" w:themeColor="background1" w:themeShade="A6"/>
              <w:left w:val="nil"/>
              <w:bottom w:val="single" w:sz="4" w:space="0" w:color="A6A6A6" w:themeColor="background1" w:themeShade="A6"/>
              <w:right w:val="nil"/>
            </w:tcBorders>
          </w:tcPr>
          <w:p w:rsidR="00F44703" w:rsidRPr="00071994" w:rsidRDefault="00F44703" w:rsidP="006E1FC2">
            <w:pPr>
              <w:pStyle w:val="TableText"/>
              <w:jc w:val="center"/>
            </w:pPr>
            <w:r w:rsidRPr="00F7619F">
              <w:t>0.38</w:t>
            </w:r>
          </w:p>
        </w:tc>
        <w:tc>
          <w:tcPr>
            <w:tcW w:w="2693" w:type="dxa"/>
            <w:tcBorders>
              <w:top w:val="single" w:sz="4" w:space="0" w:color="A6A6A6" w:themeColor="background1" w:themeShade="A6"/>
              <w:left w:val="nil"/>
              <w:bottom w:val="single" w:sz="4" w:space="0" w:color="A6A6A6" w:themeColor="background1" w:themeShade="A6"/>
              <w:right w:val="nil"/>
            </w:tcBorders>
          </w:tcPr>
          <w:p w:rsidR="00F44703" w:rsidRPr="00071994" w:rsidRDefault="00F44703" w:rsidP="006E1FC2">
            <w:pPr>
              <w:pStyle w:val="TableText"/>
              <w:jc w:val="center"/>
            </w:pPr>
            <w:r w:rsidRPr="00F7619F">
              <w:t>0.59</w:t>
            </w:r>
          </w:p>
        </w:tc>
      </w:tr>
      <w:tr w:rsidR="00F44703" w:rsidRPr="006D5FE2" w:rsidTr="006E1FC2">
        <w:trPr>
          <w:cantSplit/>
        </w:trPr>
        <w:tc>
          <w:tcPr>
            <w:tcW w:w="368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C698E">
            <w:pPr>
              <w:pStyle w:val="TableText"/>
            </w:pPr>
            <w:r w:rsidRPr="00DC3B35">
              <w:t>Hazardous drinker</w:t>
            </w:r>
          </w:p>
        </w:tc>
        <w:tc>
          <w:tcPr>
            <w:tcW w:w="127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tabs>
                <w:tab w:val="decimal" w:pos="567"/>
              </w:tabs>
            </w:pPr>
            <w:r w:rsidRPr="005F010C">
              <w:t>18.0</w:t>
            </w:r>
          </w:p>
        </w:tc>
        <w:tc>
          <w:tcPr>
            <w:tcW w:w="1701" w:type="dxa"/>
            <w:tcBorders>
              <w:top w:val="single" w:sz="4" w:space="0" w:color="A6A6A6" w:themeColor="background1" w:themeShade="A6"/>
              <w:left w:val="nil"/>
              <w:bottom w:val="single" w:sz="4" w:space="0" w:color="A6A6A6" w:themeColor="background1" w:themeShade="A6"/>
              <w:right w:val="nil"/>
            </w:tcBorders>
          </w:tcPr>
          <w:p w:rsidR="00F44703" w:rsidRPr="00071994" w:rsidRDefault="00F44703" w:rsidP="006E1FC2">
            <w:pPr>
              <w:pStyle w:val="TableText"/>
              <w:jc w:val="center"/>
            </w:pPr>
            <w:r w:rsidRPr="00F7619F">
              <w:t>0.54</w:t>
            </w:r>
          </w:p>
        </w:tc>
        <w:tc>
          <w:tcPr>
            <w:tcW w:w="2693" w:type="dxa"/>
            <w:tcBorders>
              <w:top w:val="single" w:sz="4" w:space="0" w:color="A6A6A6" w:themeColor="background1" w:themeShade="A6"/>
              <w:left w:val="nil"/>
              <w:bottom w:val="single" w:sz="4" w:space="0" w:color="A6A6A6" w:themeColor="background1" w:themeShade="A6"/>
              <w:right w:val="nil"/>
            </w:tcBorders>
          </w:tcPr>
          <w:p w:rsidR="00F44703" w:rsidRPr="00071994" w:rsidRDefault="00F44703" w:rsidP="006E1FC2">
            <w:pPr>
              <w:pStyle w:val="TableText"/>
              <w:jc w:val="center"/>
            </w:pPr>
            <w:r w:rsidRPr="00F7619F">
              <w:t>0.72</w:t>
            </w:r>
          </w:p>
        </w:tc>
      </w:tr>
      <w:tr w:rsidR="00F44703" w:rsidRPr="006D5FE2" w:rsidTr="006E1FC2">
        <w:trPr>
          <w:cantSplit/>
        </w:trPr>
        <w:tc>
          <w:tcPr>
            <w:tcW w:w="368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C698E">
            <w:pPr>
              <w:pStyle w:val="TableText"/>
            </w:pPr>
            <w:r w:rsidRPr="00DC3B35">
              <w:t>Obesity</w:t>
            </w:r>
          </w:p>
        </w:tc>
        <w:tc>
          <w:tcPr>
            <w:tcW w:w="127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tabs>
                <w:tab w:val="decimal" w:pos="567"/>
              </w:tabs>
            </w:pPr>
            <w:r w:rsidRPr="005F010C">
              <w:t>30.8</w:t>
            </w:r>
          </w:p>
        </w:tc>
        <w:tc>
          <w:tcPr>
            <w:tcW w:w="1701" w:type="dxa"/>
            <w:tcBorders>
              <w:top w:val="single" w:sz="4" w:space="0" w:color="A6A6A6" w:themeColor="background1" w:themeShade="A6"/>
              <w:left w:val="nil"/>
              <w:bottom w:val="single" w:sz="4" w:space="0" w:color="A6A6A6" w:themeColor="background1" w:themeShade="A6"/>
              <w:right w:val="nil"/>
            </w:tcBorders>
          </w:tcPr>
          <w:p w:rsidR="00F44703" w:rsidRPr="00071994" w:rsidRDefault="00F44703" w:rsidP="006E1FC2">
            <w:pPr>
              <w:pStyle w:val="TableText"/>
              <w:jc w:val="center"/>
            </w:pPr>
            <w:r w:rsidRPr="00F7619F">
              <w:t>0.63</w:t>
            </w:r>
          </w:p>
        </w:tc>
        <w:tc>
          <w:tcPr>
            <w:tcW w:w="2693" w:type="dxa"/>
            <w:tcBorders>
              <w:top w:val="single" w:sz="4" w:space="0" w:color="A6A6A6" w:themeColor="background1" w:themeShade="A6"/>
              <w:left w:val="nil"/>
              <w:bottom w:val="single" w:sz="4" w:space="0" w:color="A6A6A6" w:themeColor="background1" w:themeShade="A6"/>
              <w:right w:val="nil"/>
            </w:tcBorders>
          </w:tcPr>
          <w:p w:rsidR="00F44703" w:rsidRPr="00071994" w:rsidRDefault="00F44703" w:rsidP="006E1FC2">
            <w:pPr>
              <w:pStyle w:val="TableText"/>
              <w:jc w:val="center"/>
            </w:pPr>
            <w:r w:rsidRPr="00F7619F">
              <w:t>0.83</w:t>
            </w:r>
          </w:p>
        </w:tc>
      </w:tr>
      <w:tr w:rsidR="00F44703" w:rsidRPr="006D5FE2" w:rsidTr="006E1FC2">
        <w:trPr>
          <w:cantSplit/>
        </w:trPr>
        <w:tc>
          <w:tcPr>
            <w:tcW w:w="368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C698E">
            <w:pPr>
              <w:pStyle w:val="TableText"/>
            </w:pPr>
            <w:r w:rsidRPr="00DC3B35">
              <w:t>Psychological distress</w:t>
            </w:r>
          </w:p>
        </w:tc>
        <w:tc>
          <w:tcPr>
            <w:tcW w:w="127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tabs>
                <w:tab w:val="decimal" w:pos="567"/>
              </w:tabs>
            </w:pPr>
            <w:r w:rsidRPr="005F010C">
              <w:t>6.1</w:t>
            </w:r>
          </w:p>
        </w:tc>
        <w:tc>
          <w:tcPr>
            <w:tcW w:w="1701" w:type="dxa"/>
            <w:tcBorders>
              <w:top w:val="single" w:sz="4" w:space="0" w:color="A6A6A6" w:themeColor="background1" w:themeShade="A6"/>
              <w:left w:val="nil"/>
              <w:bottom w:val="single" w:sz="4" w:space="0" w:color="A6A6A6" w:themeColor="background1" w:themeShade="A6"/>
              <w:right w:val="nil"/>
            </w:tcBorders>
          </w:tcPr>
          <w:p w:rsidR="00F44703" w:rsidRPr="00071994" w:rsidRDefault="00F44703" w:rsidP="006E1FC2">
            <w:pPr>
              <w:pStyle w:val="TableText"/>
              <w:jc w:val="center"/>
            </w:pPr>
            <w:r w:rsidRPr="00F7619F">
              <w:t>0.32</w:t>
            </w:r>
          </w:p>
        </w:tc>
        <w:tc>
          <w:tcPr>
            <w:tcW w:w="2693" w:type="dxa"/>
            <w:tcBorders>
              <w:top w:val="single" w:sz="4" w:space="0" w:color="A6A6A6" w:themeColor="background1" w:themeShade="A6"/>
              <w:left w:val="nil"/>
              <w:bottom w:val="single" w:sz="4" w:space="0" w:color="A6A6A6" w:themeColor="background1" w:themeShade="A6"/>
              <w:right w:val="nil"/>
            </w:tcBorders>
          </w:tcPr>
          <w:p w:rsidR="00F44703" w:rsidRPr="00071994" w:rsidRDefault="00F44703" w:rsidP="006E1FC2">
            <w:pPr>
              <w:pStyle w:val="TableText"/>
              <w:jc w:val="center"/>
            </w:pPr>
            <w:r w:rsidRPr="00F7619F">
              <w:t>0.47</w:t>
            </w:r>
          </w:p>
        </w:tc>
      </w:tr>
      <w:tr w:rsidR="00F44703" w:rsidRPr="006D5FE2" w:rsidTr="006E1FC2">
        <w:trPr>
          <w:cantSplit/>
        </w:trPr>
        <w:tc>
          <w:tcPr>
            <w:tcW w:w="368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C698E">
            <w:pPr>
              <w:pStyle w:val="TableText"/>
            </w:pPr>
            <w:r w:rsidRPr="00DC3B35">
              <w:t>Unmet need for GP due to cost</w:t>
            </w:r>
          </w:p>
        </w:tc>
        <w:tc>
          <w:tcPr>
            <w:tcW w:w="127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tabs>
                <w:tab w:val="decimal" w:pos="567"/>
              </w:tabs>
            </w:pPr>
            <w:r w:rsidRPr="005F010C">
              <w:t>13.7</w:t>
            </w:r>
          </w:p>
        </w:tc>
        <w:tc>
          <w:tcPr>
            <w:tcW w:w="1701" w:type="dxa"/>
            <w:tcBorders>
              <w:top w:val="single" w:sz="4" w:space="0" w:color="A6A6A6" w:themeColor="background1" w:themeShade="A6"/>
              <w:left w:val="nil"/>
              <w:bottom w:val="single" w:sz="4" w:space="0" w:color="A6A6A6" w:themeColor="background1" w:themeShade="A6"/>
              <w:right w:val="nil"/>
            </w:tcBorders>
          </w:tcPr>
          <w:p w:rsidR="00F44703" w:rsidRPr="00071994" w:rsidRDefault="00F44703" w:rsidP="006E1FC2">
            <w:pPr>
              <w:pStyle w:val="TableText"/>
              <w:jc w:val="center"/>
            </w:pPr>
            <w:r w:rsidRPr="00F7619F">
              <w:t>0.41</w:t>
            </w:r>
          </w:p>
        </w:tc>
        <w:tc>
          <w:tcPr>
            <w:tcW w:w="2693" w:type="dxa"/>
            <w:tcBorders>
              <w:top w:val="single" w:sz="4" w:space="0" w:color="A6A6A6" w:themeColor="background1" w:themeShade="A6"/>
              <w:left w:val="nil"/>
              <w:bottom w:val="single" w:sz="4" w:space="0" w:color="A6A6A6" w:themeColor="background1" w:themeShade="A6"/>
              <w:right w:val="nil"/>
            </w:tcBorders>
          </w:tcPr>
          <w:p w:rsidR="00F44703" w:rsidRPr="00071994" w:rsidRDefault="00F44703" w:rsidP="006E1FC2">
            <w:pPr>
              <w:pStyle w:val="TableText"/>
              <w:jc w:val="center"/>
            </w:pPr>
            <w:r w:rsidRPr="00F7619F">
              <w:t>0.61</w:t>
            </w:r>
          </w:p>
        </w:tc>
      </w:tr>
      <w:tr w:rsidR="00F44703" w:rsidRPr="006D5FE2" w:rsidTr="006E1FC2">
        <w:trPr>
          <w:cantSplit/>
        </w:trPr>
        <w:tc>
          <w:tcPr>
            <w:tcW w:w="3686" w:type="dxa"/>
            <w:tcBorders>
              <w:top w:val="single" w:sz="4" w:space="0" w:color="A6A6A6" w:themeColor="background1" w:themeShade="A6"/>
              <w:left w:val="nil"/>
              <w:right w:val="nil"/>
            </w:tcBorders>
          </w:tcPr>
          <w:p w:rsidR="00F44703" w:rsidRPr="00DC3B35" w:rsidRDefault="00F44703" w:rsidP="006C698E">
            <w:pPr>
              <w:pStyle w:val="TableText"/>
            </w:pPr>
            <w:r w:rsidRPr="00DC3B35">
              <w:t>Unfilled prescription due to cost</w:t>
            </w:r>
          </w:p>
        </w:tc>
        <w:tc>
          <w:tcPr>
            <w:tcW w:w="1276" w:type="dxa"/>
            <w:tcBorders>
              <w:top w:val="single" w:sz="4" w:space="0" w:color="A6A6A6" w:themeColor="background1" w:themeShade="A6"/>
              <w:left w:val="nil"/>
              <w:right w:val="nil"/>
            </w:tcBorders>
          </w:tcPr>
          <w:p w:rsidR="00F44703" w:rsidRPr="00DC3B35" w:rsidRDefault="00F44703" w:rsidP="006E1FC2">
            <w:pPr>
              <w:pStyle w:val="TableText"/>
              <w:tabs>
                <w:tab w:val="decimal" w:pos="567"/>
              </w:tabs>
            </w:pPr>
            <w:r w:rsidRPr="005F010C">
              <w:t>6.4</w:t>
            </w:r>
          </w:p>
        </w:tc>
        <w:tc>
          <w:tcPr>
            <w:tcW w:w="1701" w:type="dxa"/>
            <w:tcBorders>
              <w:top w:val="single" w:sz="4" w:space="0" w:color="A6A6A6" w:themeColor="background1" w:themeShade="A6"/>
              <w:left w:val="nil"/>
              <w:right w:val="nil"/>
            </w:tcBorders>
          </w:tcPr>
          <w:p w:rsidR="00F44703" w:rsidRPr="00071994" w:rsidRDefault="00F44703" w:rsidP="006E1FC2">
            <w:pPr>
              <w:pStyle w:val="TableText"/>
              <w:jc w:val="center"/>
            </w:pPr>
            <w:r w:rsidRPr="00F7619F">
              <w:t>0.30</w:t>
            </w:r>
          </w:p>
        </w:tc>
        <w:tc>
          <w:tcPr>
            <w:tcW w:w="2693" w:type="dxa"/>
            <w:tcBorders>
              <w:top w:val="single" w:sz="4" w:space="0" w:color="A6A6A6" w:themeColor="background1" w:themeShade="A6"/>
              <w:left w:val="nil"/>
              <w:right w:val="nil"/>
            </w:tcBorders>
          </w:tcPr>
          <w:p w:rsidR="00F44703" w:rsidRPr="00071994" w:rsidRDefault="00F44703" w:rsidP="006E1FC2">
            <w:pPr>
              <w:pStyle w:val="TableText"/>
              <w:jc w:val="center"/>
            </w:pPr>
            <w:r w:rsidRPr="00F7619F">
              <w:t>0.43</w:t>
            </w:r>
          </w:p>
        </w:tc>
      </w:tr>
    </w:tbl>
    <w:p w:rsidR="00F44703" w:rsidRDefault="00F44703" w:rsidP="006E1FC2"/>
    <w:p w:rsidR="00F44703" w:rsidRDefault="00F44703" w:rsidP="006E1FC2">
      <w:r>
        <w:t xml:space="preserve">Table 2 contains information on the precision of age-group-by-sex indicators. These are important because Tier 1 statistics broken down by age (for seven age groups), sex, </w:t>
      </w:r>
      <w:proofErr w:type="gramStart"/>
      <w:r>
        <w:t>ethnicity</w:t>
      </w:r>
      <w:proofErr w:type="gramEnd"/>
      <w:r>
        <w:t xml:space="preserve"> and deprivation index are published each year. Table 2 shows the maximum standard error across 14</w:t>
      </w:r>
      <w:r w:rsidR="006E1FC2">
        <w:t> </w:t>
      </w:r>
      <w:r>
        <w:t xml:space="preserve">age-group-by-sex cells for the same set of national indicators as Table 1. The table shows maximum standard errors for the 2014/15 year </w:t>
      </w:r>
      <w:proofErr w:type="spellStart"/>
      <w:r>
        <w:t>prevalences</w:t>
      </w:r>
      <w:proofErr w:type="spellEnd"/>
      <w:r>
        <w:t xml:space="preserve"> and 2013/14 to 2014/15 changes. The maximum cell standard errors for level and movement are 1.4–2.8 percent across the seven key indicators.</w:t>
      </w:r>
    </w:p>
    <w:p w:rsidR="00F44703" w:rsidRDefault="00F44703" w:rsidP="006E1FC2"/>
    <w:p w:rsidR="00F44703" w:rsidRDefault="00F44703" w:rsidP="006E1FC2">
      <w:r>
        <w:t>In the executive summary of the 2014/15 annual update (</w:t>
      </w:r>
      <w:r w:rsidRPr="008321F3">
        <w:t>Ministry</w:t>
      </w:r>
      <w:r>
        <w:t xml:space="preserve"> of Health 2015), differences between age groups are discussed for a number of indicators. Table 2 also shows the maximum standard error of the difference in prevalence between two age groups, for each indicator. These range from 1.9–3.7 percent.</w:t>
      </w:r>
    </w:p>
    <w:p w:rsidR="00F44703" w:rsidRDefault="00F44703" w:rsidP="006E1FC2"/>
    <w:p w:rsidR="00F44703" w:rsidRPr="000F1107" w:rsidRDefault="00F44703" w:rsidP="006E1FC2">
      <w:pPr>
        <w:pStyle w:val="Table"/>
      </w:pPr>
      <w:bookmarkStart w:id="24" w:name="_Toc467672199"/>
      <w:bookmarkStart w:id="25" w:name="_Toc467700415"/>
      <w:r w:rsidRPr="00CE4B7F">
        <w:lastRenderedPageBreak/>
        <w:t xml:space="preserve">Table </w:t>
      </w:r>
      <w:fldSimple w:instr=" SEQ Table \* ARABIC ">
        <w:r w:rsidR="00FA14BF">
          <w:rPr>
            <w:noProof/>
          </w:rPr>
          <w:t>2</w:t>
        </w:r>
      </w:fldSimple>
      <w:r w:rsidRPr="00CE4B7F">
        <w:t>:</w:t>
      </w:r>
      <w:r w:rsidR="006E1FC2">
        <w:t xml:space="preserve"> </w:t>
      </w:r>
      <w:r>
        <w:t xml:space="preserve">Maximum achieved standard errors across 14 age-group-by-sex cells for the 2014/15 year </w:t>
      </w:r>
      <w:proofErr w:type="spellStart"/>
      <w:r>
        <w:t>prevalences</w:t>
      </w:r>
      <w:proofErr w:type="spellEnd"/>
      <w:r>
        <w:t xml:space="preserve"> and annual changes from 2013/14 to 2014/15</w:t>
      </w:r>
      <w:bookmarkEnd w:id="24"/>
      <w:bookmarkEnd w:id="25"/>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94"/>
        <w:gridCol w:w="1275"/>
        <w:gridCol w:w="1418"/>
        <w:gridCol w:w="1984"/>
        <w:gridCol w:w="1985"/>
      </w:tblGrid>
      <w:tr w:rsidR="006E1FC2" w:rsidRPr="006E1FC2" w:rsidTr="008D7D15">
        <w:trPr>
          <w:cantSplit/>
        </w:trPr>
        <w:tc>
          <w:tcPr>
            <w:tcW w:w="2694" w:type="dxa"/>
            <w:vMerge w:val="restart"/>
            <w:tcBorders>
              <w:left w:val="nil"/>
              <w:bottom w:val="nil"/>
              <w:right w:val="nil"/>
            </w:tcBorders>
          </w:tcPr>
          <w:p w:rsidR="006E1FC2" w:rsidRPr="006E1FC2" w:rsidRDefault="006E1FC2" w:rsidP="006E1FC2">
            <w:pPr>
              <w:pStyle w:val="TableText"/>
              <w:rPr>
                <w:b/>
              </w:rPr>
            </w:pPr>
            <w:r w:rsidRPr="006E1FC2">
              <w:rPr>
                <w:b/>
              </w:rPr>
              <w:t>Indicator</w:t>
            </w:r>
          </w:p>
        </w:tc>
        <w:tc>
          <w:tcPr>
            <w:tcW w:w="1275" w:type="dxa"/>
            <w:vMerge w:val="restart"/>
            <w:tcBorders>
              <w:left w:val="nil"/>
              <w:bottom w:val="nil"/>
              <w:right w:val="nil"/>
            </w:tcBorders>
          </w:tcPr>
          <w:p w:rsidR="006E1FC2" w:rsidRPr="006E1FC2" w:rsidRDefault="006E1FC2" w:rsidP="006E1FC2">
            <w:pPr>
              <w:pStyle w:val="TableText"/>
              <w:jc w:val="center"/>
              <w:rPr>
                <w:b/>
              </w:rPr>
            </w:pPr>
            <w:r w:rsidRPr="006E1FC2">
              <w:rPr>
                <w:b/>
              </w:rPr>
              <w:t>2014/15 year prevalence (%)</w:t>
            </w:r>
          </w:p>
        </w:tc>
        <w:tc>
          <w:tcPr>
            <w:tcW w:w="5387" w:type="dxa"/>
            <w:gridSpan w:val="3"/>
            <w:tcBorders>
              <w:left w:val="nil"/>
              <w:bottom w:val="single" w:sz="4" w:space="0" w:color="A6A6A6" w:themeColor="background1" w:themeShade="A6"/>
              <w:right w:val="nil"/>
            </w:tcBorders>
          </w:tcPr>
          <w:p w:rsidR="006E1FC2" w:rsidRPr="006E1FC2" w:rsidRDefault="006E1FC2" w:rsidP="006E1FC2">
            <w:pPr>
              <w:pStyle w:val="TableText"/>
              <w:jc w:val="center"/>
              <w:rPr>
                <w:b/>
              </w:rPr>
            </w:pPr>
            <w:r w:rsidRPr="006E1FC2">
              <w:rPr>
                <w:b/>
              </w:rPr>
              <w:t>Maximum standard error (%)</w:t>
            </w:r>
          </w:p>
        </w:tc>
      </w:tr>
      <w:tr w:rsidR="006E1FC2" w:rsidRPr="006E1FC2" w:rsidTr="008D7D15">
        <w:trPr>
          <w:cantSplit/>
        </w:trPr>
        <w:tc>
          <w:tcPr>
            <w:tcW w:w="2694" w:type="dxa"/>
            <w:vMerge/>
            <w:tcBorders>
              <w:top w:val="nil"/>
              <w:left w:val="nil"/>
              <w:bottom w:val="single" w:sz="4" w:space="0" w:color="auto"/>
              <w:right w:val="nil"/>
            </w:tcBorders>
          </w:tcPr>
          <w:p w:rsidR="006E1FC2" w:rsidRPr="006E1FC2" w:rsidRDefault="006E1FC2" w:rsidP="006E1FC2">
            <w:pPr>
              <w:pStyle w:val="TableText"/>
              <w:jc w:val="center"/>
              <w:rPr>
                <w:b/>
              </w:rPr>
            </w:pPr>
          </w:p>
        </w:tc>
        <w:tc>
          <w:tcPr>
            <w:tcW w:w="1275" w:type="dxa"/>
            <w:vMerge/>
            <w:tcBorders>
              <w:top w:val="nil"/>
              <w:left w:val="nil"/>
              <w:bottom w:val="single" w:sz="4" w:space="0" w:color="auto"/>
              <w:right w:val="nil"/>
            </w:tcBorders>
          </w:tcPr>
          <w:p w:rsidR="006E1FC2" w:rsidRPr="006E1FC2" w:rsidDel="008B6DFE" w:rsidRDefault="006E1FC2" w:rsidP="006E1FC2">
            <w:pPr>
              <w:pStyle w:val="TableText"/>
              <w:jc w:val="center"/>
              <w:rPr>
                <w:b/>
              </w:rPr>
            </w:pPr>
          </w:p>
        </w:tc>
        <w:tc>
          <w:tcPr>
            <w:tcW w:w="1418" w:type="dxa"/>
            <w:tcBorders>
              <w:top w:val="single" w:sz="4" w:space="0" w:color="A6A6A6" w:themeColor="background1" w:themeShade="A6"/>
              <w:left w:val="nil"/>
              <w:bottom w:val="single" w:sz="4" w:space="0" w:color="auto"/>
              <w:right w:val="nil"/>
            </w:tcBorders>
          </w:tcPr>
          <w:p w:rsidR="006E1FC2" w:rsidRPr="006E1FC2" w:rsidRDefault="006E1FC2" w:rsidP="008D7D15">
            <w:pPr>
              <w:pStyle w:val="TableText"/>
              <w:jc w:val="center"/>
              <w:rPr>
                <w:b/>
              </w:rPr>
            </w:pPr>
            <w:r w:rsidRPr="006E1FC2">
              <w:rPr>
                <w:b/>
              </w:rPr>
              <w:t>2014/15 year by</w:t>
            </w:r>
            <w:r w:rsidR="008D7D15">
              <w:rPr>
                <w:b/>
              </w:rPr>
              <w:t xml:space="preserve"> </w:t>
            </w:r>
            <w:r w:rsidRPr="006E1FC2">
              <w:rPr>
                <w:b/>
              </w:rPr>
              <w:t>age group</w:t>
            </w:r>
            <w:r w:rsidR="008D7D15">
              <w:rPr>
                <w:b/>
              </w:rPr>
              <w:t xml:space="preserve"> and sex</w:t>
            </w:r>
          </w:p>
        </w:tc>
        <w:tc>
          <w:tcPr>
            <w:tcW w:w="1984" w:type="dxa"/>
            <w:tcBorders>
              <w:top w:val="single" w:sz="4" w:space="0" w:color="A6A6A6" w:themeColor="background1" w:themeShade="A6"/>
              <w:left w:val="nil"/>
              <w:bottom w:val="single" w:sz="4" w:space="0" w:color="auto"/>
              <w:right w:val="nil"/>
            </w:tcBorders>
          </w:tcPr>
          <w:p w:rsidR="006E1FC2" w:rsidRPr="006E1FC2" w:rsidDel="008B6DFE" w:rsidRDefault="006E1FC2" w:rsidP="008D7D15">
            <w:pPr>
              <w:pStyle w:val="TableText"/>
              <w:jc w:val="center"/>
              <w:rPr>
                <w:b/>
              </w:rPr>
            </w:pPr>
            <w:r>
              <w:rPr>
                <w:b/>
              </w:rPr>
              <w:t>C</w:t>
            </w:r>
            <w:r w:rsidRPr="006E1FC2">
              <w:rPr>
                <w:b/>
              </w:rPr>
              <w:t>hange from 2013/14 to 2014/15</w:t>
            </w:r>
            <w:r>
              <w:rPr>
                <w:b/>
              </w:rPr>
              <w:br/>
            </w:r>
            <w:r w:rsidRPr="006E1FC2">
              <w:rPr>
                <w:b/>
              </w:rPr>
              <w:t>by age group</w:t>
            </w:r>
            <w:r w:rsidR="008D7D15">
              <w:rPr>
                <w:b/>
              </w:rPr>
              <w:br/>
              <w:t>and sex</w:t>
            </w:r>
          </w:p>
        </w:tc>
        <w:tc>
          <w:tcPr>
            <w:tcW w:w="1985" w:type="dxa"/>
            <w:tcBorders>
              <w:top w:val="single" w:sz="4" w:space="0" w:color="A6A6A6" w:themeColor="background1" w:themeShade="A6"/>
              <w:left w:val="nil"/>
              <w:bottom w:val="single" w:sz="4" w:space="0" w:color="auto"/>
              <w:right w:val="nil"/>
            </w:tcBorders>
          </w:tcPr>
          <w:p w:rsidR="006E1FC2" w:rsidRPr="006E1FC2" w:rsidRDefault="006E1FC2" w:rsidP="000A7C35">
            <w:pPr>
              <w:pStyle w:val="TableText"/>
              <w:jc w:val="center"/>
              <w:rPr>
                <w:b/>
              </w:rPr>
            </w:pPr>
            <w:r>
              <w:rPr>
                <w:b/>
              </w:rPr>
              <w:t>D</w:t>
            </w:r>
            <w:r w:rsidRPr="006E1FC2">
              <w:rPr>
                <w:b/>
              </w:rPr>
              <w:t>ifferences between age-group-by-sex cells in the</w:t>
            </w:r>
            <w:r w:rsidR="000A7C35">
              <w:rPr>
                <w:b/>
              </w:rPr>
              <w:br/>
            </w:r>
            <w:r w:rsidRPr="006E1FC2">
              <w:rPr>
                <w:b/>
              </w:rPr>
              <w:t>2014/15 year</w:t>
            </w:r>
          </w:p>
        </w:tc>
      </w:tr>
      <w:tr w:rsidR="006E1FC2" w:rsidRPr="006D5FE2" w:rsidTr="008D7D15">
        <w:trPr>
          <w:cantSplit/>
        </w:trPr>
        <w:tc>
          <w:tcPr>
            <w:tcW w:w="2694" w:type="dxa"/>
            <w:tcBorders>
              <w:top w:val="single" w:sz="4" w:space="0" w:color="auto"/>
              <w:left w:val="nil"/>
              <w:bottom w:val="single" w:sz="4" w:space="0" w:color="A6A6A6" w:themeColor="background1" w:themeShade="A6"/>
              <w:right w:val="nil"/>
            </w:tcBorders>
          </w:tcPr>
          <w:p w:rsidR="00F44703" w:rsidRPr="00DC3B35" w:rsidRDefault="00F44703" w:rsidP="006E1FC2">
            <w:pPr>
              <w:pStyle w:val="TableText"/>
            </w:pPr>
            <w:r w:rsidRPr="00DC3B35">
              <w:t>Poor or very poor self-assessed health</w:t>
            </w:r>
          </w:p>
        </w:tc>
        <w:tc>
          <w:tcPr>
            <w:tcW w:w="1275" w:type="dxa"/>
            <w:tcBorders>
              <w:top w:val="single" w:sz="4" w:space="0" w:color="auto"/>
              <w:left w:val="nil"/>
              <w:bottom w:val="single" w:sz="4" w:space="0" w:color="A6A6A6" w:themeColor="background1" w:themeShade="A6"/>
              <w:right w:val="nil"/>
            </w:tcBorders>
          </w:tcPr>
          <w:p w:rsidR="00F44703" w:rsidRPr="00DC3B35" w:rsidRDefault="00F44703" w:rsidP="006E1FC2">
            <w:pPr>
              <w:pStyle w:val="TableText"/>
              <w:tabs>
                <w:tab w:val="decimal" w:pos="552"/>
              </w:tabs>
            </w:pPr>
            <w:r w:rsidRPr="005F010C">
              <w:t>10.7</w:t>
            </w:r>
          </w:p>
        </w:tc>
        <w:tc>
          <w:tcPr>
            <w:tcW w:w="1418" w:type="dxa"/>
            <w:tcBorders>
              <w:top w:val="single" w:sz="4" w:space="0" w:color="auto"/>
              <w:left w:val="nil"/>
              <w:bottom w:val="single" w:sz="4" w:space="0" w:color="A6A6A6" w:themeColor="background1" w:themeShade="A6"/>
              <w:right w:val="nil"/>
            </w:tcBorders>
          </w:tcPr>
          <w:p w:rsidR="00F44703" w:rsidRPr="00456C55" w:rsidRDefault="00F44703" w:rsidP="006E1FC2">
            <w:pPr>
              <w:pStyle w:val="TableText"/>
              <w:jc w:val="center"/>
            </w:pPr>
            <w:r w:rsidRPr="00F7619F">
              <w:t>1.98</w:t>
            </w:r>
          </w:p>
        </w:tc>
        <w:tc>
          <w:tcPr>
            <w:tcW w:w="1984" w:type="dxa"/>
            <w:tcBorders>
              <w:top w:val="single" w:sz="4" w:space="0" w:color="auto"/>
              <w:left w:val="nil"/>
              <w:bottom w:val="single" w:sz="4" w:space="0" w:color="A6A6A6" w:themeColor="background1" w:themeShade="A6"/>
              <w:right w:val="nil"/>
            </w:tcBorders>
          </w:tcPr>
          <w:p w:rsidR="00F44703" w:rsidRPr="00456C55" w:rsidRDefault="00F44703" w:rsidP="006E1FC2">
            <w:pPr>
              <w:pStyle w:val="TableText"/>
              <w:jc w:val="center"/>
            </w:pPr>
            <w:r w:rsidRPr="00F7619F">
              <w:t>2.71</w:t>
            </w:r>
          </w:p>
        </w:tc>
        <w:tc>
          <w:tcPr>
            <w:tcW w:w="1985" w:type="dxa"/>
            <w:tcBorders>
              <w:top w:val="single" w:sz="4" w:space="0" w:color="auto"/>
              <w:left w:val="nil"/>
              <w:bottom w:val="single" w:sz="4" w:space="0" w:color="A6A6A6" w:themeColor="background1" w:themeShade="A6"/>
              <w:right w:val="nil"/>
            </w:tcBorders>
          </w:tcPr>
          <w:p w:rsidR="00F44703" w:rsidRPr="00456C55" w:rsidRDefault="00F44703" w:rsidP="006E1FC2">
            <w:pPr>
              <w:pStyle w:val="TableText"/>
              <w:jc w:val="center"/>
            </w:pPr>
            <w:r w:rsidRPr="00F7619F">
              <w:t>2.52</w:t>
            </w:r>
          </w:p>
        </w:tc>
      </w:tr>
      <w:tr w:rsidR="006E1FC2" w:rsidRPr="006D5FE2" w:rsidTr="008D7D15">
        <w:trPr>
          <w:cantSplit/>
        </w:trPr>
        <w:tc>
          <w:tcPr>
            <w:tcW w:w="2694"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Current smoking</w:t>
            </w:r>
          </w:p>
        </w:tc>
        <w:tc>
          <w:tcPr>
            <w:tcW w:w="1275"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tabs>
                <w:tab w:val="decimal" w:pos="552"/>
              </w:tabs>
            </w:pPr>
            <w:r w:rsidRPr="005F010C">
              <w:t>16.4</w:t>
            </w:r>
          </w:p>
        </w:tc>
        <w:tc>
          <w:tcPr>
            <w:tcW w:w="1418"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2.06</w:t>
            </w:r>
          </w:p>
        </w:tc>
        <w:tc>
          <w:tcPr>
            <w:tcW w:w="1984"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2.80</w:t>
            </w:r>
          </w:p>
        </w:tc>
        <w:tc>
          <w:tcPr>
            <w:tcW w:w="1985"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2.92</w:t>
            </w:r>
          </w:p>
        </w:tc>
      </w:tr>
      <w:tr w:rsidR="006E1FC2" w:rsidRPr="006D5FE2" w:rsidTr="008D7D15">
        <w:trPr>
          <w:cantSplit/>
        </w:trPr>
        <w:tc>
          <w:tcPr>
            <w:tcW w:w="2694"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Hazardous drinker</w:t>
            </w:r>
          </w:p>
        </w:tc>
        <w:tc>
          <w:tcPr>
            <w:tcW w:w="1275"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tabs>
                <w:tab w:val="decimal" w:pos="552"/>
              </w:tabs>
            </w:pPr>
            <w:r w:rsidRPr="005F010C">
              <w:t>18.0</w:t>
            </w:r>
          </w:p>
        </w:tc>
        <w:tc>
          <w:tcPr>
            <w:tcW w:w="1418"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2.31</w:t>
            </w:r>
          </w:p>
        </w:tc>
        <w:tc>
          <w:tcPr>
            <w:tcW w:w="1984"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3.11</w:t>
            </w:r>
          </w:p>
        </w:tc>
        <w:tc>
          <w:tcPr>
            <w:tcW w:w="1985"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3.04</w:t>
            </w:r>
          </w:p>
        </w:tc>
      </w:tr>
      <w:tr w:rsidR="006E1FC2" w:rsidRPr="006D5FE2" w:rsidTr="008D7D15">
        <w:trPr>
          <w:cantSplit/>
        </w:trPr>
        <w:tc>
          <w:tcPr>
            <w:tcW w:w="2694"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Obesity</w:t>
            </w:r>
          </w:p>
        </w:tc>
        <w:tc>
          <w:tcPr>
            <w:tcW w:w="1275"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tabs>
                <w:tab w:val="decimal" w:pos="552"/>
              </w:tabs>
            </w:pPr>
            <w:r w:rsidRPr="005F010C">
              <w:t>30.8</w:t>
            </w:r>
          </w:p>
        </w:tc>
        <w:tc>
          <w:tcPr>
            <w:tcW w:w="1418"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2.77</w:t>
            </w:r>
          </w:p>
        </w:tc>
        <w:tc>
          <w:tcPr>
            <w:tcW w:w="1984"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3.83</w:t>
            </w:r>
          </w:p>
        </w:tc>
        <w:tc>
          <w:tcPr>
            <w:tcW w:w="1985"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3.74</w:t>
            </w:r>
          </w:p>
        </w:tc>
      </w:tr>
      <w:tr w:rsidR="006E1FC2" w:rsidRPr="006D5FE2" w:rsidTr="008D7D15">
        <w:trPr>
          <w:cantSplit/>
        </w:trPr>
        <w:tc>
          <w:tcPr>
            <w:tcW w:w="2694"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Psychological distress</w:t>
            </w:r>
          </w:p>
        </w:tc>
        <w:tc>
          <w:tcPr>
            <w:tcW w:w="1275"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tabs>
                <w:tab w:val="decimal" w:pos="552"/>
              </w:tabs>
            </w:pPr>
            <w:r w:rsidRPr="005F010C">
              <w:t>6.1</w:t>
            </w:r>
          </w:p>
        </w:tc>
        <w:tc>
          <w:tcPr>
            <w:tcW w:w="1418"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1.61</w:t>
            </w:r>
          </w:p>
        </w:tc>
        <w:tc>
          <w:tcPr>
            <w:tcW w:w="1984"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2.18</w:t>
            </w:r>
          </w:p>
        </w:tc>
        <w:tc>
          <w:tcPr>
            <w:tcW w:w="1985"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2.11</w:t>
            </w:r>
          </w:p>
        </w:tc>
      </w:tr>
      <w:tr w:rsidR="006E1FC2" w:rsidRPr="006D5FE2" w:rsidTr="008D7D15">
        <w:trPr>
          <w:cantSplit/>
        </w:trPr>
        <w:tc>
          <w:tcPr>
            <w:tcW w:w="2694"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Unmet need for GP due to cost</w:t>
            </w:r>
          </w:p>
        </w:tc>
        <w:tc>
          <w:tcPr>
            <w:tcW w:w="1275"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tabs>
                <w:tab w:val="decimal" w:pos="552"/>
              </w:tabs>
            </w:pPr>
            <w:r w:rsidRPr="005F010C">
              <w:t>13.7</w:t>
            </w:r>
          </w:p>
        </w:tc>
        <w:tc>
          <w:tcPr>
            <w:tcW w:w="1418"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1.96</w:t>
            </w:r>
          </w:p>
        </w:tc>
        <w:tc>
          <w:tcPr>
            <w:tcW w:w="1984"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2.60</w:t>
            </w:r>
          </w:p>
        </w:tc>
        <w:tc>
          <w:tcPr>
            <w:tcW w:w="1985"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2.63</w:t>
            </w:r>
          </w:p>
        </w:tc>
      </w:tr>
      <w:tr w:rsidR="006E1FC2" w:rsidRPr="006D5FE2" w:rsidTr="008D7D15">
        <w:trPr>
          <w:cantSplit/>
        </w:trPr>
        <w:tc>
          <w:tcPr>
            <w:tcW w:w="2694" w:type="dxa"/>
            <w:tcBorders>
              <w:top w:val="single" w:sz="4" w:space="0" w:color="A6A6A6" w:themeColor="background1" w:themeShade="A6"/>
              <w:left w:val="nil"/>
              <w:right w:val="nil"/>
            </w:tcBorders>
          </w:tcPr>
          <w:p w:rsidR="00F44703" w:rsidRPr="00DC3B35" w:rsidRDefault="00F44703" w:rsidP="006E1FC2">
            <w:pPr>
              <w:pStyle w:val="TableText"/>
            </w:pPr>
            <w:r w:rsidRPr="00DC3B35">
              <w:t>Unfilled prescription due to cost</w:t>
            </w:r>
          </w:p>
        </w:tc>
        <w:tc>
          <w:tcPr>
            <w:tcW w:w="1275" w:type="dxa"/>
            <w:tcBorders>
              <w:top w:val="single" w:sz="4" w:space="0" w:color="A6A6A6" w:themeColor="background1" w:themeShade="A6"/>
              <w:left w:val="nil"/>
              <w:right w:val="nil"/>
            </w:tcBorders>
          </w:tcPr>
          <w:p w:rsidR="00F44703" w:rsidRPr="00DC3B35" w:rsidRDefault="00F44703" w:rsidP="006E1FC2">
            <w:pPr>
              <w:pStyle w:val="TableText"/>
              <w:tabs>
                <w:tab w:val="decimal" w:pos="552"/>
              </w:tabs>
            </w:pPr>
            <w:r w:rsidRPr="005F010C">
              <w:t>6.4</w:t>
            </w:r>
          </w:p>
        </w:tc>
        <w:tc>
          <w:tcPr>
            <w:tcW w:w="1418" w:type="dxa"/>
            <w:tcBorders>
              <w:top w:val="single" w:sz="4" w:space="0" w:color="A6A6A6" w:themeColor="background1" w:themeShade="A6"/>
              <w:left w:val="nil"/>
              <w:right w:val="nil"/>
            </w:tcBorders>
          </w:tcPr>
          <w:p w:rsidR="00F44703" w:rsidRPr="00456C55" w:rsidRDefault="00F44703" w:rsidP="006E1FC2">
            <w:pPr>
              <w:pStyle w:val="TableText"/>
              <w:jc w:val="center"/>
            </w:pPr>
            <w:r w:rsidRPr="00F7619F">
              <w:t>1.38</w:t>
            </w:r>
          </w:p>
        </w:tc>
        <w:tc>
          <w:tcPr>
            <w:tcW w:w="1984" w:type="dxa"/>
            <w:tcBorders>
              <w:top w:val="single" w:sz="4" w:space="0" w:color="A6A6A6" w:themeColor="background1" w:themeShade="A6"/>
              <w:left w:val="nil"/>
              <w:right w:val="nil"/>
            </w:tcBorders>
          </w:tcPr>
          <w:p w:rsidR="00F44703" w:rsidRPr="00456C55" w:rsidRDefault="00F44703" w:rsidP="006E1FC2">
            <w:pPr>
              <w:pStyle w:val="TableText"/>
              <w:jc w:val="center"/>
            </w:pPr>
            <w:r w:rsidRPr="00F7619F">
              <w:t>1.69</w:t>
            </w:r>
          </w:p>
        </w:tc>
        <w:tc>
          <w:tcPr>
            <w:tcW w:w="1985" w:type="dxa"/>
            <w:tcBorders>
              <w:top w:val="single" w:sz="4" w:space="0" w:color="A6A6A6" w:themeColor="background1" w:themeShade="A6"/>
              <w:left w:val="nil"/>
              <w:right w:val="nil"/>
            </w:tcBorders>
          </w:tcPr>
          <w:p w:rsidR="00F44703" w:rsidRPr="00456C55" w:rsidRDefault="00F44703" w:rsidP="006E1FC2">
            <w:pPr>
              <w:pStyle w:val="TableText"/>
              <w:jc w:val="center"/>
            </w:pPr>
            <w:r w:rsidRPr="00F7619F">
              <w:t>1.88</w:t>
            </w:r>
          </w:p>
        </w:tc>
      </w:tr>
    </w:tbl>
    <w:p w:rsidR="00F44703" w:rsidRDefault="00F44703" w:rsidP="006E1FC2"/>
    <w:p w:rsidR="00F44703" w:rsidRDefault="00F44703" w:rsidP="006E1FC2">
      <w:r>
        <w:t xml:space="preserve">Table 3 shows standard errors of prevalence </w:t>
      </w:r>
      <w:r w:rsidRPr="005E0AE2">
        <w:t>estimates</w:t>
      </w:r>
      <w:r>
        <w:t xml:space="preserve"> for the Māori population. For the 2014/15 year </w:t>
      </w:r>
      <w:proofErr w:type="spellStart"/>
      <w:r>
        <w:t>prevalences</w:t>
      </w:r>
      <w:proofErr w:type="spellEnd"/>
      <w:r>
        <w:t>, the standard errors range from 0.8–1.4 percent. For 2013/14 to 2014/15 changes, the standard errors are between 1.3 and 2.0 percent.</w:t>
      </w:r>
    </w:p>
    <w:p w:rsidR="00F44703" w:rsidRDefault="00F44703" w:rsidP="006E1FC2"/>
    <w:p w:rsidR="00F44703" w:rsidRDefault="00F44703" w:rsidP="006E1FC2">
      <w:r>
        <w:t>Table 4 summarises standard errors for comparing Māori</w:t>
      </w:r>
      <w:r w:rsidRPr="005E0AE2">
        <w:t xml:space="preserve"> </w:t>
      </w:r>
      <w:r>
        <w:t xml:space="preserve">adults with others, Pacific adults with others and the least and most deprived </w:t>
      </w:r>
      <w:proofErr w:type="spellStart"/>
      <w:r>
        <w:t>meshblocks</w:t>
      </w:r>
      <w:proofErr w:type="spellEnd"/>
      <w:r>
        <w:t xml:space="preserve"> (New Zealand deprivation index 2013 – </w:t>
      </w:r>
      <w:proofErr w:type="spellStart"/>
      <w:r>
        <w:t>NZDep</w:t>
      </w:r>
      <w:proofErr w:type="spellEnd"/>
      <w:r>
        <w:t xml:space="preserve"> 2013). These types of comparisons are also drawn in the 2014/15 annual update executive summary. The median standard errors across the seven indicators were 1.1 percent for Māori compared with others, 1.9 percent for Pacific compared with others and 1.6 percent for most compared with least deprived areas.</w:t>
      </w:r>
    </w:p>
    <w:p w:rsidR="00F44703" w:rsidRDefault="00F44703" w:rsidP="006E1FC2"/>
    <w:p w:rsidR="00F44703" w:rsidRDefault="00F44703" w:rsidP="006E1FC2">
      <w:r>
        <w:t xml:space="preserve">The annual update also compares regions. Table 5 shows maximum standard errors across DHBs for the 2014/15 year </w:t>
      </w:r>
      <w:proofErr w:type="spellStart"/>
      <w:r>
        <w:t>prevalences</w:t>
      </w:r>
      <w:proofErr w:type="spellEnd"/>
      <w:r>
        <w:t xml:space="preserve"> and annual movements from 2013/14 to 2014/15. The largest standard error for a difference in prevalence between any two DHBs is also shown. These range from 3.5–12.0 percent, so only large differences between DHBs are detectable. They represent the worst case across all pairs of DHBs – some DHB comparisons are more precise, for example, between two of the larger DHBs. In order to improve the precision of DHB statistics, these estimates will usually be based on pooling multiple years of survey data, leading to much lower standard errors than those shown in Table 5.</w:t>
      </w:r>
    </w:p>
    <w:p w:rsidR="00F44703" w:rsidRDefault="00F44703" w:rsidP="006E1FC2"/>
    <w:p w:rsidR="00F44703" w:rsidRPr="000F1107" w:rsidRDefault="00F44703" w:rsidP="006E1FC2">
      <w:pPr>
        <w:pStyle w:val="Table"/>
      </w:pPr>
      <w:bookmarkStart w:id="26" w:name="_Toc467672200"/>
      <w:bookmarkStart w:id="27" w:name="_Toc467700416"/>
      <w:r w:rsidRPr="00CE4B7F">
        <w:t xml:space="preserve">Table </w:t>
      </w:r>
      <w:r>
        <w:t>3</w:t>
      </w:r>
      <w:r w:rsidRPr="00CE4B7F">
        <w:t>:</w:t>
      </w:r>
      <w:r w:rsidR="006E1FC2">
        <w:t xml:space="preserve"> </w:t>
      </w:r>
      <w:r>
        <w:t xml:space="preserve">Achieved standard errors for the 2014/15 year </w:t>
      </w:r>
      <w:r w:rsidRPr="000F1107">
        <w:t xml:space="preserve">Māori </w:t>
      </w:r>
      <w:r>
        <w:t xml:space="preserve">population </w:t>
      </w:r>
      <w:proofErr w:type="spellStart"/>
      <w:r>
        <w:t>prevalences</w:t>
      </w:r>
      <w:proofErr w:type="spellEnd"/>
      <w:r>
        <w:t xml:space="preserve"> and annual changes from 2013/14 to 2014/15</w:t>
      </w:r>
      <w:bookmarkEnd w:id="26"/>
      <w:bookmarkEnd w:id="27"/>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02"/>
        <w:gridCol w:w="1560"/>
        <w:gridCol w:w="1417"/>
        <w:gridCol w:w="2977"/>
      </w:tblGrid>
      <w:tr w:rsidR="006E1FC2" w:rsidRPr="000F1107" w:rsidTr="006E1FC2">
        <w:trPr>
          <w:cantSplit/>
        </w:trPr>
        <w:tc>
          <w:tcPr>
            <w:tcW w:w="3402" w:type="dxa"/>
            <w:vMerge w:val="restart"/>
            <w:tcBorders>
              <w:left w:val="nil"/>
              <w:bottom w:val="nil"/>
              <w:right w:val="nil"/>
            </w:tcBorders>
          </w:tcPr>
          <w:p w:rsidR="006E1FC2" w:rsidRPr="006E1FC2" w:rsidRDefault="006E1FC2" w:rsidP="006E1FC2">
            <w:pPr>
              <w:pStyle w:val="TableText"/>
              <w:rPr>
                <w:b/>
              </w:rPr>
            </w:pPr>
            <w:r w:rsidRPr="006E1FC2">
              <w:rPr>
                <w:b/>
              </w:rPr>
              <w:t>Indicator</w:t>
            </w:r>
          </w:p>
        </w:tc>
        <w:tc>
          <w:tcPr>
            <w:tcW w:w="1560" w:type="dxa"/>
            <w:vMerge w:val="restart"/>
            <w:tcBorders>
              <w:left w:val="nil"/>
              <w:bottom w:val="nil"/>
              <w:right w:val="nil"/>
            </w:tcBorders>
          </w:tcPr>
          <w:p w:rsidR="006E1FC2" w:rsidRPr="006E1FC2" w:rsidRDefault="006E1FC2" w:rsidP="006E1FC2">
            <w:pPr>
              <w:pStyle w:val="TableText"/>
              <w:jc w:val="center"/>
              <w:rPr>
                <w:b/>
              </w:rPr>
            </w:pPr>
            <w:r w:rsidRPr="006E1FC2">
              <w:rPr>
                <w:b/>
              </w:rPr>
              <w:t>2014/15 year prevalence (%)</w:t>
            </w:r>
          </w:p>
        </w:tc>
        <w:tc>
          <w:tcPr>
            <w:tcW w:w="4394" w:type="dxa"/>
            <w:gridSpan w:val="2"/>
            <w:tcBorders>
              <w:left w:val="nil"/>
              <w:bottom w:val="single" w:sz="4" w:space="0" w:color="A6A6A6" w:themeColor="background1" w:themeShade="A6"/>
              <w:right w:val="nil"/>
            </w:tcBorders>
          </w:tcPr>
          <w:p w:rsidR="006E1FC2" w:rsidRPr="006E1FC2" w:rsidRDefault="006E1FC2" w:rsidP="006E1FC2">
            <w:pPr>
              <w:pStyle w:val="TableText"/>
              <w:jc w:val="center"/>
              <w:rPr>
                <w:b/>
              </w:rPr>
            </w:pPr>
            <w:r w:rsidRPr="006E1FC2">
              <w:rPr>
                <w:b/>
              </w:rPr>
              <w:t>Standard errors (%)</w:t>
            </w:r>
          </w:p>
        </w:tc>
      </w:tr>
      <w:tr w:rsidR="006E1FC2" w:rsidRPr="000F1107" w:rsidTr="006E1FC2">
        <w:trPr>
          <w:cantSplit/>
        </w:trPr>
        <w:tc>
          <w:tcPr>
            <w:tcW w:w="3402" w:type="dxa"/>
            <w:vMerge/>
            <w:tcBorders>
              <w:top w:val="nil"/>
              <w:left w:val="nil"/>
              <w:bottom w:val="single" w:sz="4" w:space="0" w:color="auto"/>
              <w:right w:val="nil"/>
            </w:tcBorders>
          </w:tcPr>
          <w:p w:rsidR="006E1FC2" w:rsidRPr="00DC3B35" w:rsidRDefault="006E1FC2" w:rsidP="006E1FC2">
            <w:pPr>
              <w:pStyle w:val="TableText"/>
            </w:pPr>
          </w:p>
        </w:tc>
        <w:tc>
          <w:tcPr>
            <w:tcW w:w="1560" w:type="dxa"/>
            <w:vMerge/>
            <w:tcBorders>
              <w:top w:val="nil"/>
              <w:left w:val="nil"/>
              <w:bottom w:val="single" w:sz="4" w:space="0" w:color="auto"/>
              <w:right w:val="nil"/>
            </w:tcBorders>
          </w:tcPr>
          <w:p w:rsidR="006E1FC2" w:rsidRPr="006E1FC2" w:rsidDel="008B6DFE" w:rsidRDefault="006E1FC2" w:rsidP="006E1FC2">
            <w:pPr>
              <w:pStyle w:val="TableText"/>
              <w:jc w:val="center"/>
              <w:rPr>
                <w:b/>
              </w:rPr>
            </w:pPr>
          </w:p>
        </w:tc>
        <w:tc>
          <w:tcPr>
            <w:tcW w:w="1417" w:type="dxa"/>
            <w:tcBorders>
              <w:top w:val="single" w:sz="4" w:space="0" w:color="A6A6A6" w:themeColor="background1" w:themeShade="A6"/>
              <w:left w:val="nil"/>
              <w:bottom w:val="single" w:sz="4" w:space="0" w:color="auto"/>
              <w:right w:val="nil"/>
            </w:tcBorders>
          </w:tcPr>
          <w:p w:rsidR="006E1FC2" w:rsidRPr="006E1FC2" w:rsidRDefault="006E1FC2" w:rsidP="006E1FC2">
            <w:pPr>
              <w:pStyle w:val="TableText"/>
              <w:jc w:val="center"/>
              <w:rPr>
                <w:b/>
              </w:rPr>
            </w:pPr>
            <w:r w:rsidRPr="006E1FC2">
              <w:rPr>
                <w:b/>
              </w:rPr>
              <w:t>2014/15 year</w:t>
            </w:r>
          </w:p>
        </w:tc>
        <w:tc>
          <w:tcPr>
            <w:tcW w:w="2977" w:type="dxa"/>
            <w:tcBorders>
              <w:top w:val="single" w:sz="4" w:space="0" w:color="A6A6A6" w:themeColor="background1" w:themeShade="A6"/>
              <w:left w:val="nil"/>
              <w:bottom w:val="single" w:sz="4" w:space="0" w:color="auto"/>
              <w:right w:val="nil"/>
            </w:tcBorders>
          </w:tcPr>
          <w:p w:rsidR="006E1FC2" w:rsidRPr="006E1FC2" w:rsidDel="008B6DFE" w:rsidRDefault="006E1FC2" w:rsidP="006E1FC2">
            <w:pPr>
              <w:pStyle w:val="TableText"/>
              <w:jc w:val="center"/>
              <w:rPr>
                <w:b/>
              </w:rPr>
            </w:pPr>
            <w:r>
              <w:rPr>
                <w:b/>
              </w:rPr>
              <w:t>C</w:t>
            </w:r>
            <w:r w:rsidRPr="006E1FC2">
              <w:rPr>
                <w:b/>
              </w:rPr>
              <w:t>hange from 2013/14 to 2014/15</w:t>
            </w:r>
          </w:p>
        </w:tc>
      </w:tr>
      <w:tr w:rsidR="00F44703" w:rsidRPr="006D5FE2" w:rsidTr="006E1FC2">
        <w:trPr>
          <w:cantSplit/>
        </w:trPr>
        <w:tc>
          <w:tcPr>
            <w:tcW w:w="3402" w:type="dxa"/>
            <w:tcBorders>
              <w:top w:val="single" w:sz="4" w:space="0" w:color="auto"/>
              <w:left w:val="nil"/>
              <w:bottom w:val="single" w:sz="4" w:space="0" w:color="A6A6A6" w:themeColor="background1" w:themeShade="A6"/>
              <w:right w:val="nil"/>
            </w:tcBorders>
          </w:tcPr>
          <w:p w:rsidR="00F44703" w:rsidRPr="00DC3B35" w:rsidRDefault="00F44703" w:rsidP="006E1FC2">
            <w:pPr>
              <w:pStyle w:val="TableText"/>
            </w:pPr>
            <w:r w:rsidRPr="00DC3B35">
              <w:t>Poor or very poor self-assessed health</w:t>
            </w:r>
          </w:p>
        </w:tc>
        <w:tc>
          <w:tcPr>
            <w:tcW w:w="1560" w:type="dxa"/>
            <w:tcBorders>
              <w:top w:val="single" w:sz="4" w:space="0" w:color="auto"/>
              <w:left w:val="nil"/>
              <w:bottom w:val="single" w:sz="4" w:space="0" w:color="A6A6A6" w:themeColor="background1" w:themeShade="A6"/>
              <w:right w:val="nil"/>
            </w:tcBorders>
          </w:tcPr>
          <w:p w:rsidR="00F44703" w:rsidRPr="00456C55" w:rsidRDefault="00F44703" w:rsidP="006E1FC2">
            <w:pPr>
              <w:pStyle w:val="TableText"/>
              <w:tabs>
                <w:tab w:val="decimal" w:pos="756"/>
              </w:tabs>
            </w:pPr>
            <w:r w:rsidRPr="00456C55">
              <w:t>14.</w:t>
            </w:r>
            <w:r>
              <w:t>5</w:t>
            </w:r>
          </w:p>
        </w:tc>
        <w:tc>
          <w:tcPr>
            <w:tcW w:w="1417" w:type="dxa"/>
            <w:tcBorders>
              <w:top w:val="single" w:sz="4" w:space="0" w:color="auto"/>
              <w:left w:val="nil"/>
              <w:bottom w:val="single" w:sz="4" w:space="0" w:color="A6A6A6" w:themeColor="background1" w:themeShade="A6"/>
              <w:right w:val="nil"/>
            </w:tcBorders>
          </w:tcPr>
          <w:p w:rsidR="00F44703" w:rsidRPr="00456C55" w:rsidRDefault="00F44703" w:rsidP="006E1FC2">
            <w:pPr>
              <w:pStyle w:val="TableText"/>
              <w:jc w:val="center"/>
            </w:pPr>
            <w:r w:rsidRPr="00F7619F">
              <w:t>0.82</w:t>
            </w:r>
          </w:p>
        </w:tc>
        <w:tc>
          <w:tcPr>
            <w:tcW w:w="2977" w:type="dxa"/>
            <w:tcBorders>
              <w:top w:val="single" w:sz="4" w:space="0" w:color="auto"/>
              <w:left w:val="nil"/>
              <w:bottom w:val="single" w:sz="4" w:space="0" w:color="A6A6A6" w:themeColor="background1" w:themeShade="A6"/>
              <w:right w:val="nil"/>
            </w:tcBorders>
          </w:tcPr>
          <w:p w:rsidR="00F44703" w:rsidRPr="00456C55" w:rsidRDefault="00F44703" w:rsidP="006E1FC2">
            <w:pPr>
              <w:pStyle w:val="TableText"/>
              <w:jc w:val="center"/>
            </w:pPr>
            <w:r w:rsidRPr="00F7619F">
              <w:t>1.28</w:t>
            </w:r>
          </w:p>
        </w:tc>
      </w:tr>
      <w:tr w:rsidR="00F44703" w:rsidRPr="006D5FE2" w:rsidTr="006E1FC2">
        <w:trPr>
          <w:cantSplit/>
        </w:trPr>
        <w:tc>
          <w:tcPr>
            <w:tcW w:w="3402"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Current smoking</w:t>
            </w:r>
          </w:p>
        </w:tc>
        <w:tc>
          <w:tcPr>
            <w:tcW w:w="1560"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756"/>
              </w:tabs>
            </w:pPr>
            <w:r w:rsidRPr="00456C55">
              <w:t>37.7</w:t>
            </w:r>
          </w:p>
        </w:tc>
        <w:tc>
          <w:tcPr>
            <w:tcW w:w="141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1.39</w:t>
            </w:r>
          </w:p>
        </w:tc>
        <w:tc>
          <w:tcPr>
            <w:tcW w:w="297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1.95</w:t>
            </w:r>
          </w:p>
        </w:tc>
      </w:tr>
      <w:tr w:rsidR="00F44703" w:rsidRPr="006D5FE2" w:rsidTr="006E1FC2">
        <w:trPr>
          <w:cantSplit/>
        </w:trPr>
        <w:tc>
          <w:tcPr>
            <w:tcW w:w="3402"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Hazardous drinker</w:t>
            </w:r>
          </w:p>
        </w:tc>
        <w:tc>
          <w:tcPr>
            <w:tcW w:w="1560"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756"/>
              </w:tabs>
            </w:pPr>
            <w:r w:rsidRPr="00456C55">
              <w:t>33.</w:t>
            </w:r>
            <w:r>
              <w:t>1</w:t>
            </w:r>
          </w:p>
        </w:tc>
        <w:tc>
          <w:tcPr>
            <w:tcW w:w="141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1.30</w:t>
            </w:r>
          </w:p>
        </w:tc>
        <w:tc>
          <w:tcPr>
            <w:tcW w:w="297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1.91</w:t>
            </w:r>
          </w:p>
        </w:tc>
      </w:tr>
      <w:tr w:rsidR="00F44703" w:rsidRPr="006D5FE2" w:rsidTr="006E1FC2">
        <w:trPr>
          <w:cantSplit/>
        </w:trPr>
        <w:tc>
          <w:tcPr>
            <w:tcW w:w="3402"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Obesity</w:t>
            </w:r>
          </w:p>
        </w:tc>
        <w:tc>
          <w:tcPr>
            <w:tcW w:w="1560"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756"/>
              </w:tabs>
            </w:pPr>
            <w:r w:rsidRPr="00456C55">
              <w:t>46.</w:t>
            </w:r>
            <w:r>
              <w:t>7</w:t>
            </w:r>
          </w:p>
        </w:tc>
        <w:tc>
          <w:tcPr>
            <w:tcW w:w="141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1.43</w:t>
            </w:r>
          </w:p>
        </w:tc>
        <w:tc>
          <w:tcPr>
            <w:tcW w:w="297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1.92</w:t>
            </w:r>
          </w:p>
        </w:tc>
      </w:tr>
      <w:tr w:rsidR="00F44703" w:rsidRPr="006D5FE2" w:rsidTr="006E1FC2">
        <w:trPr>
          <w:cantSplit/>
        </w:trPr>
        <w:tc>
          <w:tcPr>
            <w:tcW w:w="3402"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Psychological distress</w:t>
            </w:r>
          </w:p>
        </w:tc>
        <w:tc>
          <w:tcPr>
            <w:tcW w:w="1560"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756"/>
              </w:tabs>
            </w:pPr>
            <w:r w:rsidRPr="00456C55">
              <w:t>9.8</w:t>
            </w:r>
          </w:p>
        </w:tc>
        <w:tc>
          <w:tcPr>
            <w:tcW w:w="141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0.90</w:t>
            </w:r>
          </w:p>
        </w:tc>
        <w:tc>
          <w:tcPr>
            <w:tcW w:w="297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1.28</w:t>
            </w:r>
          </w:p>
        </w:tc>
      </w:tr>
      <w:tr w:rsidR="00F44703" w:rsidRPr="006D5FE2" w:rsidTr="006E1FC2">
        <w:trPr>
          <w:cantSplit/>
        </w:trPr>
        <w:tc>
          <w:tcPr>
            <w:tcW w:w="3402"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Unmet need for GP due to cost</w:t>
            </w:r>
          </w:p>
        </w:tc>
        <w:tc>
          <w:tcPr>
            <w:tcW w:w="1560"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756"/>
              </w:tabs>
            </w:pPr>
            <w:r w:rsidRPr="00456C55">
              <w:t>19.9</w:t>
            </w:r>
          </w:p>
        </w:tc>
        <w:tc>
          <w:tcPr>
            <w:tcW w:w="141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1.04</w:t>
            </w:r>
          </w:p>
        </w:tc>
        <w:tc>
          <w:tcPr>
            <w:tcW w:w="297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jc w:val="center"/>
            </w:pPr>
            <w:r w:rsidRPr="00F7619F">
              <w:t>1.53</w:t>
            </w:r>
          </w:p>
        </w:tc>
      </w:tr>
      <w:tr w:rsidR="00F44703" w:rsidRPr="006D5FE2" w:rsidTr="006E1FC2">
        <w:trPr>
          <w:cantSplit/>
        </w:trPr>
        <w:tc>
          <w:tcPr>
            <w:tcW w:w="3402" w:type="dxa"/>
            <w:tcBorders>
              <w:top w:val="single" w:sz="4" w:space="0" w:color="A6A6A6" w:themeColor="background1" w:themeShade="A6"/>
              <w:left w:val="nil"/>
              <w:right w:val="nil"/>
            </w:tcBorders>
          </w:tcPr>
          <w:p w:rsidR="00F44703" w:rsidRPr="00DC3B35" w:rsidRDefault="00F44703" w:rsidP="006E1FC2">
            <w:pPr>
              <w:pStyle w:val="TableText"/>
            </w:pPr>
            <w:r w:rsidRPr="00DC3B35">
              <w:t>Unfilled prescription due to cost</w:t>
            </w:r>
          </w:p>
        </w:tc>
        <w:tc>
          <w:tcPr>
            <w:tcW w:w="1560" w:type="dxa"/>
            <w:tcBorders>
              <w:top w:val="single" w:sz="4" w:space="0" w:color="A6A6A6" w:themeColor="background1" w:themeShade="A6"/>
              <w:left w:val="nil"/>
              <w:right w:val="nil"/>
            </w:tcBorders>
          </w:tcPr>
          <w:p w:rsidR="00F44703" w:rsidRPr="00456C55" w:rsidRDefault="00F44703" w:rsidP="006E1FC2">
            <w:pPr>
              <w:pStyle w:val="TableText"/>
              <w:tabs>
                <w:tab w:val="decimal" w:pos="756"/>
              </w:tabs>
            </w:pPr>
            <w:r w:rsidRPr="00456C55">
              <w:t>14.</w:t>
            </w:r>
            <w:r>
              <w:t>2</w:t>
            </w:r>
          </w:p>
        </w:tc>
        <w:tc>
          <w:tcPr>
            <w:tcW w:w="1417" w:type="dxa"/>
            <w:tcBorders>
              <w:top w:val="single" w:sz="4" w:space="0" w:color="A6A6A6" w:themeColor="background1" w:themeShade="A6"/>
              <w:left w:val="nil"/>
              <w:right w:val="nil"/>
            </w:tcBorders>
          </w:tcPr>
          <w:p w:rsidR="00F44703" w:rsidRPr="00456C55" w:rsidRDefault="00F44703" w:rsidP="006E1FC2">
            <w:pPr>
              <w:pStyle w:val="TableText"/>
              <w:jc w:val="center"/>
            </w:pPr>
            <w:r w:rsidRPr="00F7619F">
              <w:t>0.81</w:t>
            </w:r>
          </w:p>
        </w:tc>
        <w:tc>
          <w:tcPr>
            <w:tcW w:w="2977" w:type="dxa"/>
            <w:tcBorders>
              <w:top w:val="single" w:sz="4" w:space="0" w:color="A6A6A6" w:themeColor="background1" w:themeShade="A6"/>
              <w:left w:val="nil"/>
              <w:right w:val="nil"/>
            </w:tcBorders>
          </w:tcPr>
          <w:p w:rsidR="00F44703" w:rsidRPr="00456C55" w:rsidRDefault="00F44703" w:rsidP="006E1FC2">
            <w:pPr>
              <w:pStyle w:val="TableText"/>
              <w:jc w:val="center"/>
            </w:pPr>
            <w:r w:rsidRPr="00F7619F">
              <w:t>1.25</w:t>
            </w:r>
          </w:p>
        </w:tc>
      </w:tr>
    </w:tbl>
    <w:p w:rsidR="00F44703" w:rsidRDefault="00F44703" w:rsidP="006E1FC2"/>
    <w:p w:rsidR="00F44703" w:rsidRPr="000F1107" w:rsidRDefault="00F44703" w:rsidP="006E1FC2">
      <w:pPr>
        <w:pStyle w:val="Table"/>
      </w:pPr>
      <w:bookmarkStart w:id="28" w:name="_Toc467672201"/>
      <w:bookmarkStart w:id="29" w:name="_Toc467700417"/>
      <w:r w:rsidRPr="00CE4B7F">
        <w:lastRenderedPageBreak/>
        <w:t xml:space="preserve">Table </w:t>
      </w:r>
      <w:r>
        <w:t>4</w:t>
      </w:r>
      <w:r w:rsidRPr="00CE4B7F">
        <w:t>:</w:t>
      </w:r>
      <w:r w:rsidR="006E1FC2">
        <w:t xml:space="preserve"> </w:t>
      </w:r>
      <w:r>
        <w:t xml:space="preserve">Achieved standard errors of differences in the 2014/15 year </w:t>
      </w:r>
      <w:proofErr w:type="spellStart"/>
      <w:r>
        <w:t>prevalences</w:t>
      </w:r>
      <w:proofErr w:type="spellEnd"/>
      <w:r>
        <w:t xml:space="preserve"> between </w:t>
      </w:r>
      <w:r w:rsidRPr="000F1107">
        <w:t>Māori</w:t>
      </w:r>
      <w:r>
        <w:t>/non-</w:t>
      </w:r>
      <w:r w:rsidRPr="000F1107">
        <w:t>Māori</w:t>
      </w:r>
      <w:r>
        <w:t xml:space="preserve">, Pacific/non-Pacific and highest/lowest </w:t>
      </w:r>
      <w:proofErr w:type="spellStart"/>
      <w:r>
        <w:t>NZDep</w:t>
      </w:r>
      <w:proofErr w:type="spellEnd"/>
      <w:r>
        <w:t xml:space="preserve"> 2013 quintile</w:t>
      </w:r>
      <w:bookmarkEnd w:id="28"/>
      <w:bookmarkEnd w:id="29"/>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977"/>
        <w:gridCol w:w="1736"/>
        <w:gridCol w:w="1482"/>
        <w:gridCol w:w="1616"/>
        <w:gridCol w:w="1545"/>
      </w:tblGrid>
      <w:tr w:rsidR="006E1FC2" w:rsidRPr="000F1107" w:rsidTr="006E1FC2">
        <w:trPr>
          <w:cantSplit/>
        </w:trPr>
        <w:tc>
          <w:tcPr>
            <w:tcW w:w="2977" w:type="dxa"/>
            <w:vMerge w:val="restart"/>
          </w:tcPr>
          <w:p w:rsidR="006E1FC2" w:rsidRPr="00DC3B35" w:rsidRDefault="006E1FC2" w:rsidP="00E42C29">
            <w:pPr>
              <w:pStyle w:val="TableText"/>
              <w:rPr>
                <w:b/>
              </w:rPr>
            </w:pPr>
            <w:r>
              <w:rPr>
                <w:b/>
              </w:rPr>
              <w:t>Indicator</w:t>
            </w:r>
          </w:p>
        </w:tc>
        <w:tc>
          <w:tcPr>
            <w:tcW w:w="1736" w:type="dxa"/>
            <w:vMerge w:val="restart"/>
          </w:tcPr>
          <w:p w:rsidR="006E1FC2" w:rsidRPr="00DC3B35" w:rsidRDefault="006E1FC2" w:rsidP="00E42C29">
            <w:pPr>
              <w:pStyle w:val="TableText"/>
              <w:jc w:val="center"/>
              <w:rPr>
                <w:b/>
              </w:rPr>
            </w:pPr>
            <w:r w:rsidRPr="00DC3B35">
              <w:rPr>
                <w:b/>
              </w:rPr>
              <w:t xml:space="preserve">2014/15 </w:t>
            </w:r>
            <w:r>
              <w:rPr>
                <w:b/>
              </w:rPr>
              <w:t xml:space="preserve">year </w:t>
            </w:r>
            <w:r w:rsidRPr="00DC3B35">
              <w:rPr>
                <w:b/>
              </w:rPr>
              <w:t>prevalence (%)</w:t>
            </w:r>
          </w:p>
        </w:tc>
        <w:tc>
          <w:tcPr>
            <w:tcW w:w="4643" w:type="dxa"/>
            <w:gridSpan w:val="3"/>
            <w:tcBorders>
              <w:bottom w:val="single" w:sz="4" w:space="0" w:color="A6A6A6" w:themeColor="background1" w:themeShade="A6"/>
            </w:tcBorders>
          </w:tcPr>
          <w:p w:rsidR="006E1FC2" w:rsidRDefault="006E1FC2" w:rsidP="006E1FC2">
            <w:pPr>
              <w:pStyle w:val="TableText"/>
              <w:jc w:val="center"/>
              <w:rPr>
                <w:b/>
              </w:rPr>
            </w:pPr>
            <w:r>
              <w:rPr>
                <w:b/>
              </w:rPr>
              <w:t xml:space="preserve">Standard error of differences in </w:t>
            </w:r>
            <w:proofErr w:type="spellStart"/>
            <w:r>
              <w:rPr>
                <w:b/>
              </w:rPr>
              <w:t>prevalences</w:t>
            </w:r>
            <w:proofErr w:type="spellEnd"/>
            <w:r>
              <w:rPr>
                <w:b/>
              </w:rPr>
              <w:t xml:space="preserve"> (%)</w:t>
            </w:r>
          </w:p>
        </w:tc>
      </w:tr>
      <w:tr w:rsidR="006E1FC2" w:rsidRPr="000F1107" w:rsidTr="006E1FC2">
        <w:trPr>
          <w:cantSplit/>
        </w:trPr>
        <w:tc>
          <w:tcPr>
            <w:tcW w:w="2977" w:type="dxa"/>
            <w:vMerge/>
            <w:tcBorders>
              <w:bottom w:val="single" w:sz="4" w:space="0" w:color="auto"/>
            </w:tcBorders>
          </w:tcPr>
          <w:p w:rsidR="006E1FC2" w:rsidRPr="00DC3B35" w:rsidRDefault="006E1FC2" w:rsidP="00E42C29">
            <w:pPr>
              <w:pStyle w:val="TableText"/>
              <w:rPr>
                <w:b/>
              </w:rPr>
            </w:pPr>
          </w:p>
        </w:tc>
        <w:tc>
          <w:tcPr>
            <w:tcW w:w="1736" w:type="dxa"/>
            <w:vMerge/>
            <w:tcBorders>
              <w:bottom w:val="single" w:sz="4" w:space="0" w:color="auto"/>
            </w:tcBorders>
          </w:tcPr>
          <w:p w:rsidR="006E1FC2" w:rsidRPr="00DC3B35" w:rsidDel="008B6DFE" w:rsidRDefault="006E1FC2" w:rsidP="00E42C29">
            <w:pPr>
              <w:pStyle w:val="TableText"/>
              <w:jc w:val="center"/>
              <w:rPr>
                <w:b/>
              </w:rPr>
            </w:pPr>
          </w:p>
        </w:tc>
        <w:tc>
          <w:tcPr>
            <w:tcW w:w="1482" w:type="dxa"/>
            <w:tcBorders>
              <w:top w:val="single" w:sz="4" w:space="0" w:color="A6A6A6" w:themeColor="background1" w:themeShade="A6"/>
              <w:bottom w:val="single" w:sz="4" w:space="0" w:color="auto"/>
            </w:tcBorders>
          </w:tcPr>
          <w:p w:rsidR="006E1FC2" w:rsidRDefault="006E1FC2" w:rsidP="006E1FC2">
            <w:pPr>
              <w:pStyle w:val="TableText"/>
              <w:jc w:val="center"/>
              <w:rPr>
                <w:b/>
              </w:rPr>
            </w:pPr>
            <w:r w:rsidRPr="000F1107">
              <w:rPr>
                <w:b/>
              </w:rPr>
              <w:t>Māori</w:t>
            </w:r>
            <w:r>
              <w:rPr>
                <w:b/>
              </w:rPr>
              <w:t>/non-</w:t>
            </w:r>
            <w:r w:rsidRPr="000F1107">
              <w:rPr>
                <w:b/>
              </w:rPr>
              <w:t>Māori</w:t>
            </w:r>
          </w:p>
        </w:tc>
        <w:tc>
          <w:tcPr>
            <w:tcW w:w="1616" w:type="dxa"/>
            <w:tcBorders>
              <w:top w:val="single" w:sz="4" w:space="0" w:color="A6A6A6" w:themeColor="background1" w:themeShade="A6"/>
              <w:bottom w:val="single" w:sz="4" w:space="0" w:color="auto"/>
            </w:tcBorders>
          </w:tcPr>
          <w:p w:rsidR="006E1FC2" w:rsidRPr="00DC3B35" w:rsidDel="008B6DFE" w:rsidRDefault="006E1FC2" w:rsidP="00E42C29">
            <w:pPr>
              <w:pStyle w:val="TableText"/>
              <w:jc w:val="center"/>
              <w:rPr>
                <w:b/>
              </w:rPr>
            </w:pPr>
            <w:r>
              <w:rPr>
                <w:b/>
              </w:rPr>
              <w:t>Pacific/non-Pacific</w:t>
            </w:r>
          </w:p>
        </w:tc>
        <w:tc>
          <w:tcPr>
            <w:tcW w:w="1545" w:type="dxa"/>
            <w:tcBorders>
              <w:top w:val="single" w:sz="4" w:space="0" w:color="A6A6A6" w:themeColor="background1" w:themeShade="A6"/>
              <w:bottom w:val="single" w:sz="4" w:space="0" w:color="auto"/>
            </w:tcBorders>
          </w:tcPr>
          <w:p w:rsidR="006E1FC2" w:rsidRDefault="006E1FC2" w:rsidP="00E42C29">
            <w:pPr>
              <w:pStyle w:val="TableText"/>
              <w:jc w:val="center"/>
              <w:rPr>
                <w:b/>
              </w:rPr>
            </w:pPr>
            <w:r>
              <w:rPr>
                <w:b/>
              </w:rPr>
              <w:t xml:space="preserve">High/low </w:t>
            </w:r>
            <w:proofErr w:type="spellStart"/>
            <w:r>
              <w:rPr>
                <w:b/>
              </w:rPr>
              <w:t>NZDep</w:t>
            </w:r>
            <w:proofErr w:type="spellEnd"/>
            <w:r>
              <w:rPr>
                <w:b/>
              </w:rPr>
              <w:t xml:space="preserve"> 2013</w:t>
            </w:r>
          </w:p>
        </w:tc>
      </w:tr>
      <w:tr w:rsidR="00F44703" w:rsidRPr="006D5FE2" w:rsidTr="006E1FC2">
        <w:trPr>
          <w:cantSplit/>
        </w:trPr>
        <w:tc>
          <w:tcPr>
            <w:tcW w:w="2977" w:type="dxa"/>
            <w:tcBorders>
              <w:top w:val="single" w:sz="4" w:space="0" w:color="auto"/>
              <w:bottom w:val="single" w:sz="4" w:space="0" w:color="A6A6A6" w:themeColor="background1" w:themeShade="A6"/>
            </w:tcBorders>
          </w:tcPr>
          <w:p w:rsidR="00F44703" w:rsidRPr="00DC3B35" w:rsidRDefault="00F44703" w:rsidP="006E1FC2">
            <w:pPr>
              <w:pStyle w:val="TableText"/>
            </w:pPr>
            <w:r w:rsidRPr="00DC3B35">
              <w:t>Poor or very poor self-assessed health</w:t>
            </w:r>
          </w:p>
        </w:tc>
        <w:tc>
          <w:tcPr>
            <w:tcW w:w="1736" w:type="dxa"/>
            <w:tcBorders>
              <w:top w:val="single" w:sz="4" w:space="0" w:color="auto"/>
              <w:bottom w:val="single" w:sz="4" w:space="0" w:color="A6A6A6" w:themeColor="background1" w:themeShade="A6"/>
            </w:tcBorders>
          </w:tcPr>
          <w:p w:rsidR="00F44703" w:rsidRPr="00DC3B35" w:rsidRDefault="00F44703" w:rsidP="006E1FC2">
            <w:pPr>
              <w:pStyle w:val="TableText"/>
              <w:tabs>
                <w:tab w:val="decimal" w:pos="841"/>
              </w:tabs>
            </w:pPr>
            <w:r w:rsidRPr="005F010C">
              <w:t>10.7</w:t>
            </w:r>
          </w:p>
        </w:tc>
        <w:tc>
          <w:tcPr>
            <w:tcW w:w="1482" w:type="dxa"/>
            <w:tcBorders>
              <w:top w:val="single" w:sz="4" w:space="0" w:color="auto"/>
              <w:bottom w:val="single" w:sz="4" w:space="0" w:color="A6A6A6" w:themeColor="background1" w:themeShade="A6"/>
            </w:tcBorders>
          </w:tcPr>
          <w:p w:rsidR="00F44703" w:rsidRPr="00456C55" w:rsidRDefault="00F44703" w:rsidP="006E1FC2">
            <w:pPr>
              <w:pStyle w:val="TableText"/>
              <w:jc w:val="center"/>
            </w:pPr>
            <w:r w:rsidRPr="00F7619F">
              <w:t>1.04</w:t>
            </w:r>
          </w:p>
        </w:tc>
        <w:tc>
          <w:tcPr>
            <w:tcW w:w="1616" w:type="dxa"/>
            <w:tcBorders>
              <w:top w:val="single" w:sz="4" w:space="0" w:color="auto"/>
              <w:bottom w:val="single" w:sz="4" w:space="0" w:color="A6A6A6" w:themeColor="background1" w:themeShade="A6"/>
            </w:tcBorders>
          </w:tcPr>
          <w:p w:rsidR="00F44703" w:rsidRPr="00456C55" w:rsidRDefault="00F44703" w:rsidP="006E1FC2">
            <w:pPr>
              <w:pStyle w:val="TableText"/>
              <w:jc w:val="center"/>
            </w:pPr>
            <w:r w:rsidRPr="00F7619F">
              <w:t>1.55</w:t>
            </w:r>
          </w:p>
        </w:tc>
        <w:tc>
          <w:tcPr>
            <w:tcW w:w="1545" w:type="dxa"/>
            <w:tcBorders>
              <w:top w:val="single" w:sz="4" w:space="0" w:color="auto"/>
              <w:bottom w:val="single" w:sz="4" w:space="0" w:color="A6A6A6" w:themeColor="background1" w:themeShade="A6"/>
            </w:tcBorders>
          </w:tcPr>
          <w:p w:rsidR="00F44703" w:rsidRPr="00456C55" w:rsidRDefault="00F44703" w:rsidP="006E1FC2">
            <w:pPr>
              <w:pStyle w:val="TableText"/>
              <w:jc w:val="center"/>
            </w:pPr>
            <w:r w:rsidRPr="00F7619F">
              <w:t>1.74</w:t>
            </w:r>
          </w:p>
        </w:tc>
      </w:tr>
      <w:tr w:rsidR="00F44703" w:rsidRPr="006D5FE2" w:rsidTr="006E1FC2">
        <w:trPr>
          <w:cantSplit/>
        </w:trPr>
        <w:tc>
          <w:tcPr>
            <w:tcW w:w="2977" w:type="dxa"/>
            <w:tcBorders>
              <w:top w:val="single" w:sz="4" w:space="0" w:color="A6A6A6" w:themeColor="background1" w:themeShade="A6"/>
              <w:bottom w:val="single" w:sz="4" w:space="0" w:color="A6A6A6" w:themeColor="background1" w:themeShade="A6"/>
            </w:tcBorders>
          </w:tcPr>
          <w:p w:rsidR="00F44703" w:rsidRPr="00DC3B35" w:rsidRDefault="00F44703" w:rsidP="006E1FC2">
            <w:pPr>
              <w:pStyle w:val="TableText"/>
            </w:pPr>
            <w:r w:rsidRPr="00DC3B35">
              <w:t>Current smoking</w:t>
            </w:r>
          </w:p>
        </w:tc>
        <w:tc>
          <w:tcPr>
            <w:tcW w:w="1736" w:type="dxa"/>
            <w:tcBorders>
              <w:top w:val="single" w:sz="4" w:space="0" w:color="A6A6A6" w:themeColor="background1" w:themeShade="A6"/>
              <w:bottom w:val="single" w:sz="4" w:space="0" w:color="A6A6A6" w:themeColor="background1" w:themeShade="A6"/>
            </w:tcBorders>
          </w:tcPr>
          <w:p w:rsidR="00F44703" w:rsidRPr="00DC3B35" w:rsidRDefault="00F44703" w:rsidP="006E1FC2">
            <w:pPr>
              <w:pStyle w:val="TableText"/>
              <w:tabs>
                <w:tab w:val="decimal" w:pos="841"/>
              </w:tabs>
            </w:pPr>
            <w:r w:rsidRPr="005F010C">
              <w:t>16.4</w:t>
            </w:r>
          </w:p>
        </w:tc>
        <w:tc>
          <w:tcPr>
            <w:tcW w:w="1482"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1.37</w:t>
            </w:r>
          </w:p>
        </w:tc>
        <w:tc>
          <w:tcPr>
            <w:tcW w:w="1616"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1.64</w:t>
            </w:r>
          </w:p>
        </w:tc>
        <w:tc>
          <w:tcPr>
            <w:tcW w:w="1545"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1.23</w:t>
            </w:r>
          </w:p>
        </w:tc>
      </w:tr>
      <w:tr w:rsidR="00F44703" w:rsidRPr="006D5FE2" w:rsidTr="006E1FC2">
        <w:trPr>
          <w:cantSplit/>
        </w:trPr>
        <w:tc>
          <w:tcPr>
            <w:tcW w:w="2977" w:type="dxa"/>
            <w:tcBorders>
              <w:top w:val="single" w:sz="4" w:space="0" w:color="A6A6A6" w:themeColor="background1" w:themeShade="A6"/>
              <w:bottom w:val="single" w:sz="4" w:space="0" w:color="A6A6A6" w:themeColor="background1" w:themeShade="A6"/>
            </w:tcBorders>
          </w:tcPr>
          <w:p w:rsidR="00F44703" w:rsidRPr="00DC3B35" w:rsidRDefault="00F44703" w:rsidP="006E1FC2">
            <w:pPr>
              <w:pStyle w:val="TableText"/>
            </w:pPr>
            <w:r w:rsidRPr="00DC3B35">
              <w:t>Hazardous drinker</w:t>
            </w:r>
          </w:p>
        </w:tc>
        <w:tc>
          <w:tcPr>
            <w:tcW w:w="1736" w:type="dxa"/>
            <w:tcBorders>
              <w:top w:val="single" w:sz="4" w:space="0" w:color="A6A6A6" w:themeColor="background1" w:themeShade="A6"/>
              <w:bottom w:val="single" w:sz="4" w:space="0" w:color="A6A6A6" w:themeColor="background1" w:themeShade="A6"/>
            </w:tcBorders>
          </w:tcPr>
          <w:p w:rsidR="00F44703" w:rsidRPr="00DC3B35" w:rsidRDefault="00F44703" w:rsidP="006E1FC2">
            <w:pPr>
              <w:pStyle w:val="TableText"/>
              <w:tabs>
                <w:tab w:val="decimal" w:pos="841"/>
              </w:tabs>
            </w:pPr>
            <w:r w:rsidRPr="005F010C">
              <w:t>18.0</w:t>
            </w:r>
          </w:p>
        </w:tc>
        <w:tc>
          <w:tcPr>
            <w:tcW w:w="1482"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1.28</w:t>
            </w:r>
          </w:p>
        </w:tc>
        <w:tc>
          <w:tcPr>
            <w:tcW w:w="1616"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1.91</w:t>
            </w:r>
          </w:p>
        </w:tc>
        <w:tc>
          <w:tcPr>
            <w:tcW w:w="1545"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1.55</w:t>
            </w:r>
          </w:p>
        </w:tc>
      </w:tr>
      <w:tr w:rsidR="00F44703" w:rsidRPr="006D5FE2" w:rsidTr="006E1FC2">
        <w:trPr>
          <w:cantSplit/>
        </w:trPr>
        <w:tc>
          <w:tcPr>
            <w:tcW w:w="2977" w:type="dxa"/>
            <w:tcBorders>
              <w:top w:val="single" w:sz="4" w:space="0" w:color="A6A6A6" w:themeColor="background1" w:themeShade="A6"/>
              <w:bottom w:val="single" w:sz="4" w:space="0" w:color="A6A6A6" w:themeColor="background1" w:themeShade="A6"/>
            </w:tcBorders>
          </w:tcPr>
          <w:p w:rsidR="00F44703" w:rsidRPr="00DC3B35" w:rsidRDefault="00F44703" w:rsidP="006E1FC2">
            <w:pPr>
              <w:pStyle w:val="TableText"/>
            </w:pPr>
            <w:r w:rsidRPr="00DC3B35">
              <w:t>Obesity</w:t>
            </w:r>
          </w:p>
        </w:tc>
        <w:tc>
          <w:tcPr>
            <w:tcW w:w="1736" w:type="dxa"/>
            <w:tcBorders>
              <w:top w:val="single" w:sz="4" w:space="0" w:color="A6A6A6" w:themeColor="background1" w:themeShade="A6"/>
              <w:bottom w:val="single" w:sz="4" w:space="0" w:color="A6A6A6" w:themeColor="background1" w:themeShade="A6"/>
            </w:tcBorders>
          </w:tcPr>
          <w:p w:rsidR="00F44703" w:rsidRPr="00DC3B35" w:rsidRDefault="00F44703" w:rsidP="006E1FC2">
            <w:pPr>
              <w:pStyle w:val="TableText"/>
              <w:tabs>
                <w:tab w:val="decimal" w:pos="841"/>
              </w:tabs>
            </w:pPr>
            <w:r w:rsidRPr="005F010C">
              <w:t>30.8</w:t>
            </w:r>
          </w:p>
        </w:tc>
        <w:tc>
          <w:tcPr>
            <w:tcW w:w="1482"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1.41</w:t>
            </w:r>
          </w:p>
        </w:tc>
        <w:tc>
          <w:tcPr>
            <w:tcW w:w="1616"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2.29</w:t>
            </w:r>
          </w:p>
        </w:tc>
        <w:tc>
          <w:tcPr>
            <w:tcW w:w="1545"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2.22</w:t>
            </w:r>
          </w:p>
        </w:tc>
      </w:tr>
      <w:tr w:rsidR="00F44703" w:rsidRPr="006D5FE2" w:rsidTr="006E1FC2">
        <w:trPr>
          <w:cantSplit/>
        </w:trPr>
        <w:tc>
          <w:tcPr>
            <w:tcW w:w="2977" w:type="dxa"/>
            <w:tcBorders>
              <w:top w:val="single" w:sz="4" w:space="0" w:color="A6A6A6" w:themeColor="background1" w:themeShade="A6"/>
              <w:bottom w:val="single" w:sz="4" w:space="0" w:color="A6A6A6" w:themeColor="background1" w:themeShade="A6"/>
            </w:tcBorders>
          </w:tcPr>
          <w:p w:rsidR="00F44703" w:rsidRPr="00DC3B35" w:rsidRDefault="00F44703" w:rsidP="006E1FC2">
            <w:pPr>
              <w:pStyle w:val="TableText"/>
            </w:pPr>
            <w:r w:rsidRPr="00DC3B35">
              <w:t>Psychological distress</w:t>
            </w:r>
          </w:p>
        </w:tc>
        <w:tc>
          <w:tcPr>
            <w:tcW w:w="1736" w:type="dxa"/>
            <w:tcBorders>
              <w:top w:val="single" w:sz="4" w:space="0" w:color="A6A6A6" w:themeColor="background1" w:themeShade="A6"/>
              <w:bottom w:val="single" w:sz="4" w:space="0" w:color="A6A6A6" w:themeColor="background1" w:themeShade="A6"/>
            </w:tcBorders>
          </w:tcPr>
          <w:p w:rsidR="00F44703" w:rsidRPr="00DC3B35" w:rsidRDefault="00F44703" w:rsidP="006E1FC2">
            <w:pPr>
              <w:pStyle w:val="TableText"/>
              <w:tabs>
                <w:tab w:val="decimal" w:pos="841"/>
              </w:tabs>
            </w:pPr>
            <w:r w:rsidRPr="005F010C">
              <w:t>6.1</w:t>
            </w:r>
          </w:p>
        </w:tc>
        <w:tc>
          <w:tcPr>
            <w:tcW w:w="1482"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0.88</w:t>
            </w:r>
          </w:p>
        </w:tc>
        <w:tc>
          <w:tcPr>
            <w:tcW w:w="1616"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1.28</w:t>
            </w:r>
          </w:p>
        </w:tc>
        <w:tc>
          <w:tcPr>
            <w:tcW w:w="1545"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0.99</w:t>
            </w:r>
          </w:p>
        </w:tc>
      </w:tr>
      <w:tr w:rsidR="00F44703" w:rsidRPr="006D5FE2" w:rsidTr="006E1FC2">
        <w:trPr>
          <w:cantSplit/>
        </w:trPr>
        <w:tc>
          <w:tcPr>
            <w:tcW w:w="2977" w:type="dxa"/>
            <w:tcBorders>
              <w:top w:val="single" w:sz="4" w:space="0" w:color="A6A6A6" w:themeColor="background1" w:themeShade="A6"/>
              <w:bottom w:val="single" w:sz="4" w:space="0" w:color="A6A6A6" w:themeColor="background1" w:themeShade="A6"/>
            </w:tcBorders>
          </w:tcPr>
          <w:p w:rsidR="00F44703" w:rsidRPr="00DC3B35" w:rsidRDefault="00F44703" w:rsidP="006E1FC2">
            <w:pPr>
              <w:pStyle w:val="TableText"/>
            </w:pPr>
            <w:r w:rsidRPr="00DC3B35">
              <w:t>Unmet need for GP due to cost</w:t>
            </w:r>
          </w:p>
        </w:tc>
        <w:tc>
          <w:tcPr>
            <w:tcW w:w="1736" w:type="dxa"/>
            <w:tcBorders>
              <w:top w:val="single" w:sz="4" w:space="0" w:color="A6A6A6" w:themeColor="background1" w:themeShade="A6"/>
              <w:bottom w:val="single" w:sz="4" w:space="0" w:color="A6A6A6" w:themeColor="background1" w:themeShade="A6"/>
            </w:tcBorders>
          </w:tcPr>
          <w:p w:rsidR="00F44703" w:rsidRPr="00DC3B35" w:rsidRDefault="00F44703" w:rsidP="006E1FC2">
            <w:pPr>
              <w:pStyle w:val="TableText"/>
              <w:tabs>
                <w:tab w:val="decimal" w:pos="841"/>
              </w:tabs>
            </w:pPr>
            <w:r w:rsidRPr="005F010C">
              <w:t>13.7</w:t>
            </w:r>
          </w:p>
        </w:tc>
        <w:tc>
          <w:tcPr>
            <w:tcW w:w="1482"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1.06</w:t>
            </w:r>
          </w:p>
        </w:tc>
        <w:tc>
          <w:tcPr>
            <w:tcW w:w="1616"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1.96</w:t>
            </w:r>
          </w:p>
        </w:tc>
        <w:tc>
          <w:tcPr>
            <w:tcW w:w="1545" w:type="dxa"/>
            <w:tcBorders>
              <w:top w:val="single" w:sz="4" w:space="0" w:color="A6A6A6" w:themeColor="background1" w:themeShade="A6"/>
              <w:bottom w:val="single" w:sz="4" w:space="0" w:color="A6A6A6" w:themeColor="background1" w:themeShade="A6"/>
            </w:tcBorders>
          </w:tcPr>
          <w:p w:rsidR="00F44703" w:rsidRPr="00456C55" w:rsidRDefault="00F44703" w:rsidP="006E1FC2">
            <w:pPr>
              <w:pStyle w:val="TableText"/>
              <w:jc w:val="center"/>
            </w:pPr>
            <w:r w:rsidRPr="00F7619F">
              <w:t>1.57</w:t>
            </w:r>
          </w:p>
        </w:tc>
      </w:tr>
      <w:tr w:rsidR="00F44703" w:rsidRPr="006D5FE2" w:rsidTr="006E1FC2">
        <w:trPr>
          <w:cantSplit/>
        </w:trPr>
        <w:tc>
          <w:tcPr>
            <w:tcW w:w="2977" w:type="dxa"/>
            <w:tcBorders>
              <w:top w:val="single" w:sz="4" w:space="0" w:color="A6A6A6" w:themeColor="background1" w:themeShade="A6"/>
            </w:tcBorders>
          </w:tcPr>
          <w:p w:rsidR="00F44703" w:rsidRPr="00DC3B35" w:rsidRDefault="00F44703" w:rsidP="006E1FC2">
            <w:pPr>
              <w:pStyle w:val="TableText"/>
            </w:pPr>
            <w:r w:rsidRPr="00DC3B35">
              <w:t>Unfilled prescription due to cost</w:t>
            </w:r>
          </w:p>
        </w:tc>
        <w:tc>
          <w:tcPr>
            <w:tcW w:w="1736" w:type="dxa"/>
            <w:tcBorders>
              <w:top w:val="single" w:sz="4" w:space="0" w:color="A6A6A6" w:themeColor="background1" w:themeShade="A6"/>
            </w:tcBorders>
          </w:tcPr>
          <w:p w:rsidR="00F44703" w:rsidRPr="00DC3B35" w:rsidRDefault="00F44703" w:rsidP="006E1FC2">
            <w:pPr>
              <w:pStyle w:val="TableText"/>
              <w:tabs>
                <w:tab w:val="decimal" w:pos="841"/>
              </w:tabs>
            </w:pPr>
            <w:r w:rsidRPr="005F010C">
              <w:t>6.4</w:t>
            </w:r>
          </w:p>
        </w:tc>
        <w:tc>
          <w:tcPr>
            <w:tcW w:w="1482" w:type="dxa"/>
            <w:tcBorders>
              <w:top w:val="single" w:sz="4" w:space="0" w:color="A6A6A6" w:themeColor="background1" w:themeShade="A6"/>
            </w:tcBorders>
          </w:tcPr>
          <w:p w:rsidR="00F44703" w:rsidRPr="00456C55" w:rsidRDefault="00F44703" w:rsidP="006E1FC2">
            <w:pPr>
              <w:pStyle w:val="TableText"/>
              <w:jc w:val="center"/>
            </w:pPr>
            <w:r w:rsidRPr="00F7619F">
              <w:t>0.85</w:t>
            </w:r>
          </w:p>
        </w:tc>
        <w:tc>
          <w:tcPr>
            <w:tcW w:w="1616" w:type="dxa"/>
            <w:tcBorders>
              <w:top w:val="single" w:sz="4" w:space="0" w:color="A6A6A6" w:themeColor="background1" w:themeShade="A6"/>
            </w:tcBorders>
          </w:tcPr>
          <w:p w:rsidR="00F44703" w:rsidRPr="00456C55" w:rsidRDefault="00F44703" w:rsidP="006E1FC2">
            <w:pPr>
              <w:pStyle w:val="TableText"/>
              <w:jc w:val="center"/>
            </w:pPr>
            <w:r w:rsidRPr="00F7619F">
              <w:t>1.96</w:t>
            </w:r>
          </w:p>
        </w:tc>
        <w:tc>
          <w:tcPr>
            <w:tcW w:w="1545" w:type="dxa"/>
            <w:tcBorders>
              <w:top w:val="single" w:sz="4" w:space="0" w:color="A6A6A6" w:themeColor="background1" w:themeShade="A6"/>
            </w:tcBorders>
          </w:tcPr>
          <w:p w:rsidR="00F44703" w:rsidRPr="00456C55" w:rsidRDefault="00F44703" w:rsidP="006E1FC2">
            <w:pPr>
              <w:pStyle w:val="TableText"/>
              <w:jc w:val="center"/>
            </w:pPr>
            <w:r w:rsidRPr="00F7619F">
              <w:t>0.94</w:t>
            </w:r>
          </w:p>
        </w:tc>
      </w:tr>
    </w:tbl>
    <w:p w:rsidR="00F44703" w:rsidRDefault="00F44703" w:rsidP="006E1FC2"/>
    <w:p w:rsidR="00F44703" w:rsidRPr="000F1107" w:rsidRDefault="00F44703" w:rsidP="006E1FC2">
      <w:pPr>
        <w:pStyle w:val="Table"/>
      </w:pPr>
      <w:bookmarkStart w:id="30" w:name="_Toc467672202"/>
      <w:bookmarkStart w:id="31" w:name="_Toc467700418"/>
      <w:r w:rsidRPr="00CE4B7F">
        <w:t xml:space="preserve">Table </w:t>
      </w:r>
      <w:r>
        <w:t>5</w:t>
      </w:r>
      <w:r w:rsidRPr="00CE4B7F">
        <w:t>:</w:t>
      </w:r>
      <w:r w:rsidR="006E1FC2">
        <w:t xml:space="preserve"> </w:t>
      </w:r>
      <w:r>
        <w:t xml:space="preserve">Maximum achieved standard errors for the 2014/15 year DHB </w:t>
      </w:r>
      <w:proofErr w:type="spellStart"/>
      <w:r>
        <w:t>prevalences</w:t>
      </w:r>
      <w:proofErr w:type="spellEnd"/>
      <w:r>
        <w:t xml:space="preserve"> and annual changes from 2013/14 to 2014/15</w:t>
      </w:r>
      <w:bookmarkEnd w:id="30"/>
      <w:bookmarkEnd w:id="31"/>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52"/>
        <w:gridCol w:w="1276"/>
        <w:gridCol w:w="1275"/>
        <w:gridCol w:w="2127"/>
        <w:gridCol w:w="2126"/>
      </w:tblGrid>
      <w:tr w:rsidR="006E1FC2" w:rsidRPr="006E1FC2" w:rsidTr="00E42C29">
        <w:trPr>
          <w:cantSplit/>
        </w:trPr>
        <w:tc>
          <w:tcPr>
            <w:tcW w:w="2552" w:type="dxa"/>
            <w:vMerge w:val="restart"/>
            <w:tcBorders>
              <w:left w:val="nil"/>
              <w:bottom w:val="nil"/>
              <w:right w:val="nil"/>
            </w:tcBorders>
          </w:tcPr>
          <w:p w:rsidR="006E1FC2" w:rsidRPr="006E1FC2" w:rsidRDefault="006E1FC2" w:rsidP="006E1FC2">
            <w:pPr>
              <w:pStyle w:val="TableText"/>
              <w:rPr>
                <w:b/>
              </w:rPr>
            </w:pPr>
            <w:r w:rsidRPr="006E1FC2">
              <w:rPr>
                <w:b/>
              </w:rPr>
              <w:t>Indicator</w:t>
            </w:r>
          </w:p>
        </w:tc>
        <w:tc>
          <w:tcPr>
            <w:tcW w:w="1276" w:type="dxa"/>
            <w:vMerge w:val="restart"/>
            <w:tcBorders>
              <w:left w:val="nil"/>
              <w:bottom w:val="nil"/>
              <w:right w:val="nil"/>
            </w:tcBorders>
          </w:tcPr>
          <w:p w:rsidR="006E1FC2" w:rsidRPr="006E1FC2" w:rsidRDefault="006E1FC2" w:rsidP="006E1FC2">
            <w:pPr>
              <w:pStyle w:val="TableText"/>
              <w:jc w:val="center"/>
              <w:rPr>
                <w:b/>
              </w:rPr>
            </w:pPr>
            <w:r w:rsidRPr="006E1FC2">
              <w:rPr>
                <w:b/>
              </w:rPr>
              <w:t>2014/15 year prevalence (%)</w:t>
            </w:r>
          </w:p>
        </w:tc>
        <w:tc>
          <w:tcPr>
            <w:tcW w:w="5528" w:type="dxa"/>
            <w:gridSpan w:val="3"/>
            <w:tcBorders>
              <w:left w:val="nil"/>
              <w:bottom w:val="single" w:sz="4" w:space="0" w:color="A6A6A6" w:themeColor="background1" w:themeShade="A6"/>
              <w:right w:val="nil"/>
            </w:tcBorders>
          </w:tcPr>
          <w:p w:rsidR="006E1FC2" w:rsidRPr="006E1FC2" w:rsidRDefault="006E1FC2" w:rsidP="006E1FC2">
            <w:pPr>
              <w:pStyle w:val="TableText"/>
              <w:jc w:val="center"/>
              <w:rPr>
                <w:b/>
              </w:rPr>
            </w:pPr>
            <w:r w:rsidRPr="006E1FC2">
              <w:rPr>
                <w:b/>
              </w:rPr>
              <w:t>Maximum standard error (%)</w:t>
            </w:r>
          </w:p>
        </w:tc>
      </w:tr>
      <w:tr w:rsidR="006E1FC2" w:rsidRPr="006E1FC2" w:rsidTr="00E42C29">
        <w:trPr>
          <w:cantSplit/>
        </w:trPr>
        <w:tc>
          <w:tcPr>
            <w:tcW w:w="2552" w:type="dxa"/>
            <w:vMerge/>
            <w:tcBorders>
              <w:top w:val="nil"/>
              <w:left w:val="nil"/>
              <w:bottom w:val="single" w:sz="4" w:space="0" w:color="auto"/>
              <w:right w:val="nil"/>
            </w:tcBorders>
          </w:tcPr>
          <w:p w:rsidR="006E1FC2" w:rsidRPr="006E1FC2" w:rsidRDefault="006E1FC2" w:rsidP="006E1FC2">
            <w:pPr>
              <w:pStyle w:val="TableText"/>
              <w:rPr>
                <w:b/>
              </w:rPr>
            </w:pPr>
          </w:p>
        </w:tc>
        <w:tc>
          <w:tcPr>
            <w:tcW w:w="1276" w:type="dxa"/>
            <w:vMerge/>
            <w:tcBorders>
              <w:top w:val="nil"/>
              <w:left w:val="nil"/>
              <w:bottom w:val="single" w:sz="4" w:space="0" w:color="auto"/>
              <w:right w:val="nil"/>
            </w:tcBorders>
          </w:tcPr>
          <w:p w:rsidR="006E1FC2" w:rsidRPr="006E1FC2" w:rsidDel="008B6DFE" w:rsidRDefault="006E1FC2" w:rsidP="006E1FC2">
            <w:pPr>
              <w:pStyle w:val="TableText"/>
              <w:jc w:val="center"/>
              <w:rPr>
                <w:b/>
              </w:rPr>
            </w:pPr>
          </w:p>
        </w:tc>
        <w:tc>
          <w:tcPr>
            <w:tcW w:w="1275" w:type="dxa"/>
            <w:tcBorders>
              <w:top w:val="single" w:sz="4" w:space="0" w:color="A6A6A6" w:themeColor="background1" w:themeShade="A6"/>
              <w:left w:val="nil"/>
              <w:bottom w:val="single" w:sz="4" w:space="0" w:color="auto"/>
              <w:right w:val="nil"/>
            </w:tcBorders>
          </w:tcPr>
          <w:p w:rsidR="006E1FC2" w:rsidRPr="006E1FC2" w:rsidRDefault="006E1FC2" w:rsidP="006E1FC2">
            <w:pPr>
              <w:pStyle w:val="TableText"/>
              <w:jc w:val="center"/>
              <w:rPr>
                <w:b/>
              </w:rPr>
            </w:pPr>
            <w:r w:rsidRPr="006E1FC2">
              <w:rPr>
                <w:b/>
              </w:rPr>
              <w:t>2014/15 year by DHB</w:t>
            </w:r>
          </w:p>
        </w:tc>
        <w:tc>
          <w:tcPr>
            <w:tcW w:w="2127" w:type="dxa"/>
            <w:tcBorders>
              <w:top w:val="single" w:sz="4" w:space="0" w:color="A6A6A6" w:themeColor="background1" w:themeShade="A6"/>
              <w:left w:val="nil"/>
              <w:bottom w:val="single" w:sz="4" w:space="0" w:color="auto"/>
              <w:right w:val="nil"/>
            </w:tcBorders>
          </w:tcPr>
          <w:p w:rsidR="006E1FC2" w:rsidRPr="006E1FC2" w:rsidDel="008B6DFE" w:rsidRDefault="006E1FC2" w:rsidP="006E1FC2">
            <w:pPr>
              <w:pStyle w:val="TableText"/>
              <w:jc w:val="center"/>
              <w:rPr>
                <w:b/>
              </w:rPr>
            </w:pPr>
            <w:r>
              <w:rPr>
                <w:b/>
              </w:rPr>
              <w:t>C</w:t>
            </w:r>
            <w:r w:rsidRPr="006E1FC2">
              <w:rPr>
                <w:b/>
              </w:rPr>
              <w:t>hange from 2013/14 to 2014/15 by DHB</w:t>
            </w:r>
          </w:p>
        </w:tc>
        <w:tc>
          <w:tcPr>
            <w:tcW w:w="2126" w:type="dxa"/>
            <w:tcBorders>
              <w:top w:val="single" w:sz="4" w:space="0" w:color="A6A6A6" w:themeColor="background1" w:themeShade="A6"/>
              <w:left w:val="nil"/>
              <w:bottom w:val="single" w:sz="4" w:space="0" w:color="auto"/>
              <w:right w:val="nil"/>
            </w:tcBorders>
          </w:tcPr>
          <w:p w:rsidR="006E1FC2" w:rsidRPr="006E1FC2" w:rsidRDefault="006E1FC2" w:rsidP="006E1FC2">
            <w:pPr>
              <w:pStyle w:val="TableText"/>
              <w:jc w:val="center"/>
              <w:rPr>
                <w:b/>
              </w:rPr>
            </w:pPr>
            <w:r>
              <w:rPr>
                <w:b/>
              </w:rPr>
              <w:t>D</w:t>
            </w:r>
            <w:r w:rsidRPr="006E1FC2">
              <w:rPr>
                <w:b/>
              </w:rPr>
              <w:t>ifferences between DHBs in 2014/15</w:t>
            </w:r>
          </w:p>
        </w:tc>
      </w:tr>
      <w:tr w:rsidR="006E1FC2" w:rsidRPr="006E1FC2" w:rsidTr="00E42C29">
        <w:trPr>
          <w:cantSplit/>
        </w:trPr>
        <w:tc>
          <w:tcPr>
            <w:tcW w:w="2552" w:type="dxa"/>
            <w:tcBorders>
              <w:top w:val="single" w:sz="4" w:space="0" w:color="auto"/>
              <w:left w:val="nil"/>
              <w:bottom w:val="single" w:sz="4" w:space="0" w:color="A6A6A6" w:themeColor="background1" w:themeShade="A6"/>
              <w:right w:val="nil"/>
            </w:tcBorders>
          </w:tcPr>
          <w:p w:rsidR="006E1FC2" w:rsidRPr="006E1FC2" w:rsidRDefault="006E1FC2" w:rsidP="006E1FC2">
            <w:pPr>
              <w:pStyle w:val="TableText"/>
            </w:pPr>
            <w:r w:rsidRPr="006E1FC2">
              <w:t>Poor or very poor self-assessed health</w:t>
            </w:r>
          </w:p>
        </w:tc>
        <w:tc>
          <w:tcPr>
            <w:tcW w:w="1276" w:type="dxa"/>
            <w:tcBorders>
              <w:top w:val="single" w:sz="4" w:space="0" w:color="auto"/>
              <w:left w:val="nil"/>
              <w:bottom w:val="single" w:sz="4" w:space="0" w:color="A6A6A6" w:themeColor="background1" w:themeShade="A6"/>
              <w:right w:val="nil"/>
            </w:tcBorders>
          </w:tcPr>
          <w:p w:rsidR="006E1FC2" w:rsidRPr="006E1FC2" w:rsidRDefault="006E1FC2" w:rsidP="00E42C29">
            <w:pPr>
              <w:pStyle w:val="TableText"/>
              <w:tabs>
                <w:tab w:val="decimal" w:pos="559"/>
              </w:tabs>
            </w:pPr>
            <w:r w:rsidRPr="006E1FC2">
              <w:t>10.7</w:t>
            </w:r>
          </w:p>
        </w:tc>
        <w:tc>
          <w:tcPr>
            <w:tcW w:w="1275" w:type="dxa"/>
            <w:tcBorders>
              <w:top w:val="single" w:sz="4" w:space="0" w:color="auto"/>
              <w:left w:val="nil"/>
              <w:bottom w:val="single" w:sz="4" w:space="0" w:color="A6A6A6" w:themeColor="background1" w:themeShade="A6"/>
              <w:right w:val="nil"/>
            </w:tcBorders>
          </w:tcPr>
          <w:p w:rsidR="006E1FC2" w:rsidRPr="006E1FC2" w:rsidRDefault="006E1FC2" w:rsidP="00E42C29">
            <w:pPr>
              <w:pStyle w:val="TableText"/>
              <w:tabs>
                <w:tab w:val="decimal" w:pos="510"/>
              </w:tabs>
            </w:pPr>
            <w:r w:rsidRPr="006E1FC2">
              <w:t>3.16</w:t>
            </w:r>
          </w:p>
        </w:tc>
        <w:tc>
          <w:tcPr>
            <w:tcW w:w="2127" w:type="dxa"/>
            <w:tcBorders>
              <w:top w:val="single" w:sz="4" w:space="0" w:color="auto"/>
              <w:left w:val="nil"/>
              <w:bottom w:val="single" w:sz="4" w:space="0" w:color="A6A6A6" w:themeColor="background1" w:themeShade="A6"/>
              <w:right w:val="nil"/>
            </w:tcBorders>
          </w:tcPr>
          <w:p w:rsidR="006E1FC2" w:rsidRPr="006E1FC2" w:rsidRDefault="006E1FC2" w:rsidP="006E1FC2">
            <w:pPr>
              <w:pStyle w:val="TableText"/>
              <w:tabs>
                <w:tab w:val="decimal" w:pos="966"/>
              </w:tabs>
            </w:pPr>
            <w:r w:rsidRPr="006E1FC2">
              <w:t>4.05</w:t>
            </w:r>
          </w:p>
        </w:tc>
        <w:tc>
          <w:tcPr>
            <w:tcW w:w="2126" w:type="dxa"/>
            <w:tcBorders>
              <w:top w:val="single" w:sz="4" w:space="0" w:color="auto"/>
              <w:left w:val="nil"/>
              <w:bottom w:val="single" w:sz="4" w:space="0" w:color="A6A6A6" w:themeColor="background1" w:themeShade="A6"/>
              <w:right w:val="nil"/>
            </w:tcBorders>
          </w:tcPr>
          <w:p w:rsidR="006E1FC2" w:rsidRPr="006E1FC2" w:rsidRDefault="006E1FC2" w:rsidP="006E1FC2">
            <w:pPr>
              <w:pStyle w:val="TableText"/>
              <w:tabs>
                <w:tab w:val="decimal" w:pos="966"/>
              </w:tabs>
            </w:pPr>
            <w:r w:rsidRPr="006E1FC2">
              <w:t>4.83</w:t>
            </w:r>
          </w:p>
        </w:tc>
      </w:tr>
      <w:tr w:rsidR="006E1FC2" w:rsidRPr="006D5FE2" w:rsidTr="00E42C29">
        <w:trPr>
          <w:cantSplit/>
        </w:trPr>
        <w:tc>
          <w:tcPr>
            <w:tcW w:w="2552"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Current smoking</w:t>
            </w:r>
          </w:p>
        </w:tc>
        <w:tc>
          <w:tcPr>
            <w:tcW w:w="127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E42C29">
            <w:pPr>
              <w:pStyle w:val="TableText"/>
              <w:tabs>
                <w:tab w:val="decimal" w:pos="559"/>
              </w:tabs>
            </w:pPr>
            <w:r w:rsidRPr="005F010C">
              <w:t>16.4</w:t>
            </w:r>
          </w:p>
        </w:tc>
        <w:tc>
          <w:tcPr>
            <w:tcW w:w="1275"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E42C29">
            <w:pPr>
              <w:pStyle w:val="TableText"/>
              <w:tabs>
                <w:tab w:val="decimal" w:pos="510"/>
              </w:tabs>
            </w:pPr>
            <w:r w:rsidRPr="00F7619F">
              <w:t>10.60</w:t>
            </w:r>
          </w:p>
        </w:tc>
        <w:tc>
          <w:tcPr>
            <w:tcW w:w="212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966"/>
              </w:tabs>
            </w:pPr>
            <w:r w:rsidRPr="00F7619F">
              <w:t>11.24</w:t>
            </w:r>
          </w:p>
        </w:tc>
        <w:tc>
          <w:tcPr>
            <w:tcW w:w="2126"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966"/>
              </w:tabs>
            </w:pPr>
            <w:r w:rsidRPr="00F7619F">
              <w:t>10.91</w:t>
            </w:r>
          </w:p>
        </w:tc>
      </w:tr>
      <w:tr w:rsidR="006E1FC2" w:rsidRPr="006D5FE2" w:rsidTr="00E42C29">
        <w:trPr>
          <w:cantSplit/>
        </w:trPr>
        <w:tc>
          <w:tcPr>
            <w:tcW w:w="2552"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Hazardous drinker</w:t>
            </w:r>
          </w:p>
        </w:tc>
        <w:tc>
          <w:tcPr>
            <w:tcW w:w="127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E42C29">
            <w:pPr>
              <w:pStyle w:val="TableText"/>
              <w:tabs>
                <w:tab w:val="decimal" w:pos="559"/>
              </w:tabs>
            </w:pPr>
            <w:r w:rsidRPr="005F010C">
              <w:t>18.0</w:t>
            </w:r>
          </w:p>
        </w:tc>
        <w:tc>
          <w:tcPr>
            <w:tcW w:w="1275"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E42C29">
            <w:pPr>
              <w:pStyle w:val="TableText"/>
              <w:tabs>
                <w:tab w:val="decimal" w:pos="510"/>
              </w:tabs>
            </w:pPr>
            <w:r w:rsidRPr="00F7619F">
              <w:t>10.88</w:t>
            </w:r>
          </w:p>
        </w:tc>
        <w:tc>
          <w:tcPr>
            <w:tcW w:w="212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966"/>
              </w:tabs>
            </w:pPr>
            <w:r w:rsidRPr="00F7619F">
              <w:t>11.26</w:t>
            </w:r>
          </w:p>
        </w:tc>
        <w:tc>
          <w:tcPr>
            <w:tcW w:w="2126"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966"/>
              </w:tabs>
            </w:pPr>
            <w:r w:rsidRPr="00F7619F">
              <w:t>11.96</w:t>
            </w:r>
          </w:p>
        </w:tc>
      </w:tr>
      <w:tr w:rsidR="006E1FC2" w:rsidRPr="006D5FE2" w:rsidTr="00E42C29">
        <w:trPr>
          <w:cantSplit/>
        </w:trPr>
        <w:tc>
          <w:tcPr>
            <w:tcW w:w="2552"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Obesity</w:t>
            </w:r>
          </w:p>
        </w:tc>
        <w:tc>
          <w:tcPr>
            <w:tcW w:w="127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E42C29">
            <w:pPr>
              <w:pStyle w:val="TableText"/>
              <w:tabs>
                <w:tab w:val="decimal" w:pos="559"/>
              </w:tabs>
            </w:pPr>
            <w:r w:rsidRPr="005F010C">
              <w:t>30.8</w:t>
            </w:r>
          </w:p>
        </w:tc>
        <w:tc>
          <w:tcPr>
            <w:tcW w:w="1275"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E42C29">
            <w:pPr>
              <w:pStyle w:val="TableText"/>
              <w:tabs>
                <w:tab w:val="decimal" w:pos="510"/>
              </w:tabs>
            </w:pPr>
            <w:r w:rsidRPr="00F7619F">
              <w:t>5.79</w:t>
            </w:r>
          </w:p>
        </w:tc>
        <w:tc>
          <w:tcPr>
            <w:tcW w:w="212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966"/>
              </w:tabs>
            </w:pPr>
            <w:r w:rsidRPr="00F7619F">
              <w:t>8.11</w:t>
            </w:r>
          </w:p>
        </w:tc>
        <w:tc>
          <w:tcPr>
            <w:tcW w:w="2126"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966"/>
              </w:tabs>
            </w:pPr>
            <w:r w:rsidRPr="00F7619F">
              <w:t>7.42</w:t>
            </w:r>
          </w:p>
        </w:tc>
      </w:tr>
      <w:tr w:rsidR="006E1FC2" w:rsidRPr="006D5FE2" w:rsidTr="00E42C29">
        <w:trPr>
          <w:cantSplit/>
        </w:trPr>
        <w:tc>
          <w:tcPr>
            <w:tcW w:w="2552"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Psychological distress</w:t>
            </w:r>
          </w:p>
        </w:tc>
        <w:tc>
          <w:tcPr>
            <w:tcW w:w="127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E42C29">
            <w:pPr>
              <w:pStyle w:val="TableText"/>
              <w:tabs>
                <w:tab w:val="decimal" w:pos="559"/>
              </w:tabs>
            </w:pPr>
            <w:r w:rsidRPr="005F010C">
              <w:t>6.1</w:t>
            </w:r>
          </w:p>
        </w:tc>
        <w:tc>
          <w:tcPr>
            <w:tcW w:w="1275"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E42C29">
            <w:pPr>
              <w:pStyle w:val="TableText"/>
              <w:tabs>
                <w:tab w:val="decimal" w:pos="510"/>
              </w:tabs>
            </w:pPr>
            <w:r w:rsidRPr="00F7619F">
              <w:t>3.59</w:t>
            </w:r>
          </w:p>
        </w:tc>
        <w:tc>
          <w:tcPr>
            <w:tcW w:w="212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966"/>
              </w:tabs>
            </w:pPr>
            <w:r w:rsidRPr="00F7619F">
              <w:t>3.74</w:t>
            </w:r>
          </w:p>
        </w:tc>
        <w:tc>
          <w:tcPr>
            <w:tcW w:w="2126"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966"/>
              </w:tabs>
            </w:pPr>
            <w:r w:rsidRPr="00F7619F">
              <w:t>3.95</w:t>
            </w:r>
          </w:p>
        </w:tc>
      </w:tr>
      <w:tr w:rsidR="006E1FC2" w:rsidRPr="006D5FE2" w:rsidTr="00E42C29">
        <w:trPr>
          <w:cantSplit/>
        </w:trPr>
        <w:tc>
          <w:tcPr>
            <w:tcW w:w="2552"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6E1FC2">
            <w:pPr>
              <w:pStyle w:val="TableText"/>
            </w:pPr>
            <w:r w:rsidRPr="00DC3B35">
              <w:t>Unmet need for GP due to cost</w:t>
            </w:r>
          </w:p>
        </w:tc>
        <w:tc>
          <w:tcPr>
            <w:tcW w:w="1276" w:type="dxa"/>
            <w:tcBorders>
              <w:top w:val="single" w:sz="4" w:space="0" w:color="A6A6A6" w:themeColor="background1" w:themeShade="A6"/>
              <w:left w:val="nil"/>
              <w:bottom w:val="single" w:sz="4" w:space="0" w:color="A6A6A6" w:themeColor="background1" w:themeShade="A6"/>
              <w:right w:val="nil"/>
            </w:tcBorders>
          </w:tcPr>
          <w:p w:rsidR="00F44703" w:rsidRPr="00DC3B35" w:rsidRDefault="00F44703" w:rsidP="00E42C29">
            <w:pPr>
              <w:pStyle w:val="TableText"/>
              <w:tabs>
                <w:tab w:val="decimal" w:pos="559"/>
              </w:tabs>
            </w:pPr>
            <w:r w:rsidRPr="005F010C">
              <w:t>13.7</w:t>
            </w:r>
          </w:p>
        </w:tc>
        <w:tc>
          <w:tcPr>
            <w:tcW w:w="1275"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E42C29">
            <w:pPr>
              <w:pStyle w:val="TableText"/>
              <w:tabs>
                <w:tab w:val="decimal" w:pos="510"/>
              </w:tabs>
            </w:pPr>
            <w:r w:rsidRPr="00F7619F">
              <w:t>4.78</w:t>
            </w:r>
          </w:p>
        </w:tc>
        <w:tc>
          <w:tcPr>
            <w:tcW w:w="2127"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966"/>
              </w:tabs>
            </w:pPr>
            <w:r w:rsidRPr="00F7619F">
              <w:t>8.20</w:t>
            </w:r>
          </w:p>
        </w:tc>
        <w:tc>
          <w:tcPr>
            <w:tcW w:w="2126" w:type="dxa"/>
            <w:tcBorders>
              <w:top w:val="single" w:sz="4" w:space="0" w:color="A6A6A6" w:themeColor="background1" w:themeShade="A6"/>
              <w:left w:val="nil"/>
              <w:bottom w:val="single" w:sz="4" w:space="0" w:color="A6A6A6" w:themeColor="background1" w:themeShade="A6"/>
              <w:right w:val="nil"/>
            </w:tcBorders>
          </w:tcPr>
          <w:p w:rsidR="00F44703" w:rsidRPr="00456C55" w:rsidRDefault="00F44703" w:rsidP="006E1FC2">
            <w:pPr>
              <w:pStyle w:val="TableText"/>
              <w:tabs>
                <w:tab w:val="decimal" w:pos="966"/>
              </w:tabs>
            </w:pPr>
            <w:r w:rsidRPr="00F7619F">
              <w:t>6.22</w:t>
            </w:r>
          </w:p>
        </w:tc>
      </w:tr>
      <w:tr w:rsidR="006E1FC2" w:rsidRPr="006D5FE2" w:rsidTr="00E42C29">
        <w:trPr>
          <w:cantSplit/>
        </w:trPr>
        <w:tc>
          <w:tcPr>
            <w:tcW w:w="2552" w:type="dxa"/>
            <w:tcBorders>
              <w:top w:val="single" w:sz="4" w:space="0" w:color="A6A6A6" w:themeColor="background1" w:themeShade="A6"/>
              <w:left w:val="nil"/>
              <w:right w:val="nil"/>
            </w:tcBorders>
          </w:tcPr>
          <w:p w:rsidR="00F44703" w:rsidRPr="00DC3B35" w:rsidRDefault="00F44703" w:rsidP="006E1FC2">
            <w:pPr>
              <w:pStyle w:val="TableText"/>
            </w:pPr>
            <w:r w:rsidRPr="00DC3B35">
              <w:t>Unfilled prescription due to cost</w:t>
            </w:r>
          </w:p>
        </w:tc>
        <w:tc>
          <w:tcPr>
            <w:tcW w:w="1276" w:type="dxa"/>
            <w:tcBorders>
              <w:top w:val="single" w:sz="4" w:space="0" w:color="A6A6A6" w:themeColor="background1" w:themeShade="A6"/>
              <w:left w:val="nil"/>
              <w:right w:val="nil"/>
            </w:tcBorders>
          </w:tcPr>
          <w:p w:rsidR="00F44703" w:rsidRPr="00DC3B35" w:rsidRDefault="00F44703" w:rsidP="00E42C29">
            <w:pPr>
              <w:pStyle w:val="TableText"/>
              <w:tabs>
                <w:tab w:val="decimal" w:pos="559"/>
              </w:tabs>
            </w:pPr>
            <w:r w:rsidRPr="005F010C">
              <w:t>6.4</w:t>
            </w:r>
          </w:p>
        </w:tc>
        <w:tc>
          <w:tcPr>
            <w:tcW w:w="1275" w:type="dxa"/>
            <w:tcBorders>
              <w:top w:val="single" w:sz="4" w:space="0" w:color="A6A6A6" w:themeColor="background1" w:themeShade="A6"/>
              <w:left w:val="nil"/>
              <w:right w:val="nil"/>
            </w:tcBorders>
          </w:tcPr>
          <w:p w:rsidR="00F44703" w:rsidRPr="00456C55" w:rsidRDefault="00F44703" w:rsidP="00E42C29">
            <w:pPr>
              <w:pStyle w:val="TableText"/>
              <w:tabs>
                <w:tab w:val="decimal" w:pos="510"/>
              </w:tabs>
            </w:pPr>
            <w:r w:rsidRPr="00F7619F">
              <w:t>2.38</w:t>
            </w:r>
          </w:p>
        </w:tc>
        <w:tc>
          <w:tcPr>
            <w:tcW w:w="2127" w:type="dxa"/>
            <w:tcBorders>
              <w:top w:val="single" w:sz="4" w:space="0" w:color="A6A6A6" w:themeColor="background1" w:themeShade="A6"/>
              <w:left w:val="nil"/>
              <w:right w:val="nil"/>
            </w:tcBorders>
          </w:tcPr>
          <w:p w:rsidR="00F44703" w:rsidRPr="00456C55" w:rsidRDefault="00F44703" w:rsidP="006E1FC2">
            <w:pPr>
              <w:pStyle w:val="TableText"/>
              <w:tabs>
                <w:tab w:val="decimal" w:pos="966"/>
              </w:tabs>
            </w:pPr>
            <w:r w:rsidRPr="00F7619F">
              <w:t>5.88</w:t>
            </w:r>
          </w:p>
        </w:tc>
        <w:tc>
          <w:tcPr>
            <w:tcW w:w="2126" w:type="dxa"/>
            <w:tcBorders>
              <w:top w:val="single" w:sz="4" w:space="0" w:color="A6A6A6" w:themeColor="background1" w:themeShade="A6"/>
              <w:left w:val="nil"/>
              <w:right w:val="nil"/>
            </w:tcBorders>
          </w:tcPr>
          <w:p w:rsidR="00F44703" w:rsidRPr="00456C55" w:rsidRDefault="00F44703" w:rsidP="006E1FC2">
            <w:pPr>
              <w:pStyle w:val="TableText"/>
              <w:tabs>
                <w:tab w:val="decimal" w:pos="966"/>
              </w:tabs>
            </w:pPr>
            <w:r w:rsidRPr="00F7619F">
              <w:t>3.51</w:t>
            </w:r>
          </w:p>
        </w:tc>
      </w:tr>
    </w:tbl>
    <w:p w:rsidR="00F44703" w:rsidRDefault="00F44703" w:rsidP="00E42C29"/>
    <w:p w:rsidR="00F44703" w:rsidRDefault="00F44703" w:rsidP="00E42C29">
      <w:pPr>
        <w:pStyle w:val="Heading1"/>
      </w:pPr>
      <w:bookmarkStart w:id="32" w:name="_Toc304976450"/>
      <w:bookmarkStart w:id="33" w:name="_Toc306260971"/>
      <w:bookmarkStart w:id="34" w:name="_Toc465920529"/>
      <w:bookmarkStart w:id="35" w:name="_Toc465924279"/>
      <w:bookmarkStart w:id="36" w:name="_Toc467672156"/>
      <w:bookmarkStart w:id="37" w:name="_Toc468183655"/>
      <w:r>
        <w:lastRenderedPageBreak/>
        <w:t>4</w:t>
      </w:r>
      <w:r>
        <w:tab/>
        <w:t xml:space="preserve">Sample </w:t>
      </w:r>
      <w:bookmarkEnd w:id="32"/>
      <w:bookmarkEnd w:id="33"/>
      <w:r>
        <w:t>design</w:t>
      </w:r>
      <w:bookmarkEnd w:id="34"/>
      <w:bookmarkEnd w:id="35"/>
      <w:bookmarkEnd w:id="36"/>
      <w:bookmarkEnd w:id="37"/>
    </w:p>
    <w:p w:rsidR="00F44703" w:rsidRDefault="00F44703" w:rsidP="00E42C29">
      <w:pPr>
        <w:pStyle w:val="Heading2"/>
      </w:pPr>
      <w:bookmarkStart w:id="38" w:name="_Toc306260972"/>
      <w:bookmarkStart w:id="39" w:name="_Toc465920530"/>
      <w:bookmarkStart w:id="40" w:name="_Toc465924280"/>
      <w:bookmarkStart w:id="41" w:name="_Toc467672157"/>
      <w:bookmarkStart w:id="42" w:name="_Toc468183656"/>
      <w:r>
        <w:t>4.1</w:t>
      </w:r>
      <w:r>
        <w:tab/>
        <w:t>Survey population</w:t>
      </w:r>
      <w:bookmarkEnd w:id="38"/>
      <w:bookmarkEnd w:id="39"/>
      <w:bookmarkEnd w:id="40"/>
      <w:bookmarkEnd w:id="41"/>
      <w:bookmarkEnd w:id="42"/>
    </w:p>
    <w:p w:rsidR="00F44703" w:rsidRDefault="00F44703" w:rsidP="00E42C29">
      <w:r>
        <w:t>The survey population includes the New Zealand</w:t>
      </w:r>
      <w:r w:rsidRPr="001F1DC1">
        <w:t xml:space="preserve"> </w:t>
      </w:r>
      <w:r w:rsidR="003B49E1">
        <w:t>‘</w:t>
      </w:r>
      <w:r>
        <w:t xml:space="preserve">usually </w:t>
      </w:r>
      <w:r w:rsidRPr="00B46A63">
        <w:t>resident</w:t>
      </w:r>
      <w:r w:rsidR="003B49E1">
        <w:t>’</w:t>
      </w:r>
      <w:r w:rsidRPr="00B46A63">
        <w:t xml:space="preserve"> population of all ages,</w:t>
      </w:r>
      <w:r>
        <w:t xml:space="preserve"> including those living in </w:t>
      </w:r>
      <w:r w:rsidRPr="00B46A63">
        <w:t>aged</w:t>
      </w:r>
      <w:r>
        <w:t>-</w:t>
      </w:r>
      <w:r w:rsidRPr="00B46A63">
        <w:t>care facilities and student accommodation</w:t>
      </w:r>
      <w:r>
        <w:t>.</w:t>
      </w:r>
      <w:r w:rsidRPr="001F1DC1">
        <w:t xml:space="preserve"> </w:t>
      </w:r>
      <w:r>
        <w:t xml:space="preserve">Other </w:t>
      </w:r>
      <w:r w:rsidRPr="001F1DC1">
        <w:t xml:space="preserve">non-private dwellings </w:t>
      </w:r>
      <w:r>
        <w:t>such as</w:t>
      </w:r>
      <w:r w:rsidRPr="001F1DC1">
        <w:t xml:space="preserve"> prisons</w:t>
      </w:r>
      <w:r>
        <w:t>, hospitals, hospices and dementia care units</w:t>
      </w:r>
      <w:r w:rsidRPr="001F1DC1">
        <w:t xml:space="preserve"> </w:t>
      </w:r>
      <w:r>
        <w:t>are excluded from the survey population.</w:t>
      </w:r>
    </w:p>
    <w:p w:rsidR="00F44703" w:rsidRDefault="00F44703" w:rsidP="00E42C29"/>
    <w:p w:rsidR="00F44703" w:rsidRPr="007C0877" w:rsidRDefault="00F44703" w:rsidP="00E42C29">
      <w:r>
        <w:t>The survey sample consists of an area component and an electoral roll component, which are then combined to form the complete sample. These two components are described more fully below.</w:t>
      </w:r>
    </w:p>
    <w:p w:rsidR="00F44703" w:rsidRDefault="00F44703" w:rsidP="00E42C29"/>
    <w:p w:rsidR="00F44703" w:rsidRPr="00382922" w:rsidRDefault="00F44703" w:rsidP="00E42C29">
      <w:pPr>
        <w:pStyle w:val="Heading2"/>
      </w:pPr>
      <w:bookmarkStart w:id="43" w:name="_Toc306260973"/>
      <w:bookmarkStart w:id="44" w:name="_Toc465920531"/>
      <w:bookmarkStart w:id="45" w:name="_Toc465924281"/>
      <w:bookmarkStart w:id="46" w:name="_Toc467672158"/>
      <w:bookmarkStart w:id="47" w:name="_Toc468183657"/>
      <w:r>
        <w:t>4.2</w:t>
      </w:r>
      <w:r>
        <w:tab/>
        <w:t>Area component</w:t>
      </w:r>
      <w:bookmarkEnd w:id="43"/>
      <w:bookmarkEnd w:id="44"/>
      <w:bookmarkEnd w:id="45"/>
      <w:bookmarkEnd w:id="46"/>
      <w:bookmarkEnd w:id="47"/>
    </w:p>
    <w:p w:rsidR="00F44703" w:rsidRDefault="00F44703" w:rsidP="00E42C29">
      <w:r>
        <w:t xml:space="preserve">A multi-stage design is used. The initial stage of selection is a sample of SNZ PSUs, followed by a sample of households from each selected PSU, then a sample of one adult and (up to) one child from each selected household. For an overview of multi-stage and other sample designs, see </w:t>
      </w:r>
      <w:proofErr w:type="spellStart"/>
      <w:r>
        <w:t>Lohr</w:t>
      </w:r>
      <w:proofErr w:type="spellEnd"/>
      <w:r>
        <w:t xml:space="preserve"> (1999).</w:t>
      </w:r>
    </w:p>
    <w:p w:rsidR="00F44703" w:rsidRDefault="00F44703" w:rsidP="00E42C29"/>
    <w:p w:rsidR="00F44703" w:rsidRDefault="00F44703" w:rsidP="00E42C29">
      <w:pPr>
        <w:pStyle w:val="Heading3"/>
      </w:pPr>
      <w:r w:rsidRPr="00884955">
        <w:t>Select</w:t>
      </w:r>
      <w:r>
        <w:t>ing</w:t>
      </w:r>
      <w:r w:rsidRPr="00884955">
        <w:t xml:space="preserve"> </w:t>
      </w:r>
      <w:r>
        <w:t>p</w:t>
      </w:r>
      <w:r w:rsidRPr="00884955">
        <w:t xml:space="preserve">rimary </w:t>
      </w:r>
      <w:r>
        <w:t>s</w:t>
      </w:r>
      <w:r w:rsidRPr="00884955">
        <w:t xml:space="preserve">ampling </w:t>
      </w:r>
      <w:r>
        <w:t>u</w:t>
      </w:r>
      <w:r w:rsidRPr="00884955">
        <w:t>nits</w:t>
      </w:r>
    </w:p>
    <w:p w:rsidR="003B49E1" w:rsidRDefault="00F44703" w:rsidP="00E42C29">
      <w:proofErr w:type="spellStart"/>
      <w:r>
        <w:t>Meshblocks</w:t>
      </w:r>
      <w:proofErr w:type="spellEnd"/>
      <w:r>
        <w:t xml:space="preserve"> are the smallest geographical unit used by SNZ for producing statistics. Information on New Zealand</w:t>
      </w:r>
      <w:r w:rsidR="003B49E1">
        <w:t>’</w:t>
      </w:r>
      <w:r>
        <w:t xml:space="preserve">s </w:t>
      </w:r>
      <w:proofErr w:type="spellStart"/>
      <w:r>
        <w:t>meshblocks</w:t>
      </w:r>
      <w:proofErr w:type="spellEnd"/>
      <w:r>
        <w:t xml:space="preserve"> is publicly available from SNZ.</w:t>
      </w:r>
    </w:p>
    <w:p w:rsidR="00F44703" w:rsidRDefault="00F44703" w:rsidP="00E42C29"/>
    <w:p w:rsidR="00F44703" w:rsidRDefault="00F44703" w:rsidP="00E42C29">
      <w:r>
        <w:t xml:space="preserve">SNZ PSUs are small geographic areas consisting of around one to three </w:t>
      </w:r>
      <w:proofErr w:type="spellStart"/>
      <w:r>
        <w:t>meshblocks</w:t>
      </w:r>
      <w:proofErr w:type="spellEnd"/>
      <w:r>
        <w:t xml:space="preserve"> on average. PSUs are the main sampling unit that SNZ have developed and maintain for their own household surveys. They are designed to be geographically contiguous in most cases and to be more even in population and numbers of dwellings than </w:t>
      </w:r>
      <w:proofErr w:type="spellStart"/>
      <w:r>
        <w:t>meshblocks</w:t>
      </w:r>
      <w:proofErr w:type="spellEnd"/>
      <w:r>
        <w:t xml:space="preserve">. There are approximately 40,000 </w:t>
      </w:r>
      <w:proofErr w:type="spellStart"/>
      <w:r>
        <w:t>meshblocks</w:t>
      </w:r>
      <w:proofErr w:type="spellEnd"/>
      <w:r>
        <w:t xml:space="preserve"> and 20,000 PSUs in New Zealand. SNZ update the PSU pattern after each census. The 2014 PSUs are currently being used; these are based on the 2013 Census.</w:t>
      </w:r>
    </w:p>
    <w:p w:rsidR="00F44703" w:rsidRDefault="00F44703" w:rsidP="00E42C29"/>
    <w:p w:rsidR="003B49E1" w:rsidRDefault="00F44703" w:rsidP="00E42C29">
      <w:r>
        <w:t xml:space="preserve">PSUs are selected with probability proportional to their size (PPS). The measure of size is based on the </w:t>
      </w:r>
      <w:r w:rsidR="00971EB3">
        <w:t xml:space="preserve">number of occupied dwellings </w:t>
      </w:r>
      <w:r>
        <w:t xml:space="preserve">according to the most recent census. Approximately equal numbers of households are then selected from each selected PSU. This ensures </w:t>
      </w:r>
      <w:r w:rsidRPr="005253E2">
        <w:t xml:space="preserve">every household in the population </w:t>
      </w:r>
      <w:r>
        <w:t>has</w:t>
      </w:r>
      <w:r w:rsidRPr="005253E2">
        <w:t xml:space="preserve"> the same probability of being</w:t>
      </w:r>
      <w:r>
        <w:t xml:space="preserve"> selected. This type of design is sometimes referred to as </w:t>
      </w:r>
      <w:r w:rsidR="003B49E1">
        <w:t>‘</w:t>
      </w:r>
      <w:r>
        <w:t>self-weighting</w:t>
      </w:r>
      <w:r w:rsidR="003B49E1">
        <w:t>’</w:t>
      </w:r>
      <w:r>
        <w:t xml:space="preserve"> and is statistically efficient, particularly when the initial sampling units vary considerably in size.</w:t>
      </w:r>
    </w:p>
    <w:p w:rsidR="00F44703" w:rsidRDefault="00F44703" w:rsidP="00E42C29"/>
    <w:p w:rsidR="00F44703" w:rsidRDefault="00F44703" w:rsidP="00E42C29">
      <w:r>
        <w:t>This approach was</w:t>
      </w:r>
      <w:r w:rsidRPr="005253E2">
        <w:t xml:space="preserve"> modified </w:t>
      </w:r>
      <w:r>
        <w:t xml:space="preserve">using a targeting factor </w:t>
      </w:r>
      <w:r w:rsidRPr="005253E2">
        <w:t xml:space="preserve">to give higher probabilities </w:t>
      </w:r>
      <w:r>
        <w:t>of selection to</w:t>
      </w:r>
      <w:r w:rsidRPr="005253E2">
        <w:t xml:space="preserve"> areas where</w:t>
      </w:r>
      <w:r>
        <w:t xml:space="preserve"> Pacific or Asian people a</w:t>
      </w:r>
      <w:r w:rsidRPr="005253E2">
        <w:t xml:space="preserve">re more </w:t>
      </w:r>
      <w:r>
        <w:t>populous</w:t>
      </w:r>
      <w:r w:rsidRPr="005253E2">
        <w:t>.</w:t>
      </w:r>
      <w:r>
        <w:t xml:space="preserve"> </w:t>
      </w:r>
      <w:r w:rsidRPr="004A1102">
        <w:t>Māori</w:t>
      </w:r>
      <w:r>
        <w:t xml:space="preserve"> populations are not considered in this approach because an evaluation conducted as part of the years 1–3 sample design found that it is more statistically efficient to oversample the </w:t>
      </w:r>
      <w:r w:rsidRPr="004A1102">
        <w:t>Māori</w:t>
      </w:r>
      <w:r>
        <w:t xml:space="preserve"> population using the electoral roll component rather than via unequal probability sampling in the area component. In contrast, the Pacific and Asian populations cannot be effectively oversampled using the electoral roll, and area-based targeting is the only option for these groups.</w:t>
      </w:r>
    </w:p>
    <w:p w:rsidR="00F44703" w:rsidRDefault="00F44703" w:rsidP="00E42C29"/>
    <w:p w:rsidR="003B49E1" w:rsidRDefault="00F44703" w:rsidP="00E42C29">
      <w:pPr>
        <w:keepNext/>
      </w:pPr>
      <w:r w:rsidRPr="007549BC">
        <w:lastRenderedPageBreak/>
        <w:t xml:space="preserve">The probability assigned to </w:t>
      </w:r>
      <w:r>
        <w:t>PSU</w:t>
      </w:r>
      <w:r w:rsidRPr="007549BC">
        <w:t xml:space="preserve"> </w:t>
      </w:r>
      <w:proofErr w:type="spellStart"/>
      <w:r w:rsidRPr="00F14662">
        <w:rPr>
          <w:i/>
        </w:rPr>
        <w:t>i</w:t>
      </w:r>
      <w:proofErr w:type="spellEnd"/>
      <w:r w:rsidRPr="007549BC">
        <w:t xml:space="preserve"> is</w:t>
      </w:r>
      <w:r>
        <w:t>:</w:t>
      </w:r>
    </w:p>
    <w:p w:rsidR="00F44703" w:rsidRPr="000F1107" w:rsidRDefault="00F44703" w:rsidP="00E42C29">
      <w:pPr>
        <w:pStyle w:val="Heading4"/>
      </w:pPr>
      <w:r w:rsidRPr="000F1107">
        <w:t xml:space="preserve">Formula </w:t>
      </w:r>
      <w:fldSimple w:instr=" SEQ Formula \* ARABIC ">
        <w:r w:rsidR="00FA14BF">
          <w:rPr>
            <w:noProof/>
          </w:rPr>
          <w:t>1</w:t>
        </w:r>
      </w:fldSimple>
    </w:p>
    <w:p w:rsidR="00F44703" w:rsidRDefault="00F44703" w:rsidP="00E42C29">
      <w:pPr>
        <w:ind w:left="567"/>
      </w:pPr>
      <w:r w:rsidRPr="007549BC">
        <w:rPr>
          <w:position w:val="-30"/>
        </w:rPr>
        <w:object w:dxaOrig="23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05pt;height:38pt" o:ole="">
            <v:imagedata r:id="rId17" o:title=""/>
          </v:shape>
          <o:OLEObject Type="Embed" ProgID="Equation.3" ShapeID="_x0000_i1025" DrawAspect="Content" ObjectID="_1542625065" r:id="rId18"/>
        </w:object>
      </w:r>
    </w:p>
    <w:p w:rsidR="003B49E1" w:rsidRDefault="00F44703" w:rsidP="00E42C29">
      <w:r w:rsidRPr="007549BC">
        <w:t>where</w:t>
      </w:r>
      <w:r>
        <w:t xml:space="preserve"> </w:t>
      </w:r>
      <w:r w:rsidRPr="007549BC">
        <w:rPr>
          <w:position w:val="-8"/>
        </w:rPr>
        <w:object w:dxaOrig="300" w:dyaOrig="320">
          <v:shape id="_x0000_i1026" type="#_x0000_t75" style="width:15.3pt;height:15.85pt" o:ole="">
            <v:imagedata r:id="rId19" o:title=""/>
          </v:shape>
          <o:OLEObject Type="Embed" ProgID="Equation.3" ShapeID="_x0000_i1026" DrawAspect="Content" ObjectID="_1542625066" r:id="rId20"/>
        </w:object>
      </w:r>
      <w:r w:rsidRPr="007549BC">
        <w:t xml:space="preserve"> </w:t>
      </w:r>
      <w:r>
        <w:t>is</w:t>
      </w:r>
      <w:r w:rsidRPr="007549BC">
        <w:t xml:space="preserve"> the </w:t>
      </w:r>
      <w:r w:rsidR="00971EB3">
        <w:t>number of occupied dwellings</w:t>
      </w:r>
      <w:r w:rsidRPr="007549BC">
        <w:t xml:space="preserve"> in </w:t>
      </w:r>
      <w:r>
        <w:t>PSU</w:t>
      </w:r>
      <w:r w:rsidRPr="007549BC">
        <w:t xml:space="preserve"> </w:t>
      </w:r>
      <w:proofErr w:type="spellStart"/>
      <w:r w:rsidRPr="007549BC">
        <w:rPr>
          <w:i/>
        </w:rPr>
        <w:t>i</w:t>
      </w:r>
      <w:proofErr w:type="spellEnd"/>
      <w:r>
        <w:t xml:space="preserve"> according to the most recent c</w:t>
      </w:r>
      <w:r w:rsidRPr="007549BC">
        <w:t>ensus</w:t>
      </w:r>
      <w:r>
        <w:t xml:space="preserve"> data available,</w:t>
      </w:r>
      <w:r w:rsidRPr="007549BC">
        <w:t xml:space="preserve"> </w:t>
      </w:r>
      <w:proofErr w:type="spellStart"/>
      <w:r w:rsidRPr="007549BC">
        <w:rPr>
          <w:i/>
        </w:rPr>
        <w:t>m</w:t>
      </w:r>
      <w:r w:rsidRPr="007549BC">
        <w:rPr>
          <w:i/>
          <w:vertAlign w:val="subscript"/>
        </w:rPr>
        <w:t>h</w:t>
      </w:r>
      <w:proofErr w:type="spellEnd"/>
      <w:r w:rsidRPr="007549BC">
        <w:t xml:space="preserve"> is the required sample size of </w:t>
      </w:r>
      <w:r>
        <w:t>PSUs</w:t>
      </w:r>
      <w:r w:rsidRPr="007549BC">
        <w:t xml:space="preserve"> in </w:t>
      </w:r>
      <w:r>
        <w:t>DHB</w:t>
      </w:r>
      <w:r w:rsidRPr="007549BC">
        <w:t xml:space="preserve"> </w:t>
      </w:r>
      <w:r w:rsidRPr="007549BC">
        <w:rPr>
          <w:i/>
        </w:rPr>
        <w:t>h</w:t>
      </w:r>
      <w:r w:rsidRPr="007549BC">
        <w:t xml:space="preserve"> and </w:t>
      </w:r>
      <w:r w:rsidRPr="007549BC">
        <w:rPr>
          <w:i/>
        </w:rPr>
        <w:t>f</w:t>
      </w:r>
      <w:r w:rsidRPr="007549BC">
        <w:rPr>
          <w:i/>
          <w:vertAlign w:val="subscript"/>
        </w:rPr>
        <w:t>i</w:t>
      </w:r>
      <w:r w:rsidRPr="007549BC">
        <w:rPr>
          <w:i/>
        </w:rPr>
        <w:t xml:space="preserve"> </w:t>
      </w:r>
      <w:r w:rsidRPr="007549BC">
        <w:t xml:space="preserve">is a </w:t>
      </w:r>
      <w:r w:rsidR="003B49E1">
        <w:t>‘</w:t>
      </w:r>
      <w:r w:rsidRPr="007549BC">
        <w:t>targeting factor</w:t>
      </w:r>
      <w:r w:rsidR="003B49E1">
        <w:t>’</w:t>
      </w:r>
      <w:r w:rsidRPr="007549BC">
        <w:t xml:space="preserve"> by which areas with more</w:t>
      </w:r>
      <w:r>
        <w:t xml:space="preserve"> </w:t>
      </w:r>
      <w:r w:rsidRPr="007549BC">
        <w:t xml:space="preserve">Pacific or Asian people are </w:t>
      </w:r>
      <w:r>
        <w:t xml:space="preserve">expected to be </w:t>
      </w:r>
      <w:r w:rsidRPr="007549BC">
        <w:t>oversampled.</w:t>
      </w:r>
    </w:p>
    <w:p w:rsidR="00F44703" w:rsidRDefault="00F44703" w:rsidP="00E42C29"/>
    <w:p w:rsidR="003B49E1" w:rsidRDefault="00F44703" w:rsidP="00E42C29">
      <w:r>
        <w:t xml:space="preserve">The targeting factor was calculated using a combination of the Pacific and Asian densities at the PSU and area unit (AU) levels. AUs are larger geographic units than PSUs, consisting of a group of </w:t>
      </w:r>
      <w:proofErr w:type="spellStart"/>
      <w:r w:rsidRPr="00B46A63">
        <w:t>meshblocks</w:t>
      </w:r>
      <w:proofErr w:type="spellEnd"/>
      <w:r>
        <w:t>; there are approximately 1900 AUs across New Zealand.</w:t>
      </w:r>
    </w:p>
    <w:p w:rsidR="00F44703" w:rsidRDefault="00F44703" w:rsidP="00E42C29"/>
    <w:p w:rsidR="00F44703" w:rsidRDefault="00F44703" w:rsidP="00E42C29">
      <w:pPr>
        <w:keepNext/>
        <w:spacing w:after="120"/>
      </w:pPr>
      <w:r>
        <w:t xml:space="preserve">The formula for </w:t>
      </w:r>
      <w:r w:rsidRPr="00992BE4">
        <w:rPr>
          <w:i/>
        </w:rPr>
        <w:t>f</w:t>
      </w:r>
      <w:r w:rsidRPr="00992BE4">
        <w:rPr>
          <w:i/>
          <w:vertAlign w:val="subscript"/>
        </w:rPr>
        <w:t>i</w:t>
      </w:r>
      <w:r>
        <w:t xml:space="preserve"> is:</w:t>
      </w:r>
    </w:p>
    <w:p w:rsidR="00F44703" w:rsidRPr="000F1107" w:rsidRDefault="00F44703" w:rsidP="00E42C29">
      <w:pPr>
        <w:pStyle w:val="Heading4"/>
      </w:pPr>
      <w:r w:rsidRPr="000F1107">
        <w:t xml:space="preserve">Formula </w:t>
      </w:r>
      <w:fldSimple w:instr=" SEQ Formula \* ARABIC ">
        <w:r w:rsidR="00FA14BF">
          <w:rPr>
            <w:noProof/>
          </w:rPr>
          <w:t>2</w:t>
        </w:r>
      </w:fldSimple>
    </w:p>
    <w:p w:rsidR="00F44703" w:rsidRPr="007549BC" w:rsidRDefault="00F44703" w:rsidP="00E42C29">
      <w:pPr>
        <w:ind w:left="567"/>
      </w:pPr>
      <w:r w:rsidRPr="00992BE4">
        <w:rPr>
          <w:position w:val="-42"/>
        </w:rPr>
        <w:object w:dxaOrig="6260" w:dyaOrig="940">
          <v:shape id="_x0000_i1027" type="#_x0000_t75" style="width:311.8pt;height:47.05pt" o:ole="">
            <v:imagedata r:id="rId21" o:title=""/>
          </v:shape>
          <o:OLEObject Type="Embed" ProgID="Equation.3" ShapeID="_x0000_i1027" DrawAspect="Content" ObjectID="_1542625067" r:id="rId22"/>
        </w:object>
      </w:r>
    </w:p>
    <w:p w:rsidR="00F44703" w:rsidRDefault="00F44703" w:rsidP="00E42C29"/>
    <w:p w:rsidR="00F44703" w:rsidRDefault="00F44703" w:rsidP="00E42C29">
      <w:r w:rsidRPr="00980772">
        <w:t>This targeting factor was designed to:</w:t>
      </w:r>
    </w:p>
    <w:p w:rsidR="00F44703" w:rsidRDefault="00F44703" w:rsidP="00E42C29">
      <w:pPr>
        <w:pStyle w:val="Bullet"/>
      </w:pPr>
      <w:r w:rsidRPr="00DD1250">
        <w:t xml:space="preserve">target the </w:t>
      </w:r>
      <w:r>
        <w:t>PSU</w:t>
      </w:r>
      <w:r w:rsidRPr="00DD1250">
        <w:t xml:space="preserve"> selection </w:t>
      </w:r>
      <w:r>
        <w:t>at</w:t>
      </w:r>
      <w:r w:rsidRPr="00980772">
        <w:t xml:space="preserve"> areas with higher proportions of the population belonging to</w:t>
      </w:r>
      <w:r>
        <w:t xml:space="preserve"> the </w:t>
      </w:r>
      <w:r w:rsidRPr="00980772">
        <w:t>Pacific</w:t>
      </w:r>
      <w:r>
        <w:t xml:space="preserve"> or</w:t>
      </w:r>
      <w:r w:rsidRPr="00980772">
        <w:t xml:space="preserve"> Asian </w:t>
      </w:r>
      <w:r>
        <w:t>ethnic groups</w:t>
      </w:r>
    </w:p>
    <w:p w:rsidR="00F44703" w:rsidRDefault="00F44703" w:rsidP="00E42C29">
      <w:pPr>
        <w:pStyle w:val="Bullet"/>
      </w:pPr>
      <w:r w:rsidRPr="00980772">
        <w:t xml:space="preserve">reflect the uncertainty attached to Pacific </w:t>
      </w:r>
      <w:r>
        <w:t xml:space="preserve">and </w:t>
      </w:r>
      <w:r w:rsidRPr="00980772">
        <w:t xml:space="preserve">Asian </w:t>
      </w:r>
      <w:r>
        <w:t>PSU</w:t>
      </w:r>
      <w:r w:rsidRPr="00980772">
        <w:t xml:space="preserve"> data from the </w:t>
      </w:r>
      <w:r>
        <w:t>previous</w:t>
      </w:r>
      <w:r w:rsidRPr="00980772">
        <w:t xml:space="preserve"> </w:t>
      </w:r>
      <w:r>
        <w:t>c</w:t>
      </w:r>
      <w:r w:rsidRPr="00980772">
        <w:t xml:space="preserve">ensus </w:t>
      </w:r>
      <w:r>
        <w:t>(</w:t>
      </w:r>
      <w:r w:rsidRPr="00980772">
        <w:t xml:space="preserve">which </w:t>
      </w:r>
      <w:r>
        <w:t>is out of date to some degree) by making use of AU</w:t>
      </w:r>
      <w:r w:rsidRPr="00980772">
        <w:t xml:space="preserve"> densities </w:t>
      </w:r>
      <w:r>
        <w:t>that</w:t>
      </w:r>
      <w:r w:rsidRPr="00980772">
        <w:t xml:space="preserve"> </w:t>
      </w:r>
      <w:r w:rsidRPr="00B46A63">
        <w:t>would</w:t>
      </w:r>
      <w:r w:rsidRPr="00980772">
        <w:t xml:space="preserve"> be more stable over time</w:t>
      </w:r>
    </w:p>
    <w:p w:rsidR="00F44703" w:rsidRDefault="00F44703" w:rsidP="00E42C29">
      <w:pPr>
        <w:pStyle w:val="Bullet"/>
      </w:pPr>
      <w:r w:rsidRPr="00980772">
        <w:t xml:space="preserve">avoid </w:t>
      </w:r>
      <w:r>
        <w:t>nil</w:t>
      </w:r>
      <w:r w:rsidRPr="00980772">
        <w:t xml:space="preserve"> </w:t>
      </w:r>
      <w:r>
        <w:t xml:space="preserve">or very small </w:t>
      </w:r>
      <w:r w:rsidRPr="00980772">
        <w:t>probabilities of selection</w:t>
      </w:r>
      <w:r>
        <w:t xml:space="preserve"> for PSUs with no Pacific or Asian populations in the last census</w:t>
      </w:r>
    </w:p>
    <w:p w:rsidR="00F44703" w:rsidRPr="004A1102" w:rsidRDefault="00F44703" w:rsidP="00E42C29">
      <w:pPr>
        <w:pStyle w:val="Bullet"/>
      </w:pPr>
      <w:proofErr w:type="gramStart"/>
      <w:r>
        <w:t>avoid</w:t>
      </w:r>
      <w:proofErr w:type="gramEnd"/>
      <w:r>
        <w:t xml:space="preserve"> excessive variation in selection probabilities, which would result in increased standard errors (Kish 1992).</w:t>
      </w:r>
    </w:p>
    <w:p w:rsidR="00F44703" w:rsidRDefault="00F44703" w:rsidP="00E42C29"/>
    <w:p w:rsidR="00F44703" w:rsidRDefault="00F44703" w:rsidP="00E42C29">
      <w:r>
        <w:t xml:space="preserve">The exact weightings used in Formula 2 were obtained by an analysis combining NZHS data and census data. Details of the methodology used may be found in Appendix 1 of </w:t>
      </w:r>
      <w:r w:rsidRPr="00546A68">
        <w:rPr>
          <w:i/>
        </w:rPr>
        <w:t>The New Zealand Health Survey: Sample design, years 1–3 (2011–2013)</w:t>
      </w:r>
      <w:r>
        <w:t xml:space="preserve"> (Ministry of Health 2011) and Clark (2013). For further information about the approach, see Clark (2009, 2010), Clark et al (2009), Clark and Templeton (2014) and Clark et al (2013).</w:t>
      </w:r>
    </w:p>
    <w:p w:rsidR="00F44703" w:rsidRDefault="00F44703" w:rsidP="00E42C29"/>
    <w:p w:rsidR="00F44703" w:rsidRDefault="00F44703" w:rsidP="00E42C29">
      <w:r w:rsidRPr="004A1102">
        <w:t xml:space="preserve">The DHB sample sizes, </w:t>
      </w:r>
      <w:proofErr w:type="spellStart"/>
      <w:r w:rsidRPr="004A1102">
        <w:rPr>
          <w:i/>
        </w:rPr>
        <w:t>m</w:t>
      </w:r>
      <w:r w:rsidRPr="004A1102">
        <w:rPr>
          <w:i/>
          <w:vertAlign w:val="subscript"/>
        </w:rPr>
        <w:t>h</w:t>
      </w:r>
      <w:proofErr w:type="spellEnd"/>
      <w:r w:rsidRPr="004A1102">
        <w:t xml:space="preserve">, </w:t>
      </w:r>
      <w:r w:rsidRPr="00B46A63">
        <w:t>are</w:t>
      </w:r>
      <w:r w:rsidRPr="004A1102">
        <w:t xml:space="preserve"> proportional to the square ro</w:t>
      </w:r>
      <w:r>
        <w:t>ot of the DHB population. This is an example of power allocation (</w:t>
      </w:r>
      <w:proofErr w:type="spellStart"/>
      <w:r>
        <w:t>Bankier</w:t>
      </w:r>
      <w:proofErr w:type="spellEnd"/>
      <w:r>
        <w:t xml:space="preserve"> 1998) and is </w:t>
      </w:r>
      <w:r w:rsidRPr="004A1102">
        <w:t xml:space="preserve">designed to be a compromise between the best design for national estimates (which would have DHB sample sizes roughly proportional to their populations) and the best design if all DHB estimates </w:t>
      </w:r>
      <w:r>
        <w:t>are</w:t>
      </w:r>
      <w:r w:rsidRPr="004A1102">
        <w:t xml:space="preserve"> equally important (which would suggest equal DHB sample sizes).</w:t>
      </w:r>
      <w:r>
        <w:t xml:space="preserve"> This is the same approach as taken in years 1–4. However, the resulting allocation has changed because of population movements and the merger of the </w:t>
      </w:r>
      <w:proofErr w:type="spellStart"/>
      <w:r>
        <w:t>Otago</w:t>
      </w:r>
      <w:proofErr w:type="spellEnd"/>
      <w:r>
        <w:t xml:space="preserve"> and Southland DHBs, which resulted in there now being 20 rather than 21</w:t>
      </w:r>
      <w:r w:rsidR="00E42C29">
        <w:t> </w:t>
      </w:r>
      <w:r>
        <w:t>DHBs.</w:t>
      </w:r>
    </w:p>
    <w:p w:rsidR="00F44703" w:rsidRDefault="00F44703" w:rsidP="00E42C29"/>
    <w:p w:rsidR="00F44703" w:rsidRPr="00884955" w:rsidRDefault="00F44703" w:rsidP="00E42C29">
      <w:pPr>
        <w:pStyle w:val="Heading3"/>
      </w:pPr>
      <w:r w:rsidRPr="00884955">
        <w:lastRenderedPageBreak/>
        <w:t>Select</w:t>
      </w:r>
      <w:r>
        <w:t>ing</w:t>
      </w:r>
      <w:r w:rsidRPr="00884955">
        <w:t xml:space="preserve"> </w:t>
      </w:r>
      <w:r>
        <w:t>h</w:t>
      </w:r>
      <w:r w:rsidRPr="00884955">
        <w:t xml:space="preserve">ouseholds from the </w:t>
      </w:r>
      <w:r>
        <w:t>primary sampling unit</w:t>
      </w:r>
      <w:r w:rsidRPr="00884955">
        <w:t>s</w:t>
      </w:r>
    </w:p>
    <w:p w:rsidR="003B49E1" w:rsidRDefault="00F44703" w:rsidP="00E42C29">
      <w:pPr>
        <w:keepLines/>
      </w:pPr>
      <w:r w:rsidRPr="004A1102">
        <w:t xml:space="preserve">An equal probability sample of households </w:t>
      </w:r>
      <w:r>
        <w:t xml:space="preserve">is </w:t>
      </w:r>
      <w:r w:rsidRPr="004A1102">
        <w:t xml:space="preserve">selected from each selected </w:t>
      </w:r>
      <w:r>
        <w:t>PSU</w:t>
      </w:r>
      <w:r w:rsidRPr="004A1102">
        <w:t xml:space="preserve">, with </w:t>
      </w:r>
      <w:r>
        <w:t xml:space="preserve">a </w:t>
      </w:r>
      <w:r w:rsidRPr="004A1102">
        <w:t xml:space="preserve">sampling fraction of </w:t>
      </w:r>
      <w:r>
        <w:t xml:space="preserve">the smaller of </w:t>
      </w:r>
      <w:r w:rsidR="00971EB3" w:rsidRPr="00971EB3">
        <w:rPr>
          <w:position w:val="-12"/>
        </w:rPr>
        <w:object w:dxaOrig="580" w:dyaOrig="380">
          <v:shape id="_x0000_i1028" type="#_x0000_t75" style="width:29.5pt;height:19.3pt" o:ole="">
            <v:imagedata r:id="rId23" o:title=""/>
          </v:shape>
          <o:OLEObject Type="Embed" ProgID="Equation.3" ShapeID="_x0000_i1028" DrawAspect="Content" ObjectID="_1542625068" r:id="rId24"/>
        </w:object>
      </w:r>
      <w:r w:rsidRPr="004A1102">
        <w:t xml:space="preserve"> </w:t>
      </w:r>
      <w:r>
        <w:t xml:space="preserve">and ½, </w:t>
      </w:r>
      <w:r w:rsidRPr="004A1102">
        <w:t xml:space="preserve">where </w:t>
      </w:r>
      <w:r w:rsidRPr="000A7C35">
        <w:rPr>
          <w:i/>
        </w:rPr>
        <w:t>c</w:t>
      </w:r>
      <w:r w:rsidRPr="004A1102">
        <w:t xml:space="preserve"> is the target within-</w:t>
      </w:r>
      <w:r>
        <w:t>PSU</w:t>
      </w:r>
      <w:r w:rsidRPr="004A1102">
        <w:t xml:space="preserve"> sample size. If the </w:t>
      </w:r>
      <w:r w:rsidR="00971EB3">
        <w:t xml:space="preserve">number of dwellings in the </w:t>
      </w:r>
      <w:r>
        <w:t>PSU is</w:t>
      </w:r>
      <w:r w:rsidRPr="004A1102">
        <w:t xml:space="preserve"> still the same as </w:t>
      </w:r>
      <w:r>
        <w:t>at</w:t>
      </w:r>
      <w:r w:rsidRPr="004A1102">
        <w:t xml:space="preserve"> the </w:t>
      </w:r>
      <w:r>
        <w:t>c</w:t>
      </w:r>
      <w:r w:rsidRPr="004A1102">
        <w:t>ensus, then</w:t>
      </w:r>
      <w:r>
        <w:t xml:space="preserve"> </w:t>
      </w:r>
      <w:r w:rsidRPr="000A7C35">
        <w:rPr>
          <w:i/>
        </w:rPr>
        <w:t>c</w:t>
      </w:r>
      <w:r>
        <w:t> </w:t>
      </w:r>
      <w:r w:rsidRPr="004A1102">
        <w:t xml:space="preserve">households </w:t>
      </w:r>
      <w:r>
        <w:t xml:space="preserve">are selected. The number </w:t>
      </w:r>
      <w:r w:rsidRPr="004A1102">
        <w:t>of households</w:t>
      </w:r>
      <w:r>
        <w:t xml:space="preserve"> selected</w:t>
      </w:r>
      <w:r w:rsidRPr="004A1102">
        <w:t xml:space="preserve"> </w:t>
      </w:r>
      <w:r>
        <w:t xml:space="preserve">is </w:t>
      </w:r>
      <w:r w:rsidRPr="004A1102">
        <w:t>differ</w:t>
      </w:r>
      <w:r>
        <w:t>ent</w:t>
      </w:r>
      <w:r w:rsidRPr="004A1102">
        <w:t xml:space="preserve"> from </w:t>
      </w:r>
      <w:r w:rsidRPr="000A7C35">
        <w:rPr>
          <w:i/>
        </w:rPr>
        <w:t>c</w:t>
      </w:r>
      <w:r>
        <w:t> </w:t>
      </w:r>
      <w:r w:rsidRPr="004A1102">
        <w:t xml:space="preserve">to the extent that the </w:t>
      </w:r>
      <w:r>
        <w:t>current PSU</w:t>
      </w:r>
      <w:r w:rsidRPr="004A1102">
        <w:t xml:space="preserve"> </w:t>
      </w:r>
      <w:r w:rsidR="002E69DB">
        <w:t>size</w:t>
      </w:r>
      <w:r w:rsidRPr="004A1102">
        <w:t xml:space="preserve"> </w:t>
      </w:r>
      <w:r>
        <w:t>has</w:t>
      </w:r>
      <w:r w:rsidRPr="004A1102">
        <w:t xml:space="preserve"> changed from </w:t>
      </w:r>
      <w:r w:rsidR="00971EB3" w:rsidRPr="007549BC">
        <w:rPr>
          <w:position w:val="-8"/>
        </w:rPr>
        <w:object w:dxaOrig="300" w:dyaOrig="320">
          <v:shape id="_x0000_i1029" type="#_x0000_t75" style="width:15.3pt;height:15.85pt" o:ole="">
            <v:imagedata r:id="rId19" o:title=""/>
          </v:shape>
          <o:OLEObject Type="Embed" ProgID="Equation.3" ShapeID="_x0000_i1029" DrawAspect="Content" ObjectID="_1542625069" r:id="rId25"/>
        </w:object>
      </w:r>
      <w:r>
        <w:t xml:space="preserve"> (the PSU size in the 2013 Census). Within-PSU sampling fractions are constrained to be ½ or less for area component PSUs, so that non-overlapping samples of households can be selected from these PSUs in two different quarters (for more information, see section 5.3 Re-using area component primary sampling units).</w:t>
      </w:r>
    </w:p>
    <w:p w:rsidR="00F44703" w:rsidRDefault="00F44703" w:rsidP="00E42C29"/>
    <w:p w:rsidR="00F44703" w:rsidRDefault="00F44703" w:rsidP="00E42C29">
      <w:r w:rsidRPr="004A1102">
        <w:t>The tar</w:t>
      </w:r>
      <w:r>
        <w:t xml:space="preserve">get within-PSU sample size, </w:t>
      </w:r>
      <w:r w:rsidRPr="000A7C35">
        <w:rPr>
          <w:i/>
        </w:rPr>
        <w:t>c</w:t>
      </w:r>
      <w:r w:rsidRPr="009B6911">
        <w:t xml:space="preserve">, </w:t>
      </w:r>
      <w:r>
        <w:t xml:space="preserve">is </w:t>
      </w:r>
      <w:r w:rsidRPr="004A1102">
        <w:t>a trade</w:t>
      </w:r>
      <w:r>
        <w:t>-</w:t>
      </w:r>
      <w:r w:rsidRPr="004A1102">
        <w:t xml:space="preserve">off </w:t>
      </w:r>
      <w:r>
        <w:t>between</w:t>
      </w:r>
      <w:r w:rsidRPr="004A1102">
        <w:t xml:space="preserve"> cost and sampling error</w:t>
      </w:r>
      <w:r>
        <w:t xml:space="preserve">. </w:t>
      </w:r>
      <w:r w:rsidRPr="004A1102">
        <w:t xml:space="preserve">If </w:t>
      </w:r>
      <w:r w:rsidRPr="000A7C35">
        <w:rPr>
          <w:i/>
        </w:rPr>
        <w:t>c</w:t>
      </w:r>
      <w:r w:rsidRPr="004A1102">
        <w:t xml:space="preserve"> is large, then the sample is highly clustered</w:t>
      </w:r>
      <w:r>
        <w:t>. This means</w:t>
      </w:r>
      <w:r w:rsidRPr="004A1102">
        <w:t xml:space="preserve"> that relatively few </w:t>
      </w:r>
      <w:r>
        <w:t>PSUs</w:t>
      </w:r>
      <w:r w:rsidRPr="004A1102">
        <w:t xml:space="preserve"> need to be selected to achieve a given sample size of households. This reduces interviewer travel costs but increases </w:t>
      </w:r>
      <w:r>
        <w:t xml:space="preserve">the </w:t>
      </w:r>
      <w:r w:rsidRPr="004A1102">
        <w:t xml:space="preserve">sampling error </w:t>
      </w:r>
      <w:r>
        <w:t>because</w:t>
      </w:r>
      <w:r w:rsidRPr="004A1102">
        <w:t xml:space="preserve"> there is more chance of selecting an unrepresentative sample of </w:t>
      </w:r>
      <w:r>
        <w:t>PSUs</w:t>
      </w:r>
      <w:r w:rsidRPr="004A1102">
        <w:t xml:space="preserve">. If </w:t>
      </w:r>
      <w:r w:rsidRPr="000A7C35">
        <w:rPr>
          <w:i/>
        </w:rPr>
        <w:t>c</w:t>
      </w:r>
      <w:r w:rsidRPr="004A1102">
        <w:t xml:space="preserve"> is small, then travel costs are higher</w:t>
      </w:r>
      <w:r>
        <w:t>,</w:t>
      </w:r>
      <w:r w:rsidRPr="004A1102">
        <w:t xml:space="preserve"> but sampling errors are lower.</w:t>
      </w:r>
    </w:p>
    <w:p w:rsidR="00F44703" w:rsidRDefault="00F44703" w:rsidP="00E42C29"/>
    <w:p w:rsidR="00F44703" w:rsidRDefault="00F44703" w:rsidP="00E42C29">
      <w:r w:rsidRPr="004A1102">
        <w:t xml:space="preserve">The best </w:t>
      </w:r>
      <w:r w:rsidRPr="000A7C35">
        <w:rPr>
          <w:i/>
        </w:rPr>
        <w:t>c</w:t>
      </w:r>
      <w:r w:rsidRPr="004A1102">
        <w:t xml:space="preserve"> value depends on the </w:t>
      </w:r>
      <w:r>
        <w:t>indicator</w:t>
      </w:r>
      <w:r w:rsidRPr="004A1102">
        <w:t xml:space="preserve"> to be estimat</w:t>
      </w:r>
      <w:r>
        <w:t xml:space="preserve">ed, in particular, its </w:t>
      </w:r>
      <w:r w:rsidR="003B49E1">
        <w:t>‘</w:t>
      </w:r>
      <w:r>
        <w:t>intra-</w:t>
      </w:r>
      <w:r w:rsidRPr="004A1102">
        <w:t>cl</w:t>
      </w:r>
      <w:r>
        <w:t xml:space="preserve">ass </w:t>
      </w:r>
      <w:r w:rsidRPr="004A1102">
        <w:t>correlation</w:t>
      </w:r>
      <w:r w:rsidR="003B49E1">
        <w:t>’</w:t>
      </w:r>
      <w:r w:rsidRPr="004A1102">
        <w:t xml:space="preserve"> (a measure of </w:t>
      </w:r>
      <w:r>
        <w:t>the indicator</w:t>
      </w:r>
      <w:r w:rsidR="003B49E1">
        <w:t>’</w:t>
      </w:r>
      <w:r>
        <w:t>s</w:t>
      </w:r>
      <w:r w:rsidRPr="004A1102">
        <w:t xml:space="preserve"> geographical cluster</w:t>
      </w:r>
      <w:r>
        <w:t>ing</w:t>
      </w:r>
      <w:r w:rsidRPr="004A1102">
        <w:t>).</w:t>
      </w:r>
      <w:r>
        <w:t xml:space="preserve"> The higher the intra-class correlation, the smaller the cluster size should be, which implies a lower </w:t>
      </w:r>
      <w:r w:rsidRPr="000A7C35">
        <w:rPr>
          <w:i/>
        </w:rPr>
        <w:t>c</w:t>
      </w:r>
      <w:r>
        <w:t xml:space="preserve"> value.</w:t>
      </w:r>
    </w:p>
    <w:p w:rsidR="00F44703" w:rsidRDefault="00F44703" w:rsidP="00E42C29"/>
    <w:p w:rsidR="00F44703" w:rsidRDefault="00F44703" w:rsidP="00E42C29">
      <w:r w:rsidRPr="004A1102">
        <w:t xml:space="preserve">The </w:t>
      </w:r>
      <w:r w:rsidRPr="000A7C35">
        <w:rPr>
          <w:i/>
        </w:rPr>
        <w:t>c</w:t>
      </w:r>
      <w:r w:rsidRPr="004A1102">
        <w:t xml:space="preserve"> value </w:t>
      </w:r>
      <w:r>
        <w:t>for the NZHS</w:t>
      </w:r>
      <w:r w:rsidRPr="004A1102">
        <w:t xml:space="preserve"> has been set </w:t>
      </w:r>
      <w:r>
        <w:t>to 21</w:t>
      </w:r>
      <w:r w:rsidRPr="004A1102">
        <w:t xml:space="preserve">. This is larger than is common for many </w:t>
      </w:r>
      <w:r>
        <w:t xml:space="preserve">household </w:t>
      </w:r>
      <w:r w:rsidRPr="004A1102">
        <w:t xml:space="preserve">surveys, but is thought to be appropriate </w:t>
      </w:r>
      <w:r>
        <w:t>for the NZHS for the following reasons.</w:t>
      </w:r>
    </w:p>
    <w:p w:rsidR="00F44703" w:rsidRDefault="00F44703" w:rsidP="00E42C29">
      <w:pPr>
        <w:pStyle w:val="Bullet"/>
      </w:pPr>
      <w:r w:rsidRPr="004A1102">
        <w:t>Intra</w:t>
      </w:r>
      <w:r>
        <w:t>-</w:t>
      </w:r>
      <w:r w:rsidRPr="004A1102">
        <w:t xml:space="preserve">class correlations for most rare health condition </w:t>
      </w:r>
      <w:r>
        <w:t>indicator</w:t>
      </w:r>
      <w:r w:rsidRPr="004A1102">
        <w:t>s are small</w:t>
      </w:r>
      <w:r>
        <w:t>, and therefore a larger cluster size is appropriate</w:t>
      </w:r>
      <w:r w:rsidRPr="004A1102">
        <w:t>. Intra</w:t>
      </w:r>
      <w:r>
        <w:t>-</w:t>
      </w:r>
      <w:r w:rsidRPr="004A1102">
        <w:t xml:space="preserve">class correlations for health behaviour </w:t>
      </w:r>
      <w:r>
        <w:t>indicator</w:t>
      </w:r>
      <w:r w:rsidRPr="004A1102">
        <w:t xml:space="preserve">s are </w:t>
      </w:r>
      <w:r>
        <w:t>higher</w:t>
      </w:r>
      <w:r w:rsidRPr="004A1102">
        <w:t xml:space="preserve">, but </w:t>
      </w:r>
      <w:proofErr w:type="spellStart"/>
      <w:r w:rsidRPr="004A1102">
        <w:t>prevalences</w:t>
      </w:r>
      <w:proofErr w:type="spellEnd"/>
      <w:r w:rsidRPr="004A1102">
        <w:t xml:space="preserve"> for these </w:t>
      </w:r>
      <w:r>
        <w:t>indicator</w:t>
      </w:r>
      <w:r w:rsidRPr="004A1102">
        <w:t>s</w:t>
      </w:r>
      <w:r>
        <w:t xml:space="preserve"> are also</w:t>
      </w:r>
      <w:r w:rsidRPr="004A1102">
        <w:t xml:space="preserve"> </w:t>
      </w:r>
      <w:r>
        <w:t>higher, and so their standard error targets can be achieved more easily (see Table 6)</w:t>
      </w:r>
      <w:r w:rsidRPr="004A1102">
        <w:t>.</w:t>
      </w:r>
    </w:p>
    <w:p w:rsidR="00F44703" w:rsidRDefault="00F44703" w:rsidP="00E42C29">
      <w:pPr>
        <w:pStyle w:val="Bullet"/>
      </w:pPr>
      <w:r w:rsidRPr="004A1102">
        <w:t xml:space="preserve">Cluster sizes for subpopulations such as Māori, Pacific or </w:t>
      </w:r>
      <w:r w:rsidRPr="003D6B26">
        <w:t xml:space="preserve">Asian </w:t>
      </w:r>
      <w:r>
        <w:t xml:space="preserve">people are </w:t>
      </w:r>
      <w:r w:rsidRPr="004A1102">
        <w:t>gen</w:t>
      </w:r>
      <w:r>
        <w:t>erally significantly smaller than 21 since not all respondents from a PSU will belong to a given subpopulation</w:t>
      </w:r>
      <w:r w:rsidRPr="004A1102">
        <w:t>.</w:t>
      </w:r>
    </w:p>
    <w:p w:rsidR="00F44703" w:rsidRDefault="00F44703" w:rsidP="00E42C29"/>
    <w:p w:rsidR="00F44703" w:rsidRDefault="00F44703" w:rsidP="00E42C29">
      <w:r w:rsidRPr="004A1102">
        <w:t xml:space="preserve">The net result of the sampling of </w:t>
      </w:r>
      <w:r>
        <w:t>PSUs</w:t>
      </w:r>
      <w:r w:rsidRPr="004A1102">
        <w:t xml:space="preserve"> and t</w:t>
      </w:r>
      <w:r>
        <w:t>his within-PSU sampling method is</w:t>
      </w:r>
      <w:r w:rsidRPr="004A1102">
        <w:t xml:space="preserve"> that household probabilities of selection </w:t>
      </w:r>
      <w:r>
        <w:t>are</w:t>
      </w:r>
      <w:r w:rsidRPr="004A1102">
        <w:t xml:space="preserve"> proportional to the targeting factor, </w:t>
      </w:r>
      <w:r w:rsidRPr="004A1102">
        <w:rPr>
          <w:i/>
        </w:rPr>
        <w:t>f</w:t>
      </w:r>
      <w:r w:rsidRPr="004A1102">
        <w:rPr>
          <w:i/>
          <w:vertAlign w:val="subscript"/>
        </w:rPr>
        <w:t>i</w:t>
      </w:r>
      <w:r w:rsidR="002E69DB">
        <w:t>, within DHBs.</w:t>
      </w:r>
    </w:p>
    <w:p w:rsidR="00F44703" w:rsidRDefault="00F44703" w:rsidP="00E42C29"/>
    <w:p w:rsidR="00F44703" w:rsidRPr="00F7619F" w:rsidRDefault="00F44703" w:rsidP="00E42C29">
      <w:pPr>
        <w:pStyle w:val="Heading3"/>
      </w:pPr>
      <w:bookmarkStart w:id="48" w:name="_Ref304385417"/>
      <w:r w:rsidRPr="00F7619F">
        <w:t>Selecti</w:t>
      </w:r>
      <w:r>
        <w:t>ng</w:t>
      </w:r>
      <w:r w:rsidRPr="00F7619F">
        <w:t xml:space="preserve"> one adult and one child from selected households</w:t>
      </w:r>
    </w:p>
    <w:p w:rsidR="00F44703" w:rsidRDefault="00F44703" w:rsidP="00E42C29">
      <w:r>
        <w:t>In t</w:t>
      </w:r>
      <w:r w:rsidRPr="009E58A4">
        <w:t>he final stage of selection</w:t>
      </w:r>
      <w:r>
        <w:t>,</w:t>
      </w:r>
      <w:r w:rsidRPr="009E58A4">
        <w:t xml:space="preserve"> </w:t>
      </w:r>
      <w:r w:rsidRPr="00506277">
        <w:t>one adult (15 years and over) and one child (0</w:t>
      </w:r>
      <w:r>
        <w:t>–</w:t>
      </w:r>
      <w:r w:rsidRPr="00506277">
        <w:t xml:space="preserve">14 years, if any) </w:t>
      </w:r>
      <w:r>
        <w:t>i</w:t>
      </w:r>
      <w:r w:rsidRPr="00B46A63">
        <w:t>s</w:t>
      </w:r>
      <w:r w:rsidRPr="004A1102">
        <w:t xml:space="preserve"> </w:t>
      </w:r>
      <w:r w:rsidRPr="00506277">
        <w:t>selected at random from each</w:t>
      </w:r>
      <w:r>
        <w:t xml:space="preserve"> selected household.</w:t>
      </w:r>
    </w:p>
    <w:p w:rsidR="00F44703" w:rsidRDefault="00F44703" w:rsidP="00E42C29"/>
    <w:p w:rsidR="00F44703" w:rsidRPr="00F7619F" w:rsidRDefault="00F44703" w:rsidP="00E42C29">
      <w:pPr>
        <w:pStyle w:val="Heading3"/>
      </w:pPr>
      <w:r w:rsidRPr="00F7619F">
        <w:t>Inclu</w:t>
      </w:r>
      <w:r>
        <w:t>ding</w:t>
      </w:r>
      <w:r w:rsidRPr="00F7619F">
        <w:t xml:space="preserve"> residents of non-private dwellings</w:t>
      </w:r>
    </w:p>
    <w:p w:rsidR="00F44703" w:rsidRDefault="00F44703" w:rsidP="00E42C29">
      <w:r>
        <w:t xml:space="preserve">Any aged-care facilities in the selected PSUs are identified and included </w:t>
      </w:r>
      <w:r w:rsidRPr="007C0877">
        <w:t xml:space="preserve">in the area-based sample, with </w:t>
      </w:r>
      <w:r w:rsidR="003B49E1">
        <w:t>‘</w:t>
      </w:r>
      <w:r w:rsidRPr="007C0877">
        <w:t>accommodation units</w:t>
      </w:r>
      <w:r w:rsidR="003B49E1">
        <w:t>’</w:t>
      </w:r>
      <w:r w:rsidRPr="007C0877">
        <w:t xml:space="preserve"> taking the place of households. Accommodation units</w:t>
      </w:r>
      <w:r>
        <w:t xml:space="preserve"> have been </w:t>
      </w:r>
      <w:r w:rsidRPr="007C0877">
        <w:t xml:space="preserve">defined based on operational convenience and typically </w:t>
      </w:r>
      <w:r>
        <w:t>comprise</w:t>
      </w:r>
      <w:r w:rsidRPr="007C0877">
        <w:t xml:space="preserve"> either individuals or couples living together in an institution. Accommodation units </w:t>
      </w:r>
      <w:r>
        <w:t xml:space="preserve">are </w:t>
      </w:r>
      <w:r w:rsidRPr="007C0877">
        <w:t xml:space="preserve">listed with other households in selected </w:t>
      </w:r>
      <w:r>
        <w:t>areas</w:t>
      </w:r>
      <w:r w:rsidRPr="007C0877">
        <w:t xml:space="preserve"> and </w:t>
      </w:r>
      <w:r>
        <w:t xml:space="preserve">are </w:t>
      </w:r>
      <w:r w:rsidRPr="007C0877">
        <w:t xml:space="preserve">selected systematically. One adult </w:t>
      </w:r>
      <w:r>
        <w:t>is</w:t>
      </w:r>
      <w:r w:rsidRPr="00B46A63">
        <w:t xml:space="preserve"> </w:t>
      </w:r>
      <w:r w:rsidRPr="007C0877">
        <w:t>selected from each selected household and accommodation unit.</w:t>
      </w:r>
    </w:p>
    <w:p w:rsidR="00F44703" w:rsidRDefault="00F44703" w:rsidP="00E42C29"/>
    <w:p w:rsidR="00F44703" w:rsidRDefault="00F44703" w:rsidP="00E42C29">
      <w:r w:rsidRPr="00673007">
        <w:t>Students living away from home in university hostels and boarding schools are eligible to be selected via their family</w:t>
      </w:r>
      <w:r w:rsidR="003B49E1">
        <w:t>’</w:t>
      </w:r>
      <w:r w:rsidRPr="00673007">
        <w:t>s house, if they still consider this to be their home. If selected, arrangements are made to survey them either when they are next at home or at their student accommodation.</w:t>
      </w:r>
    </w:p>
    <w:p w:rsidR="00F44703" w:rsidRPr="00673007" w:rsidRDefault="00F44703" w:rsidP="00E42C29"/>
    <w:p w:rsidR="00F44703" w:rsidRPr="000F1107" w:rsidRDefault="00F44703" w:rsidP="00E42C29">
      <w:pPr>
        <w:pStyle w:val="Table"/>
      </w:pPr>
      <w:bookmarkStart w:id="49" w:name="_Toc467672203"/>
      <w:bookmarkStart w:id="50" w:name="_Toc467700419"/>
      <w:r w:rsidRPr="00CE4B7F">
        <w:t xml:space="preserve">Table </w:t>
      </w:r>
      <w:bookmarkEnd w:id="48"/>
      <w:r>
        <w:t>6</w:t>
      </w:r>
      <w:r w:rsidRPr="00CE4B7F">
        <w:t>:</w:t>
      </w:r>
      <w:r w:rsidR="00E42C29">
        <w:t xml:space="preserve"> </w:t>
      </w:r>
      <w:r w:rsidRPr="000F1107">
        <w:t xml:space="preserve">Summary of selected design </w:t>
      </w:r>
      <w:r>
        <w:t>indicator</w:t>
      </w:r>
      <w:r w:rsidRPr="000F1107">
        <w:t>s</w:t>
      </w:r>
      <w:bookmarkEnd w:id="49"/>
      <w:bookmarkEnd w:id="50"/>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648"/>
        <w:gridCol w:w="984"/>
        <w:gridCol w:w="1479"/>
        <w:gridCol w:w="1297"/>
        <w:gridCol w:w="1538"/>
        <w:gridCol w:w="1238"/>
        <w:gridCol w:w="1172"/>
      </w:tblGrid>
      <w:tr w:rsidR="00F44703" w:rsidRPr="00E42C29" w:rsidTr="00E42C29">
        <w:trPr>
          <w:cantSplit/>
        </w:trPr>
        <w:tc>
          <w:tcPr>
            <w:tcW w:w="1648" w:type="dxa"/>
            <w:vMerge w:val="restart"/>
            <w:tcBorders>
              <w:top w:val="single" w:sz="4" w:space="0" w:color="auto"/>
              <w:left w:val="nil"/>
              <w:bottom w:val="nil"/>
              <w:right w:val="single" w:sz="4" w:space="0" w:color="A6A6A6" w:themeColor="background1" w:themeShade="A6"/>
            </w:tcBorders>
          </w:tcPr>
          <w:p w:rsidR="00F44703" w:rsidRPr="00E42C29" w:rsidRDefault="00F44703" w:rsidP="00E42C29">
            <w:pPr>
              <w:pStyle w:val="TableText"/>
              <w:rPr>
                <w:b/>
              </w:rPr>
            </w:pPr>
            <w:r w:rsidRPr="00E42C29">
              <w:rPr>
                <w:b/>
              </w:rPr>
              <w:t>Indicator</w:t>
            </w:r>
          </w:p>
        </w:tc>
        <w:tc>
          <w:tcPr>
            <w:tcW w:w="984" w:type="dxa"/>
            <w:vMerge w:val="restart"/>
            <w:tcBorders>
              <w:top w:val="single" w:sz="4" w:space="0" w:color="auto"/>
              <w:left w:val="single" w:sz="4" w:space="0" w:color="A6A6A6" w:themeColor="background1" w:themeShade="A6"/>
              <w:bottom w:val="nil"/>
              <w:right w:val="single" w:sz="4" w:space="0" w:color="A6A6A6" w:themeColor="background1" w:themeShade="A6"/>
            </w:tcBorders>
          </w:tcPr>
          <w:p w:rsidR="00F44703" w:rsidRPr="00E42C29" w:rsidRDefault="00F44703" w:rsidP="00E42C29">
            <w:pPr>
              <w:pStyle w:val="TableText"/>
              <w:jc w:val="center"/>
              <w:rPr>
                <w:b/>
              </w:rPr>
            </w:pPr>
            <w:r w:rsidRPr="00E42C29">
              <w:rPr>
                <w:b/>
              </w:rPr>
              <w:t>Weighted mean</w:t>
            </w:r>
          </w:p>
        </w:tc>
        <w:tc>
          <w:tcPr>
            <w:tcW w:w="2776"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rsidR="00F44703" w:rsidRPr="00E42C29" w:rsidRDefault="00F44703" w:rsidP="00E42C29">
            <w:pPr>
              <w:pStyle w:val="TableText"/>
              <w:jc w:val="center"/>
              <w:rPr>
                <w:b/>
              </w:rPr>
            </w:pPr>
            <w:r w:rsidRPr="00E42C29">
              <w:rPr>
                <w:b/>
              </w:rPr>
              <w:t>Estimated intra-</w:t>
            </w:r>
            <w:proofErr w:type="spellStart"/>
            <w:r w:rsidRPr="00E42C29">
              <w:rPr>
                <w:b/>
              </w:rPr>
              <w:t>meshblock</w:t>
            </w:r>
            <w:proofErr w:type="spellEnd"/>
            <w:r w:rsidRPr="00E42C29">
              <w:rPr>
                <w:b/>
              </w:rPr>
              <w:t xml:space="preserve"> correlation (2014/15 year)</w:t>
            </w:r>
          </w:p>
        </w:tc>
        <w:tc>
          <w:tcPr>
            <w:tcW w:w="2776"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rsidR="00F44703" w:rsidRPr="00E42C29" w:rsidRDefault="00F44703" w:rsidP="00E42C29">
            <w:pPr>
              <w:pStyle w:val="TableText"/>
              <w:jc w:val="center"/>
              <w:rPr>
                <w:b/>
              </w:rPr>
            </w:pPr>
            <w:r w:rsidRPr="00E42C29">
              <w:rPr>
                <w:b/>
              </w:rPr>
              <w:t>Estimated intra-PSU correlation (2015/16 quarter 1)*</w:t>
            </w:r>
          </w:p>
        </w:tc>
        <w:tc>
          <w:tcPr>
            <w:tcW w:w="1172" w:type="dxa"/>
            <w:vMerge w:val="restart"/>
            <w:tcBorders>
              <w:top w:val="single" w:sz="4" w:space="0" w:color="auto"/>
              <w:left w:val="single" w:sz="4" w:space="0" w:color="A6A6A6" w:themeColor="background1" w:themeShade="A6"/>
              <w:bottom w:val="nil"/>
              <w:right w:val="nil"/>
            </w:tcBorders>
          </w:tcPr>
          <w:p w:rsidR="00F44703" w:rsidRPr="00E42C29" w:rsidRDefault="00F44703" w:rsidP="00E42C29">
            <w:pPr>
              <w:pStyle w:val="TableText"/>
              <w:jc w:val="center"/>
              <w:rPr>
                <w:b/>
              </w:rPr>
            </w:pPr>
            <w:proofErr w:type="spellStart"/>
            <w:r w:rsidRPr="00E42C29">
              <w:rPr>
                <w:b/>
              </w:rPr>
              <w:t>Deff</w:t>
            </w:r>
            <w:proofErr w:type="spellEnd"/>
            <w:r w:rsidRPr="00E42C29">
              <w:rPr>
                <w:b/>
              </w:rPr>
              <w:t xml:space="preserve"> due to clustering**</w:t>
            </w:r>
          </w:p>
        </w:tc>
      </w:tr>
      <w:tr w:rsidR="00E42C29" w:rsidRPr="00E42C29" w:rsidTr="00E42C29">
        <w:trPr>
          <w:cantSplit/>
        </w:trPr>
        <w:tc>
          <w:tcPr>
            <w:tcW w:w="1648" w:type="dxa"/>
            <w:vMerge/>
            <w:tcBorders>
              <w:top w:val="nil"/>
              <w:left w:val="nil"/>
              <w:bottom w:val="single" w:sz="4" w:space="0" w:color="auto"/>
              <w:right w:val="single" w:sz="4" w:space="0" w:color="A6A6A6" w:themeColor="background1" w:themeShade="A6"/>
            </w:tcBorders>
          </w:tcPr>
          <w:p w:rsidR="00F44703" w:rsidRPr="00E42C29" w:rsidRDefault="00F44703" w:rsidP="00E42C29">
            <w:pPr>
              <w:pStyle w:val="TableText"/>
              <w:rPr>
                <w:b/>
              </w:rPr>
            </w:pPr>
          </w:p>
        </w:tc>
        <w:tc>
          <w:tcPr>
            <w:tcW w:w="984" w:type="dxa"/>
            <w:vMerge/>
            <w:tcBorders>
              <w:top w:val="nil"/>
              <w:left w:val="single" w:sz="4" w:space="0" w:color="A6A6A6" w:themeColor="background1" w:themeShade="A6"/>
              <w:bottom w:val="single" w:sz="4" w:space="0" w:color="auto"/>
              <w:right w:val="single" w:sz="4" w:space="0" w:color="A6A6A6" w:themeColor="background1" w:themeShade="A6"/>
            </w:tcBorders>
          </w:tcPr>
          <w:p w:rsidR="00F44703" w:rsidRPr="00E42C29" w:rsidRDefault="00F44703" w:rsidP="00E42C29">
            <w:pPr>
              <w:pStyle w:val="TableText"/>
              <w:rPr>
                <w:b/>
              </w:rPr>
            </w:pPr>
          </w:p>
        </w:tc>
        <w:tc>
          <w:tcPr>
            <w:tcW w:w="1479" w:type="dxa"/>
            <w:tcBorders>
              <w:top w:val="single" w:sz="4" w:space="0" w:color="A6A6A6" w:themeColor="background1" w:themeShade="A6"/>
              <w:left w:val="single" w:sz="4" w:space="0" w:color="A6A6A6" w:themeColor="background1" w:themeShade="A6"/>
              <w:bottom w:val="single" w:sz="4" w:space="0" w:color="auto"/>
              <w:right w:val="nil"/>
            </w:tcBorders>
          </w:tcPr>
          <w:p w:rsidR="00F44703" w:rsidRPr="00E42C29" w:rsidRDefault="00F44703" w:rsidP="00E42C29">
            <w:pPr>
              <w:pStyle w:val="TableText"/>
              <w:jc w:val="center"/>
              <w:rPr>
                <w:b/>
              </w:rPr>
            </w:pPr>
            <w:r w:rsidRPr="00E42C29">
              <w:rPr>
                <w:b/>
              </w:rPr>
              <w:t>Unconditional</w:t>
            </w:r>
          </w:p>
        </w:tc>
        <w:tc>
          <w:tcPr>
            <w:tcW w:w="1297" w:type="dxa"/>
            <w:tcBorders>
              <w:top w:val="single" w:sz="4" w:space="0" w:color="A6A6A6" w:themeColor="background1" w:themeShade="A6"/>
              <w:left w:val="nil"/>
              <w:bottom w:val="single" w:sz="4" w:space="0" w:color="auto"/>
              <w:right w:val="single" w:sz="4" w:space="0" w:color="A6A6A6" w:themeColor="background1" w:themeShade="A6"/>
            </w:tcBorders>
          </w:tcPr>
          <w:p w:rsidR="00F44703" w:rsidRPr="00E42C29" w:rsidRDefault="00F44703" w:rsidP="00E42C29">
            <w:pPr>
              <w:pStyle w:val="TableText"/>
              <w:jc w:val="center"/>
              <w:rPr>
                <w:b/>
              </w:rPr>
            </w:pPr>
            <w:r w:rsidRPr="00E42C29">
              <w:rPr>
                <w:b/>
              </w:rPr>
              <w:t>Conditional on ethnicity, age group and sex</w:t>
            </w:r>
          </w:p>
        </w:tc>
        <w:tc>
          <w:tcPr>
            <w:tcW w:w="1538" w:type="dxa"/>
            <w:tcBorders>
              <w:top w:val="single" w:sz="4" w:space="0" w:color="A6A6A6" w:themeColor="background1" w:themeShade="A6"/>
              <w:left w:val="single" w:sz="4" w:space="0" w:color="A6A6A6" w:themeColor="background1" w:themeShade="A6"/>
              <w:bottom w:val="single" w:sz="4" w:space="0" w:color="auto"/>
              <w:right w:val="nil"/>
            </w:tcBorders>
          </w:tcPr>
          <w:p w:rsidR="00F44703" w:rsidRPr="00E42C29" w:rsidRDefault="00F44703" w:rsidP="00E42C29">
            <w:pPr>
              <w:pStyle w:val="TableText"/>
              <w:jc w:val="center"/>
              <w:rPr>
                <w:b/>
              </w:rPr>
            </w:pPr>
            <w:r w:rsidRPr="00E42C29">
              <w:rPr>
                <w:b/>
              </w:rPr>
              <w:t>Unconditional</w:t>
            </w:r>
          </w:p>
        </w:tc>
        <w:tc>
          <w:tcPr>
            <w:tcW w:w="1238" w:type="dxa"/>
            <w:tcBorders>
              <w:top w:val="single" w:sz="4" w:space="0" w:color="A6A6A6" w:themeColor="background1" w:themeShade="A6"/>
              <w:left w:val="nil"/>
              <w:bottom w:val="single" w:sz="4" w:space="0" w:color="auto"/>
              <w:right w:val="single" w:sz="4" w:space="0" w:color="A6A6A6" w:themeColor="background1" w:themeShade="A6"/>
            </w:tcBorders>
          </w:tcPr>
          <w:p w:rsidR="00F44703" w:rsidRPr="00E42C29" w:rsidRDefault="00F44703" w:rsidP="00E42C29">
            <w:pPr>
              <w:pStyle w:val="TableText"/>
              <w:jc w:val="center"/>
              <w:rPr>
                <w:b/>
              </w:rPr>
            </w:pPr>
            <w:r w:rsidRPr="00E42C29">
              <w:rPr>
                <w:b/>
              </w:rPr>
              <w:t>Conditional on ethnicity, age group and sex</w:t>
            </w:r>
          </w:p>
        </w:tc>
        <w:tc>
          <w:tcPr>
            <w:tcW w:w="1172" w:type="dxa"/>
            <w:vMerge/>
            <w:tcBorders>
              <w:top w:val="nil"/>
              <w:left w:val="single" w:sz="4" w:space="0" w:color="A6A6A6" w:themeColor="background1" w:themeShade="A6"/>
              <w:bottom w:val="single" w:sz="4" w:space="0" w:color="auto"/>
              <w:right w:val="nil"/>
            </w:tcBorders>
          </w:tcPr>
          <w:p w:rsidR="00F44703" w:rsidRPr="00E42C29" w:rsidRDefault="00F44703" w:rsidP="00E42C29">
            <w:pPr>
              <w:pStyle w:val="TableText"/>
              <w:rPr>
                <w:b/>
              </w:rPr>
            </w:pPr>
          </w:p>
        </w:tc>
      </w:tr>
      <w:tr w:rsidR="00E42C29" w:rsidRPr="000F1107" w:rsidTr="00E42C29">
        <w:trPr>
          <w:cantSplit/>
        </w:trPr>
        <w:tc>
          <w:tcPr>
            <w:tcW w:w="1648" w:type="dxa"/>
            <w:tcBorders>
              <w:top w:val="single" w:sz="4" w:space="0" w:color="auto"/>
              <w:left w:val="nil"/>
              <w:bottom w:val="single" w:sz="4" w:space="0" w:color="A6A6A6" w:themeColor="background1" w:themeShade="A6"/>
              <w:right w:val="single" w:sz="4" w:space="0" w:color="A6A6A6" w:themeColor="background1" w:themeShade="A6"/>
            </w:tcBorders>
          </w:tcPr>
          <w:p w:rsidR="00F44703" w:rsidRPr="00070761" w:rsidRDefault="00F44703" w:rsidP="00E42C29">
            <w:pPr>
              <w:pStyle w:val="TableText"/>
            </w:pPr>
            <w:r w:rsidRPr="00070761">
              <w:t>Poor or very poor self-assessed health</w:t>
            </w:r>
          </w:p>
        </w:tc>
        <w:tc>
          <w:tcPr>
            <w:tcW w:w="984"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0.111</w:t>
            </w:r>
          </w:p>
        </w:tc>
        <w:tc>
          <w:tcPr>
            <w:tcW w:w="1479" w:type="dxa"/>
            <w:tcBorders>
              <w:top w:val="single" w:sz="4" w:space="0" w:color="auto"/>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0.020</w:t>
            </w:r>
          </w:p>
        </w:tc>
        <w:tc>
          <w:tcPr>
            <w:tcW w:w="1297" w:type="dxa"/>
            <w:tcBorders>
              <w:top w:val="single" w:sz="4" w:space="0" w:color="auto"/>
              <w:left w:val="nil"/>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0.016</w:t>
            </w:r>
          </w:p>
        </w:tc>
        <w:tc>
          <w:tcPr>
            <w:tcW w:w="1538" w:type="dxa"/>
            <w:tcBorders>
              <w:top w:val="single" w:sz="4" w:space="0" w:color="auto"/>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0.028</w:t>
            </w:r>
          </w:p>
        </w:tc>
        <w:tc>
          <w:tcPr>
            <w:tcW w:w="1238" w:type="dxa"/>
            <w:tcBorders>
              <w:top w:val="single" w:sz="4" w:space="0" w:color="auto"/>
              <w:left w:val="nil"/>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0.026</w:t>
            </w:r>
          </w:p>
        </w:tc>
        <w:tc>
          <w:tcPr>
            <w:tcW w:w="1172" w:type="dxa"/>
            <w:tcBorders>
              <w:top w:val="single" w:sz="4" w:space="0" w:color="auto"/>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1.55</w:t>
            </w:r>
          </w:p>
        </w:tc>
      </w:tr>
      <w:tr w:rsidR="00E42C29" w:rsidRPr="000F1107" w:rsidTr="00E42C29">
        <w:trPr>
          <w:cantSplit/>
        </w:trPr>
        <w:tc>
          <w:tcPr>
            <w:tcW w:w="164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070761" w:rsidRDefault="00F44703" w:rsidP="00E42C29">
            <w:pPr>
              <w:pStyle w:val="TableText"/>
            </w:pPr>
            <w:r w:rsidRPr="00070761">
              <w:t>Current smoking</w:t>
            </w:r>
          </w:p>
        </w:tc>
        <w:tc>
          <w:tcPr>
            <w:tcW w:w="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0.166</w:t>
            </w:r>
          </w:p>
        </w:tc>
        <w:tc>
          <w:tcPr>
            <w:tcW w:w="14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0.076</w:t>
            </w:r>
          </w:p>
        </w:tc>
        <w:tc>
          <w:tcPr>
            <w:tcW w:w="129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0.035</w:t>
            </w:r>
          </w:p>
        </w:tc>
        <w:tc>
          <w:tcPr>
            <w:tcW w:w="153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0.067</w:t>
            </w:r>
          </w:p>
        </w:tc>
        <w:tc>
          <w:tcPr>
            <w:tcW w:w="123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0.039</w:t>
            </w:r>
          </w:p>
        </w:tc>
        <w:tc>
          <w:tcPr>
            <w:tcW w:w="117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1.81</w:t>
            </w:r>
          </w:p>
        </w:tc>
      </w:tr>
      <w:tr w:rsidR="00E42C29" w:rsidRPr="000F1107" w:rsidTr="00E42C29">
        <w:trPr>
          <w:cantSplit/>
        </w:trPr>
        <w:tc>
          <w:tcPr>
            <w:tcW w:w="164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070761" w:rsidRDefault="00F44703" w:rsidP="00E42C29">
            <w:pPr>
              <w:pStyle w:val="TableText"/>
            </w:pPr>
            <w:r w:rsidRPr="00070761">
              <w:t>Hazardous drinker</w:t>
            </w:r>
          </w:p>
        </w:tc>
        <w:tc>
          <w:tcPr>
            <w:tcW w:w="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0.177</w:t>
            </w:r>
          </w:p>
        </w:tc>
        <w:tc>
          <w:tcPr>
            <w:tcW w:w="14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0.056</w:t>
            </w:r>
          </w:p>
        </w:tc>
        <w:tc>
          <w:tcPr>
            <w:tcW w:w="129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0.036</w:t>
            </w:r>
          </w:p>
        </w:tc>
        <w:tc>
          <w:tcPr>
            <w:tcW w:w="153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0.027</w:t>
            </w:r>
          </w:p>
        </w:tc>
        <w:tc>
          <w:tcPr>
            <w:tcW w:w="123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0.013</w:t>
            </w:r>
          </w:p>
        </w:tc>
        <w:tc>
          <w:tcPr>
            <w:tcW w:w="117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1.28</w:t>
            </w:r>
          </w:p>
        </w:tc>
      </w:tr>
      <w:tr w:rsidR="00E42C29" w:rsidRPr="000F1107" w:rsidTr="00E42C29">
        <w:trPr>
          <w:cantSplit/>
        </w:trPr>
        <w:tc>
          <w:tcPr>
            <w:tcW w:w="164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070761" w:rsidRDefault="00F44703" w:rsidP="00E42C29">
            <w:pPr>
              <w:pStyle w:val="TableText"/>
            </w:pPr>
            <w:r w:rsidRPr="00070761">
              <w:t>Obesity</w:t>
            </w:r>
          </w:p>
        </w:tc>
        <w:tc>
          <w:tcPr>
            <w:tcW w:w="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0.307</w:t>
            </w:r>
          </w:p>
        </w:tc>
        <w:tc>
          <w:tcPr>
            <w:tcW w:w="14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0.070</w:t>
            </w:r>
          </w:p>
        </w:tc>
        <w:tc>
          <w:tcPr>
            <w:tcW w:w="129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0.032</w:t>
            </w:r>
          </w:p>
        </w:tc>
        <w:tc>
          <w:tcPr>
            <w:tcW w:w="153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0.042</w:t>
            </w:r>
          </w:p>
        </w:tc>
        <w:tc>
          <w:tcPr>
            <w:tcW w:w="123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0.021</w:t>
            </w:r>
          </w:p>
        </w:tc>
        <w:tc>
          <w:tcPr>
            <w:tcW w:w="117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1.45</w:t>
            </w:r>
          </w:p>
        </w:tc>
      </w:tr>
      <w:tr w:rsidR="00E42C29" w:rsidRPr="000F1107" w:rsidTr="00E42C29">
        <w:trPr>
          <w:cantSplit/>
        </w:trPr>
        <w:tc>
          <w:tcPr>
            <w:tcW w:w="164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070761" w:rsidRDefault="00F44703" w:rsidP="00E42C29">
            <w:pPr>
              <w:pStyle w:val="TableText"/>
            </w:pPr>
            <w:r w:rsidRPr="00070761">
              <w:t>Psychological distress</w:t>
            </w:r>
          </w:p>
        </w:tc>
        <w:tc>
          <w:tcPr>
            <w:tcW w:w="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0.062</w:t>
            </w:r>
          </w:p>
        </w:tc>
        <w:tc>
          <w:tcPr>
            <w:tcW w:w="14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0.028</w:t>
            </w:r>
          </w:p>
        </w:tc>
        <w:tc>
          <w:tcPr>
            <w:tcW w:w="129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0.025</w:t>
            </w:r>
          </w:p>
        </w:tc>
        <w:tc>
          <w:tcPr>
            <w:tcW w:w="153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0.021</w:t>
            </w:r>
          </w:p>
        </w:tc>
        <w:tc>
          <w:tcPr>
            <w:tcW w:w="123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0.016</w:t>
            </w:r>
          </w:p>
        </w:tc>
        <w:tc>
          <w:tcPr>
            <w:tcW w:w="117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1.33</w:t>
            </w:r>
          </w:p>
        </w:tc>
      </w:tr>
      <w:tr w:rsidR="00E42C29" w:rsidRPr="000F1107" w:rsidTr="00E42C29">
        <w:trPr>
          <w:cantSplit/>
        </w:trPr>
        <w:tc>
          <w:tcPr>
            <w:tcW w:w="164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070761" w:rsidRDefault="00F44703" w:rsidP="00E42C29">
            <w:pPr>
              <w:pStyle w:val="TableText"/>
            </w:pPr>
            <w:r w:rsidRPr="00070761">
              <w:t>Unmet need for GP due to cost</w:t>
            </w:r>
          </w:p>
        </w:tc>
        <w:tc>
          <w:tcPr>
            <w:tcW w:w="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0.137</w:t>
            </w:r>
          </w:p>
        </w:tc>
        <w:tc>
          <w:tcPr>
            <w:tcW w:w="14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0.051</w:t>
            </w:r>
          </w:p>
        </w:tc>
        <w:tc>
          <w:tcPr>
            <w:tcW w:w="129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0.042</w:t>
            </w:r>
          </w:p>
        </w:tc>
        <w:tc>
          <w:tcPr>
            <w:tcW w:w="153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0.056</w:t>
            </w:r>
          </w:p>
        </w:tc>
        <w:tc>
          <w:tcPr>
            <w:tcW w:w="123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F44703" w:rsidRPr="0022249C" w:rsidRDefault="00F44703" w:rsidP="00E42C29">
            <w:pPr>
              <w:pStyle w:val="TableText"/>
              <w:jc w:val="center"/>
            </w:pPr>
            <w:r w:rsidRPr="0022249C">
              <w:t>0.044</w:t>
            </w:r>
          </w:p>
        </w:tc>
        <w:tc>
          <w:tcPr>
            <w:tcW w:w="117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F44703" w:rsidRPr="0022249C" w:rsidRDefault="00F44703" w:rsidP="00E42C29">
            <w:pPr>
              <w:pStyle w:val="TableText"/>
              <w:jc w:val="center"/>
            </w:pPr>
            <w:r w:rsidRPr="0022249C">
              <w:t>1.93</w:t>
            </w:r>
          </w:p>
        </w:tc>
      </w:tr>
      <w:tr w:rsidR="00E42C29" w:rsidRPr="000F1107" w:rsidTr="00E42C29">
        <w:trPr>
          <w:cantSplit/>
        </w:trPr>
        <w:tc>
          <w:tcPr>
            <w:tcW w:w="1648" w:type="dxa"/>
            <w:tcBorders>
              <w:top w:val="single" w:sz="4" w:space="0" w:color="A6A6A6" w:themeColor="background1" w:themeShade="A6"/>
              <w:left w:val="nil"/>
              <w:bottom w:val="single" w:sz="4" w:space="0" w:color="auto"/>
              <w:right w:val="single" w:sz="4" w:space="0" w:color="A6A6A6" w:themeColor="background1" w:themeShade="A6"/>
            </w:tcBorders>
          </w:tcPr>
          <w:p w:rsidR="00F44703" w:rsidRPr="00070761" w:rsidRDefault="00F44703" w:rsidP="00E42C29">
            <w:pPr>
              <w:pStyle w:val="TableText"/>
            </w:pPr>
            <w:r w:rsidRPr="00070761">
              <w:t>Unfilled prescription due to cost</w:t>
            </w:r>
          </w:p>
        </w:tc>
        <w:tc>
          <w:tcPr>
            <w:tcW w:w="984"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rsidR="00F44703" w:rsidRPr="0022249C" w:rsidRDefault="00F44703" w:rsidP="00E42C29">
            <w:pPr>
              <w:pStyle w:val="TableText"/>
              <w:jc w:val="center"/>
            </w:pPr>
            <w:r w:rsidRPr="0022249C">
              <w:t>0.065</w:t>
            </w:r>
          </w:p>
        </w:tc>
        <w:tc>
          <w:tcPr>
            <w:tcW w:w="1479" w:type="dxa"/>
            <w:tcBorders>
              <w:top w:val="single" w:sz="4" w:space="0" w:color="A6A6A6" w:themeColor="background1" w:themeShade="A6"/>
              <w:left w:val="single" w:sz="4" w:space="0" w:color="A6A6A6" w:themeColor="background1" w:themeShade="A6"/>
              <w:bottom w:val="single" w:sz="4" w:space="0" w:color="auto"/>
              <w:right w:val="nil"/>
            </w:tcBorders>
          </w:tcPr>
          <w:p w:rsidR="00F44703" w:rsidRPr="0022249C" w:rsidRDefault="00F44703" w:rsidP="00E42C29">
            <w:pPr>
              <w:pStyle w:val="TableText"/>
              <w:jc w:val="center"/>
            </w:pPr>
            <w:r w:rsidRPr="0022249C">
              <w:t>0.078</w:t>
            </w:r>
          </w:p>
        </w:tc>
        <w:tc>
          <w:tcPr>
            <w:tcW w:w="1297" w:type="dxa"/>
            <w:tcBorders>
              <w:top w:val="single" w:sz="4" w:space="0" w:color="A6A6A6" w:themeColor="background1" w:themeShade="A6"/>
              <w:left w:val="nil"/>
              <w:bottom w:val="single" w:sz="4" w:space="0" w:color="auto"/>
              <w:right w:val="single" w:sz="4" w:space="0" w:color="A6A6A6" w:themeColor="background1" w:themeShade="A6"/>
            </w:tcBorders>
          </w:tcPr>
          <w:p w:rsidR="00F44703" w:rsidRPr="0022249C" w:rsidRDefault="00F44703" w:rsidP="00E42C29">
            <w:pPr>
              <w:pStyle w:val="TableText"/>
              <w:jc w:val="center"/>
            </w:pPr>
            <w:r w:rsidRPr="0022249C">
              <w:t>0.047</w:t>
            </w:r>
          </w:p>
        </w:tc>
        <w:tc>
          <w:tcPr>
            <w:tcW w:w="1538" w:type="dxa"/>
            <w:tcBorders>
              <w:top w:val="single" w:sz="4" w:space="0" w:color="A6A6A6" w:themeColor="background1" w:themeShade="A6"/>
              <w:left w:val="single" w:sz="4" w:space="0" w:color="A6A6A6" w:themeColor="background1" w:themeShade="A6"/>
              <w:bottom w:val="single" w:sz="4" w:space="0" w:color="auto"/>
              <w:right w:val="nil"/>
            </w:tcBorders>
          </w:tcPr>
          <w:p w:rsidR="00F44703" w:rsidRPr="0022249C" w:rsidRDefault="00F44703" w:rsidP="00E42C29">
            <w:pPr>
              <w:pStyle w:val="TableText"/>
              <w:jc w:val="center"/>
            </w:pPr>
            <w:r w:rsidRPr="0022249C">
              <w:t>0.060</w:t>
            </w:r>
          </w:p>
        </w:tc>
        <w:tc>
          <w:tcPr>
            <w:tcW w:w="1238" w:type="dxa"/>
            <w:tcBorders>
              <w:top w:val="single" w:sz="4" w:space="0" w:color="A6A6A6" w:themeColor="background1" w:themeShade="A6"/>
              <w:left w:val="nil"/>
              <w:bottom w:val="single" w:sz="4" w:space="0" w:color="auto"/>
              <w:right w:val="single" w:sz="4" w:space="0" w:color="A6A6A6" w:themeColor="background1" w:themeShade="A6"/>
            </w:tcBorders>
          </w:tcPr>
          <w:p w:rsidR="00F44703" w:rsidRPr="0022249C" w:rsidRDefault="00F44703" w:rsidP="00E42C29">
            <w:pPr>
              <w:pStyle w:val="TableText"/>
              <w:jc w:val="center"/>
            </w:pPr>
            <w:r w:rsidRPr="0022249C">
              <w:t>0.041</w:t>
            </w:r>
          </w:p>
        </w:tc>
        <w:tc>
          <w:tcPr>
            <w:tcW w:w="1172" w:type="dxa"/>
            <w:tcBorders>
              <w:top w:val="single" w:sz="4" w:space="0" w:color="A6A6A6" w:themeColor="background1" w:themeShade="A6"/>
              <w:left w:val="single" w:sz="4" w:space="0" w:color="A6A6A6" w:themeColor="background1" w:themeShade="A6"/>
              <w:bottom w:val="single" w:sz="4" w:space="0" w:color="auto"/>
              <w:right w:val="nil"/>
            </w:tcBorders>
          </w:tcPr>
          <w:p w:rsidR="00F44703" w:rsidRPr="0022249C" w:rsidRDefault="00F44703" w:rsidP="00E42C29">
            <w:pPr>
              <w:pStyle w:val="TableText"/>
              <w:jc w:val="center"/>
            </w:pPr>
            <w:r w:rsidRPr="0022249C">
              <w:t>1.86</w:t>
            </w:r>
          </w:p>
        </w:tc>
      </w:tr>
    </w:tbl>
    <w:p w:rsidR="00F44703" w:rsidRDefault="00F44703" w:rsidP="00E42C29">
      <w:pPr>
        <w:pStyle w:val="Note"/>
      </w:pPr>
      <w:r>
        <w:t>*</w:t>
      </w:r>
      <w:r>
        <w:tab/>
        <w:t>Intra-PSU correlations were estimated using data from quarter 1 of the 2015/16 year, because this was the only data available at the time of writing that was selected using PSUs. 2014/15 year data are used for all other calculations in this report, as this was the most recent complete year of data available at the time of writing.</w:t>
      </w:r>
    </w:p>
    <w:p w:rsidR="00F44703" w:rsidRPr="000F1107" w:rsidRDefault="00F44703" w:rsidP="00E42C29">
      <w:pPr>
        <w:pStyle w:val="Note"/>
      </w:pPr>
      <w:r w:rsidRPr="000F1107">
        <w:t>*</w:t>
      </w:r>
      <w:r>
        <w:t>*</w:t>
      </w:r>
      <w:r w:rsidRPr="000F1107">
        <w:tab/>
        <w:t>Approximate design effect</w:t>
      </w:r>
      <w:r>
        <w:t>s</w:t>
      </w:r>
      <w:r w:rsidRPr="000F1107">
        <w:t xml:space="preserve"> (</w:t>
      </w:r>
      <w:proofErr w:type="spellStart"/>
      <w:r w:rsidRPr="000F1107">
        <w:t>Deff</w:t>
      </w:r>
      <w:r>
        <w:t>s</w:t>
      </w:r>
      <w:proofErr w:type="spellEnd"/>
      <w:r w:rsidRPr="000F1107">
        <w:t>) due to clustering (defined as the factor</w:t>
      </w:r>
      <w:r>
        <w:t>s</w:t>
      </w:r>
      <w:r w:rsidRPr="000F1107">
        <w:t xml:space="preserve"> by which the variances of estimates are inflated) </w:t>
      </w:r>
      <w:r>
        <w:t>were</w:t>
      </w:r>
      <w:r w:rsidRPr="000F1107">
        <w:t xml:space="preserve"> calculated using the conditional intra-cl</w:t>
      </w:r>
      <w:r>
        <w:t>ass correlation, assuming exactly 21 households</w:t>
      </w:r>
      <w:r w:rsidRPr="000F1107">
        <w:t xml:space="preserve"> </w:t>
      </w:r>
      <w:r>
        <w:t xml:space="preserve">were </w:t>
      </w:r>
      <w:r w:rsidRPr="000F1107">
        <w:t xml:space="preserve">selected in each </w:t>
      </w:r>
      <w:r>
        <w:t>PSU</w:t>
      </w:r>
      <w:r w:rsidRPr="000F1107">
        <w:t>.</w:t>
      </w:r>
    </w:p>
    <w:p w:rsidR="00F44703" w:rsidRDefault="00F44703" w:rsidP="00E42C29"/>
    <w:p w:rsidR="00F44703" w:rsidRPr="009E58A4" w:rsidRDefault="00F44703" w:rsidP="00E42C29">
      <w:pPr>
        <w:pStyle w:val="Heading2"/>
      </w:pPr>
      <w:bookmarkStart w:id="51" w:name="_Toc306260974"/>
      <w:bookmarkStart w:id="52" w:name="_Toc465920532"/>
      <w:bookmarkStart w:id="53" w:name="_Toc465924282"/>
      <w:bookmarkStart w:id="54" w:name="_Toc467672159"/>
      <w:bookmarkStart w:id="55" w:name="_Toc468183658"/>
      <w:r>
        <w:t>4.3</w:t>
      </w:r>
      <w:r>
        <w:tab/>
        <w:t xml:space="preserve">Electoral roll </w:t>
      </w:r>
      <w:bookmarkEnd w:id="51"/>
      <w:r>
        <w:t>component</w:t>
      </w:r>
      <w:bookmarkEnd w:id="52"/>
      <w:bookmarkEnd w:id="53"/>
      <w:bookmarkEnd w:id="54"/>
      <w:bookmarkEnd w:id="55"/>
    </w:p>
    <w:p w:rsidR="00F44703" w:rsidRDefault="00F44703" w:rsidP="00E42C29">
      <w:r>
        <w:t>The electoral roll is used to obtain a sample of eligible addresses, where at least one person has self-identified as having Māori ancestry. This electoral roll list is obtained quarterly.</w:t>
      </w:r>
    </w:p>
    <w:p w:rsidR="00F44703" w:rsidRDefault="00F44703" w:rsidP="00E42C29"/>
    <w:p w:rsidR="00F44703" w:rsidRDefault="00F44703" w:rsidP="00E42C29">
      <w:pPr>
        <w:pStyle w:val="Heading3"/>
      </w:pPr>
      <w:r w:rsidRPr="00884955">
        <w:t>S</w:t>
      </w:r>
      <w:r>
        <w:t xml:space="preserve">ampling </w:t>
      </w:r>
      <w:r w:rsidRPr="00884955">
        <w:t>from the</w:t>
      </w:r>
      <w:r>
        <w:t xml:space="preserve"> electoral roll</w:t>
      </w:r>
    </w:p>
    <w:p w:rsidR="00F44703" w:rsidRDefault="00F44703" w:rsidP="00E42C29">
      <w:r>
        <w:t>Stratified three</w:t>
      </w:r>
      <w:r w:rsidRPr="00506277">
        <w:t>-stage sampling</w:t>
      </w:r>
      <w:r>
        <w:t xml:space="preserve"> is used to select the sample from the electoral roll</w:t>
      </w:r>
      <w:r w:rsidRPr="00506277">
        <w:t>.</w:t>
      </w:r>
    </w:p>
    <w:p w:rsidR="00F44703" w:rsidRDefault="00F44703" w:rsidP="00E42C29"/>
    <w:p w:rsidR="00F44703" w:rsidRDefault="00F44703" w:rsidP="00E42C29">
      <w:r w:rsidRPr="00506277">
        <w:t xml:space="preserve">The first stage </w:t>
      </w:r>
      <w:r>
        <w:t xml:space="preserve">involves selecting </w:t>
      </w:r>
      <w:r w:rsidRPr="00506277">
        <w:t>a</w:t>
      </w:r>
      <w:r w:rsidRPr="00B46A63">
        <w:t xml:space="preserve"> </w:t>
      </w:r>
      <w:r w:rsidRPr="00506277">
        <w:t xml:space="preserve">sample of </w:t>
      </w:r>
      <w:r>
        <w:t>PSUs</w:t>
      </w:r>
      <w:r w:rsidRPr="00506277">
        <w:t xml:space="preserve"> </w:t>
      </w:r>
      <w:r w:rsidRPr="00B46A63">
        <w:t>within each stratum (DHB)</w:t>
      </w:r>
      <w:r>
        <w:t xml:space="preserve">, </w:t>
      </w:r>
      <w:r w:rsidRPr="00506277">
        <w:t>with probability proportional to the number of</w:t>
      </w:r>
      <w:r>
        <w:t xml:space="preserve"> eligible</w:t>
      </w:r>
      <w:r w:rsidRPr="00506277">
        <w:t xml:space="preserve"> addresses.</w:t>
      </w:r>
      <w:r>
        <w:t xml:space="preserve"> </w:t>
      </w:r>
      <w:r w:rsidRPr="00506277">
        <w:t xml:space="preserve">The sample of </w:t>
      </w:r>
      <w:r>
        <w:t>PSUs</w:t>
      </w:r>
      <w:r w:rsidRPr="00506277">
        <w:t xml:space="preserve"> </w:t>
      </w:r>
      <w:r>
        <w:t>i</w:t>
      </w:r>
      <w:r w:rsidRPr="00B46A63">
        <w:t xml:space="preserve">s </w:t>
      </w:r>
      <w:r>
        <w:t>selected so that it does</w:t>
      </w:r>
      <w:r w:rsidRPr="00B46A63">
        <w:t xml:space="preserve"> not overlap</w:t>
      </w:r>
      <w:r>
        <w:t xml:space="preserve"> </w:t>
      </w:r>
      <w:r w:rsidRPr="00506277">
        <w:t xml:space="preserve">with the sample </w:t>
      </w:r>
      <w:r>
        <w:t>for</w:t>
      </w:r>
      <w:r w:rsidRPr="00506277">
        <w:t xml:space="preserve"> the area-based sample.</w:t>
      </w:r>
      <w:r>
        <w:t xml:space="preserve"> PSUs with four or less eligible addresses are given nil chance of selection in the roll sample. This does not result in </w:t>
      </w:r>
      <w:proofErr w:type="spellStart"/>
      <w:r>
        <w:t>undercoverage</w:t>
      </w:r>
      <w:proofErr w:type="spellEnd"/>
      <w:r>
        <w:t xml:space="preserve"> of people in these PSUs because they still have a chance of selection in the area component and the combined sample is weighted to reflect the combined probability of selection.</w:t>
      </w:r>
    </w:p>
    <w:p w:rsidR="00F44703" w:rsidRDefault="00F44703" w:rsidP="00E42C29"/>
    <w:p w:rsidR="00F44703" w:rsidRDefault="00F44703" w:rsidP="00E42C29">
      <w:r>
        <w:t>PSU sampling is carried out once a year for the following calendar year. Each year, the probabilities of selection are recalculated using the most recent electoral roll available. This is in contrast to the area-based sample, where the probabilities of selection are calculated from census counts that do not change from year to year.</w:t>
      </w:r>
    </w:p>
    <w:p w:rsidR="00F44703" w:rsidRDefault="00F44703" w:rsidP="00E42C29"/>
    <w:p w:rsidR="003B49E1" w:rsidRDefault="00F44703" w:rsidP="00E42C29">
      <w:r w:rsidRPr="00506277">
        <w:t xml:space="preserve">The second stage </w:t>
      </w:r>
      <w:r>
        <w:t xml:space="preserve">involves selecting </w:t>
      </w:r>
      <w:r w:rsidRPr="00506277">
        <w:t>a random</w:t>
      </w:r>
      <w:r>
        <w:t xml:space="preserve"> sample of 14</w:t>
      </w:r>
      <w:r w:rsidRPr="00506277">
        <w:t xml:space="preserve"> </w:t>
      </w:r>
      <w:r>
        <w:t xml:space="preserve">eligible </w:t>
      </w:r>
      <w:r w:rsidRPr="00506277">
        <w:t xml:space="preserve">addresses from each selected </w:t>
      </w:r>
      <w:r>
        <w:t>PSU</w:t>
      </w:r>
      <w:r w:rsidRPr="00506277">
        <w:t xml:space="preserve"> (o</w:t>
      </w:r>
      <w:r>
        <w:t>r all eligible addresses if the PSU contains less than 14</w:t>
      </w:r>
      <w:r w:rsidRPr="00506277">
        <w:t>).</w:t>
      </w:r>
    </w:p>
    <w:p w:rsidR="00F44703" w:rsidRDefault="00F44703" w:rsidP="00E42C29"/>
    <w:p w:rsidR="00F44703" w:rsidRPr="00506277" w:rsidRDefault="00F44703" w:rsidP="00E42C29">
      <w:pPr>
        <w:keepNext/>
      </w:pPr>
      <w:r w:rsidRPr="00506277">
        <w:lastRenderedPageBreak/>
        <w:t>Finally, one adult (15 years and over) and one child (0</w:t>
      </w:r>
      <w:r>
        <w:t>–</w:t>
      </w:r>
      <w:r w:rsidRPr="00506277">
        <w:t xml:space="preserve">14 years, if any) </w:t>
      </w:r>
      <w:r>
        <w:t>i</w:t>
      </w:r>
      <w:r w:rsidRPr="00B46A63">
        <w:t>s</w:t>
      </w:r>
      <w:r>
        <w:t xml:space="preserve"> </w:t>
      </w:r>
      <w:r w:rsidRPr="00506277">
        <w:t>selected at random from each selected address.</w:t>
      </w:r>
    </w:p>
    <w:p w:rsidR="00F44703" w:rsidRDefault="00F44703" w:rsidP="00E42C29"/>
    <w:p w:rsidR="00F44703" w:rsidRDefault="00F44703" w:rsidP="00E42C29">
      <w:r w:rsidRPr="00506277">
        <w:t xml:space="preserve">The </w:t>
      </w:r>
      <w:r>
        <w:t>e</w:t>
      </w:r>
      <w:r w:rsidRPr="00506277">
        <w:t xml:space="preserve">lectoral </w:t>
      </w:r>
      <w:r>
        <w:t>r</w:t>
      </w:r>
      <w:r w:rsidRPr="00506277">
        <w:t xml:space="preserve">oll </w:t>
      </w:r>
      <w:r>
        <w:t>ha</w:t>
      </w:r>
      <w:r w:rsidRPr="00B46A63">
        <w:t>s</w:t>
      </w:r>
      <w:r>
        <w:t xml:space="preserve"> been </w:t>
      </w:r>
      <w:r w:rsidRPr="00506277">
        <w:t>used in order to increase the recruitment rate of Māori into the sample.</w:t>
      </w:r>
      <w:r>
        <w:t xml:space="preserve"> </w:t>
      </w:r>
      <w:r w:rsidRPr="00506277">
        <w:t xml:space="preserve">However, the household contact process and selection of an adult and child </w:t>
      </w:r>
      <w:r>
        <w:t>are</w:t>
      </w:r>
      <w:r w:rsidRPr="00B46A63">
        <w:t xml:space="preserve"> carried out</w:t>
      </w:r>
      <w:r w:rsidRPr="00506277">
        <w:t xml:space="preserve"> exactly as for the area-based sample</w:t>
      </w:r>
      <w:r>
        <w:t xml:space="preserve">. In particular, </w:t>
      </w:r>
      <w:r w:rsidRPr="00506277">
        <w:t>an adult and a c</w:t>
      </w:r>
      <w:r>
        <w:t>hild (if any) can be selected</w:t>
      </w:r>
      <w:r w:rsidRPr="00506277">
        <w:t xml:space="preserve"> even if one or both </w:t>
      </w:r>
      <w:r>
        <w:t>a</w:t>
      </w:r>
      <w:r w:rsidRPr="00B46A63">
        <w:t>re</w:t>
      </w:r>
      <w:r>
        <w:t xml:space="preserve"> </w:t>
      </w:r>
      <w:r w:rsidRPr="00506277">
        <w:t xml:space="preserve">non-Māori </w:t>
      </w:r>
      <w:r>
        <w:t xml:space="preserve">and </w:t>
      </w:r>
      <w:r w:rsidRPr="00506277">
        <w:t xml:space="preserve">even if some other household members </w:t>
      </w:r>
      <w:r>
        <w:t>a</w:t>
      </w:r>
      <w:r w:rsidRPr="00B46A63">
        <w:t>re</w:t>
      </w:r>
      <w:r w:rsidRPr="00506277">
        <w:t xml:space="preserve"> Māori. This ensure</w:t>
      </w:r>
      <w:r>
        <w:t>s</w:t>
      </w:r>
      <w:r w:rsidRPr="00506277">
        <w:t xml:space="preserve"> that probabilities of selection can be correctly calculated for all respondents.</w:t>
      </w:r>
    </w:p>
    <w:p w:rsidR="00F44703" w:rsidRDefault="00F44703" w:rsidP="00E42C29"/>
    <w:p w:rsidR="00F44703" w:rsidRPr="0096429F" w:rsidRDefault="00F44703" w:rsidP="00E42C29">
      <w:pPr>
        <w:pStyle w:val="Heading2"/>
      </w:pPr>
      <w:bookmarkStart w:id="56" w:name="_Toc306260975"/>
      <w:bookmarkStart w:id="57" w:name="_Toc465920533"/>
      <w:bookmarkStart w:id="58" w:name="_Toc465924283"/>
      <w:bookmarkStart w:id="59" w:name="_Toc467672160"/>
      <w:bookmarkStart w:id="60" w:name="_Toc468183659"/>
      <w:r>
        <w:t>4.4</w:t>
      </w:r>
      <w:r>
        <w:tab/>
        <w:t>Summary of sample s</w:t>
      </w:r>
      <w:r w:rsidRPr="007B570B">
        <w:t>izes</w:t>
      </w:r>
      <w:bookmarkEnd w:id="56"/>
      <w:bookmarkEnd w:id="57"/>
      <w:bookmarkEnd w:id="58"/>
      <w:bookmarkEnd w:id="59"/>
      <w:bookmarkEnd w:id="60"/>
    </w:p>
    <w:p w:rsidR="00F44703" w:rsidRDefault="00F44703" w:rsidP="00E42C29">
      <w:r>
        <w:t xml:space="preserve">Table 7 </w:t>
      </w:r>
      <w:r w:rsidRPr="007C0877">
        <w:t xml:space="preserve">summarises the </w:t>
      </w:r>
      <w:r>
        <w:t xml:space="preserve">expected quarterly and annual sample sizes for the NZHS, assuming a </w:t>
      </w:r>
      <w:r w:rsidRPr="007C0877">
        <w:t>70</w:t>
      </w:r>
      <w:r w:rsidR="00E42C29">
        <w:t> </w:t>
      </w:r>
      <w:r>
        <w:t>percent</w:t>
      </w:r>
      <w:r w:rsidRPr="007C0877">
        <w:t xml:space="preserve"> response rate.</w:t>
      </w:r>
    </w:p>
    <w:p w:rsidR="00F44703" w:rsidRDefault="00F44703" w:rsidP="00E42C29"/>
    <w:p w:rsidR="00F44703" w:rsidRPr="00790B2B" w:rsidRDefault="00F44703" w:rsidP="00E42C29">
      <w:pPr>
        <w:pStyle w:val="Table"/>
        <w:rPr>
          <w:szCs w:val="22"/>
        </w:rPr>
      </w:pPr>
      <w:bookmarkStart w:id="61" w:name="_Ref304978365"/>
      <w:bookmarkStart w:id="62" w:name="_Ref304795309"/>
      <w:bookmarkStart w:id="63" w:name="_Toc467672204"/>
      <w:bookmarkStart w:id="64" w:name="_Toc467700420"/>
      <w:r w:rsidRPr="00CE4B7F">
        <w:t xml:space="preserve">Table </w:t>
      </w:r>
      <w:bookmarkEnd w:id="61"/>
      <w:r>
        <w:t>7</w:t>
      </w:r>
      <w:r w:rsidRPr="00CE4B7F">
        <w:t>:</w:t>
      </w:r>
      <w:bookmarkEnd w:id="62"/>
      <w:r w:rsidR="00E42C29">
        <w:t xml:space="preserve"> </w:t>
      </w:r>
      <w:r w:rsidRPr="00790B2B">
        <w:t>Expected quarterly and annual sample sizes</w:t>
      </w:r>
      <w:bookmarkEnd w:id="63"/>
      <w:bookmarkEnd w:id="64"/>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820"/>
        <w:gridCol w:w="1134"/>
        <w:gridCol w:w="1134"/>
        <w:gridCol w:w="1134"/>
        <w:gridCol w:w="1134"/>
      </w:tblGrid>
      <w:tr w:rsidR="00F44703" w:rsidRPr="00E42C29" w:rsidTr="00E42C29">
        <w:trPr>
          <w:cantSplit/>
        </w:trPr>
        <w:tc>
          <w:tcPr>
            <w:tcW w:w="4820" w:type="dxa"/>
            <w:vMerge w:val="restart"/>
            <w:tcBorders>
              <w:left w:val="nil"/>
              <w:bottom w:val="nil"/>
              <w:right w:val="nil"/>
            </w:tcBorders>
          </w:tcPr>
          <w:p w:rsidR="00F44703" w:rsidRPr="00E42C29" w:rsidRDefault="00F44703" w:rsidP="00E42C29">
            <w:pPr>
              <w:pStyle w:val="TableText"/>
              <w:rPr>
                <w:b/>
              </w:rPr>
            </w:pPr>
          </w:p>
        </w:tc>
        <w:tc>
          <w:tcPr>
            <w:tcW w:w="3402" w:type="dxa"/>
            <w:gridSpan w:val="3"/>
            <w:tcBorders>
              <w:left w:val="nil"/>
              <w:bottom w:val="single" w:sz="4" w:space="0" w:color="A6A6A6" w:themeColor="background1" w:themeShade="A6"/>
              <w:right w:val="nil"/>
            </w:tcBorders>
          </w:tcPr>
          <w:p w:rsidR="00F44703" w:rsidRPr="00E42C29" w:rsidRDefault="00F44703" w:rsidP="00E42C29">
            <w:pPr>
              <w:pStyle w:val="TableText"/>
              <w:jc w:val="center"/>
              <w:rPr>
                <w:b/>
              </w:rPr>
            </w:pPr>
            <w:r w:rsidRPr="00E42C29">
              <w:rPr>
                <w:b/>
              </w:rPr>
              <w:t>Quarterly sample size</w:t>
            </w:r>
          </w:p>
        </w:tc>
        <w:tc>
          <w:tcPr>
            <w:tcW w:w="1134" w:type="dxa"/>
            <w:vMerge w:val="restart"/>
            <w:tcBorders>
              <w:left w:val="nil"/>
              <w:bottom w:val="nil"/>
              <w:right w:val="nil"/>
            </w:tcBorders>
          </w:tcPr>
          <w:p w:rsidR="00F44703" w:rsidRPr="00E42C29" w:rsidRDefault="00F44703" w:rsidP="00E42C29">
            <w:pPr>
              <w:pStyle w:val="TableText"/>
              <w:jc w:val="center"/>
              <w:rPr>
                <w:b/>
              </w:rPr>
            </w:pPr>
            <w:r w:rsidRPr="00E42C29">
              <w:rPr>
                <w:b/>
              </w:rPr>
              <w:t>Annual sample size</w:t>
            </w:r>
          </w:p>
        </w:tc>
      </w:tr>
      <w:tr w:rsidR="00F44703" w:rsidRPr="00E42C29" w:rsidTr="00E42C29">
        <w:trPr>
          <w:cantSplit/>
        </w:trPr>
        <w:tc>
          <w:tcPr>
            <w:tcW w:w="4820" w:type="dxa"/>
            <w:vMerge/>
            <w:tcBorders>
              <w:top w:val="nil"/>
              <w:left w:val="nil"/>
              <w:bottom w:val="single" w:sz="4" w:space="0" w:color="auto"/>
              <w:right w:val="nil"/>
            </w:tcBorders>
          </w:tcPr>
          <w:p w:rsidR="00F44703" w:rsidRPr="00E42C29" w:rsidRDefault="00F44703" w:rsidP="00E42C29">
            <w:pPr>
              <w:pStyle w:val="TableText"/>
              <w:rPr>
                <w:b/>
              </w:rPr>
            </w:pPr>
          </w:p>
        </w:tc>
        <w:tc>
          <w:tcPr>
            <w:tcW w:w="1134" w:type="dxa"/>
            <w:tcBorders>
              <w:top w:val="single" w:sz="4" w:space="0" w:color="A6A6A6" w:themeColor="background1" w:themeShade="A6"/>
              <w:left w:val="nil"/>
              <w:bottom w:val="single" w:sz="4" w:space="0" w:color="auto"/>
              <w:right w:val="nil"/>
            </w:tcBorders>
          </w:tcPr>
          <w:p w:rsidR="00F44703" w:rsidRPr="00E42C29" w:rsidRDefault="00F44703" w:rsidP="00E42C29">
            <w:pPr>
              <w:pStyle w:val="TableText"/>
              <w:jc w:val="center"/>
              <w:rPr>
                <w:b/>
              </w:rPr>
            </w:pPr>
            <w:r w:rsidRPr="00E42C29">
              <w:rPr>
                <w:b/>
              </w:rPr>
              <w:t>Area-based sample</w:t>
            </w:r>
          </w:p>
        </w:tc>
        <w:tc>
          <w:tcPr>
            <w:tcW w:w="1134" w:type="dxa"/>
            <w:tcBorders>
              <w:top w:val="single" w:sz="4" w:space="0" w:color="A6A6A6" w:themeColor="background1" w:themeShade="A6"/>
              <w:left w:val="nil"/>
              <w:bottom w:val="single" w:sz="4" w:space="0" w:color="auto"/>
              <w:right w:val="nil"/>
            </w:tcBorders>
          </w:tcPr>
          <w:p w:rsidR="00F44703" w:rsidRPr="00E42C29" w:rsidRDefault="00F44703" w:rsidP="00E42C29">
            <w:pPr>
              <w:pStyle w:val="TableText"/>
              <w:jc w:val="center"/>
              <w:rPr>
                <w:b/>
              </w:rPr>
            </w:pPr>
            <w:r w:rsidRPr="00E42C29">
              <w:rPr>
                <w:b/>
              </w:rPr>
              <w:t>Electoral roll sample</w:t>
            </w:r>
          </w:p>
        </w:tc>
        <w:tc>
          <w:tcPr>
            <w:tcW w:w="1134" w:type="dxa"/>
            <w:tcBorders>
              <w:top w:val="single" w:sz="4" w:space="0" w:color="A6A6A6" w:themeColor="background1" w:themeShade="A6"/>
              <w:left w:val="nil"/>
              <w:bottom w:val="single" w:sz="4" w:space="0" w:color="auto"/>
              <w:right w:val="nil"/>
            </w:tcBorders>
          </w:tcPr>
          <w:p w:rsidR="00F44703" w:rsidRPr="00E42C29" w:rsidRDefault="00F44703" w:rsidP="00E42C29">
            <w:pPr>
              <w:pStyle w:val="TableText"/>
              <w:jc w:val="center"/>
              <w:rPr>
                <w:b/>
              </w:rPr>
            </w:pPr>
            <w:r w:rsidRPr="00E42C29">
              <w:rPr>
                <w:b/>
              </w:rPr>
              <w:t>Total</w:t>
            </w:r>
          </w:p>
        </w:tc>
        <w:tc>
          <w:tcPr>
            <w:tcW w:w="1134" w:type="dxa"/>
            <w:vMerge/>
            <w:tcBorders>
              <w:top w:val="nil"/>
              <w:left w:val="nil"/>
              <w:bottom w:val="single" w:sz="4" w:space="0" w:color="auto"/>
              <w:right w:val="nil"/>
            </w:tcBorders>
          </w:tcPr>
          <w:p w:rsidR="00F44703" w:rsidRPr="00E42C29" w:rsidRDefault="00F44703" w:rsidP="00E42C29">
            <w:pPr>
              <w:pStyle w:val="TableText"/>
              <w:rPr>
                <w:b/>
              </w:rPr>
            </w:pPr>
          </w:p>
        </w:tc>
      </w:tr>
      <w:tr w:rsidR="00F44703" w:rsidRPr="002967B8" w:rsidTr="00E42C29">
        <w:trPr>
          <w:cantSplit/>
        </w:trPr>
        <w:tc>
          <w:tcPr>
            <w:tcW w:w="4820" w:type="dxa"/>
            <w:tcBorders>
              <w:top w:val="single" w:sz="4" w:space="0" w:color="auto"/>
              <w:left w:val="nil"/>
              <w:bottom w:val="single" w:sz="4" w:space="0" w:color="A6A6A6" w:themeColor="background1" w:themeShade="A6"/>
              <w:right w:val="nil"/>
            </w:tcBorders>
          </w:tcPr>
          <w:p w:rsidR="00F44703" w:rsidRPr="002967B8" w:rsidRDefault="00F44703" w:rsidP="00E42C29">
            <w:pPr>
              <w:pStyle w:val="TableText"/>
            </w:pPr>
            <w:r w:rsidRPr="002967B8">
              <w:t xml:space="preserve">Expected number of </w:t>
            </w:r>
            <w:r>
              <w:t>PSUs</w:t>
            </w:r>
          </w:p>
        </w:tc>
        <w:tc>
          <w:tcPr>
            <w:tcW w:w="1134" w:type="dxa"/>
            <w:tcBorders>
              <w:top w:val="single" w:sz="4" w:space="0" w:color="auto"/>
              <w:left w:val="nil"/>
              <w:bottom w:val="single" w:sz="4" w:space="0" w:color="A6A6A6" w:themeColor="background1" w:themeShade="A6"/>
              <w:right w:val="nil"/>
            </w:tcBorders>
          </w:tcPr>
          <w:p w:rsidR="00F44703" w:rsidRPr="002967B8" w:rsidRDefault="00F44703" w:rsidP="00E42C29">
            <w:pPr>
              <w:pStyle w:val="TableText"/>
              <w:tabs>
                <w:tab w:val="decimal" w:pos="686"/>
              </w:tabs>
            </w:pPr>
            <w:r>
              <w:t>180</w:t>
            </w:r>
          </w:p>
        </w:tc>
        <w:tc>
          <w:tcPr>
            <w:tcW w:w="1134" w:type="dxa"/>
            <w:tcBorders>
              <w:top w:val="single" w:sz="4" w:space="0" w:color="auto"/>
              <w:left w:val="nil"/>
              <w:bottom w:val="single" w:sz="4" w:space="0" w:color="A6A6A6" w:themeColor="background1" w:themeShade="A6"/>
              <w:right w:val="nil"/>
            </w:tcBorders>
          </w:tcPr>
          <w:p w:rsidR="00F44703" w:rsidRPr="002967B8" w:rsidRDefault="00F44703" w:rsidP="00E42C29">
            <w:pPr>
              <w:pStyle w:val="TableText"/>
              <w:tabs>
                <w:tab w:val="decimal" w:pos="639"/>
              </w:tabs>
            </w:pPr>
            <w:r>
              <w:t>70</w:t>
            </w:r>
          </w:p>
        </w:tc>
        <w:tc>
          <w:tcPr>
            <w:tcW w:w="1134" w:type="dxa"/>
            <w:tcBorders>
              <w:top w:val="single" w:sz="4" w:space="0" w:color="auto"/>
              <w:left w:val="nil"/>
              <w:bottom w:val="single" w:sz="4" w:space="0" w:color="A6A6A6" w:themeColor="background1" w:themeShade="A6"/>
              <w:right w:val="nil"/>
            </w:tcBorders>
          </w:tcPr>
          <w:p w:rsidR="00F44703" w:rsidRPr="002967B8" w:rsidRDefault="00F44703" w:rsidP="00E42C29">
            <w:pPr>
              <w:pStyle w:val="TableText"/>
              <w:tabs>
                <w:tab w:val="decimal" w:pos="652"/>
              </w:tabs>
            </w:pPr>
            <w:r>
              <w:t>250</w:t>
            </w:r>
          </w:p>
        </w:tc>
        <w:tc>
          <w:tcPr>
            <w:tcW w:w="1134" w:type="dxa"/>
            <w:tcBorders>
              <w:top w:val="single" w:sz="4" w:space="0" w:color="auto"/>
              <w:left w:val="nil"/>
              <w:bottom w:val="single" w:sz="4" w:space="0" w:color="A6A6A6" w:themeColor="background1" w:themeShade="A6"/>
              <w:right w:val="nil"/>
            </w:tcBorders>
          </w:tcPr>
          <w:p w:rsidR="00F44703" w:rsidRPr="002967B8" w:rsidRDefault="00F44703" w:rsidP="00667C96">
            <w:pPr>
              <w:pStyle w:val="TableText"/>
              <w:tabs>
                <w:tab w:val="decimal" w:pos="701"/>
              </w:tabs>
            </w:pPr>
            <w:r>
              <w:t>1000</w:t>
            </w:r>
          </w:p>
        </w:tc>
      </w:tr>
      <w:tr w:rsidR="00F44703" w:rsidRPr="002967B8" w:rsidTr="00E42C29">
        <w:trPr>
          <w:cantSplit/>
        </w:trPr>
        <w:tc>
          <w:tcPr>
            <w:tcW w:w="4820" w:type="dxa"/>
            <w:tcBorders>
              <w:top w:val="single" w:sz="4" w:space="0" w:color="A6A6A6" w:themeColor="background1" w:themeShade="A6"/>
              <w:left w:val="nil"/>
              <w:bottom w:val="single" w:sz="4" w:space="0" w:color="A6A6A6" w:themeColor="background1" w:themeShade="A6"/>
              <w:right w:val="nil"/>
            </w:tcBorders>
          </w:tcPr>
          <w:p w:rsidR="00F44703" w:rsidRPr="002967B8" w:rsidRDefault="00F44703" w:rsidP="00E42C29">
            <w:pPr>
              <w:pStyle w:val="TableText"/>
            </w:pPr>
            <w:r>
              <w:t xml:space="preserve">Approximate number of households </w:t>
            </w:r>
            <w:r w:rsidRPr="002967B8">
              <w:t>approached</w:t>
            </w:r>
          </w:p>
        </w:tc>
        <w:tc>
          <w:tcPr>
            <w:tcW w:w="1134" w:type="dxa"/>
            <w:tcBorders>
              <w:top w:val="single" w:sz="4" w:space="0" w:color="A6A6A6" w:themeColor="background1" w:themeShade="A6"/>
              <w:left w:val="nil"/>
              <w:bottom w:val="single" w:sz="4" w:space="0" w:color="A6A6A6" w:themeColor="background1" w:themeShade="A6"/>
              <w:right w:val="nil"/>
            </w:tcBorders>
          </w:tcPr>
          <w:p w:rsidR="00F44703" w:rsidRPr="002967B8" w:rsidRDefault="00F44703" w:rsidP="00667C96">
            <w:pPr>
              <w:pStyle w:val="TableText"/>
              <w:tabs>
                <w:tab w:val="decimal" w:pos="686"/>
              </w:tabs>
            </w:pPr>
            <w:r>
              <w:t>3780</w:t>
            </w:r>
          </w:p>
        </w:tc>
        <w:tc>
          <w:tcPr>
            <w:tcW w:w="1134" w:type="dxa"/>
            <w:tcBorders>
              <w:top w:val="single" w:sz="4" w:space="0" w:color="A6A6A6" w:themeColor="background1" w:themeShade="A6"/>
              <w:left w:val="nil"/>
              <w:bottom w:val="single" w:sz="4" w:space="0" w:color="A6A6A6" w:themeColor="background1" w:themeShade="A6"/>
              <w:right w:val="nil"/>
            </w:tcBorders>
          </w:tcPr>
          <w:p w:rsidR="00F44703" w:rsidRPr="002967B8" w:rsidRDefault="00F44703" w:rsidP="00E42C29">
            <w:pPr>
              <w:pStyle w:val="TableText"/>
              <w:tabs>
                <w:tab w:val="decimal" w:pos="639"/>
              </w:tabs>
            </w:pPr>
            <w:r>
              <w:t>980</w:t>
            </w:r>
          </w:p>
        </w:tc>
        <w:tc>
          <w:tcPr>
            <w:tcW w:w="1134" w:type="dxa"/>
            <w:tcBorders>
              <w:top w:val="single" w:sz="4" w:space="0" w:color="A6A6A6" w:themeColor="background1" w:themeShade="A6"/>
              <w:left w:val="nil"/>
              <w:bottom w:val="single" w:sz="4" w:space="0" w:color="A6A6A6" w:themeColor="background1" w:themeShade="A6"/>
              <w:right w:val="nil"/>
            </w:tcBorders>
          </w:tcPr>
          <w:p w:rsidR="00F44703" w:rsidRPr="002967B8" w:rsidRDefault="00F44703" w:rsidP="00667C96">
            <w:pPr>
              <w:pStyle w:val="TableText"/>
              <w:tabs>
                <w:tab w:val="decimal" w:pos="652"/>
              </w:tabs>
            </w:pPr>
            <w:r>
              <w:t>4760</w:t>
            </w:r>
          </w:p>
        </w:tc>
        <w:tc>
          <w:tcPr>
            <w:tcW w:w="1134" w:type="dxa"/>
            <w:tcBorders>
              <w:top w:val="single" w:sz="4" w:space="0" w:color="A6A6A6" w:themeColor="background1" w:themeShade="A6"/>
              <w:left w:val="nil"/>
              <w:bottom w:val="single" w:sz="4" w:space="0" w:color="A6A6A6" w:themeColor="background1" w:themeShade="A6"/>
              <w:right w:val="nil"/>
            </w:tcBorders>
          </w:tcPr>
          <w:p w:rsidR="00F44703" w:rsidRPr="002967B8" w:rsidRDefault="00F44703" w:rsidP="00E42C29">
            <w:pPr>
              <w:pStyle w:val="TableText"/>
              <w:tabs>
                <w:tab w:val="decimal" w:pos="701"/>
              </w:tabs>
            </w:pPr>
            <w:r>
              <w:t>19,040</w:t>
            </w:r>
          </w:p>
        </w:tc>
      </w:tr>
      <w:tr w:rsidR="00F44703" w:rsidRPr="002967B8" w:rsidTr="00E42C29">
        <w:trPr>
          <w:cantSplit/>
        </w:trPr>
        <w:tc>
          <w:tcPr>
            <w:tcW w:w="4820" w:type="dxa"/>
            <w:tcBorders>
              <w:top w:val="single" w:sz="4" w:space="0" w:color="A6A6A6" w:themeColor="background1" w:themeShade="A6"/>
              <w:left w:val="nil"/>
              <w:bottom w:val="single" w:sz="4" w:space="0" w:color="A6A6A6" w:themeColor="background1" w:themeShade="A6"/>
              <w:right w:val="nil"/>
            </w:tcBorders>
          </w:tcPr>
          <w:p w:rsidR="00F44703" w:rsidRPr="002967B8" w:rsidRDefault="00F44703" w:rsidP="00E42C29">
            <w:pPr>
              <w:pStyle w:val="TableText"/>
            </w:pPr>
            <w:r w:rsidRPr="002967B8">
              <w:t>Expected number of adult interviews to be completed</w:t>
            </w:r>
            <w:r w:rsidRPr="003C65CD">
              <w:t>*</w:t>
            </w:r>
          </w:p>
        </w:tc>
        <w:tc>
          <w:tcPr>
            <w:tcW w:w="1134" w:type="dxa"/>
            <w:tcBorders>
              <w:top w:val="single" w:sz="4" w:space="0" w:color="A6A6A6" w:themeColor="background1" w:themeShade="A6"/>
              <w:left w:val="nil"/>
              <w:bottom w:val="single" w:sz="4" w:space="0" w:color="A6A6A6" w:themeColor="background1" w:themeShade="A6"/>
              <w:right w:val="nil"/>
            </w:tcBorders>
          </w:tcPr>
          <w:p w:rsidR="00F44703" w:rsidRPr="002967B8" w:rsidRDefault="00F44703" w:rsidP="00667C96">
            <w:pPr>
              <w:pStyle w:val="TableText"/>
              <w:tabs>
                <w:tab w:val="decimal" w:pos="686"/>
              </w:tabs>
            </w:pPr>
            <w:r>
              <w:t>2646</w:t>
            </w:r>
          </w:p>
        </w:tc>
        <w:tc>
          <w:tcPr>
            <w:tcW w:w="1134" w:type="dxa"/>
            <w:tcBorders>
              <w:top w:val="single" w:sz="4" w:space="0" w:color="A6A6A6" w:themeColor="background1" w:themeShade="A6"/>
              <w:left w:val="nil"/>
              <w:bottom w:val="single" w:sz="4" w:space="0" w:color="A6A6A6" w:themeColor="background1" w:themeShade="A6"/>
              <w:right w:val="nil"/>
            </w:tcBorders>
          </w:tcPr>
          <w:p w:rsidR="00F44703" w:rsidRPr="002967B8" w:rsidRDefault="00F44703" w:rsidP="00E42C29">
            <w:pPr>
              <w:pStyle w:val="TableText"/>
              <w:tabs>
                <w:tab w:val="decimal" w:pos="639"/>
              </w:tabs>
            </w:pPr>
            <w:r>
              <w:t>686</w:t>
            </w:r>
          </w:p>
        </w:tc>
        <w:tc>
          <w:tcPr>
            <w:tcW w:w="1134" w:type="dxa"/>
            <w:tcBorders>
              <w:top w:val="single" w:sz="4" w:space="0" w:color="A6A6A6" w:themeColor="background1" w:themeShade="A6"/>
              <w:left w:val="nil"/>
              <w:bottom w:val="single" w:sz="4" w:space="0" w:color="A6A6A6" w:themeColor="background1" w:themeShade="A6"/>
              <w:right w:val="nil"/>
            </w:tcBorders>
          </w:tcPr>
          <w:p w:rsidR="00F44703" w:rsidRPr="002967B8" w:rsidRDefault="00F44703" w:rsidP="00667C96">
            <w:pPr>
              <w:pStyle w:val="TableText"/>
              <w:tabs>
                <w:tab w:val="decimal" w:pos="652"/>
              </w:tabs>
            </w:pPr>
            <w:r>
              <w:t>3332</w:t>
            </w:r>
          </w:p>
        </w:tc>
        <w:tc>
          <w:tcPr>
            <w:tcW w:w="1134" w:type="dxa"/>
            <w:tcBorders>
              <w:top w:val="single" w:sz="4" w:space="0" w:color="A6A6A6" w:themeColor="background1" w:themeShade="A6"/>
              <w:left w:val="nil"/>
              <w:bottom w:val="single" w:sz="4" w:space="0" w:color="A6A6A6" w:themeColor="background1" w:themeShade="A6"/>
              <w:right w:val="nil"/>
            </w:tcBorders>
          </w:tcPr>
          <w:p w:rsidR="00F44703" w:rsidRPr="002967B8" w:rsidRDefault="00F44703" w:rsidP="00E42C29">
            <w:pPr>
              <w:pStyle w:val="TableText"/>
              <w:tabs>
                <w:tab w:val="decimal" w:pos="701"/>
              </w:tabs>
            </w:pPr>
            <w:r>
              <w:t>13,328</w:t>
            </w:r>
          </w:p>
        </w:tc>
      </w:tr>
      <w:tr w:rsidR="00F44703" w:rsidRPr="002967B8" w:rsidTr="00E42C29">
        <w:trPr>
          <w:cantSplit/>
        </w:trPr>
        <w:tc>
          <w:tcPr>
            <w:tcW w:w="4820" w:type="dxa"/>
            <w:tcBorders>
              <w:top w:val="single" w:sz="4" w:space="0" w:color="A6A6A6" w:themeColor="background1" w:themeShade="A6"/>
              <w:left w:val="nil"/>
              <w:right w:val="nil"/>
            </w:tcBorders>
          </w:tcPr>
          <w:p w:rsidR="00F44703" w:rsidRPr="002967B8" w:rsidRDefault="00F44703" w:rsidP="00E42C29">
            <w:pPr>
              <w:pStyle w:val="TableText"/>
            </w:pPr>
            <w:r w:rsidRPr="002967B8">
              <w:t xml:space="preserve">Expected number of child </w:t>
            </w:r>
            <w:r>
              <w:t>i</w:t>
            </w:r>
            <w:r w:rsidRPr="002967B8">
              <w:t>nterviews to be completed</w:t>
            </w:r>
            <w:r w:rsidRPr="003C65CD">
              <w:t>*</w:t>
            </w:r>
          </w:p>
        </w:tc>
        <w:tc>
          <w:tcPr>
            <w:tcW w:w="1134" w:type="dxa"/>
            <w:tcBorders>
              <w:top w:val="single" w:sz="4" w:space="0" w:color="A6A6A6" w:themeColor="background1" w:themeShade="A6"/>
              <w:left w:val="nil"/>
              <w:right w:val="nil"/>
            </w:tcBorders>
          </w:tcPr>
          <w:p w:rsidR="00F44703" w:rsidRPr="002967B8" w:rsidRDefault="00F44703" w:rsidP="00667C96">
            <w:pPr>
              <w:pStyle w:val="TableText"/>
              <w:tabs>
                <w:tab w:val="decimal" w:pos="686"/>
              </w:tabs>
            </w:pPr>
            <w:r>
              <w:t>1058</w:t>
            </w:r>
          </w:p>
        </w:tc>
        <w:tc>
          <w:tcPr>
            <w:tcW w:w="1134" w:type="dxa"/>
            <w:tcBorders>
              <w:top w:val="single" w:sz="4" w:space="0" w:color="A6A6A6" w:themeColor="background1" w:themeShade="A6"/>
              <w:left w:val="nil"/>
              <w:right w:val="nil"/>
            </w:tcBorders>
          </w:tcPr>
          <w:p w:rsidR="00F44703" w:rsidRPr="002967B8" w:rsidRDefault="00F44703" w:rsidP="00E42C29">
            <w:pPr>
              <w:pStyle w:val="TableText"/>
              <w:tabs>
                <w:tab w:val="decimal" w:pos="639"/>
              </w:tabs>
            </w:pPr>
            <w:r>
              <w:t>274</w:t>
            </w:r>
          </w:p>
        </w:tc>
        <w:tc>
          <w:tcPr>
            <w:tcW w:w="1134" w:type="dxa"/>
            <w:tcBorders>
              <w:top w:val="single" w:sz="4" w:space="0" w:color="A6A6A6" w:themeColor="background1" w:themeShade="A6"/>
              <w:left w:val="nil"/>
              <w:right w:val="nil"/>
            </w:tcBorders>
          </w:tcPr>
          <w:p w:rsidR="00F44703" w:rsidRPr="002967B8" w:rsidRDefault="00F44703" w:rsidP="00667C96">
            <w:pPr>
              <w:pStyle w:val="TableText"/>
              <w:tabs>
                <w:tab w:val="decimal" w:pos="652"/>
              </w:tabs>
            </w:pPr>
            <w:r>
              <w:t>1332</w:t>
            </w:r>
          </w:p>
        </w:tc>
        <w:tc>
          <w:tcPr>
            <w:tcW w:w="1134" w:type="dxa"/>
            <w:tcBorders>
              <w:top w:val="single" w:sz="4" w:space="0" w:color="A6A6A6" w:themeColor="background1" w:themeShade="A6"/>
              <w:left w:val="nil"/>
              <w:right w:val="nil"/>
            </w:tcBorders>
          </w:tcPr>
          <w:p w:rsidR="00F44703" w:rsidRPr="002967B8" w:rsidRDefault="00F44703" w:rsidP="00667C96">
            <w:pPr>
              <w:pStyle w:val="TableText"/>
              <w:tabs>
                <w:tab w:val="decimal" w:pos="701"/>
              </w:tabs>
            </w:pPr>
            <w:r w:rsidRPr="002967B8">
              <w:t>5</w:t>
            </w:r>
            <w:r>
              <w:t>328</w:t>
            </w:r>
          </w:p>
        </w:tc>
      </w:tr>
    </w:tbl>
    <w:p w:rsidR="00F44703" w:rsidRDefault="00F44703" w:rsidP="00E42C29">
      <w:pPr>
        <w:pStyle w:val="Note"/>
      </w:pPr>
      <w:r>
        <w:t>*</w:t>
      </w:r>
      <w:r>
        <w:tab/>
      </w:r>
      <w:r w:rsidRPr="002967B8">
        <w:t>Allowing for 30</w:t>
      </w:r>
      <w:r>
        <w:t xml:space="preserve"> percent</w:t>
      </w:r>
      <w:r w:rsidRPr="002967B8">
        <w:t xml:space="preserve"> non-response</w:t>
      </w:r>
      <w:r>
        <w:t>.</w:t>
      </w:r>
    </w:p>
    <w:p w:rsidR="00F44703" w:rsidRPr="00790B2B" w:rsidRDefault="00F44703" w:rsidP="00E42C29"/>
    <w:p w:rsidR="00F44703" w:rsidRDefault="00F44703" w:rsidP="00E42C29">
      <w:pPr>
        <w:pStyle w:val="Heading1"/>
      </w:pPr>
      <w:bookmarkStart w:id="65" w:name="_Toc304976451"/>
      <w:bookmarkStart w:id="66" w:name="_Toc306260976"/>
      <w:bookmarkStart w:id="67" w:name="_Toc465920534"/>
      <w:bookmarkStart w:id="68" w:name="_Toc465924284"/>
      <w:bookmarkStart w:id="69" w:name="_Toc467672161"/>
      <w:bookmarkStart w:id="70" w:name="_Toc468183660"/>
      <w:r>
        <w:lastRenderedPageBreak/>
        <w:t>5</w:t>
      </w:r>
      <w:r>
        <w:tab/>
      </w:r>
      <w:r w:rsidR="000A7C35">
        <w:t>S</w:t>
      </w:r>
      <w:r>
        <w:t xml:space="preserve">ample </w:t>
      </w:r>
      <w:bookmarkEnd w:id="65"/>
      <w:r>
        <w:t>s</w:t>
      </w:r>
      <w:r w:rsidRPr="00A16D7C">
        <w:t xml:space="preserve">election </w:t>
      </w:r>
      <w:bookmarkEnd w:id="66"/>
      <w:r>
        <w:t>p</w:t>
      </w:r>
      <w:r w:rsidRPr="00A16D7C">
        <w:t>rocess</w:t>
      </w:r>
      <w:bookmarkEnd w:id="67"/>
      <w:bookmarkEnd w:id="68"/>
      <w:bookmarkEnd w:id="69"/>
      <w:bookmarkEnd w:id="70"/>
    </w:p>
    <w:p w:rsidR="003B49E1" w:rsidRDefault="00F44703" w:rsidP="00864F1D">
      <w:pPr>
        <w:pStyle w:val="Heading2"/>
      </w:pPr>
      <w:bookmarkStart w:id="71" w:name="_Toc306260977"/>
      <w:bookmarkStart w:id="72" w:name="_Toc465920535"/>
      <w:bookmarkStart w:id="73" w:name="_Toc465924285"/>
      <w:bookmarkStart w:id="74" w:name="_Toc467672162"/>
      <w:bookmarkStart w:id="75" w:name="_Toc468183661"/>
      <w:r>
        <w:t>5.1</w:t>
      </w:r>
      <w:r w:rsidR="00864F1D">
        <w:tab/>
      </w:r>
      <w:bookmarkEnd w:id="71"/>
      <w:r>
        <w:t>Selecting primary sampling units</w:t>
      </w:r>
      <w:bookmarkEnd w:id="72"/>
      <w:bookmarkEnd w:id="73"/>
      <w:bookmarkEnd w:id="74"/>
      <w:bookmarkEnd w:id="75"/>
    </w:p>
    <w:p w:rsidR="00F44703" w:rsidRDefault="00F44703" w:rsidP="00864F1D">
      <w:r>
        <w:t>Selection probabilities for both the area and roll components are calculated for each PSU in New Zealand (see section 4 Sample design). PSUs whose DHB is listed as 99 are excluded from selection; these represent about 0.1 percent of all dwellings. These selection probabilities are then passed to SNZ each year, generally around November, to select the PSUs that will be used in the NZHS for the following calendar year.</w:t>
      </w:r>
    </w:p>
    <w:p w:rsidR="00F44703" w:rsidRDefault="00F44703" w:rsidP="00864F1D"/>
    <w:p w:rsidR="00F44703" w:rsidRDefault="00F44703" w:rsidP="00864F1D">
      <w:r>
        <w:t>SNZ select 360 PSUs for the area sample, minimising overlap with PSUs recently selected in SNZ and other subscribing New Zealand government household surveys (including previous NZHS samples). Only 360 PSUs are selected, representing two quarters of selections because area PSUs will each be surveyed twice (for more details, see sections 5.3 and 6.3 Re-using area component primary sampling units).</w:t>
      </w:r>
    </w:p>
    <w:p w:rsidR="00F44703" w:rsidRDefault="00F44703" w:rsidP="00864F1D"/>
    <w:p w:rsidR="00F44703" w:rsidRDefault="00F44703" w:rsidP="00864F1D">
      <w:r>
        <w:t>SNZ then select 280 electoral roll PSUs that do not overlap with the 360 selected area PSUs and that have minimal overlap with previous SNZ and other New Zealand government household surveys.</w:t>
      </w:r>
    </w:p>
    <w:p w:rsidR="00F44703" w:rsidRDefault="00F44703" w:rsidP="00864F1D"/>
    <w:p w:rsidR="00F44703" w:rsidRDefault="00F44703" w:rsidP="00864F1D">
      <w:r>
        <w:t>The 360 selected area PSUs are allocated to the first two quarters of the calendar year by ordering the PSUs by DHB and population, and then assigning quarters 1 and 2 to alternating PSUs. The 280 electoral roll PSUs are ordered by DHB and number of eligible electoral roll households, and quarters 1 to 4 are then assigned to alternating PSUs.</w:t>
      </w:r>
    </w:p>
    <w:p w:rsidR="00F44703" w:rsidRDefault="00F44703" w:rsidP="00864F1D"/>
    <w:p w:rsidR="00F44703" w:rsidRDefault="00F44703" w:rsidP="00864F1D">
      <w:pPr>
        <w:pStyle w:val="Heading2"/>
      </w:pPr>
      <w:bookmarkStart w:id="76" w:name="_Toc465920536"/>
      <w:bookmarkStart w:id="77" w:name="_Toc465924286"/>
      <w:bookmarkStart w:id="78" w:name="_Toc467672163"/>
      <w:bookmarkStart w:id="79" w:name="_Toc468183662"/>
      <w:r>
        <w:t>5.2</w:t>
      </w:r>
      <w:r>
        <w:tab/>
        <w:t>Selecting households within primary sampling units</w:t>
      </w:r>
      <w:bookmarkEnd w:id="76"/>
      <w:bookmarkEnd w:id="77"/>
      <w:bookmarkEnd w:id="78"/>
      <w:bookmarkEnd w:id="79"/>
    </w:p>
    <w:p w:rsidR="00F44703" w:rsidRDefault="00F44703" w:rsidP="00864F1D">
      <w:r>
        <w:t>The following process is used to select households in the NZHS.</w:t>
      </w:r>
    </w:p>
    <w:p w:rsidR="00F44703" w:rsidRDefault="00F44703" w:rsidP="00864F1D"/>
    <w:p w:rsidR="00F44703" w:rsidRPr="00687684" w:rsidRDefault="00F44703" w:rsidP="00864F1D">
      <w:r w:rsidRPr="00687684">
        <w:t xml:space="preserve">Let </w:t>
      </w:r>
      <w:proofErr w:type="spellStart"/>
      <w:r w:rsidRPr="00687684">
        <w:rPr>
          <w:i/>
        </w:rPr>
        <w:t>c</w:t>
      </w:r>
      <w:r w:rsidRPr="00687684">
        <w:rPr>
          <w:i/>
          <w:vertAlign w:val="subscript"/>
        </w:rPr>
        <w:t>area</w:t>
      </w:r>
      <w:proofErr w:type="spellEnd"/>
      <w:r w:rsidRPr="00EB403C">
        <w:t xml:space="preserve"> </w:t>
      </w:r>
      <w:r w:rsidRPr="00687684">
        <w:t>=</w:t>
      </w:r>
      <w:r>
        <w:t xml:space="preserve"> 21</w:t>
      </w:r>
      <w:r w:rsidRPr="00687684">
        <w:t xml:space="preserve"> and </w:t>
      </w:r>
      <w:proofErr w:type="spellStart"/>
      <w:r w:rsidRPr="00687684">
        <w:rPr>
          <w:i/>
        </w:rPr>
        <w:t>c</w:t>
      </w:r>
      <w:r w:rsidRPr="00687684">
        <w:rPr>
          <w:i/>
          <w:vertAlign w:val="subscript"/>
        </w:rPr>
        <w:t>roll</w:t>
      </w:r>
      <w:proofErr w:type="spellEnd"/>
      <w:r w:rsidRPr="00EB403C">
        <w:t xml:space="preserve"> </w:t>
      </w:r>
      <w:r w:rsidRPr="00687684">
        <w:t>=</w:t>
      </w:r>
      <w:r>
        <w:t xml:space="preserve"> 14</w:t>
      </w:r>
      <w:r w:rsidRPr="00687684">
        <w:t xml:space="preserve"> be the target sample sizes of households in each </w:t>
      </w:r>
      <w:r>
        <w:t>PSU</w:t>
      </w:r>
      <w:r w:rsidRPr="00687684">
        <w:t>, in the area</w:t>
      </w:r>
      <w:r>
        <w:t>-based</w:t>
      </w:r>
      <w:r w:rsidRPr="00687684">
        <w:t xml:space="preserve"> and </w:t>
      </w:r>
      <w:r>
        <w:t>electoral r</w:t>
      </w:r>
      <w:r w:rsidRPr="00687684">
        <w:t>oll samples, respectively.</w:t>
      </w:r>
    </w:p>
    <w:p w:rsidR="00F44703" w:rsidRDefault="00F44703" w:rsidP="00864F1D"/>
    <w:p w:rsidR="00F44703" w:rsidRPr="00687684" w:rsidRDefault="00F44703" w:rsidP="00864F1D">
      <w:r w:rsidRPr="00687684">
        <w:t xml:space="preserve">Let </w:t>
      </w:r>
      <w:r w:rsidR="00285D5E" w:rsidRPr="000D1A14">
        <w:rPr>
          <w:position w:val="-12"/>
        </w:rPr>
        <w:object w:dxaOrig="340" w:dyaOrig="380">
          <v:shape id="_x0000_i1030" type="#_x0000_t75" style="width:17pt;height:19.3pt" o:ole="">
            <v:imagedata r:id="rId26" o:title=""/>
          </v:shape>
          <o:OLEObject Type="Embed" ProgID="Equation.3" ShapeID="_x0000_i1030" DrawAspect="Content" ObjectID="_1542625070" r:id="rId27"/>
        </w:object>
      </w:r>
      <w:r>
        <w:t xml:space="preserve"> be the </w:t>
      </w:r>
      <w:r w:rsidRPr="00687684">
        <w:t xml:space="preserve">number of dwellings in </w:t>
      </w:r>
      <w:r>
        <w:t>PSU</w:t>
      </w:r>
      <w:r w:rsidRPr="00687684">
        <w:t xml:space="preserve"> </w:t>
      </w:r>
      <w:proofErr w:type="spellStart"/>
      <w:r w:rsidR="00285D5E" w:rsidRPr="00285D5E">
        <w:rPr>
          <w:i/>
        </w:rPr>
        <w:t>i</w:t>
      </w:r>
      <w:proofErr w:type="spellEnd"/>
      <w:r>
        <w:t xml:space="preserve"> according to the most recent census</w:t>
      </w:r>
      <w:r w:rsidRPr="00687684">
        <w:t xml:space="preserve">. Let </w:t>
      </w:r>
      <w:r w:rsidR="00285D5E" w:rsidRPr="00285D5E">
        <w:rPr>
          <w:position w:val="-14"/>
        </w:rPr>
        <w:object w:dxaOrig="639" w:dyaOrig="380">
          <v:shape id="_x0000_i1031" type="#_x0000_t75" style="width:32.3pt;height:19.3pt" o:ole="">
            <v:imagedata r:id="rId28" o:title=""/>
          </v:shape>
          <o:OLEObject Type="Embed" ProgID="Equation.3" ShapeID="_x0000_i1031" DrawAspect="Content" ObjectID="_1542625071" r:id="rId29"/>
        </w:object>
      </w:r>
      <w:r w:rsidRPr="00687684">
        <w:t xml:space="preserve"> be the number of dwellings in </w:t>
      </w:r>
      <w:r>
        <w:t>PSU</w:t>
      </w:r>
      <w:r w:rsidRPr="00687684">
        <w:t xml:space="preserve"> </w:t>
      </w:r>
      <w:proofErr w:type="spellStart"/>
      <w:r w:rsidR="00285D5E" w:rsidRPr="00285D5E">
        <w:rPr>
          <w:i/>
        </w:rPr>
        <w:t>i</w:t>
      </w:r>
      <w:proofErr w:type="spellEnd"/>
      <w:r w:rsidRPr="00687684">
        <w:t xml:space="preserve"> where there </w:t>
      </w:r>
      <w:r>
        <w:t xml:space="preserve">is </w:t>
      </w:r>
      <w:r w:rsidRPr="00687684">
        <w:t xml:space="preserve">one or more residents </w:t>
      </w:r>
      <w:r>
        <w:t xml:space="preserve">who </w:t>
      </w:r>
      <w:r w:rsidRPr="00687684">
        <w:t xml:space="preserve">nominated </w:t>
      </w:r>
      <w:r>
        <w:t>Māori</w:t>
      </w:r>
      <w:r w:rsidRPr="00687684">
        <w:t xml:space="preserve"> ancestry on the </w:t>
      </w:r>
      <w:r>
        <w:t>e</w:t>
      </w:r>
      <w:r w:rsidRPr="00687684">
        <w:t xml:space="preserve">lectoral </w:t>
      </w:r>
      <w:r>
        <w:t>r</w:t>
      </w:r>
      <w:r w:rsidRPr="00687684">
        <w:t>oll</w:t>
      </w:r>
      <w:r w:rsidR="00285D5E">
        <w:t xml:space="preserve">, according to the </w:t>
      </w:r>
      <w:r w:rsidRPr="00687684">
        <w:t xml:space="preserve">snapshot of the electoral roll used </w:t>
      </w:r>
      <w:r>
        <w:t>to determine the PSU probabilities of selection</w:t>
      </w:r>
      <w:r w:rsidRPr="00687684">
        <w:t>.</w:t>
      </w:r>
    </w:p>
    <w:p w:rsidR="00F44703" w:rsidRDefault="00F44703" w:rsidP="00864F1D"/>
    <w:p w:rsidR="00F44703" w:rsidRDefault="00F44703" w:rsidP="00864F1D">
      <w:r w:rsidRPr="00687684">
        <w:t xml:space="preserve">The household skip for </w:t>
      </w:r>
      <w:r>
        <w:t>PSU</w:t>
      </w:r>
      <w:r w:rsidRPr="00687684">
        <w:t xml:space="preserve"> </w:t>
      </w:r>
      <w:proofErr w:type="spellStart"/>
      <w:r w:rsidR="00285D5E" w:rsidRPr="00285D5E">
        <w:rPr>
          <w:i/>
        </w:rPr>
        <w:t>i</w:t>
      </w:r>
      <w:proofErr w:type="spellEnd"/>
      <w:r w:rsidRPr="00687684">
        <w:t xml:space="preserve"> for the area</w:t>
      </w:r>
      <w:r>
        <w:t>-based</w:t>
      </w:r>
      <w:r w:rsidRPr="00687684">
        <w:t xml:space="preserve"> sample </w:t>
      </w:r>
      <w:r>
        <w:t>is</w:t>
      </w:r>
      <w:r w:rsidRPr="00687684">
        <w:t xml:space="preserve"> calculated as</w:t>
      </w:r>
      <w:r>
        <w:t>:</w:t>
      </w:r>
    </w:p>
    <w:p w:rsidR="00F44703" w:rsidRDefault="00285D5E" w:rsidP="00864F1D">
      <w:pPr>
        <w:spacing w:before="60"/>
        <w:ind w:left="567"/>
      </w:pPr>
      <w:r w:rsidRPr="00410594">
        <w:rPr>
          <w:position w:val="-14"/>
        </w:rPr>
        <w:object w:dxaOrig="2420" w:dyaOrig="400">
          <v:shape id="_x0000_i1032" type="#_x0000_t75" style="width:120.2pt;height:19.85pt" o:ole="">
            <v:imagedata r:id="rId30" o:title=""/>
          </v:shape>
          <o:OLEObject Type="Embed" ProgID="Equation.3" ShapeID="_x0000_i1032" DrawAspect="Content" ObjectID="_1542625072" r:id="rId31"/>
        </w:object>
      </w:r>
    </w:p>
    <w:p w:rsidR="00F44703" w:rsidRDefault="00F44703" w:rsidP="00864F1D"/>
    <w:p w:rsidR="00F44703" w:rsidRDefault="00F44703" w:rsidP="00864F1D">
      <w:pPr>
        <w:keepNext/>
      </w:pPr>
      <w:r w:rsidRPr="00687684">
        <w:t xml:space="preserve">The household skip for </w:t>
      </w:r>
      <w:r>
        <w:t>PSU</w:t>
      </w:r>
      <w:r w:rsidRPr="00687684">
        <w:t xml:space="preserve"> </w:t>
      </w:r>
      <w:proofErr w:type="spellStart"/>
      <w:r w:rsidR="00285D5E" w:rsidRPr="00285D5E">
        <w:rPr>
          <w:i/>
        </w:rPr>
        <w:t>i</w:t>
      </w:r>
      <w:proofErr w:type="spellEnd"/>
      <w:r w:rsidRPr="00687684">
        <w:t xml:space="preserve"> f</w:t>
      </w:r>
      <w:r>
        <w:t xml:space="preserve">or the electoral roll sample is </w:t>
      </w:r>
      <w:r w:rsidRPr="00687684">
        <w:t>calculated as</w:t>
      </w:r>
      <w:r>
        <w:t>:</w:t>
      </w:r>
    </w:p>
    <w:p w:rsidR="00F44703" w:rsidRDefault="00285D5E" w:rsidP="00864F1D">
      <w:pPr>
        <w:spacing w:before="60"/>
        <w:ind w:left="567"/>
      </w:pPr>
      <w:r w:rsidRPr="00687684">
        <w:rPr>
          <w:position w:val="-14"/>
        </w:rPr>
        <w:object w:dxaOrig="2560" w:dyaOrig="380">
          <v:shape id="_x0000_i1033" type="#_x0000_t75" style="width:128.15pt;height:19.3pt" o:ole="">
            <v:imagedata r:id="rId32" o:title=""/>
          </v:shape>
          <o:OLEObject Type="Embed" ProgID="Equation.3" ShapeID="_x0000_i1033" DrawAspect="Content" ObjectID="_1542625073" r:id="rId33"/>
        </w:object>
      </w:r>
    </w:p>
    <w:p w:rsidR="00F44703" w:rsidRDefault="00F44703" w:rsidP="00864F1D"/>
    <w:p w:rsidR="00122EE8" w:rsidRDefault="00122EE8">
      <w:pPr>
        <w:spacing w:line="240" w:lineRule="auto"/>
      </w:pPr>
      <w:r>
        <w:br w:type="page"/>
      </w:r>
    </w:p>
    <w:p w:rsidR="00F44703" w:rsidRDefault="00F44703" w:rsidP="00864F1D">
      <w:r w:rsidRPr="00312984">
        <w:lastRenderedPageBreak/>
        <w:t xml:space="preserve">If a </w:t>
      </w:r>
      <w:r>
        <w:t>PSU</w:t>
      </w:r>
      <w:r w:rsidRPr="00312984">
        <w:t xml:space="preserve"> </w:t>
      </w:r>
      <w:proofErr w:type="spellStart"/>
      <w:r w:rsidR="00285D5E" w:rsidRPr="00285D5E">
        <w:rPr>
          <w:i/>
        </w:rPr>
        <w:t>i</w:t>
      </w:r>
      <w:proofErr w:type="spellEnd"/>
      <w:r w:rsidRPr="00312984">
        <w:t xml:space="preserve"> </w:t>
      </w:r>
      <w:r>
        <w:t>is</w:t>
      </w:r>
      <w:r w:rsidRPr="00312984">
        <w:t xml:space="preserve"> selected in the area</w:t>
      </w:r>
      <w:r>
        <w:t>-based</w:t>
      </w:r>
      <w:r w:rsidRPr="00312984">
        <w:t xml:space="preserve"> sample, with </w:t>
      </w:r>
      <w:r>
        <w:t xml:space="preserve">a </w:t>
      </w:r>
      <w:r w:rsidRPr="00312984">
        <w:t xml:space="preserve">skip of </w:t>
      </w:r>
      <w:r w:rsidRPr="000A7C35">
        <w:rPr>
          <w:i/>
        </w:rPr>
        <w:t>k</w:t>
      </w:r>
      <w:r w:rsidRPr="00312984">
        <w:t>, the process used can be described as follows</w:t>
      </w:r>
      <w:r>
        <w:t>.</w:t>
      </w:r>
    </w:p>
    <w:p w:rsidR="00F44703" w:rsidRDefault="00F44703" w:rsidP="00864F1D">
      <w:pPr>
        <w:spacing w:before="120"/>
        <w:ind w:left="567" w:hanging="567"/>
      </w:pPr>
      <w:r>
        <w:t>1.</w:t>
      </w:r>
      <w:r>
        <w:tab/>
      </w:r>
      <w:r w:rsidRPr="00687684">
        <w:t xml:space="preserve">Occupied dwellings in </w:t>
      </w:r>
      <w:r>
        <w:t xml:space="preserve">the </w:t>
      </w:r>
      <w:r w:rsidRPr="00687684">
        <w:t xml:space="preserve">selected </w:t>
      </w:r>
      <w:r>
        <w:t>PSU</w:t>
      </w:r>
      <w:r w:rsidRPr="00687684">
        <w:t xml:space="preserve"> </w:t>
      </w:r>
      <w:r>
        <w:t>are</w:t>
      </w:r>
      <w:r w:rsidRPr="00312984">
        <w:t xml:space="preserve"> listed and numbered</w:t>
      </w:r>
      <w:r>
        <w:t>, ordered by street name, then house number within the street.</w:t>
      </w:r>
    </w:p>
    <w:p w:rsidR="00F44703" w:rsidRDefault="00F44703" w:rsidP="00864F1D">
      <w:pPr>
        <w:spacing w:before="120"/>
        <w:ind w:left="567" w:hanging="567"/>
      </w:pPr>
      <w:r>
        <w:t>2.</w:t>
      </w:r>
      <w:r>
        <w:tab/>
      </w:r>
      <w:r w:rsidRPr="00312984">
        <w:t>A random start</w:t>
      </w:r>
      <w:r>
        <w:t>,</w:t>
      </w:r>
      <w:r w:rsidRPr="00312984">
        <w:t xml:space="preserve"> </w:t>
      </w:r>
      <w:r w:rsidRPr="00FA1556">
        <w:rPr>
          <w:i/>
        </w:rPr>
        <w:t>r</w:t>
      </w:r>
      <w:r>
        <w:t>,</w:t>
      </w:r>
      <w:r w:rsidRPr="00312984">
        <w:t xml:space="preserve"> between 0 and </w:t>
      </w:r>
      <w:r w:rsidRPr="00FA1556">
        <w:rPr>
          <w:i/>
        </w:rPr>
        <w:t>k</w:t>
      </w:r>
      <w:r w:rsidRPr="00312984">
        <w:t xml:space="preserve"> </w:t>
      </w:r>
      <w:r>
        <w:t>is</w:t>
      </w:r>
      <w:r w:rsidRPr="00312984">
        <w:t xml:space="preserve"> selected</w:t>
      </w:r>
      <w:r>
        <w:t>,</w:t>
      </w:r>
      <w:r w:rsidRPr="00312984">
        <w:t xml:space="preserve"> with </w:t>
      </w:r>
      <w:r w:rsidRPr="00FA1556">
        <w:rPr>
          <w:i/>
        </w:rPr>
        <w:t>r</w:t>
      </w:r>
      <w:r w:rsidRPr="00312984">
        <w:t xml:space="preserve"> also being a non-round number </w:t>
      </w:r>
      <w:r>
        <w:t>(</w:t>
      </w:r>
      <w:proofErr w:type="spellStart"/>
      <w:r w:rsidRPr="00312984">
        <w:t>ie</w:t>
      </w:r>
      <w:proofErr w:type="spellEnd"/>
      <w:r>
        <w:t>,</w:t>
      </w:r>
      <w:r w:rsidRPr="00312984">
        <w:t xml:space="preserve"> </w:t>
      </w:r>
      <w:r w:rsidRPr="00FA1556">
        <w:rPr>
          <w:i/>
        </w:rPr>
        <w:t>r</w:t>
      </w:r>
      <w:r w:rsidRPr="00312984">
        <w:t xml:space="preserve"> </w:t>
      </w:r>
      <w:r>
        <w:t xml:space="preserve">is </w:t>
      </w:r>
      <w:r w:rsidRPr="00312984">
        <w:t xml:space="preserve">generated from the uniform distribution between 0 and </w:t>
      </w:r>
      <w:r w:rsidRPr="00FA1556">
        <w:rPr>
          <w:i/>
        </w:rPr>
        <w:t>k</w:t>
      </w:r>
      <w:r w:rsidRPr="00312984">
        <w:t>, or equivalently</w:t>
      </w:r>
      <w:r>
        <w:t>,</w:t>
      </w:r>
      <w:r w:rsidRPr="00312984">
        <w:t xml:space="preserve"> from the uniform </w:t>
      </w:r>
      <w:r>
        <w:t>[</w:t>
      </w:r>
      <w:r w:rsidRPr="00312984">
        <w:t>0,</w:t>
      </w:r>
      <w:r>
        <w:t xml:space="preserve"> </w:t>
      </w:r>
      <w:r w:rsidRPr="00312984">
        <w:t>1</w:t>
      </w:r>
      <w:r>
        <w:t>]</w:t>
      </w:r>
      <w:r w:rsidRPr="00312984">
        <w:t xml:space="preserve"> distribution multiplied by</w:t>
      </w:r>
      <w:r>
        <w:t> </w:t>
      </w:r>
      <w:r w:rsidRPr="00FA1556">
        <w:rPr>
          <w:i/>
        </w:rPr>
        <w:t>k</w:t>
      </w:r>
      <w:r>
        <w:t>)</w:t>
      </w:r>
      <w:r w:rsidRPr="00312984">
        <w:t>.</w:t>
      </w:r>
    </w:p>
    <w:p w:rsidR="003B49E1" w:rsidRDefault="00F44703" w:rsidP="00864F1D">
      <w:pPr>
        <w:spacing w:before="120"/>
        <w:ind w:left="567" w:hanging="567"/>
      </w:pPr>
      <w:r>
        <w:t>3.</w:t>
      </w:r>
      <w:r>
        <w:tab/>
      </w:r>
      <w:r w:rsidRPr="00312984">
        <w:t xml:space="preserve">The households to be selected </w:t>
      </w:r>
      <w:r>
        <w:t>are</w:t>
      </w:r>
      <w:r w:rsidRPr="00312984">
        <w:t xml:space="preserve"> identified by the numbers given by rounding </w:t>
      </w:r>
      <w:r w:rsidRPr="00FA1556">
        <w:rPr>
          <w:i/>
        </w:rPr>
        <w:t>r</w:t>
      </w:r>
      <w:r w:rsidRPr="00312984">
        <w:t xml:space="preserve">, </w:t>
      </w:r>
      <w:r w:rsidRPr="00FA1556">
        <w:rPr>
          <w:i/>
        </w:rPr>
        <w:t>r</w:t>
      </w:r>
      <w:r>
        <w:t xml:space="preserve"> </w:t>
      </w:r>
      <w:r w:rsidRPr="00312984">
        <w:t>+</w:t>
      </w:r>
      <w:r>
        <w:t xml:space="preserve"> </w:t>
      </w:r>
      <w:r w:rsidRPr="00FA1556">
        <w:rPr>
          <w:i/>
        </w:rPr>
        <w:t>k</w:t>
      </w:r>
      <w:r w:rsidRPr="00312984">
        <w:t xml:space="preserve">, </w:t>
      </w:r>
      <w:r w:rsidRPr="00FA1556">
        <w:rPr>
          <w:i/>
        </w:rPr>
        <w:t>r</w:t>
      </w:r>
      <w:r>
        <w:t xml:space="preserve"> </w:t>
      </w:r>
      <w:r w:rsidRPr="00312984">
        <w:t>+</w:t>
      </w:r>
      <w:r>
        <w:t xml:space="preserve"> </w:t>
      </w:r>
      <w:r w:rsidRPr="00312984">
        <w:t>2</w:t>
      </w:r>
      <w:r w:rsidRPr="00FA1556">
        <w:rPr>
          <w:i/>
        </w:rPr>
        <w:t>k</w:t>
      </w:r>
      <w:r w:rsidRPr="00312984">
        <w:t>, ..., up to the next integer (</w:t>
      </w:r>
      <w:proofErr w:type="spellStart"/>
      <w:r w:rsidRPr="00312984">
        <w:t>eg</w:t>
      </w:r>
      <w:proofErr w:type="spellEnd"/>
      <w:r>
        <w:t>,</w:t>
      </w:r>
      <w:r w:rsidRPr="00312984">
        <w:t xml:space="preserve"> 3 remain</w:t>
      </w:r>
      <w:r>
        <w:t>s</w:t>
      </w:r>
      <w:r w:rsidRPr="00312984">
        <w:t xml:space="preserve"> as 3, but 3.1 </w:t>
      </w:r>
      <w:r>
        <w:t>is</w:t>
      </w:r>
      <w:r w:rsidRPr="00312984">
        <w:t xml:space="preserve"> rounded up to 4).</w:t>
      </w:r>
    </w:p>
    <w:p w:rsidR="00F44703" w:rsidRDefault="00F44703" w:rsidP="00864F1D">
      <w:pPr>
        <w:spacing w:before="60"/>
        <w:ind w:left="567"/>
      </w:pPr>
      <w:r w:rsidRPr="00312984">
        <w:t xml:space="preserve">For example, if the skip </w:t>
      </w:r>
      <w:r w:rsidRPr="00FA1556">
        <w:rPr>
          <w:i/>
        </w:rPr>
        <w:t>k</w:t>
      </w:r>
      <w:r w:rsidRPr="00312984">
        <w:t xml:space="preserve"> </w:t>
      </w:r>
      <w:r w:rsidR="00FA1556">
        <w:t>=</w:t>
      </w:r>
      <w:r w:rsidRPr="00312984">
        <w:t xml:space="preserve"> 1.4, the random start </w:t>
      </w:r>
      <w:r w:rsidRPr="00FA1556">
        <w:rPr>
          <w:i/>
        </w:rPr>
        <w:t>r</w:t>
      </w:r>
      <w:r>
        <w:t xml:space="preserve"> </w:t>
      </w:r>
      <w:r w:rsidRPr="00312984">
        <w:t>=</w:t>
      </w:r>
      <w:r>
        <w:t xml:space="preserve"> </w:t>
      </w:r>
      <w:r w:rsidRPr="00312984">
        <w:t xml:space="preserve">0.7 and 10 dwellings </w:t>
      </w:r>
      <w:r>
        <w:t>were</w:t>
      </w:r>
      <w:r w:rsidRPr="00312984">
        <w:t xml:space="preserve"> listed, then the households to be selected </w:t>
      </w:r>
      <w:r>
        <w:t>would be obtained</w:t>
      </w:r>
      <w:r w:rsidRPr="00312984">
        <w:t xml:space="preserve"> by rounding up 0.7, 2.1, 3.5, 4.9, 6.3, 7.7</w:t>
      </w:r>
      <w:r>
        <w:t xml:space="preserve"> and</w:t>
      </w:r>
      <w:r w:rsidRPr="00312984">
        <w:t xml:space="preserve"> 9.1, and so dwellings 1, 3, 4, 5, 7,</w:t>
      </w:r>
      <w:r>
        <w:t xml:space="preserve"> 8 and</w:t>
      </w:r>
      <w:r w:rsidRPr="00312984">
        <w:t xml:space="preserve"> 10 would be selected.</w:t>
      </w:r>
    </w:p>
    <w:p w:rsidR="00864F1D" w:rsidRDefault="00F44703" w:rsidP="00864F1D">
      <w:pPr>
        <w:spacing w:before="120"/>
        <w:ind w:left="567" w:hanging="567"/>
      </w:pPr>
      <w:r>
        <w:t>4.</w:t>
      </w:r>
      <w:r>
        <w:tab/>
      </w:r>
      <w:r w:rsidRPr="00312984">
        <w:t xml:space="preserve">If subsequent occupied dwellings are discovered, they </w:t>
      </w:r>
      <w:r>
        <w:t>are</w:t>
      </w:r>
      <w:r w:rsidRPr="00312984">
        <w:t xml:space="preserve"> added to the end of the list</w:t>
      </w:r>
      <w:r>
        <w:t>,</w:t>
      </w:r>
      <w:r w:rsidRPr="00312984">
        <w:t xml:space="preserve"> and additional selections </w:t>
      </w:r>
      <w:r>
        <w:t>are</w:t>
      </w:r>
      <w:r w:rsidRPr="00312984">
        <w:t xml:space="preserve"> made using the same rule.</w:t>
      </w:r>
    </w:p>
    <w:p w:rsidR="00F44703" w:rsidRPr="00312984" w:rsidRDefault="00F44703" w:rsidP="00864F1D">
      <w:pPr>
        <w:spacing w:before="60"/>
        <w:ind w:left="567"/>
      </w:pPr>
      <w:r w:rsidRPr="00312984">
        <w:t xml:space="preserve">In the example described </w:t>
      </w:r>
      <w:r>
        <w:t>above</w:t>
      </w:r>
      <w:r w:rsidRPr="00312984">
        <w:t xml:space="preserve">, suppose </w:t>
      </w:r>
      <w:r>
        <w:t>four</w:t>
      </w:r>
      <w:r w:rsidRPr="00312984">
        <w:t xml:space="preserve"> further dwellings </w:t>
      </w:r>
      <w:r>
        <w:t>we</w:t>
      </w:r>
      <w:r w:rsidRPr="00312984">
        <w:t xml:space="preserve">re found. The additional selections </w:t>
      </w:r>
      <w:r>
        <w:t>would be given</w:t>
      </w:r>
      <w:r w:rsidRPr="00312984">
        <w:t xml:space="preserve"> by rounding up 10.5, 11.9 and 13.3, s</w:t>
      </w:r>
      <w:r>
        <w:t>o the new dwellings 11, 12 and 14</w:t>
      </w:r>
      <w:r w:rsidRPr="00312984">
        <w:t xml:space="preserve"> would be selected.</w:t>
      </w:r>
    </w:p>
    <w:p w:rsidR="00F44703" w:rsidRPr="00312984" w:rsidRDefault="00F44703" w:rsidP="00864F1D"/>
    <w:p w:rsidR="00F44703" w:rsidRDefault="00F44703" w:rsidP="00864F1D">
      <w:r w:rsidRPr="00312984">
        <w:t xml:space="preserve">For the </w:t>
      </w:r>
      <w:r>
        <w:t>electoral roll</w:t>
      </w:r>
      <w:r w:rsidRPr="00312984">
        <w:t xml:space="preserve"> sample, the process </w:t>
      </w:r>
      <w:r>
        <w:t>i</w:t>
      </w:r>
      <w:r w:rsidRPr="00312984">
        <w:t xml:space="preserve">s identical, except that dwellings </w:t>
      </w:r>
      <w:r>
        <w:t>a</w:t>
      </w:r>
      <w:r w:rsidRPr="00312984">
        <w:t>re restricted to those with one or more residents who nominated</w:t>
      </w:r>
      <w:r w:rsidRPr="00687684">
        <w:t xml:space="preserve"> </w:t>
      </w:r>
      <w:r>
        <w:t>Māori</w:t>
      </w:r>
      <w:r w:rsidRPr="00687684">
        <w:t xml:space="preserve"> ancestry on the </w:t>
      </w:r>
      <w:r>
        <w:t>e</w:t>
      </w:r>
      <w:r w:rsidRPr="00687684">
        <w:t xml:space="preserve">lectoral </w:t>
      </w:r>
      <w:r>
        <w:t>r</w:t>
      </w:r>
      <w:r w:rsidRPr="00687684">
        <w:t>oll.</w:t>
      </w:r>
    </w:p>
    <w:p w:rsidR="00F44703" w:rsidRDefault="00F44703" w:rsidP="00864F1D"/>
    <w:p w:rsidR="00F44703" w:rsidRDefault="00F44703" w:rsidP="00864F1D">
      <w:r>
        <w:t>The lists of addresses in area PSUs are obtained from New Zealand Post</w:t>
      </w:r>
      <w:r w:rsidR="003B49E1">
        <w:t>’</w:t>
      </w:r>
      <w:r>
        <w:t>s Postal Address File (PAF) and supplemented by interviewers check-enumerating on the ground. For roll PSUs, lists of eligible addresses are taken from a quarterly extract from the electoral roll. In both cases, the number of addresses can be different from the counts used to calculate PSU probabilities of selection and skips. The original skips are applied to the updated lists to maintain the designed probabilities of selection.</w:t>
      </w:r>
    </w:p>
    <w:p w:rsidR="00F44703" w:rsidRDefault="00F44703" w:rsidP="00864F1D"/>
    <w:p w:rsidR="00F44703" w:rsidRDefault="00F44703" w:rsidP="00864F1D">
      <w:pPr>
        <w:pStyle w:val="Heading2"/>
      </w:pPr>
      <w:bookmarkStart w:id="80" w:name="_Toc465920537"/>
      <w:bookmarkStart w:id="81" w:name="_Toc465924287"/>
      <w:bookmarkStart w:id="82" w:name="_Toc467672164"/>
      <w:bookmarkStart w:id="83" w:name="_Toc468183663"/>
      <w:r>
        <w:t>5.3</w:t>
      </w:r>
      <w:r>
        <w:tab/>
        <w:t>Re-using area component primary sampling units</w:t>
      </w:r>
      <w:bookmarkEnd w:id="80"/>
      <w:bookmarkEnd w:id="81"/>
      <w:bookmarkEnd w:id="82"/>
      <w:bookmarkEnd w:id="83"/>
    </w:p>
    <w:p w:rsidR="00F44703" w:rsidRDefault="00864F1D" w:rsidP="00864F1D">
      <w:r>
        <w:t xml:space="preserve">Section </w:t>
      </w:r>
      <w:r w:rsidR="00F44703">
        <w:t>5.1 Selecting primary sampling units described the selection of area PSUs for quarter 1 and quarter 2 of the calendar year. The quarter 1 PSU sample is used again in quarter 3 and the quarter 2 PSU sample again in quarter 4.</w:t>
      </w:r>
    </w:p>
    <w:p w:rsidR="00F44703" w:rsidRDefault="00F44703" w:rsidP="00864F1D"/>
    <w:p w:rsidR="00F44703" w:rsidRDefault="00F44703" w:rsidP="00864F1D">
      <w:pPr>
        <w:ind w:right="-142"/>
      </w:pPr>
      <w:r w:rsidRPr="00864F1D">
        <w:rPr>
          <w:spacing w:val="-4"/>
        </w:rPr>
        <w:t>Different households are selected in the PSU on the second use. This is accomplished by incrementing</w:t>
      </w:r>
      <w:r>
        <w:t xml:space="preserve"> the random start in the within-PSU selection by 1 and using the same within-PSU skip. As discussed in section 4 Sample design, skips are constrained to be 2 or more so that it is always possible to select a different set of households in the second quarter of enumeration for a PSU.</w:t>
      </w:r>
    </w:p>
    <w:p w:rsidR="00F44703" w:rsidRDefault="00F44703" w:rsidP="00864F1D"/>
    <w:p w:rsidR="00F44703" w:rsidRDefault="00F44703" w:rsidP="00864F1D">
      <w:r>
        <w:t>The PSUs are allocated to quarters in such a way that PSUs are used twice in the same calendar year (</w:t>
      </w:r>
      <w:proofErr w:type="spellStart"/>
      <w:r>
        <w:t>eg</w:t>
      </w:r>
      <w:proofErr w:type="spellEnd"/>
      <w:r>
        <w:t>, 2016) but only once in each reporting year (</w:t>
      </w:r>
      <w:proofErr w:type="spellStart"/>
      <w:r>
        <w:t>eg</w:t>
      </w:r>
      <w:proofErr w:type="spellEnd"/>
      <w:r>
        <w:t>, 2015/16) (see also section 6.3 Re-using area component primary sampling units).</w:t>
      </w:r>
    </w:p>
    <w:p w:rsidR="00F44703" w:rsidRDefault="00F44703" w:rsidP="00864F1D"/>
    <w:p w:rsidR="00864F1D" w:rsidRDefault="00F44703" w:rsidP="00864F1D">
      <w:r>
        <w:t>Re-using PSUs means that the NZHS visits fewer PSUs each year, making it easier for SNZ to manage any overlaps between the NZHS and other government household surveys.</w:t>
      </w:r>
      <w:bookmarkStart w:id="84" w:name="_Toc465920538"/>
      <w:bookmarkStart w:id="85" w:name="_Toc465924288"/>
      <w:bookmarkStart w:id="86" w:name="_Toc467672165"/>
    </w:p>
    <w:p w:rsidR="00F44703" w:rsidRDefault="00F44703" w:rsidP="00864F1D">
      <w:pPr>
        <w:pStyle w:val="Heading1"/>
      </w:pPr>
      <w:bookmarkStart w:id="87" w:name="_Toc468183664"/>
      <w:r>
        <w:lastRenderedPageBreak/>
        <w:t>6</w:t>
      </w:r>
      <w:r>
        <w:tab/>
        <w:t>Major changes from the years 1–</w:t>
      </w:r>
      <w:r w:rsidR="00122EE8">
        <w:t>4</w:t>
      </w:r>
      <w:r>
        <w:t xml:space="preserve"> sample design</w:t>
      </w:r>
      <w:bookmarkEnd w:id="84"/>
      <w:bookmarkEnd w:id="85"/>
      <w:bookmarkEnd w:id="86"/>
      <w:bookmarkEnd w:id="87"/>
    </w:p>
    <w:p w:rsidR="00F44703" w:rsidRDefault="00F44703" w:rsidP="00864F1D">
      <w:pPr>
        <w:pStyle w:val="Heading2"/>
      </w:pPr>
      <w:bookmarkStart w:id="88" w:name="_Toc465920539"/>
      <w:bookmarkStart w:id="89" w:name="_Toc465924289"/>
      <w:bookmarkStart w:id="90" w:name="_Toc467672166"/>
      <w:bookmarkStart w:id="91" w:name="_Toc468183665"/>
      <w:r>
        <w:t>6.1</w:t>
      </w:r>
      <w:r>
        <w:tab/>
        <w:t xml:space="preserve">Using Statistics New Zealand primary sampling units rather than </w:t>
      </w:r>
      <w:proofErr w:type="spellStart"/>
      <w:r>
        <w:t>meshblocks</w:t>
      </w:r>
      <w:bookmarkEnd w:id="88"/>
      <w:bookmarkEnd w:id="89"/>
      <w:bookmarkEnd w:id="90"/>
      <w:bookmarkEnd w:id="91"/>
      <w:proofErr w:type="spellEnd"/>
    </w:p>
    <w:p w:rsidR="00F44703" w:rsidRDefault="00F44703" w:rsidP="00864F1D">
      <w:r>
        <w:t xml:space="preserve">The initial stage of selection was the </w:t>
      </w:r>
      <w:proofErr w:type="spellStart"/>
      <w:r>
        <w:t>meshblock</w:t>
      </w:r>
      <w:proofErr w:type="spellEnd"/>
      <w:r>
        <w:t xml:space="preserve"> in the 2006/2007 and 2011–2015 surveys, changing to the SNZ PSU from year 5 onwards (</w:t>
      </w:r>
      <w:proofErr w:type="spellStart"/>
      <w:r>
        <w:t>ie</w:t>
      </w:r>
      <w:proofErr w:type="spellEnd"/>
      <w:r>
        <w:t>, since July 2015). The main reason for the change is to enable areas to be sampled using SNZ</w:t>
      </w:r>
      <w:r w:rsidR="003B49E1">
        <w:t>’</w:t>
      </w:r>
      <w:r>
        <w:t>s overlap management system.</w:t>
      </w:r>
    </w:p>
    <w:p w:rsidR="00F44703" w:rsidRDefault="00F44703" w:rsidP="00864F1D"/>
    <w:p w:rsidR="003B49E1" w:rsidRDefault="00F44703" w:rsidP="00864F1D">
      <w:r>
        <w:t xml:space="preserve">In multi-stage samples, such as the NZHS, the sample tends to be geographically clustered. This results in standard errors of most estimates being larger than would occur if the same number of households were a geographically </w:t>
      </w:r>
      <w:proofErr w:type="spellStart"/>
      <w:r>
        <w:t>unclustered</w:t>
      </w:r>
      <w:proofErr w:type="spellEnd"/>
      <w:r>
        <w:t xml:space="preserve"> simple random sample from across New Zealand. Multi-stage designs are used in many face-to-face interviewer surveys because they reduce interviewer travel costs and it is easier to create or update a list of addresses for a sample of PSUs than for a whole country.</w:t>
      </w:r>
    </w:p>
    <w:p w:rsidR="00F44703" w:rsidRDefault="00F44703" w:rsidP="00864F1D"/>
    <w:p w:rsidR="00F44703" w:rsidRDefault="00F44703" w:rsidP="00864F1D">
      <w:r>
        <w:t xml:space="preserve">The factor by which variances are inflated using a complex sample design, relative to simple random sampling, is called the </w:t>
      </w:r>
      <w:r w:rsidR="003B49E1">
        <w:t>‘</w:t>
      </w:r>
      <w:r w:rsidRPr="00465CE1">
        <w:t>design effect</w:t>
      </w:r>
      <w:r w:rsidR="003B49E1">
        <w:t>’</w:t>
      </w:r>
      <w:r>
        <w:t xml:space="preserve">. The component of the design effect due to clustering depends on both the average number of households selected per first stage unit (the </w:t>
      </w:r>
      <w:r w:rsidR="003B49E1">
        <w:t>‘</w:t>
      </w:r>
      <w:r w:rsidRPr="00465CE1">
        <w:t>average within-cluster sample size</w:t>
      </w:r>
      <w:r w:rsidR="003B49E1">
        <w:t>’</w:t>
      </w:r>
      <w:r>
        <w:t xml:space="preserve">) and the correlation between values of the indicator of interest for people living in the same first stage unit (the </w:t>
      </w:r>
      <w:r w:rsidR="003B49E1">
        <w:t>‘</w:t>
      </w:r>
      <w:proofErr w:type="spellStart"/>
      <w:r w:rsidRPr="00465CE1">
        <w:t>intraclass</w:t>
      </w:r>
      <w:proofErr w:type="spellEnd"/>
      <w:r w:rsidRPr="00465CE1">
        <w:t xml:space="preserve"> correlation</w:t>
      </w:r>
      <w:r w:rsidR="003B49E1">
        <w:t>’</w:t>
      </w:r>
      <w:r>
        <w:t>).</w:t>
      </w:r>
    </w:p>
    <w:p w:rsidR="00F44703" w:rsidRDefault="00F44703" w:rsidP="00864F1D"/>
    <w:p w:rsidR="00F44703" w:rsidRDefault="00F44703" w:rsidP="00864F1D">
      <w:r>
        <w:t xml:space="preserve">The change from </w:t>
      </w:r>
      <w:proofErr w:type="spellStart"/>
      <w:r>
        <w:t>meshblocks</w:t>
      </w:r>
      <w:proofErr w:type="spellEnd"/>
      <w:r>
        <w:t xml:space="preserve"> to PSUs as the initial stage of selection will impact on the design effect to some degree. The number of PSUs selected each quarter in 2015/16 is smaller than the number of </w:t>
      </w:r>
      <w:proofErr w:type="spellStart"/>
      <w:r>
        <w:t>meshblocks</w:t>
      </w:r>
      <w:proofErr w:type="spellEnd"/>
      <w:r>
        <w:t xml:space="preserve"> selected per quarter in the first four years of the continuous NZHS, with a similar sample size of people. This suggests that the sample is now more geographically clustered than in the past, with a higher within-cluster sample size, which may lead to a higher design effect. On the other hand, because PSUs are larger areas than </w:t>
      </w:r>
      <w:proofErr w:type="spellStart"/>
      <w:r>
        <w:t>meshblocks</w:t>
      </w:r>
      <w:proofErr w:type="spellEnd"/>
      <w:r>
        <w:t xml:space="preserve">, the </w:t>
      </w:r>
      <w:proofErr w:type="spellStart"/>
      <w:r>
        <w:t>intraclass</w:t>
      </w:r>
      <w:proofErr w:type="spellEnd"/>
      <w:r>
        <w:t xml:space="preserve"> correlations within PSUs are expected to be smaller. Thus the net effect of the change to PSUs could be to increase or decrease design effects.</w:t>
      </w:r>
    </w:p>
    <w:p w:rsidR="00F44703" w:rsidRDefault="00F44703" w:rsidP="00864F1D"/>
    <w:p w:rsidR="003B49E1" w:rsidRDefault="00F44703" w:rsidP="00864F1D">
      <w:r>
        <w:t>To ensure that design effects did not increase, the within-cluster sample size was raised only slightly compared with years 1–4. The target within-PSU sample size was set to 21 for area PSUs and to 14 for electoral roll PSUs. In years 1–4, the corresponding within-</w:t>
      </w:r>
      <w:proofErr w:type="spellStart"/>
      <w:r>
        <w:t>meshblock</w:t>
      </w:r>
      <w:proofErr w:type="spellEnd"/>
      <w:r>
        <w:t xml:space="preserve"> targets were 20 and 10 respectively. This represents increases of 5 percent and 40 percent for the area and electoral roll components respectively.</w:t>
      </w:r>
    </w:p>
    <w:p w:rsidR="00F44703" w:rsidRDefault="00F44703" w:rsidP="00864F1D"/>
    <w:p w:rsidR="00F44703" w:rsidRDefault="00F44703" w:rsidP="00864F1D">
      <w:r>
        <w:t>The approximation formula developed by Brewer et al (1977) suggests that indicators whose within-</w:t>
      </w:r>
      <w:proofErr w:type="spellStart"/>
      <w:r>
        <w:t>meshblock</w:t>
      </w:r>
      <w:proofErr w:type="spellEnd"/>
      <w:r>
        <w:t xml:space="preserve"> correlation is 0.050 will have within-PSU correlation of 0.030 (a 40 percent decrease). If this approximation is accurate, then design effects will decrease for the area component and stay about the same for the electoral roll component.</w:t>
      </w:r>
    </w:p>
    <w:p w:rsidR="00F44703" w:rsidRDefault="00F44703" w:rsidP="00864F1D"/>
    <w:p w:rsidR="00F44703" w:rsidRDefault="00F44703" w:rsidP="00864F1D">
      <w:pPr>
        <w:pStyle w:val="Heading2"/>
      </w:pPr>
      <w:bookmarkStart w:id="92" w:name="_Toc465920540"/>
      <w:bookmarkStart w:id="93" w:name="_Toc465924290"/>
      <w:bookmarkStart w:id="94" w:name="_Toc467672167"/>
      <w:bookmarkStart w:id="95" w:name="_Toc468183666"/>
      <w:r>
        <w:lastRenderedPageBreak/>
        <w:t>6.2</w:t>
      </w:r>
      <w:r>
        <w:tab/>
        <w:t>Participation in the Statistics New Zealand household survey selections management system</w:t>
      </w:r>
      <w:bookmarkEnd w:id="92"/>
      <w:bookmarkEnd w:id="93"/>
      <w:bookmarkEnd w:id="94"/>
      <w:bookmarkEnd w:id="95"/>
    </w:p>
    <w:p w:rsidR="003B49E1" w:rsidRDefault="00F44703" w:rsidP="00864F1D">
      <w:r>
        <w:t xml:space="preserve">Before 2015/2016, the Ministry contracted the University of Wollongong Australia to select the </w:t>
      </w:r>
      <w:proofErr w:type="spellStart"/>
      <w:r>
        <w:t>meshblocks</w:t>
      </w:r>
      <w:proofErr w:type="spellEnd"/>
      <w:r>
        <w:t xml:space="preserve"> to be surveyed in the NZHS. Full details of this selection process are contained in </w:t>
      </w:r>
      <w:r>
        <w:rPr>
          <w:i/>
        </w:rPr>
        <w:t>The New Zealand Health Survey: Sample design, years 1–3 (2011–2013) (</w:t>
      </w:r>
      <w:r>
        <w:t>Ministry of Health 2011).</w:t>
      </w:r>
    </w:p>
    <w:p w:rsidR="00F44703" w:rsidRDefault="00F44703" w:rsidP="00864F1D"/>
    <w:p w:rsidR="00F44703" w:rsidRDefault="00F44703" w:rsidP="00864F1D">
      <w:r>
        <w:t xml:space="preserve">SNZ controlled overlap with their surveys by setting aside 20 percent of the </w:t>
      </w:r>
      <w:proofErr w:type="spellStart"/>
      <w:r>
        <w:t>meshblocks</w:t>
      </w:r>
      <w:proofErr w:type="spellEnd"/>
      <w:r>
        <w:t xml:space="preserve"> on their household frame for NZHS use and a further 10 percent for shared use when needed. This approach was revised for 2015/16 for the following reasons.</w:t>
      </w:r>
    </w:p>
    <w:p w:rsidR="00F44703" w:rsidRDefault="00F44703" w:rsidP="00864F1D">
      <w:pPr>
        <w:pStyle w:val="Bullet"/>
      </w:pPr>
      <w:r>
        <w:t xml:space="preserve">Assigning 20–30 percent of </w:t>
      </w:r>
      <w:proofErr w:type="spellStart"/>
      <w:r>
        <w:t>meshblocks</w:t>
      </w:r>
      <w:proofErr w:type="spellEnd"/>
      <w:r>
        <w:t xml:space="preserve"> to the NZHS</w:t>
      </w:r>
      <w:r w:rsidR="003B49E1">
        <w:t>’</w:t>
      </w:r>
      <w:r>
        <w:t xml:space="preserve">s use was becoming problematical for SNZ as it did not leave </w:t>
      </w:r>
      <w:proofErr w:type="spellStart"/>
      <w:r>
        <w:t>meshblocks</w:t>
      </w:r>
      <w:proofErr w:type="spellEnd"/>
      <w:r>
        <w:t xml:space="preserve"> for other surveys conducted by SNZ and other agencies. This was exacerbated by the fact that NZHS used </w:t>
      </w:r>
      <w:proofErr w:type="spellStart"/>
      <w:r>
        <w:t>meshblocks</w:t>
      </w:r>
      <w:proofErr w:type="spellEnd"/>
      <w:r>
        <w:t xml:space="preserve"> whereas most SNZ surveys use SNZ PSUs.</w:t>
      </w:r>
    </w:p>
    <w:p w:rsidR="00F44703" w:rsidRDefault="00F44703" w:rsidP="00864F1D">
      <w:pPr>
        <w:pStyle w:val="Bullet"/>
      </w:pPr>
      <w:r>
        <w:t xml:space="preserve">It was becoming more difficult to manage the overlap of each </w:t>
      </w:r>
      <w:proofErr w:type="gramStart"/>
      <w:r>
        <w:t>new year</w:t>
      </w:r>
      <w:r w:rsidR="003B49E1">
        <w:t>’</w:t>
      </w:r>
      <w:r>
        <w:t>s</w:t>
      </w:r>
      <w:proofErr w:type="gramEnd"/>
      <w:r>
        <w:t xml:space="preserve"> NZHS sample with past NZHS selections within the </w:t>
      </w:r>
      <w:proofErr w:type="spellStart"/>
      <w:r>
        <w:t>meshblocks</w:t>
      </w:r>
      <w:proofErr w:type="spellEnd"/>
      <w:r>
        <w:t xml:space="preserve"> set aside for NZHS use. There was an overhead in maintaining and extending NZHS-specific code for this purpose.</w:t>
      </w:r>
    </w:p>
    <w:p w:rsidR="00F44703" w:rsidRDefault="00F44703" w:rsidP="00864F1D">
      <w:pPr>
        <w:pStyle w:val="Bullet"/>
      </w:pPr>
      <w:r>
        <w:t>SNZ developed an overlap control system designed to manage selections across SNZ and other government household surveys. This system uses a similar methodology to the NZHS system for managing self-overlap but allows greater flexibility in cross-agency overlap control. Because the new system is able to be used for SNZ and other household surveys across government, SNZ has been able to invest in software that is both more general and more intensively maintained.</w:t>
      </w:r>
    </w:p>
    <w:p w:rsidR="00F44703" w:rsidRDefault="00F44703" w:rsidP="00864F1D"/>
    <w:p w:rsidR="00F44703" w:rsidRDefault="00F44703" w:rsidP="00864F1D">
      <w:r>
        <w:t xml:space="preserve">From 2015/16, the Ministry is providing SNZ with PSU probabilities of selection for the area and electoral roll components each year, and SNZ perform the selections. To fit better with the SNZ system, SNZ PSUs are now used as the first stage of selection rather than </w:t>
      </w:r>
      <w:proofErr w:type="spellStart"/>
      <w:r>
        <w:t>meshblocks</w:t>
      </w:r>
      <w:proofErr w:type="spellEnd"/>
      <w:r>
        <w:t>. As in the past, systematic unequal probability sampling is used, with area PSUs ordered by DHB and population and roll PSUs by DHB and number of eligible households.</w:t>
      </w:r>
    </w:p>
    <w:p w:rsidR="00F44703" w:rsidRDefault="00F44703" w:rsidP="00864F1D"/>
    <w:p w:rsidR="00F44703" w:rsidRDefault="00F44703" w:rsidP="00864F1D">
      <w:r>
        <w:t>To reduce the NZHS footprint in SNZ</w:t>
      </w:r>
      <w:r w:rsidR="003B49E1">
        <w:t>’</w:t>
      </w:r>
      <w:r>
        <w:t>s cross-agency overlap control, area component PSUs are now surveyed on two occasions.</w:t>
      </w:r>
    </w:p>
    <w:p w:rsidR="00F44703" w:rsidRDefault="00F44703" w:rsidP="00864F1D"/>
    <w:p w:rsidR="00F44703" w:rsidRDefault="00F44703" w:rsidP="00864F1D">
      <w:pPr>
        <w:pStyle w:val="Heading2"/>
      </w:pPr>
      <w:bookmarkStart w:id="96" w:name="_Toc465920541"/>
      <w:bookmarkStart w:id="97" w:name="_Toc465924291"/>
      <w:bookmarkStart w:id="98" w:name="_Toc467672168"/>
      <w:bookmarkStart w:id="99" w:name="_Toc468183667"/>
      <w:r>
        <w:t>6.3</w:t>
      </w:r>
      <w:r>
        <w:tab/>
        <w:t>Re-using area component primary sampling units</w:t>
      </w:r>
      <w:bookmarkEnd w:id="96"/>
      <w:bookmarkEnd w:id="97"/>
      <w:bookmarkEnd w:id="98"/>
      <w:bookmarkEnd w:id="99"/>
    </w:p>
    <w:p w:rsidR="00F44703" w:rsidRDefault="00F44703" w:rsidP="00864F1D">
      <w:r>
        <w:t xml:space="preserve">PSUs are larger areas than </w:t>
      </w:r>
      <w:proofErr w:type="spellStart"/>
      <w:r>
        <w:t>meshblocks</w:t>
      </w:r>
      <w:proofErr w:type="spellEnd"/>
      <w:r>
        <w:t>, with roughly twice the average population. The target within-PSU sample size of 21 for the area component means that less than half of the dwellings in a typical PSU will be surveyed in one quarter. Area component PSUs can therefore be sampled in two different quarters without revisiting the same households. This will also help SNZ to manage overlap across surveys by reducing the number of NZHS PSUs to be quarantined from future selections for the NZHS and other surveys.</w:t>
      </w:r>
    </w:p>
    <w:p w:rsidR="00F44703" w:rsidRDefault="00F44703" w:rsidP="00864F1D"/>
    <w:p w:rsidR="00F44703" w:rsidRDefault="00F44703" w:rsidP="00864F1D">
      <w:r>
        <w:t>A disadvantage of re-using PSUs is that fewer PSUs will be selected over time, leading to a more clustered sample, and possibly higher standard errors. A staggered selections plan is used to moderate this effect, as illustrated in Figure 1 below.</w:t>
      </w:r>
    </w:p>
    <w:p w:rsidR="00F44703" w:rsidRDefault="00F44703" w:rsidP="00864F1D">
      <w:pPr>
        <w:pStyle w:val="Bullet"/>
      </w:pPr>
      <w:r>
        <w:lastRenderedPageBreak/>
        <w:t>When PSU sampling was first introduced, an area sample was selected for the second half of the 2015 calendar year that consisted of 360 PSUs. Each of these PSUs was assigned to be surveyed in just one quarter, either the September-2015 quarter or the December-2015 quarter.</w:t>
      </w:r>
    </w:p>
    <w:p w:rsidR="00F44703" w:rsidRDefault="00F44703" w:rsidP="00864F1D">
      <w:pPr>
        <w:pStyle w:val="Bullet"/>
      </w:pPr>
      <w:r>
        <w:t>An area sample for the 2016 calendar year was selected in November 2015 that consisted of 360 PSUs. These PSUs are to be surveyed in two separate quarters in the 2016 calendar year, either (a) both the March-2016 and September-2016 quarters or (b) both the June-2016 and December-2016 quarters.</w:t>
      </w:r>
    </w:p>
    <w:p w:rsidR="00F44703" w:rsidRDefault="00F44703" w:rsidP="00864F1D">
      <w:pPr>
        <w:pStyle w:val="Bullet"/>
      </w:pPr>
      <w:r>
        <w:t>The area sample for the 2017 calendar year will similarly be selected in November 2016, and PSUs will be allocated to (a) the March-2017 and September-2017 quarters or (b) the June-2017 and December-2017 quarters. The same process will be followed for each calendar year</w:t>
      </w:r>
      <w:r w:rsidR="003B49E1">
        <w:t>’</w:t>
      </w:r>
      <w:r>
        <w:t>s selections.</w:t>
      </w:r>
    </w:p>
    <w:p w:rsidR="00F44703" w:rsidRDefault="00F44703" w:rsidP="00864F1D"/>
    <w:p w:rsidR="00F44703" w:rsidRDefault="00F44703" w:rsidP="00864F1D">
      <w:r>
        <w:t>The above scheme means that selected PSUs are surveyed twice each calendar year (</w:t>
      </w:r>
      <w:proofErr w:type="spellStart"/>
      <w:r>
        <w:t>eg</w:t>
      </w:r>
      <w:proofErr w:type="spellEnd"/>
      <w:r>
        <w:t>, 2016), but each PSU appears only once in a reporting year (</w:t>
      </w:r>
      <w:proofErr w:type="spellStart"/>
      <w:r>
        <w:t>eg</w:t>
      </w:r>
      <w:proofErr w:type="spellEnd"/>
      <w:r>
        <w:t>, 2015/16). So the re-use of PSUs will make the calendar year samples more clustered, but the reporting years will be unaffected.</w:t>
      </w:r>
    </w:p>
    <w:p w:rsidR="00F44703" w:rsidRDefault="00F44703" w:rsidP="00864F1D"/>
    <w:p w:rsidR="00F44703" w:rsidRDefault="00F44703" w:rsidP="00864F1D">
      <w:r>
        <w:t>Estimates for some subpopulations, such as DHBs or particular ethnicities, will be based on pooling several years</w:t>
      </w:r>
      <w:r w:rsidR="003B49E1">
        <w:t>’</w:t>
      </w:r>
      <w:r>
        <w:t xml:space="preserve"> worth of data. These pooled samples will be more clustered due to the re-use of PSUs than they would have been if PSUs were surveyed only once, leading to increased design effects. However, the increase in design effects will be small relative to the improvement in precision associated with pooling over multiple years.</w:t>
      </w:r>
    </w:p>
    <w:p w:rsidR="00F44703" w:rsidRDefault="00F44703" w:rsidP="00864F1D"/>
    <w:p w:rsidR="00864F1D" w:rsidRDefault="00864F1D" w:rsidP="00864F1D">
      <w:pPr>
        <w:pStyle w:val="Figure"/>
        <w:sectPr w:rsidR="00864F1D" w:rsidSect="009D5125">
          <w:headerReference w:type="default" r:id="rId34"/>
          <w:footerReference w:type="even" r:id="rId35"/>
          <w:footerReference w:type="default" r:id="rId36"/>
          <w:pgSz w:w="11907" w:h="16834" w:code="9"/>
          <w:pgMar w:top="851" w:right="1134" w:bottom="1134" w:left="1134" w:header="284" w:footer="567" w:gutter="284"/>
          <w:pgNumType w:start="1"/>
          <w:cols w:space="720"/>
        </w:sectPr>
      </w:pPr>
    </w:p>
    <w:p w:rsidR="00F44703" w:rsidRPr="00F7619F" w:rsidRDefault="00F44703" w:rsidP="00864F1D">
      <w:pPr>
        <w:pStyle w:val="Figure"/>
      </w:pPr>
      <w:bookmarkStart w:id="100" w:name="_Toc468810696"/>
      <w:r>
        <w:lastRenderedPageBreak/>
        <w:t>Figure 1: PSU selections timing and re-use plan</w:t>
      </w:r>
      <w:bookmarkEnd w:id="100"/>
    </w:p>
    <w:p w:rsidR="00F44703" w:rsidRDefault="00F44703" w:rsidP="00F44703">
      <w:r>
        <w:rPr>
          <w:noProof/>
          <w:lang w:eastAsia="en-NZ"/>
        </w:rPr>
        <w:drawing>
          <wp:inline distT="0" distB="0" distL="0" distR="0" wp14:anchorId="16B871F2" wp14:editId="3CF80092">
            <wp:extent cx="9269820" cy="2003367"/>
            <wp:effectExtent l="0" t="0" r="0" b="0"/>
            <wp:docPr id="1" name="Picture 1" descr="Sample design report_PSU selections diagram" title="Figure 1: PSU selections timing and re-us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ple design report_PSU selections diagram"/>
                    <pic:cNvPicPr>
                      <a:picLocks noChangeAspect="1" noChangeArrowheads="1"/>
                    </pic:cNvPicPr>
                  </pic:nvPicPr>
                  <pic:blipFill rotWithShape="1">
                    <a:blip r:embed="rId37">
                      <a:extLst>
                        <a:ext uri="{28A0092B-C50C-407E-A947-70E740481C1C}">
                          <a14:useLocalDpi xmlns:a14="http://schemas.microsoft.com/office/drawing/2010/main" val="0"/>
                        </a:ext>
                      </a:extLst>
                    </a:blip>
                    <a:srcRect l="7254" t="11359" r="8622" b="62986"/>
                    <a:stretch/>
                  </pic:blipFill>
                  <pic:spPr bwMode="auto">
                    <a:xfrm>
                      <a:off x="0" y="0"/>
                      <a:ext cx="9269962" cy="2003398"/>
                    </a:xfrm>
                    <a:prstGeom prst="rect">
                      <a:avLst/>
                    </a:prstGeom>
                    <a:noFill/>
                    <a:ln>
                      <a:noFill/>
                    </a:ln>
                    <a:extLst>
                      <a:ext uri="{53640926-AAD7-44D8-BBD7-CCE9431645EC}">
                        <a14:shadowObscured xmlns:a14="http://schemas.microsoft.com/office/drawing/2010/main"/>
                      </a:ext>
                    </a:extLst>
                  </pic:spPr>
                </pic:pic>
              </a:graphicData>
            </a:graphic>
          </wp:inline>
        </w:drawing>
      </w:r>
    </w:p>
    <w:p w:rsidR="00F44703" w:rsidRDefault="00F44703" w:rsidP="00864F1D">
      <w:pPr>
        <w:pStyle w:val="Note"/>
      </w:pPr>
      <w:bookmarkStart w:id="101" w:name="_Toc304803506"/>
      <w:bookmarkEnd w:id="101"/>
      <w:r>
        <w:t>Note: Selections made in April 2015, November 2015 and November 2016 are shown in blue, orange and green respectively.</w:t>
      </w:r>
    </w:p>
    <w:p w:rsidR="00F44703" w:rsidRPr="00C0159B" w:rsidRDefault="00F44703" w:rsidP="00F44703"/>
    <w:p w:rsidR="00864F1D" w:rsidRDefault="00864F1D">
      <w:pPr>
        <w:spacing w:line="240" w:lineRule="auto"/>
        <w:sectPr w:rsidR="00864F1D" w:rsidSect="00864F1D">
          <w:footerReference w:type="default" r:id="rId38"/>
          <w:pgSz w:w="16834" w:h="11907" w:orient="landscape" w:code="9"/>
          <w:pgMar w:top="1134" w:right="1134" w:bottom="1134" w:left="1134" w:header="284" w:footer="567" w:gutter="0"/>
          <w:cols w:space="720"/>
          <w:docGrid w:linePitch="299"/>
        </w:sectPr>
      </w:pPr>
    </w:p>
    <w:p w:rsidR="00F44703" w:rsidRPr="003C7A3D" w:rsidRDefault="00F44703" w:rsidP="00864F1D">
      <w:pPr>
        <w:pStyle w:val="Heading1"/>
      </w:pPr>
      <w:bookmarkStart w:id="102" w:name="_Toc465924292"/>
      <w:bookmarkStart w:id="103" w:name="_Toc465920542"/>
      <w:bookmarkStart w:id="104" w:name="_Toc467672169"/>
      <w:bookmarkStart w:id="105" w:name="_Toc468183668"/>
      <w:bookmarkStart w:id="106" w:name="_Toc304976454"/>
      <w:r>
        <w:lastRenderedPageBreak/>
        <w:t>References</w:t>
      </w:r>
      <w:bookmarkEnd w:id="102"/>
      <w:bookmarkEnd w:id="103"/>
      <w:bookmarkEnd w:id="104"/>
      <w:bookmarkEnd w:id="105"/>
    </w:p>
    <w:p w:rsidR="00F44703" w:rsidRDefault="00F44703" w:rsidP="00864F1D">
      <w:pPr>
        <w:pStyle w:val="References"/>
      </w:pPr>
      <w:proofErr w:type="spellStart"/>
      <w:r w:rsidRPr="00264DED">
        <w:t>Bankier</w:t>
      </w:r>
      <w:proofErr w:type="spellEnd"/>
      <w:r w:rsidRPr="00264DED">
        <w:t xml:space="preserve"> MD.</w:t>
      </w:r>
      <w:r>
        <w:t xml:space="preserve"> 1998.</w:t>
      </w:r>
      <w:r w:rsidRPr="00264DED">
        <w:t xml:space="preserve"> Power allocations: determining sample sizes for subnational a</w:t>
      </w:r>
      <w:r>
        <w:t xml:space="preserve">reas. </w:t>
      </w:r>
      <w:r w:rsidRPr="002008D6">
        <w:rPr>
          <w:i/>
        </w:rPr>
        <w:t>The American Statistician</w:t>
      </w:r>
      <w:r>
        <w:t xml:space="preserve"> </w:t>
      </w:r>
      <w:r w:rsidRPr="00264DED">
        <w:t>42(3):</w:t>
      </w:r>
      <w:r>
        <w:t xml:space="preserve"> </w:t>
      </w:r>
      <w:r w:rsidRPr="00264DED">
        <w:t>174–7.</w:t>
      </w:r>
    </w:p>
    <w:p w:rsidR="00F44703" w:rsidRPr="003B49E1" w:rsidRDefault="00F44703" w:rsidP="00864F1D">
      <w:pPr>
        <w:pStyle w:val="References"/>
      </w:pPr>
      <w:r w:rsidRPr="003B49E1">
        <w:t>Brewer KRW, Foreman EK, Mellor RW</w:t>
      </w:r>
      <w:r w:rsidR="00864F1D">
        <w:t>, et al</w:t>
      </w:r>
      <w:r w:rsidRPr="003B49E1">
        <w:t xml:space="preserve">. 1977. Use of experimental design and population modelling in survey sampling. </w:t>
      </w:r>
      <w:r w:rsidRPr="003B49E1">
        <w:rPr>
          <w:i/>
        </w:rPr>
        <w:t xml:space="preserve">Bull </w:t>
      </w:r>
      <w:proofErr w:type="spellStart"/>
      <w:r w:rsidRPr="003B49E1">
        <w:rPr>
          <w:i/>
        </w:rPr>
        <w:t>Internat</w:t>
      </w:r>
      <w:proofErr w:type="spellEnd"/>
      <w:r w:rsidRPr="003B49E1">
        <w:rPr>
          <w:i/>
        </w:rPr>
        <w:t xml:space="preserve"> Statist </w:t>
      </w:r>
      <w:proofErr w:type="spellStart"/>
      <w:r w:rsidRPr="003B49E1">
        <w:rPr>
          <w:i/>
        </w:rPr>
        <w:t>Inst</w:t>
      </w:r>
      <w:proofErr w:type="spellEnd"/>
      <w:r w:rsidRPr="003B49E1">
        <w:rPr>
          <w:i/>
        </w:rPr>
        <w:t xml:space="preserve"> </w:t>
      </w:r>
      <w:r w:rsidRPr="003B49E1">
        <w:t>XLVII</w:t>
      </w:r>
      <w:r w:rsidR="00864F1D">
        <w:t>:</w:t>
      </w:r>
      <w:r w:rsidRPr="003B49E1">
        <w:t xml:space="preserve"> 173–90.</w:t>
      </w:r>
    </w:p>
    <w:p w:rsidR="00F44703" w:rsidRDefault="00F44703" w:rsidP="00864F1D">
      <w:pPr>
        <w:pStyle w:val="References"/>
      </w:pPr>
      <w:r w:rsidRPr="00787412">
        <w:t>Clark RG.</w:t>
      </w:r>
      <w:r>
        <w:t xml:space="preserve"> </w:t>
      </w:r>
      <w:r w:rsidRPr="00787412">
        <w:t xml:space="preserve">2009. Sampling of subpopulations in two stage surveys. </w:t>
      </w:r>
      <w:r w:rsidRPr="002008D6">
        <w:rPr>
          <w:i/>
        </w:rPr>
        <w:t>Statistics in Medicine</w:t>
      </w:r>
      <w:r w:rsidRPr="00787412">
        <w:t xml:space="preserve"> 28</w:t>
      </w:r>
      <w:r>
        <w:t>(</w:t>
      </w:r>
      <w:r w:rsidRPr="00787412">
        <w:t>29</w:t>
      </w:r>
      <w:r>
        <w:t>):</w:t>
      </w:r>
      <w:r w:rsidR="00864F1D">
        <w:t> </w:t>
      </w:r>
      <w:r w:rsidRPr="00787412">
        <w:t>3697</w:t>
      </w:r>
      <w:r>
        <w:t>–</w:t>
      </w:r>
      <w:r w:rsidRPr="00787412">
        <w:t>717.</w:t>
      </w:r>
    </w:p>
    <w:p w:rsidR="00F44703" w:rsidRDefault="00F44703" w:rsidP="00864F1D">
      <w:pPr>
        <w:pStyle w:val="References"/>
      </w:pPr>
      <w:r>
        <w:t xml:space="preserve">Clark RG. 2010. </w:t>
      </w:r>
      <w:r w:rsidRPr="002008D6">
        <w:rPr>
          <w:i/>
        </w:rPr>
        <w:t xml:space="preserve">Preliminary </w:t>
      </w:r>
      <w:r>
        <w:rPr>
          <w:i/>
        </w:rPr>
        <w:t>S</w:t>
      </w:r>
      <w:r w:rsidRPr="002008D6">
        <w:rPr>
          <w:i/>
        </w:rPr>
        <w:t xml:space="preserve">ample </w:t>
      </w:r>
      <w:r>
        <w:rPr>
          <w:i/>
        </w:rPr>
        <w:t>D</w:t>
      </w:r>
      <w:r w:rsidRPr="002008D6">
        <w:rPr>
          <w:i/>
        </w:rPr>
        <w:t>esign for the New Zealand Health Survey 2010</w:t>
      </w:r>
      <w:r>
        <w:t xml:space="preserve">. Report provided to the New Zealand Ministry of Health March 2010. URL: </w:t>
      </w:r>
      <w:hyperlink r:id="rId39" w:history="1">
        <w:r w:rsidRPr="003F1B9E">
          <w:rPr>
            <w:rStyle w:val="Hyperlink"/>
            <w:rFonts w:eastAsia="Cambria"/>
          </w:rPr>
          <w:t>http://ro.uow.edu.au/infopapers/751</w:t>
        </w:r>
      </w:hyperlink>
      <w:r>
        <w:t xml:space="preserve"> (accessed 2 November 2016).</w:t>
      </w:r>
    </w:p>
    <w:p w:rsidR="00F44703" w:rsidRDefault="00F44703" w:rsidP="00864F1D">
      <w:pPr>
        <w:pStyle w:val="References"/>
      </w:pPr>
      <w:r w:rsidRPr="003B49E1">
        <w:t>Clark RG. 2013. Sample design using imperfect design data.</w:t>
      </w:r>
      <w:r w:rsidR="00864F1D">
        <w:t xml:space="preserve"> </w:t>
      </w:r>
      <w:r w:rsidRPr="003B49E1">
        <w:rPr>
          <w:i/>
          <w:iCs/>
        </w:rPr>
        <w:t>Journal of Survey Statistics and Methodology</w:t>
      </w:r>
      <w:r w:rsidR="00864F1D">
        <w:t xml:space="preserve"> </w:t>
      </w:r>
      <w:r w:rsidRPr="003B49E1">
        <w:rPr>
          <w:iCs/>
        </w:rPr>
        <w:t>1</w:t>
      </w:r>
      <w:r w:rsidRPr="003B49E1">
        <w:t>(1)</w:t>
      </w:r>
      <w:r w:rsidR="00864F1D">
        <w:t>:</w:t>
      </w:r>
      <w:r w:rsidRPr="003B49E1">
        <w:t xml:space="preserve"> 6–23.</w:t>
      </w:r>
    </w:p>
    <w:p w:rsidR="00F44703" w:rsidRDefault="00F44703" w:rsidP="00864F1D">
      <w:pPr>
        <w:pStyle w:val="References"/>
        <w:rPr>
          <w:rFonts w:eastAsia="Cambria"/>
        </w:rPr>
      </w:pPr>
      <w:r w:rsidRPr="00787412">
        <w:t>Clark RG, Forbes A, Templeton R</w:t>
      </w:r>
      <w:r>
        <w:t xml:space="preserve">, </w:t>
      </w:r>
      <w:r w:rsidR="00864F1D">
        <w:t>et al</w:t>
      </w:r>
      <w:r w:rsidRPr="00787412">
        <w:t xml:space="preserve">. 2009. Sampling for </w:t>
      </w:r>
      <w:r>
        <w:t>s</w:t>
      </w:r>
      <w:r w:rsidRPr="00787412">
        <w:t xml:space="preserve">ubpopulations in </w:t>
      </w:r>
      <w:r>
        <w:t>h</w:t>
      </w:r>
      <w:r w:rsidRPr="00787412">
        <w:t xml:space="preserve">ousehold </w:t>
      </w:r>
      <w:r>
        <w:t>s</w:t>
      </w:r>
      <w:r w:rsidRPr="00787412">
        <w:t xml:space="preserve">urveys with </w:t>
      </w:r>
      <w:r>
        <w:t>a</w:t>
      </w:r>
      <w:r w:rsidRPr="00787412">
        <w:t xml:space="preserve">pplication to Māori and Pacific </w:t>
      </w:r>
      <w:r>
        <w:t>s</w:t>
      </w:r>
      <w:r w:rsidRPr="00787412">
        <w:t xml:space="preserve">ampling. </w:t>
      </w:r>
      <w:r w:rsidRPr="002008D6">
        <w:rPr>
          <w:i/>
        </w:rPr>
        <w:t>Official Statistics Research Series</w:t>
      </w:r>
      <w:r w:rsidRPr="00CA23C5">
        <w:t xml:space="preserve"> </w:t>
      </w:r>
      <w:r w:rsidR="00864F1D">
        <w:t>(</w:t>
      </w:r>
      <w:r w:rsidRPr="00584533">
        <w:t>4</w:t>
      </w:r>
      <w:r w:rsidR="00864F1D">
        <w:t>)</w:t>
      </w:r>
      <w:r w:rsidRPr="00584533">
        <w:t xml:space="preserve">. </w:t>
      </w:r>
      <w:r>
        <w:t>URL:</w:t>
      </w:r>
      <w:r w:rsidRPr="00787412">
        <w:t xml:space="preserve"> </w:t>
      </w:r>
      <w:r w:rsidRPr="00CA23C5">
        <w:t>www.statisphere.govt.nz/sitecore/content/statistics/Home/about_us/who-we-are/home-statisphere/research-series/2009-v4.aspx</w:t>
      </w:r>
      <w:r>
        <w:rPr>
          <w:rFonts w:eastAsia="Cambria"/>
        </w:rPr>
        <w:t xml:space="preserve"> (accessed 2 November 2016).</w:t>
      </w:r>
    </w:p>
    <w:p w:rsidR="003B49E1" w:rsidRPr="003B49E1" w:rsidRDefault="00F44703" w:rsidP="00864F1D">
      <w:pPr>
        <w:pStyle w:val="References"/>
      </w:pPr>
      <w:r w:rsidRPr="003B49E1">
        <w:t xml:space="preserve">Clark RG, Templeton RT. 2014. Sampling the Māori population using proxy screening, the electoral roll and disproportionate sampling in the New Zealand Health Survey. Chapter 22, in </w:t>
      </w:r>
      <w:r w:rsidRPr="003B49E1">
        <w:rPr>
          <w:i/>
        </w:rPr>
        <w:t>Hard-to-Survey Populations</w:t>
      </w:r>
      <w:r w:rsidRPr="003B49E1">
        <w:t>. Cambridge: Cambridge University Press.</w:t>
      </w:r>
    </w:p>
    <w:p w:rsidR="00F44703" w:rsidRPr="003B49E1" w:rsidRDefault="00F44703" w:rsidP="00864F1D">
      <w:pPr>
        <w:pStyle w:val="References"/>
      </w:pPr>
      <w:r w:rsidRPr="003B49E1">
        <w:t xml:space="preserve">Clark RG, Templeton R, </w:t>
      </w:r>
      <w:proofErr w:type="spellStart"/>
      <w:r w:rsidRPr="003B49E1">
        <w:t>McNicholas</w:t>
      </w:r>
      <w:proofErr w:type="spellEnd"/>
      <w:r w:rsidRPr="003B49E1">
        <w:t xml:space="preserve"> A. 2013. Developing the design of a continuous national health survey for New Zealand. </w:t>
      </w:r>
      <w:r w:rsidRPr="003B49E1">
        <w:rPr>
          <w:i/>
        </w:rPr>
        <w:t>Population Health Metrics</w:t>
      </w:r>
      <w:r w:rsidRPr="003B49E1">
        <w:t xml:space="preserve">, 11: 25. URL: </w:t>
      </w:r>
      <w:hyperlink r:id="rId40" w:history="1">
        <w:r w:rsidRPr="003B49E1">
          <w:rPr>
            <w:rStyle w:val="Hyperlink"/>
          </w:rPr>
          <w:t>www.pophealthmetrics.com/content/11/1/25</w:t>
        </w:r>
      </w:hyperlink>
      <w:r w:rsidRPr="003B49E1">
        <w:t xml:space="preserve"> </w:t>
      </w:r>
      <w:r>
        <w:t>(accessed 2 November 2016).</w:t>
      </w:r>
    </w:p>
    <w:p w:rsidR="00F44703" w:rsidRDefault="00F44703" w:rsidP="00864F1D">
      <w:pPr>
        <w:pStyle w:val="References"/>
      </w:pPr>
      <w:r>
        <w:t>Kish L. 1992. Weighting for unequal P</w:t>
      </w:r>
      <w:r w:rsidRPr="00737DA3">
        <w:rPr>
          <w:vertAlign w:val="subscript"/>
        </w:rPr>
        <w:t>i</w:t>
      </w:r>
      <w:r>
        <w:t xml:space="preserve">. </w:t>
      </w:r>
      <w:r w:rsidRPr="000A6D63">
        <w:rPr>
          <w:i/>
        </w:rPr>
        <w:t>Journal of Official Statistics</w:t>
      </w:r>
      <w:r>
        <w:t xml:space="preserve"> 8(2): 183–200.</w:t>
      </w:r>
    </w:p>
    <w:p w:rsidR="00F44703" w:rsidRDefault="00F44703" w:rsidP="00864F1D">
      <w:pPr>
        <w:pStyle w:val="References"/>
      </w:pPr>
      <w:proofErr w:type="spellStart"/>
      <w:r w:rsidRPr="00FE6B10">
        <w:t>Lohr</w:t>
      </w:r>
      <w:proofErr w:type="spellEnd"/>
      <w:r w:rsidRPr="00FE6B10">
        <w:t xml:space="preserve"> SL. 1999. </w:t>
      </w:r>
      <w:r w:rsidRPr="000A6D63">
        <w:rPr>
          <w:i/>
        </w:rPr>
        <w:t xml:space="preserve">Sampling: Design and </w:t>
      </w:r>
      <w:r>
        <w:rPr>
          <w:i/>
        </w:rPr>
        <w:t>A</w:t>
      </w:r>
      <w:r w:rsidRPr="000A6D63">
        <w:rPr>
          <w:i/>
        </w:rPr>
        <w:t>nalysis</w:t>
      </w:r>
      <w:r w:rsidRPr="00FE6B10">
        <w:t xml:space="preserve">. </w:t>
      </w:r>
      <w:r>
        <w:t xml:space="preserve">United States: </w:t>
      </w:r>
      <w:r w:rsidRPr="00FE6B10">
        <w:t>Duxbury Press.</w:t>
      </w:r>
    </w:p>
    <w:p w:rsidR="00F44703" w:rsidRDefault="00F44703" w:rsidP="00864F1D">
      <w:pPr>
        <w:pStyle w:val="References"/>
      </w:pPr>
      <w:r>
        <w:t xml:space="preserve">Ministry of Health. 2010. </w:t>
      </w:r>
      <w:r>
        <w:rPr>
          <w:i/>
        </w:rPr>
        <w:t xml:space="preserve">The New Zealand Health Survey: Objectives and topic areas August 2010. </w:t>
      </w:r>
      <w:r>
        <w:t xml:space="preserve">Wellington: Ministry of Health. URL: </w:t>
      </w:r>
      <w:hyperlink r:id="rId41" w:history="1">
        <w:r w:rsidRPr="00CF2CC4">
          <w:rPr>
            <w:rStyle w:val="Hyperlink"/>
          </w:rPr>
          <w:t>www.health.govt.nz/publication/new-zealand-health-survey-objectives-and-topic-areas-august-2010</w:t>
        </w:r>
      </w:hyperlink>
      <w:r>
        <w:t xml:space="preserve"> (accessed 2 November 2016).</w:t>
      </w:r>
    </w:p>
    <w:p w:rsidR="00F44703" w:rsidRDefault="00F44703" w:rsidP="00864F1D">
      <w:pPr>
        <w:pStyle w:val="References"/>
      </w:pPr>
      <w:r>
        <w:t xml:space="preserve">Ministry of Health. 2011. </w:t>
      </w:r>
      <w:r w:rsidRPr="001F461B">
        <w:rPr>
          <w:i/>
        </w:rPr>
        <w:t>The New Zealand Health Survey</w:t>
      </w:r>
      <w:r>
        <w:rPr>
          <w:i/>
        </w:rPr>
        <w:t>:</w:t>
      </w:r>
      <w:r w:rsidRPr="001F461B">
        <w:rPr>
          <w:i/>
        </w:rPr>
        <w:t xml:space="preserve"> Sample </w:t>
      </w:r>
      <w:r>
        <w:rPr>
          <w:i/>
        </w:rPr>
        <w:t>d</w:t>
      </w:r>
      <w:r w:rsidRPr="001F461B">
        <w:rPr>
          <w:i/>
        </w:rPr>
        <w:t xml:space="preserve">esign, </w:t>
      </w:r>
      <w:r>
        <w:rPr>
          <w:i/>
        </w:rPr>
        <w:t>y</w:t>
      </w:r>
      <w:r w:rsidRPr="001F461B">
        <w:rPr>
          <w:i/>
        </w:rPr>
        <w:t>ears 1–3</w:t>
      </w:r>
      <w:r w:rsidRPr="00122EE8">
        <w:rPr>
          <w:i/>
        </w:rPr>
        <w:t xml:space="preserve"> (2011–2013)</w:t>
      </w:r>
      <w:r>
        <w:t>. Wellington: Ministry of Health. URL:</w:t>
      </w:r>
      <w:hyperlink w:history="1">
        <w:r w:rsidRPr="00CF2CC4">
          <w:rPr>
            <w:rStyle w:val="Hyperlink"/>
          </w:rPr>
          <w:t xml:space="preserve"> www.health.govt.nz/publication/new-zealand-health-survey-sample-design-years-1-3-2011-2013</w:t>
        </w:r>
      </w:hyperlink>
      <w:r>
        <w:t xml:space="preserve"> (accessed 2 November 2016).</w:t>
      </w:r>
    </w:p>
    <w:p w:rsidR="00F44703" w:rsidRDefault="00F44703" w:rsidP="00864F1D">
      <w:pPr>
        <w:pStyle w:val="References"/>
      </w:pPr>
      <w:r>
        <w:t xml:space="preserve">Ministry of Health. 2015. </w:t>
      </w:r>
      <w:r w:rsidRPr="000E0343">
        <w:rPr>
          <w:i/>
        </w:rPr>
        <w:t>Annual Update of Key Results 2014/15: New Zealand Health Survey</w:t>
      </w:r>
      <w:r>
        <w:t>. Wellington: Ministry of Health.</w:t>
      </w:r>
      <w:r w:rsidR="00FC18E7">
        <w:t xml:space="preserve"> URL: </w:t>
      </w:r>
      <w:hyperlink r:id="rId42" w:history="1">
        <w:r w:rsidR="00FC18E7" w:rsidRPr="001820FE">
          <w:rPr>
            <w:rStyle w:val="Hyperlink"/>
          </w:rPr>
          <w:t>www.health.govt.nz/publication/annual-update-key-results-2014-15-new-zealand-health-survey</w:t>
        </w:r>
      </w:hyperlink>
      <w:r w:rsidR="00FC18E7">
        <w:t>.</w:t>
      </w:r>
    </w:p>
    <w:p w:rsidR="00F44703" w:rsidRDefault="00F44703" w:rsidP="00864F1D">
      <w:pPr>
        <w:pStyle w:val="References"/>
      </w:pPr>
      <w:r>
        <w:t xml:space="preserve">Ministry of Health. </w:t>
      </w:r>
      <w:r w:rsidR="00122EE8">
        <w:t>2016</w:t>
      </w:r>
      <w:r>
        <w:t xml:space="preserve">. </w:t>
      </w:r>
      <w:r w:rsidRPr="000E0343">
        <w:rPr>
          <w:i/>
        </w:rPr>
        <w:t>Content Guide 2015/16: New Zealand Health Survey</w:t>
      </w:r>
      <w:r>
        <w:t>. Wellington: Ministry of Health.</w:t>
      </w:r>
    </w:p>
    <w:p w:rsidR="00F44703" w:rsidRPr="001F461B" w:rsidRDefault="00F44703" w:rsidP="00864F1D">
      <w:pPr>
        <w:pStyle w:val="References"/>
      </w:pPr>
      <w:r>
        <w:t xml:space="preserve">Statistics New Zealand. 2007. </w:t>
      </w:r>
      <w:r w:rsidRPr="00122EE8">
        <w:rPr>
          <w:i/>
        </w:rPr>
        <w:t xml:space="preserve">Principles and </w:t>
      </w:r>
      <w:r w:rsidR="00311A4E">
        <w:rPr>
          <w:i/>
        </w:rPr>
        <w:t>P</w:t>
      </w:r>
      <w:r w:rsidRPr="00122EE8">
        <w:rPr>
          <w:i/>
        </w:rPr>
        <w:t xml:space="preserve">rotocols for </w:t>
      </w:r>
      <w:r w:rsidR="00311A4E">
        <w:rPr>
          <w:i/>
        </w:rPr>
        <w:t>P</w:t>
      </w:r>
      <w:r w:rsidRPr="00122EE8">
        <w:rPr>
          <w:i/>
        </w:rPr>
        <w:t xml:space="preserve">roducers of Tier 1 </w:t>
      </w:r>
      <w:r w:rsidR="00311A4E">
        <w:rPr>
          <w:i/>
        </w:rPr>
        <w:t>S</w:t>
      </w:r>
      <w:r w:rsidRPr="00122EE8">
        <w:rPr>
          <w:i/>
        </w:rPr>
        <w:t>tatistics</w:t>
      </w:r>
      <w:r>
        <w:t xml:space="preserve">. </w:t>
      </w:r>
      <w:r w:rsidR="00311A4E">
        <w:t xml:space="preserve">Wellington: Statistics New Zealand. </w:t>
      </w:r>
      <w:r>
        <w:t>URL</w:t>
      </w:r>
      <w:proofErr w:type="gramStart"/>
      <w:r>
        <w:t>:</w:t>
      </w:r>
      <w:proofErr w:type="gramEnd"/>
      <w:r w:rsidR="00311A4E">
        <w:br/>
      </w:r>
      <w:hyperlink r:id="rId43" w:history="1">
        <w:r w:rsidRPr="00CF2CC4">
          <w:rPr>
            <w:rStyle w:val="Hyperlink"/>
          </w:rPr>
          <w:t>www.statisphere.govt.nz/tier1-statistics/principles-protocols.aspx</w:t>
        </w:r>
      </w:hyperlink>
      <w:r>
        <w:t xml:space="preserve"> (accessed 2 November 2016).</w:t>
      </w:r>
    </w:p>
    <w:bookmarkEnd w:id="106"/>
    <w:p w:rsidR="00EF5AC8" w:rsidRPr="00EF5AC8" w:rsidRDefault="00EF5AC8" w:rsidP="00EF5AC8"/>
    <w:sectPr w:rsidR="00EF5AC8" w:rsidRPr="00EF5AC8" w:rsidSect="00864F1D">
      <w:pgSz w:w="11907" w:h="16834" w:code="9"/>
      <w:pgMar w:top="851" w:right="1134" w:bottom="1134" w:left="1134" w:header="284" w:footer="567"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C86" w:rsidRDefault="00F52C86">
      <w:pPr>
        <w:spacing w:line="240" w:lineRule="auto"/>
      </w:pPr>
      <w:r>
        <w:separator/>
      </w:r>
    </w:p>
    <w:p w:rsidR="00F52C86" w:rsidRDefault="00F52C86"/>
  </w:endnote>
  <w:endnote w:type="continuationSeparator" w:id="0">
    <w:p w:rsidR="00F52C86" w:rsidRDefault="00F52C86">
      <w:pPr>
        <w:spacing w:line="240" w:lineRule="auto"/>
      </w:pPr>
      <w:r>
        <w:continuationSeparator/>
      </w:r>
    </w:p>
    <w:p w:rsidR="00F52C86" w:rsidRDefault="00F52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MingLiU">
    <w:altName w:val="細明體"/>
    <w:panose1 w:val="02020509000000000000"/>
    <w:charset w:val="88"/>
    <w:family w:val="modern"/>
    <w:notTrueType/>
    <w:pitch w:val="fixed"/>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D5E" w:rsidRDefault="00285D5E" w:rsidP="009567A8">
    <w:pPr>
      <w:spacing w:after="360"/>
    </w:pPr>
    <w:r>
      <w:rPr>
        <w:noProof/>
        <w:lang w:eastAsia="en-NZ"/>
      </w:rPr>
      <w:drawing>
        <wp:inline distT="0" distB="0" distL="0" distR="0" wp14:anchorId="605665F1" wp14:editId="6D91AF35">
          <wp:extent cx="5400040" cy="1414780"/>
          <wp:effectExtent l="0" t="0" r="0"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414780"/>
                  </a:xfrm>
                  <a:prstGeom prst="rect">
                    <a:avLst/>
                  </a:prstGeom>
                  <a:noFill/>
                  <a:ln>
                    <a:noFill/>
                  </a:ln>
                </pic:spPr>
              </pic:pic>
            </a:graphicData>
          </a:graphic>
        </wp:inline>
      </w:drawing>
    </w:r>
  </w:p>
  <w:p w:rsidR="00285D5E" w:rsidRPr="00581136" w:rsidRDefault="00285D5E"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D5E" w:rsidRDefault="00285D5E"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D5E" w:rsidRDefault="00285D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D5E" w:rsidRPr="00FC18E7" w:rsidRDefault="00FC18E7" w:rsidP="00FC18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750780">
      <w:rPr>
        <w:rStyle w:val="PageNumber"/>
        <w:noProof/>
      </w:rPr>
      <w:t>iv</w:t>
    </w:r>
    <w:r w:rsidRPr="00FC46E7">
      <w:rPr>
        <w:rStyle w:val="PageNumber"/>
      </w:rPr>
      <w:fldChar w:fldCharType="end"/>
    </w:r>
    <w:r>
      <w:tab/>
      <w:t>Sample Design from 2015/16: New Zealand Health Survey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D5E" w:rsidRDefault="00285D5E" w:rsidP="003B49E1">
    <w:pPr>
      <w:pStyle w:val="RectoFooter"/>
    </w:pPr>
    <w:r>
      <w:tab/>
      <w:t>Sample Design from 2015/16: New Zealand Health Survey</w:t>
    </w:r>
    <w:r>
      <w:tab/>
    </w:r>
    <w:r>
      <w:rPr>
        <w:rStyle w:val="PageNumber"/>
      </w:rPr>
      <w:fldChar w:fldCharType="begin"/>
    </w:r>
    <w:r>
      <w:rPr>
        <w:rStyle w:val="PageNumber"/>
      </w:rPr>
      <w:instrText xml:space="preserve"> PAGE </w:instrText>
    </w:r>
    <w:r>
      <w:rPr>
        <w:rStyle w:val="PageNumber"/>
      </w:rPr>
      <w:fldChar w:fldCharType="separate"/>
    </w:r>
    <w:r w:rsidR="00FA14BF">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D5E" w:rsidRPr="00275D08" w:rsidRDefault="00285D5E"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FA14BF">
      <w:rPr>
        <w:rStyle w:val="PageNumber"/>
        <w:noProof/>
      </w:rPr>
      <w:t>16</w:t>
    </w:r>
    <w:r w:rsidRPr="00FC46E7">
      <w:rPr>
        <w:rStyle w:val="PageNumber"/>
      </w:rPr>
      <w:fldChar w:fldCharType="end"/>
    </w:r>
    <w:r>
      <w:tab/>
      <w:t>Sample Design from 2015/16: New Zealand Health Survey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D5E" w:rsidRDefault="00285D5E" w:rsidP="009E3C8C">
    <w:pPr>
      <w:pStyle w:val="RectoFooter"/>
    </w:pPr>
    <w:r>
      <w:tab/>
      <w:t>Sample Design from 2015/16: New Zealand Health Survey</w:t>
    </w:r>
    <w:r>
      <w:tab/>
    </w:r>
    <w:r>
      <w:rPr>
        <w:rStyle w:val="PageNumber"/>
      </w:rPr>
      <w:fldChar w:fldCharType="begin"/>
    </w:r>
    <w:r>
      <w:rPr>
        <w:rStyle w:val="PageNumber"/>
      </w:rPr>
      <w:instrText xml:space="preserve"> PAGE </w:instrText>
    </w:r>
    <w:r>
      <w:rPr>
        <w:rStyle w:val="PageNumber"/>
      </w:rPr>
      <w:fldChar w:fldCharType="separate"/>
    </w:r>
    <w:r w:rsidR="00FA14BF">
      <w:rPr>
        <w:rStyle w:val="PageNumber"/>
        <w:noProof/>
      </w:rPr>
      <w:t>15</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D5E" w:rsidRDefault="00285D5E" w:rsidP="00864F1D">
    <w:pPr>
      <w:pStyle w:val="RectoFooter"/>
      <w:tabs>
        <w:tab w:val="clear" w:pos="8647"/>
        <w:tab w:val="clear" w:pos="9356"/>
        <w:tab w:val="right" w:pos="13750"/>
        <w:tab w:val="right" w:pos="14601"/>
      </w:tabs>
    </w:pPr>
    <w:r>
      <w:tab/>
      <w:t>Sample Design from 2015/16: New Zealand Health Survey</w:t>
    </w:r>
    <w:r>
      <w:tab/>
    </w:r>
    <w:r>
      <w:rPr>
        <w:rStyle w:val="PageNumber"/>
      </w:rPr>
      <w:fldChar w:fldCharType="begin"/>
    </w:r>
    <w:r>
      <w:rPr>
        <w:rStyle w:val="PageNumber"/>
      </w:rPr>
      <w:instrText xml:space="preserve"> PAGE </w:instrText>
    </w:r>
    <w:r>
      <w:rPr>
        <w:rStyle w:val="PageNumber"/>
      </w:rPr>
      <w:fldChar w:fldCharType="separate"/>
    </w:r>
    <w:r w:rsidR="00FA14BF">
      <w:rPr>
        <w:rStyle w:val="PageNumber"/>
        <w:noProof/>
      </w:rPr>
      <w:t>17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C86" w:rsidRPr="00A26E6B" w:rsidRDefault="00F52C86" w:rsidP="00A26E6B"/>
  </w:footnote>
  <w:footnote w:type="continuationSeparator" w:id="0">
    <w:p w:rsidR="00F52C86" w:rsidRDefault="00F52C86">
      <w:pPr>
        <w:spacing w:line="240" w:lineRule="auto"/>
      </w:pPr>
      <w:r>
        <w:continuationSeparator/>
      </w:r>
    </w:p>
    <w:p w:rsidR="00F52C86" w:rsidRDefault="00F52C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D5E" w:rsidRDefault="00285D5E" w:rsidP="009216CC">
    <w:pPr>
      <w:pStyle w:val="Header"/>
      <w:ind w:left="-1559"/>
    </w:pPr>
    <w:r>
      <w:rPr>
        <w:noProof/>
        <w:lang w:eastAsia="en-NZ"/>
      </w:rPr>
      <w:drawing>
        <wp:inline distT="0" distB="0" distL="0" distR="0" wp14:anchorId="2018872F" wp14:editId="6806DAA2">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D5E" w:rsidRDefault="00285D5E" w:rsidP="009216CC">
    <w:pPr>
      <w:pStyle w:val="Header"/>
      <w:ind w:left="-155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D5E" w:rsidRDefault="00285D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E4634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B9382698"/>
    <w:lvl w:ilvl="0">
      <w:numFmt w:val="bullet"/>
      <w:lvlText w:val="*"/>
      <w:lvlJc w:val="left"/>
    </w:lvl>
  </w:abstractNum>
  <w:abstractNum w:abstractNumId="3">
    <w:nsid w:val="00BC4FD5"/>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4">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5">
    <w:nsid w:val="05D736A7"/>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6">
    <w:nsid w:val="084C75E3"/>
    <w:multiLevelType w:val="hybridMultilevel"/>
    <w:tmpl w:val="EDD807A6"/>
    <w:lvl w:ilvl="0" w:tplc="74BCDAE6">
      <w:start w:val="1"/>
      <w:numFmt w:val="bullet"/>
      <w:lvlText w:val=""/>
      <w:lvlJc w:val="left"/>
      <w:pPr>
        <w:ind w:left="360" w:hanging="360"/>
      </w:pPr>
      <w:rPr>
        <w:rFonts w:ascii="Symbol" w:hAnsi="Symbol" w:hint="default"/>
      </w:rPr>
    </w:lvl>
    <w:lvl w:ilvl="1" w:tplc="E2EC2E8C">
      <w:start w:val="1"/>
      <w:numFmt w:val="bullet"/>
      <w:lvlText w:val="–"/>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0EA27D84"/>
    <w:multiLevelType w:val="hybridMultilevel"/>
    <w:tmpl w:val="A3E61750"/>
    <w:lvl w:ilvl="0" w:tplc="7982F084">
      <w:start w:val="1"/>
      <w:numFmt w:val="decimal"/>
      <w:lvlText w:val="%1"/>
      <w:lvlJc w:val="left"/>
      <w:pPr>
        <w:ind w:left="450" w:hanging="45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nsid w:val="0F294784"/>
    <w:multiLevelType w:val="hybridMultilevel"/>
    <w:tmpl w:val="376EF5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12E808BC"/>
    <w:multiLevelType w:val="hybridMultilevel"/>
    <w:tmpl w:val="83D2889E"/>
    <w:lvl w:ilvl="0" w:tplc="0409000F">
      <w:start w:val="1"/>
      <w:numFmt w:val="decimal"/>
      <w:lvlText w:val="%1."/>
      <w:lvlJc w:val="left"/>
      <w:pPr>
        <w:tabs>
          <w:tab w:val="num" w:pos="2880"/>
        </w:tabs>
        <w:ind w:left="2880" w:hanging="360"/>
      </w:pPr>
      <w:rPr>
        <w:rFonts w:cs="Times New Roman"/>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11">
    <w:nsid w:val="13D45F77"/>
    <w:multiLevelType w:val="hybridMultilevel"/>
    <w:tmpl w:val="F646897A"/>
    <w:lvl w:ilvl="0" w:tplc="EA4E644C">
      <w:start w:val="1"/>
      <w:numFmt w:val="decimal"/>
      <w:lvlText w:val="%1"/>
      <w:lvlJc w:val="left"/>
      <w:pPr>
        <w:tabs>
          <w:tab w:val="num" w:pos="1080"/>
        </w:tabs>
        <w:ind w:left="1080" w:hanging="360"/>
      </w:pPr>
      <w:rPr>
        <w:rFonts w:ascii="Arial" w:eastAsia="Times New Roman" w:hAnsi="Arial" w:cs="Arial"/>
      </w:rPr>
    </w:lvl>
    <w:lvl w:ilvl="1" w:tplc="ED963D72">
      <w:start w:val="98"/>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84714D6"/>
    <w:multiLevelType w:val="hybridMultilevel"/>
    <w:tmpl w:val="F2B01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nsid w:val="1DB73618"/>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15">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7FF293E"/>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17">
    <w:nsid w:val="2E790819"/>
    <w:multiLevelType w:val="hybridMultilevel"/>
    <w:tmpl w:val="C598D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B85F1A"/>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19">
    <w:nsid w:val="38F7081F"/>
    <w:multiLevelType w:val="hybridMultilevel"/>
    <w:tmpl w:val="0B34185C"/>
    <w:lvl w:ilvl="0" w:tplc="2632B5AC">
      <w:start w:val="1"/>
      <w:numFmt w:val="decimal"/>
      <w:lvlText w:val="%1"/>
      <w:lvlJc w:val="left"/>
      <w:pPr>
        <w:ind w:left="1134" w:hanging="450"/>
      </w:pPr>
      <w:rPr>
        <w:rFonts w:hint="default"/>
      </w:rPr>
    </w:lvl>
    <w:lvl w:ilvl="1" w:tplc="14090019" w:tentative="1">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20">
    <w:nsid w:val="391B0196"/>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2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nsid w:val="45B166AC"/>
    <w:multiLevelType w:val="hybridMultilevel"/>
    <w:tmpl w:val="33D0F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6660F4"/>
    <w:multiLevelType w:val="hybridMultilevel"/>
    <w:tmpl w:val="73D8B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B925DFD"/>
    <w:multiLevelType w:val="hybridMultilevel"/>
    <w:tmpl w:val="1C3A5EF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4C201BD6"/>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28">
    <w:nsid w:val="505E7EA5"/>
    <w:multiLevelType w:val="hybridMultilevel"/>
    <w:tmpl w:val="B532E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172455B"/>
    <w:multiLevelType w:val="hybridMultilevel"/>
    <w:tmpl w:val="0E80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nsid w:val="59E1490D"/>
    <w:multiLevelType w:val="hybridMultilevel"/>
    <w:tmpl w:val="B074D5DA"/>
    <w:lvl w:ilvl="0" w:tplc="9716B16A">
      <w:start w:val="1"/>
      <w:numFmt w:val="decimal"/>
      <w:lvlText w:val="%1"/>
      <w:lvlJc w:val="left"/>
      <w:pPr>
        <w:ind w:left="537" w:hanging="360"/>
      </w:pPr>
      <w:rPr>
        <w:rFonts w:hint="default"/>
      </w:rPr>
    </w:lvl>
    <w:lvl w:ilvl="1" w:tplc="14090019" w:tentative="1">
      <w:start w:val="1"/>
      <w:numFmt w:val="lowerLetter"/>
      <w:lvlText w:val="%2."/>
      <w:lvlJc w:val="left"/>
      <w:pPr>
        <w:ind w:left="1257" w:hanging="360"/>
      </w:pPr>
    </w:lvl>
    <w:lvl w:ilvl="2" w:tplc="1409001B" w:tentative="1">
      <w:start w:val="1"/>
      <w:numFmt w:val="lowerRoman"/>
      <w:lvlText w:val="%3."/>
      <w:lvlJc w:val="right"/>
      <w:pPr>
        <w:ind w:left="1977" w:hanging="180"/>
      </w:pPr>
    </w:lvl>
    <w:lvl w:ilvl="3" w:tplc="1409000F" w:tentative="1">
      <w:start w:val="1"/>
      <w:numFmt w:val="decimal"/>
      <w:lvlText w:val="%4."/>
      <w:lvlJc w:val="left"/>
      <w:pPr>
        <w:ind w:left="2697" w:hanging="360"/>
      </w:pPr>
    </w:lvl>
    <w:lvl w:ilvl="4" w:tplc="14090019" w:tentative="1">
      <w:start w:val="1"/>
      <w:numFmt w:val="lowerLetter"/>
      <w:lvlText w:val="%5."/>
      <w:lvlJc w:val="left"/>
      <w:pPr>
        <w:ind w:left="3417" w:hanging="360"/>
      </w:pPr>
    </w:lvl>
    <w:lvl w:ilvl="5" w:tplc="1409001B" w:tentative="1">
      <w:start w:val="1"/>
      <w:numFmt w:val="lowerRoman"/>
      <w:lvlText w:val="%6."/>
      <w:lvlJc w:val="right"/>
      <w:pPr>
        <w:ind w:left="4137" w:hanging="180"/>
      </w:pPr>
    </w:lvl>
    <w:lvl w:ilvl="6" w:tplc="1409000F" w:tentative="1">
      <w:start w:val="1"/>
      <w:numFmt w:val="decimal"/>
      <w:lvlText w:val="%7."/>
      <w:lvlJc w:val="left"/>
      <w:pPr>
        <w:ind w:left="4857" w:hanging="360"/>
      </w:pPr>
    </w:lvl>
    <w:lvl w:ilvl="7" w:tplc="14090019" w:tentative="1">
      <w:start w:val="1"/>
      <w:numFmt w:val="lowerLetter"/>
      <w:lvlText w:val="%8."/>
      <w:lvlJc w:val="left"/>
      <w:pPr>
        <w:ind w:left="5577" w:hanging="360"/>
      </w:pPr>
    </w:lvl>
    <w:lvl w:ilvl="8" w:tplc="1409001B" w:tentative="1">
      <w:start w:val="1"/>
      <w:numFmt w:val="lowerRoman"/>
      <w:lvlText w:val="%9."/>
      <w:lvlJc w:val="right"/>
      <w:pPr>
        <w:ind w:left="6297" w:hanging="180"/>
      </w:pPr>
    </w:lvl>
  </w:abstractNum>
  <w:abstractNum w:abstractNumId="32">
    <w:nsid w:val="5C770D4C"/>
    <w:multiLevelType w:val="hybridMultilevel"/>
    <w:tmpl w:val="88D6F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E662A74"/>
    <w:multiLevelType w:val="hybridMultilevel"/>
    <w:tmpl w:val="E28E15A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2731C4"/>
    <w:multiLevelType w:val="hybridMultilevel"/>
    <w:tmpl w:val="D45C74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62896CC4"/>
    <w:multiLevelType w:val="hybridMultilevel"/>
    <w:tmpl w:val="71646E6A"/>
    <w:lvl w:ilvl="0" w:tplc="B678C490">
      <w:start w:val="2"/>
      <w:numFmt w:val="bullet"/>
      <w:lvlText w:val=""/>
      <w:lvlJc w:val="left"/>
      <w:pPr>
        <w:ind w:left="720" w:hanging="360"/>
      </w:pPr>
      <w:rPr>
        <w:rFonts w:ascii="Wingdings" w:eastAsia="MingLiU" w:hAnsi="Wingding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44F6498"/>
    <w:multiLevelType w:val="hybridMultilevel"/>
    <w:tmpl w:val="B4CEC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6201DE6"/>
    <w:multiLevelType w:val="hybridMultilevel"/>
    <w:tmpl w:val="6C30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8F35B7"/>
    <w:multiLevelType w:val="hybridMultilevel"/>
    <w:tmpl w:val="EF1481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0">
    <w:nsid w:val="6E4A592D"/>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41">
    <w:nsid w:val="6EA86BB3"/>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42">
    <w:nsid w:val="6FAC7979"/>
    <w:multiLevelType w:val="hybridMultilevel"/>
    <w:tmpl w:val="C4B87F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700D626D"/>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44">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45">
    <w:nsid w:val="74192B22"/>
    <w:multiLevelType w:val="hybridMultilevel"/>
    <w:tmpl w:val="C6ECE20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082C3F"/>
    <w:multiLevelType w:val="hybridMultilevel"/>
    <w:tmpl w:val="2C9007FE"/>
    <w:lvl w:ilvl="0" w:tplc="1194C578">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48">
    <w:nsid w:val="7DAD280D"/>
    <w:multiLevelType w:val="hybridMultilevel"/>
    <w:tmpl w:val="4D08A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39"/>
  </w:num>
  <w:num w:numId="3">
    <w:abstractNumId w:val="21"/>
  </w:num>
  <w:num w:numId="4">
    <w:abstractNumId w:val="22"/>
  </w:num>
  <w:num w:numId="5">
    <w:abstractNumId w:val="4"/>
  </w:num>
  <w:num w:numId="6">
    <w:abstractNumId w:val="30"/>
  </w:num>
  <w:num w:numId="7">
    <w:abstractNumId w:val="13"/>
  </w:num>
  <w:num w:numId="8">
    <w:abstractNumId w:val="44"/>
  </w:num>
  <w:num w:numId="9">
    <w:abstractNumId w:val="9"/>
  </w:num>
  <w:num w:numId="10">
    <w:abstractNumId w:val="15"/>
  </w:num>
  <w:num w:numId="11">
    <w:abstractNumId w:val="23"/>
  </w:num>
  <w:num w:numId="12">
    <w:abstractNumId w:val="1"/>
  </w:num>
  <w:num w:numId="13">
    <w:abstractNumId w:val="42"/>
  </w:num>
  <w:num w:numId="14">
    <w:abstractNumId w:val="6"/>
  </w:num>
  <w:num w:numId="15">
    <w:abstractNumId w:val="12"/>
  </w:num>
  <w:num w:numId="16">
    <w:abstractNumId w:val="10"/>
  </w:num>
  <w:num w:numId="17">
    <w:abstractNumId w:val="34"/>
  </w:num>
  <w:num w:numId="18">
    <w:abstractNumId w:val="35"/>
  </w:num>
  <w:num w:numId="19">
    <w:abstractNumId w:val="2"/>
    <w:lvlOverride w:ilvl="0">
      <w:lvl w:ilvl="0">
        <w:numFmt w:val="bullet"/>
        <w:lvlText w:val=""/>
        <w:legacy w:legacy="1" w:legacySpace="0" w:legacyIndent="0"/>
        <w:lvlJc w:val="left"/>
        <w:rPr>
          <w:rFonts w:ascii="Symbol" w:hAnsi="Symbol" w:hint="default"/>
          <w:sz w:val="22"/>
        </w:rPr>
      </w:lvl>
    </w:lvlOverride>
  </w:num>
  <w:num w:numId="20">
    <w:abstractNumId w:val="25"/>
  </w:num>
  <w:num w:numId="21">
    <w:abstractNumId w:val="41"/>
  </w:num>
  <w:num w:numId="22">
    <w:abstractNumId w:val="31"/>
  </w:num>
  <w:num w:numId="23">
    <w:abstractNumId w:val="27"/>
  </w:num>
  <w:num w:numId="24">
    <w:abstractNumId w:val="7"/>
  </w:num>
  <w:num w:numId="25">
    <w:abstractNumId w:val="11"/>
  </w:num>
  <w:num w:numId="26">
    <w:abstractNumId w:val="8"/>
  </w:num>
  <w:num w:numId="27">
    <w:abstractNumId w:val="26"/>
  </w:num>
  <w:num w:numId="28">
    <w:abstractNumId w:val="19"/>
  </w:num>
  <w:num w:numId="29">
    <w:abstractNumId w:val="14"/>
  </w:num>
  <w:num w:numId="30">
    <w:abstractNumId w:val="18"/>
  </w:num>
  <w:num w:numId="31">
    <w:abstractNumId w:val="3"/>
  </w:num>
  <w:num w:numId="32">
    <w:abstractNumId w:val="16"/>
  </w:num>
  <w:num w:numId="33">
    <w:abstractNumId w:val="20"/>
  </w:num>
  <w:num w:numId="34">
    <w:abstractNumId w:val="43"/>
  </w:num>
  <w:num w:numId="35">
    <w:abstractNumId w:val="40"/>
  </w:num>
  <w:num w:numId="36">
    <w:abstractNumId w:val="5"/>
  </w:num>
  <w:num w:numId="37">
    <w:abstractNumId w:val="32"/>
  </w:num>
  <w:num w:numId="38">
    <w:abstractNumId w:val="38"/>
  </w:num>
  <w:num w:numId="39">
    <w:abstractNumId w:val="28"/>
  </w:num>
  <w:num w:numId="40">
    <w:abstractNumId w:val="46"/>
  </w:num>
  <w:num w:numId="41">
    <w:abstractNumId w:val="36"/>
  </w:num>
  <w:num w:numId="42">
    <w:abstractNumId w:val="37"/>
  </w:num>
  <w:num w:numId="43">
    <w:abstractNumId w:val="29"/>
  </w:num>
  <w:num w:numId="44">
    <w:abstractNumId w:val="33"/>
  </w:num>
  <w:num w:numId="45">
    <w:abstractNumId w:val="48"/>
  </w:num>
  <w:num w:numId="46">
    <w:abstractNumId w:val="24"/>
  </w:num>
  <w:num w:numId="47">
    <w:abstractNumId w:val="45"/>
  </w:num>
  <w:num w:numId="48">
    <w:abstractNumId w:val="17"/>
  </w:num>
  <w:num w:numId="4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3291"/>
    <w:rsid w:val="00016F90"/>
    <w:rsid w:val="00030B26"/>
    <w:rsid w:val="00032C0A"/>
    <w:rsid w:val="00035257"/>
    <w:rsid w:val="0006228D"/>
    <w:rsid w:val="00072BD6"/>
    <w:rsid w:val="00075B78"/>
    <w:rsid w:val="00082CD6"/>
    <w:rsid w:val="00085AFE"/>
    <w:rsid w:val="000A7C35"/>
    <w:rsid w:val="000B0730"/>
    <w:rsid w:val="000C2578"/>
    <w:rsid w:val="000F2AE2"/>
    <w:rsid w:val="000F6953"/>
    <w:rsid w:val="00102063"/>
    <w:rsid w:val="0010541C"/>
    <w:rsid w:val="00106F93"/>
    <w:rsid w:val="00111D50"/>
    <w:rsid w:val="00113B8E"/>
    <w:rsid w:val="00122EE8"/>
    <w:rsid w:val="001342C7"/>
    <w:rsid w:val="0013585C"/>
    <w:rsid w:val="00142954"/>
    <w:rsid w:val="001460E0"/>
    <w:rsid w:val="00147F71"/>
    <w:rsid w:val="00150A6E"/>
    <w:rsid w:val="001539E3"/>
    <w:rsid w:val="0016468A"/>
    <w:rsid w:val="00195766"/>
    <w:rsid w:val="001A21B4"/>
    <w:rsid w:val="001A5CF5"/>
    <w:rsid w:val="001B39D2"/>
    <w:rsid w:val="001B4BF8"/>
    <w:rsid w:val="001C4326"/>
    <w:rsid w:val="001D3541"/>
    <w:rsid w:val="001F45A7"/>
    <w:rsid w:val="00201A01"/>
    <w:rsid w:val="002104D3"/>
    <w:rsid w:val="00213A33"/>
    <w:rsid w:val="0021763B"/>
    <w:rsid w:val="00246DB1"/>
    <w:rsid w:val="002476B5"/>
    <w:rsid w:val="00253ECF"/>
    <w:rsid w:val="002546A1"/>
    <w:rsid w:val="00275D08"/>
    <w:rsid w:val="002858E3"/>
    <w:rsid w:val="00285D5E"/>
    <w:rsid w:val="0029190A"/>
    <w:rsid w:val="00292C5A"/>
    <w:rsid w:val="00295241"/>
    <w:rsid w:val="002A4DFC"/>
    <w:rsid w:val="002B047D"/>
    <w:rsid w:val="002B732B"/>
    <w:rsid w:val="002C2219"/>
    <w:rsid w:val="002D0DF2"/>
    <w:rsid w:val="002D23BD"/>
    <w:rsid w:val="002E0B47"/>
    <w:rsid w:val="002E69DB"/>
    <w:rsid w:val="002F7213"/>
    <w:rsid w:val="0030382F"/>
    <w:rsid w:val="0030408D"/>
    <w:rsid w:val="003060E4"/>
    <w:rsid w:val="00311A4E"/>
    <w:rsid w:val="003160E7"/>
    <w:rsid w:val="0031739E"/>
    <w:rsid w:val="003319F7"/>
    <w:rsid w:val="003325AB"/>
    <w:rsid w:val="003332D1"/>
    <w:rsid w:val="0033412B"/>
    <w:rsid w:val="00343365"/>
    <w:rsid w:val="00353501"/>
    <w:rsid w:val="003606F8"/>
    <w:rsid w:val="003648EF"/>
    <w:rsid w:val="003673E6"/>
    <w:rsid w:val="00377264"/>
    <w:rsid w:val="003A26A5"/>
    <w:rsid w:val="003A3761"/>
    <w:rsid w:val="003A5FEA"/>
    <w:rsid w:val="003B1D10"/>
    <w:rsid w:val="003B49E1"/>
    <w:rsid w:val="003C76D4"/>
    <w:rsid w:val="003D2CC5"/>
    <w:rsid w:val="003E7C46"/>
    <w:rsid w:val="003F26E4"/>
    <w:rsid w:val="003F52A7"/>
    <w:rsid w:val="0040240C"/>
    <w:rsid w:val="004025DE"/>
    <w:rsid w:val="00402831"/>
    <w:rsid w:val="00413021"/>
    <w:rsid w:val="00440BE0"/>
    <w:rsid w:val="00442C1C"/>
    <w:rsid w:val="0044584B"/>
    <w:rsid w:val="00447CB7"/>
    <w:rsid w:val="00455CC9"/>
    <w:rsid w:val="00460826"/>
    <w:rsid w:val="00460EA7"/>
    <w:rsid w:val="0046195B"/>
    <w:rsid w:val="0046596D"/>
    <w:rsid w:val="00472E39"/>
    <w:rsid w:val="0048336D"/>
    <w:rsid w:val="00487C04"/>
    <w:rsid w:val="004907E1"/>
    <w:rsid w:val="004A035B"/>
    <w:rsid w:val="004A38D7"/>
    <w:rsid w:val="004A5D40"/>
    <w:rsid w:val="004A778C"/>
    <w:rsid w:val="004C2E6A"/>
    <w:rsid w:val="004C64B8"/>
    <w:rsid w:val="004D2A2D"/>
    <w:rsid w:val="004D5365"/>
    <w:rsid w:val="004D6689"/>
    <w:rsid w:val="004E1D1D"/>
    <w:rsid w:val="004E7AC8"/>
    <w:rsid w:val="004F0C94"/>
    <w:rsid w:val="005019AE"/>
    <w:rsid w:val="00503749"/>
    <w:rsid w:val="00504CF4"/>
    <w:rsid w:val="0050635B"/>
    <w:rsid w:val="0051040E"/>
    <w:rsid w:val="005151C2"/>
    <w:rsid w:val="0053199F"/>
    <w:rsid w:val="00533B90"/>
    <w:rsid w:val="005410F8"/>
    <w:rsid w:val="005448EC"/>
    <w:rsid w:val="00545963"/>
    <w:rsid w:val="00550256"/>
    <w:rsid w:val="00553958"/>
    <w:rsid w:val="0055763D"/>
    <w:rsid w:val="005621F2"/>
    <w:rsid w:val="00567B58"/>
    <w:rsid w:val="005763E0"/>
    <w:rsid w:val="0058027F"/>
    <w:rsid w:val="00581136"/>
    <w:rsid w:val="005A27CA"/>
    <w:rsid w:val="005A43BD"/>
    <w:rsid w:val="005C3F15"/>
    <w:rsid w:val="005D16CE"/>
    <w:rsid w:val="005E226E"/>
    <w:rsid w:val="005E2636"/>
    <w:rsid w:val="006015D7"/>
    <w:rsid w:val="00601B21"/>
    <w:rsid w:val="006041F0"/>
    <w:rsid w:val="00626CF8"/>
    <w:rsid w:val="00634ED8"/>
    <w:rsid w:val="00636D7D"/>
    <w:rsid w:val="00637408"/>
    <w:rsid w:val="00642868"/>
    <w:rsid w:val="00647AFE"/>
    <w:rsid w:val="006512BC"/>
    <w:rsid w:val="00653A5A"/>
    <w:rsid w:val="006575F4"/>
    <w:rsid w:val="006579E6"/>
    <w:rsid w:val="00663EDC"/>
    <w:rsid w:val="00667C96"/>
    <w:rsid w:val="0067080F"/>
    <w:rsid w:val="00671078"/>
    <w:rsid w:val="00672DBE"/>
    <w:rsid w:val="006758CA"/>
    <w:rsid w:val="00680A04"/>
    <w:rsid w:val="00686D80"/>
    <w:rsid w:val="0069226D"/>
    <w:rsid w:val="00694895"/>
    <w:rsid w:val="00697E2E"/>
    <w:rsid w:val="006A25A2"/>
    <w:rsid w:val="006B0E73"/>
    <w:rsid w:val="006B16BA"/>
    <w:rsid w:val="006B20E8"/>
    <w:rsid w:val="006B4A4D"/>
    <w:rsid w:val="006B5695"/>
    <w:rsid w:val="006C3970"/>
    <w:rsid w:val="006C698E"/>
    <w:rsid w:val="006C78EB"/>
    <w:rsid w:val="006D1660"/>
    <w:rsid w:val="006E1FC2"/>
    <w:rsid w:val="006F1B67"/>
    <w:rsid w:val="0070091D"/>
    <w:rsid w:val="007013D0"/>
    <w:rsid w:val="00702854"/>
    <w:rsid w:val="0071741C"/>
    <w:rsid w:val="00742B90"/>
    <w:rsid w:val="0074434D"/>
    <w:rsid w:val="00750780"/>
    <w:rsid w:val="00771B1E"/>
    <w:rsid w:val="00773C95"/>
    <w:rsid w:val="0078171E"/>
    <w:rsid w:val="00795B34"/>
    <w:rsid w:val="007B1770"/>
    <w:rsid w:val="007B4D3E"/>
    <w:rsid w:val="007B7C70"/>
    <w:rsid w:val="007D2151"/>
    <w:rsid w:val="007D42CC"/>
    <w:rsid w:val="007D5DE4"/>
    <w:rsid w:val="007E0777"/>
    <w:rsid w:val="007E1341"/>
    <w:rsid w:val="007E1B41"/>
    <w:rsid w:val="007E30B9"/>
    <w:rsid w:val="007E74F1"/>
    <w:rsid w:val="007F0F0C"/>
    <w:rsid w:val="007F1288"/>
    <w:rsid w:val="00800A8A"/>
    <w:rsid w:val="0080155C"/>
    <w:rsid w:val="00801ACA"/>
    <w:rsid w:val="008052E1"/>
    <w:rsid w:val="00822F2C"/>
    <w:rsid w:val="008305E8"/>
    <w:rsid w:val="00860826"/>
    <w:rsid w:val="00860E21"/>
    <w:rsid w:val="00863117"/>
    <w:rsid w:val="0086388B"/>
    <w:rsid w:val="008642E5"/>
    <w:rsid w:val="00864F1D"/>
    <w:rsid w:val="00872D93"/>
    <w:rsid w:val="00880470"/>
    <w:rsid w:val="00880D94"/>
    <w:rsid w:val="008924DE"/>
    <w:rsid w:val="00897B78"/>
    <w:rsid w:val="008A3755"/>
    <w:rsid w:val="008B0164"/>
    <w:rsid w:val="008B07B9"/>
    <w:rsid w:val="008B264F"/>
    <w:rsid w:val="008B6F83"/>
    <w:rsid w:val="008B7FD8"/>
    <w:rsid w:val="008C2973"/>
    <w:rsid w:val="008C6324"/>
    <w:rsid w:val="008C64C4"/>
    <w:rsid w:val="008D74D5"/>
    <w:rsid w:val="008D7D15"/>
    <w:rsid w:val="008F29BE"/>
    <w:rsid w:val="008F4AE5"/>
    <w:rsid w:val="008F51EB"/>
    <w:rsid w:val="00900197"/>
    <w:rsid w:val="00902F55"/>
    <w:rsid w:val="009047FD"/>
    <w:rsid w:val="0090582B"/>
    <w:rsid w:val="009060C0"/>
    <w:rsid w:val="009133F5"/>
    <w:rsid w:val="00920A27"/>
    <w:rsid w:val="00921216"/>
    <w:rsid w:val="009216CC"/>
    <w:rsid w:val="00930D08"/>
    <w:rsid w:val="00932D69"/>
    <w:rsid w:val="00944647"/>
    <w:rsid w:val="009567A8"/>
    <w:rsid w:val="00971EB3"/>
    <w:rsid w:val="00977B8A"/>
    <w:rsid w:val="00981544"/>
    <w:rsid w:val="00982971"/>
    <w:rsid w:val="009845AD"/>
    <w:rsid w:val="00995BA0"/>
    <w:rsid w:val="009A418B"/>
    <w:rsid w:val="009A4473"/>
    <w:rsid w:val="009B3ECA"/>
    <w:rsid w:val="009C151C"/>
    <w:rsid w:val="009D5125"/>
    <w:rsid w:val="009D60B8"/>
    <w:rsid w:val="009D7036"/>
    <w:rsid w:val="009D7D4B"/>
    <w:rsid w:val="009E36ED"/>
    <w:rsid w:val="009E3C8C"/>
    <w:rsid w:val="009E6B77"/>
    <w:rsid w:val="009F460A"/>
    <w:rsid w:val="00A043FB"/>
    <w:rsid w:val="00A0729C"/>
    <w:rsid w:val="00A07779"/>
    <w:rsid w:val="00A20B2E"/>
    <w:rsid w:val="00A25069"/>
    <w:rsid w:val="00A26E6B"/>
    <w:rsid w:val="00A3068F"/>
    <w:rsid w:val="00A3145B"/>
    <w:rsid w:val="00A339D0"/>
    <w:rsid w:val="00A41002"/>
    <w:rsid w:val="00A4201A"/>
    <w:rsid w:val="00A553CE"/>
    <w:rsid w:val="00A5677A"/>
    <w:rsid w:val="00A6490D"/>
    <w:rsid w:val="00A80363"/>
    <w:rsid w:val="00A9169D"/>
    <w:rsid w:val="00AA240C"/>
    <w:rsid w:val="00AC101C"/>
    <w:rsid w:val="00AC6CD3"/>
    <w:rsid w:val="00AD4CF1"/>
    <w:rsid w:val="00AD5988"/>
    <w:rsid w:val="00AF7800"/>
    <w:rsid w:val="00B072E0"/>
    <w:rsid w:val="00B253F6"/>
    <w:rsid w:val="00B305DB"/>
    <w:rsid w:val="00B332F8"/>
    <w:rsid w:val="00B3492B"/>
    <w:rsid w:val="00B4646F"/>
    <w:rsid w:val="00B55C7D"/>
    <w:rsid w:val="00B63038"/>
    <w:rsid w:val="00B64BD8"/>
    <w:rsid w:val="00B701D1"/>
    <w:rsid w:val="00B73AF2"/>
    <w:rsid w:val="00B7551A"/>
    <w:rsid w:val="00B773F1"/>
    <w:rsid w:val="00B814AE"/>
    <w:rsid w:val="00B86AB1"/>
    <w:rsid w:val="00B92A97"/>
    <w:rsid w:val="00BB2CBB"/>
    <w:rsid w:val="00BC59F1"/>
    <w:rsid w:val="00BF3DE1"/>
    <w:rsid w:val="00BF4843"/>
    <w:rsid w:val="00BF5205"/>
    <w:rsid w:val="00C12508"/>
    <w:rsid w:val="00C45AA2"/>
    <w:rsid w:val="00C53CD9"/>
    <w:rsid w:val="00C55BEF"/>
    <w:rsid w:val="00C66296"/>
    <w:rsid w:val="00C77282"/>
    <w:rsid w:val="00C84DE5"/>
    <w:rsid w:val="00C86248"/>
    <w:rsid w:val="00CA4C33"/>
    <w:rsid w:val="00CA6F4A"/>
    <w:rsid w:val="00CA7ADE"/>
    <w:rsid w:val="00CD2119"/>
    <w:rsid w:val="00CD237A"/>
    <w:rsid w:val="00CD36AC"/>
    <w:rsid w:val="00CE13A3"/>
    <w:rsid w:val="00CF1747"/>
    <w:rsid w:val="00D23323"/>
    <w:rsid w:val="00D2392A"/>
    <w:rsid w:val="00D25FFE"/>
    <w:rsid w:val="00D4476F"/>
    <w:rsid w:val="00D54D50"/>
    <w:rsid w:val="00D66797"/>
    <w:rsid w:val="00D7087C"/>
    <w:rsid w:val="00D70C3C"/>
    <w:rsid w:val="00D72BE5"/>
    <w:rsid w:val="00D74E2C"/>
    <w:rsid w:val="00D82F26"/>
    <w:rsid w:val="00D863D0"/>
    <w:rsid w:val="00D87C87"/>
    <w:rsid w:val="00D90E07"/>
    <w:rsid w:val="00DB39CF"/>
    <w:rsid w:val="00DC0A66"/>
    <w:rsid w:val="00DD0BCD"/>
    <w:rsid w:val="00DD447A"/>
    <w:rsid w:val="00DE3B20"/>
    <w:rsid w:val="00DE6C94"/>
    <w:rsid w:val="00DE6FD7"/>
    <w:rsid w:val="00DF62E2"/>
    <w:rsid w:val="00E23271"/>
    <w:rsid w:val="00E24F80"/>
    <w:rsid w:val="00E259F3"/>
    <w:rsid w:val="00E31A31"/>
    <w:rsid w:val="00E33238"/>
    <w:rsid w:val="00E42C29"/>
    <w:rsid w:val="00E4486C"/>
    <w:rsid w:val="00E460B6"/>
    <w:rsid w:val="00E511D5"/>
    <w:rsid w:val="00E60249"/>
    <w:rsid w:val="00E65269"/>
    <w:rsid w:val="00E70628"/>
    <w:rsid w:val="00E76D66"/>
    <w:rsid w:val="00EA796A"/>
    <w:rsid w:val="00EB1856"/>
    <w:rsid w:val="00EC50CE"/>
    <w:rsid w:val="00EC5B34"/>
    <w:rsid w:val="00EE2D5C"/>
    <w:rsid w:val="00EE4ADE"/>
    <w:rsid w:val="00EE5CB7"/>
    <w:rsid w:val="00EF5AC8"/>
    <w:rsid w:val="00F024FE"/>
    <w:rsid w:val="00F05AD4"/>
    <w:rsid w:val="00F25970"/>
    <w:rsid w:val="00F44703"/>
    <w:rsid w:val="00F47721"/>
    <w:rsid w:val="00F5180D"/>
    <w:rsid w:val="00F52C86"/>
    <w:rsid w:val="00F63781"/>
    <w:rsid w:val="00F67496"/>
    <w:rsid w:val="00F801BA"/>
    <w:rsid w:val="00F8212C"/>
    <w:rsid w:val="00F9366A"/>
    <w:rsid w:val="00F946C9"/>
    <w:rsid w:val="00FA14BF"/>
    <w:rsid w:val="00FA1556"/>
    <w:rsid w:val="00FA737D"/>
    <w:rsid w:val="00FA74EE"/>
    <w:rsid w:val="00FC18E7"/>
    <w:rsid w:val="00FC3711"/>
    <w:rsid w:val="00FC46E7"/>
    <w:rsid w:val="00FC5D25"/>
    <w:rsid w:val="00FD0D7E"/>
    <w:rsid w:val="00FD1143"/>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2F5720F-9226-45DF-89EA-B9007DCC1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6C698E"/>
    <w:pPr>
      <w:pageBreakBefore/>
      <w:pBdr>
        <w:top w:val="single" w:sz="48" w:space="16" w:color="auto"/>
      </w:pBdr>
      <w:spacing w:after="360"/>
      <w:ind w:left="851" w:hanging="851"/>
      <w:outlineLvl w:val="0"/>
    </w:pPr>
    <w:rPr>
      <w:b/>
      <w:sz w:val="60"/>
    </w:rPr>
  </w:style>
  <w:style w:type="paragraph" w:styleId="Heading2">
    <w:name w:val="heading 2"/>
    <w:basedOn w:val="Normal"/>
    <w:next w:val="Normal"/>
    <w:link w:val="Heading2Char"/>
    <w:qFormat/>
    <w:rsid w:val="00864F1D"/>
    <w:pPr>
      <w:keepNext/>
      <w:spacing w:before="120" w:after="120"/>
      <w:ind w:left="851" w:hanging="851"/>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paragraph" w:styleId="Heading6">
    <w:name w:val="heading 6"/>
    <w:basedOn w:val="Normal"/>
    <w:next w:val="Normal"/>
    <w:link w:val="Heading6Char"/>
    <w:qFormat/>
    <w:rsid w:val="00EF5AC8"/>
    <w:pPr>
      <w:tabs>
        <w:tab w:val="num" w:pos="1152"/>
      </w:tabs>
      <w:spacing w:before="240" w:after="60" w:line="240" w:lineRule="auto"/>
      <w:ind w:left="1152" w:hanging="1152"/>
      <w:jc w:val="both"/>
      <w:outlineLvl w:val="5"/>
    </w:pPr>
    <w:rPr>
      <w:rFonts w:ascii="Arial" w:hAnsi="Arial"/>
      <w:b/>
      <w:bCs/>
      <w:szCs w:val="22"/>
      <w:lang w:eastAsia="en-US"/>
    </w:rPr>
  </w:style>
  <w:style w:type="paragraph" w:styleId="Heading7">
    <w:name w:val="heading 7"/>
    <w:basedOn w:val="Normal"/>
    <w:next w:val="Normal"/>
    <w:link w:val="Heading7Char"/>
    <w:qFormat/>
    <w:rsid w:val="00EF5AC8"/>
    <w:pPr>
      <w:tabs>
        <w:tab w:val="num" w:pos="1296"/>
      </w:tabs>
      <w:spacing w:before="240" w:after="60" w:line="240" w:lineRule="auto"/>
      <w:ind w:left="1296" w:hanging="1296"/>
      <w:jc w:val="both"/>
      <w:outlineLvl w:val="6"/>
    </w:pPr>
    <w:rPr>
      <w:rFonts w:ascii="Arial" w:hAnsi="Arial"/>
      <w:szCs w:val="24"/>
      <w:lang w:eastAsia="en-US"/>
    </w:rPr>
  </w:style>
  <w:style w:type="paragraph" w:styleId="Heading8">
    <w:name w:val="heading 8"/>
    <w:basedOn w:val="Normal"/>
    <w:next w:val="Normal"/>
    <w:link w:val="Heading8Char"/>
    <w:qFormat/>
    <w:rsid w:val="00EF5AC8"/>
    <w:pPr>
      <w:tabs>
        <w:tab w:val="num" w:pos="1440"/>
      </w:tabs>
      <w:spacing w:before="240" w:after="60" w:line="240" w:lineRule="auto"/>
      <w:ind w:left="1440" w:hanging="1440"/>
      <w:jc w:val="both"/>
      <w:outlineLvl w:val="7"/>
    </w:pPr>
    <w:rPr>
      <w:rFonts w:ascii="Arial" w:hAnsi="Arial"/>
      <w:i/>
      <w:iCs/>
      <w:szCs w:val="24"/>
      <w:lang w:eastAsia="en-US"/>
    </w:rPr>
  </w:style>
  <w:style w:type="paragraph" w:styleId="Heading9">
    <w:name w:val="heading 9"/>
    <w:basedOn w:val="Normal"/>
    <w:next w:val="Normal"/>
    <w:link w:val="Heading9Char"/>
    <w:qFormat/>
    <w:rsid w:val="00EF5AC8"/>
    <w:pPr>
      <w:tabs>
        <w:tab w:val="num" w:pos="1584"/>
      </w:tabs>
      <w:spacing w:before="240" w:after="60" w:line="240" w:lineRule="auto"/>
      <w:ind w:left="1584" w:hanging="1584"/>
      <w:jc w:val="both"/>
      <w:outlineLvl w:val="8"/>
    </w:pPr>
    <w:rPr>
      <w:rFonts w:ascii="Arial" w:hAnsi="Arial" w:cs="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rsid w:val="00750780"/>
    <w:pPr>
      <w:tabs>
        <w:tab w:val="left" w:pos="567"/>
        <w:tab w:val="right" w:pos="9356"/>
      </w:tabs>
      <w:spacing w:before="240" w:line="240" w:lineRule="auto"/>
      <w:ind w:left="567" w:right="567" w:hanging="567"/>
    </w:pPr>
    <w:rPr>
      <w:b/>
    </w:rPr>
  </w:style>
  <w:style w:type="paragraph" w:styleId="TOC2">
    <w:name w:val="toc 2"/>
    <w:basedOn w:val="Normal"/>
    <w:next w:val="Normal"/>
    <w:rsid w:val="00750780"/>
    <w:pPr>
      <w:tabs>
        <w:tab w:val="left" w:pos="1134"/>
        <w:tab w:val="right" w:pos="9356"/>
      </w:tabs>
      <w:spacing w:before="40" w:line="240" w:lineRule="auto"/>
      <w:ind w:left="1134" w:right="567" w:hanging="567"/>
    </w:pPr>
  </w:style>
  <w:style w:type="paragraph" w:styleId="TOC3">
    <w:name w:val="toc 3"/>
    <w:basedOn w:val="Normal"/>
    <w:next w:val="Normal"/>
    <w:rsid w:val="00B92A97"/>
    <w:pPr>
      <w:tabs>
        <w:tab w:val="right" w:pos="9356"/>
      </w:tabs>
      <w:spacing w:before="6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link w:val="TitleChar"/>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9047FD"/>
    <w:pPr>
      <w:spacing w:before="80"/>
      <w:ind w:left="284"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9047FD"/>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rsid w:val="006C698E"/>
    <w:rPr>
      <w:rFonts w:ascii="Georgia" w:hAnsi="Georgia"/>
      <w:b/>
      <w:sz w:val="60"/>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rsid w:val="00864F1D"/>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paragraph" w:customStyle="1" w:styleId="Year">
    <w:name w:val="Year"/>
    <w:basedOn w:val="Subhead"/>
    <w:next w:val="Subhead"/>
    <w:qFormat/>
    <w:rsid w:val="00F63781"/>
    <w:pPr>
      <w:pBdr>
        <w:bottom w:val="single" w:sz="48" w:space="6" w:color="auto"/>
      </w:pBdr>
    </w:pPr>
    <w:rPr>
      <w:sz w:val="56"/>
    </w:rPr>
  </w:style>
  <w:style w:type="character" w:customStyle="1" w:styleId="TitleChar">
    <w:name w:val="Title Char"/>
    <w:link w:val="Title"/>
    <w:uiPriority w:val="10"/>
    <w:rsid w:val="00DC0A66"/>
    <w:rPr>
      <w:rFonts w:ascii="Georgia" w:hAnsi="Georgia"/>
      <w:b/>
      <w:sz w:val="80"/>
      <w:lang w:eastAsia="en-GB"/>
    </w:rPr>
  </w:style>
  <w:style w:type="character" w:customStyle="1" w:styleId="Heading6Char">
    <w:name w:val="Heading 6 Char"/>
    <w:basedOn w:val="DefaultParagraphFont"/>
    <w:link w:val="Heading6"/>
    <w:rsid w:val="00EF5AC8"/>
    <w:rPr>
      <w:rFonts w:ascii="Arial" w:hAnsi="Arial"/>
      <w:b/>
      <w:bCs/>
      <w:sz w:val="22"/>
      <w:szCs w:val="22"/>
      <w:lang w:eastAsia="en-US"/>
    </w:rPr>
  </w:style>
  <w:style w:type="character" w:customStyle="1" w:styleId="Heading7Char">
    <w:name w:val="Heading 7 Char"/>
    <w:basedOn w:val="DefaultParagraphFont"/>
    <w:link w:val="Heading7"/>
    <w:rsid w:val="00EF5AC8"/>
    <w:rPr>
      <w:rFonts w:ascii="Arial" w:hAnsi="Arial"/>
      <w:sz w:val="22"/>
      <w:szCs w:val="24"/>
      <w:lang w:eastAsia="en-US"/>
    </w:rPr>
  </w:style>
  <w:style w:type="character" w:customStyle="1" w:styleId="Heading8Char">
    <w:name w:val="Heading 8 Char"/>
    <w:basedOn w:val="DefaultParagraphFont"/>
    <w:link w:val="Heading8"/>
    <w:rsid w:val="00EF5AC8"/>
    <w:rPr>
      <w:rFonts w:ascii="Arial" w:hAnsi="Arial"/>
      <w:i/>
      <w:iCs/>
      <w:sz w:val="22"/>
      <w:szCs w:val="24"/>
      <w:lang w:eastAsia="en-US"/>
    </w:rPr>
  </w:style>
  <w:style w:type="character" w:customStyle="1" w:styleId="Heading9Char">
    <w:name w:val="Heading 9 Char"/>
    <w:basedOn w:val="DefaultParagraphFont"/>
    <w:link w:val="Heading9"/>
    <w:rsid w:val="00EF5AC8"/>
    <w:rPr>
      <w:rFonts w:ascii="Arial" w:hAnsi="Arial" w:cs="Arial"/>
      <w:sz w:val="22"/>
      <w:szCs w:val="22"/>
      <w:lang w:eastAsia="en-US"/>
    </w:rPr>
  </w:style>
  <w:style w:type="character" w:customStyle="1" w:styleId="Heading4Char">
    <w:name w:val="Heading 4 Char"/>
    <w:link w:val="Heading4"/>
    <w:rsid w:val="00EF5AC8"/>
    <w:rPr>
      <w:rFonts w:ascii="Georgia" w:hAnsi="Georgia"/>
      <w:b/>
      <w:sz w:val="22"/>
      <w:lang w:eastAsia="en-GB"/>
    </w:rPr>
  </w:style>
  <w:style w:type="character" w:customStyle="1" w:styleId="Heading5Char">
    <w:name w:val="Heading 5 Char"/>
    <w:link w:val="Heading5"/>
    <w:rsid w:val="00EF5AC8"/>
    <w:rPr>
      <w:rFonts w:ascii="Georgia" w:hAnsi="Georgia"/>
      <w:sz w:val="22"/>
      <w:u w:val="single"/>
      <w:lang w:eastAsia="en-GB"/>
    </w:rPr>
  </w:style>
  <w:style w:type="paragraph" w:styleId="BalloonText">
    <w:name w:val="Balloon Text"/>
    <w:basedOn w:val="Normal"/>
    <w:link w:val="BalloonTextChar"/>
    <w:uiPriority w:val="99"/>
    <w:semiHidden/>
    <w:unhideWhenUsed/>
    <w:rsid w:val="00667C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C96"/>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image" Target="media/image9.wmf"/><Relationship Id="rId39" Type="http://schemas.openxmlformats.org/officeDocument/2006/relationships/hyperlink" Target="http://ro.uow.edu.au/infopapers/751"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3.xml"/><Relationship Id="rId42" Type="http://schemas.openxmlformats.org/officeDocument/2006/relationships/hyperlink" Target="http://www.health.govt.nz/publication/annual-update-key-results-2014-15-new-zealand-health-surve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oleObject" Target="embeddings/oleObject2.bin"/><Relationship Id="rId29" Type="http://schemas.openxmlformats.org/officeDocument/2006/relationships/oleObject" Target="embeddings/oleObject7.bin"/><Relationship Id="rId41" Type="http://schemas.openxmlformats.org/officeDocument/2006/relationships/hyperlink" Target="http://www.health.govt.nz/publication/new-zealand-health-survey-objectives-and-topic-areas-august-2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12.wmf"/><Relationship Id="rId37" Type="http://schemas.openxmlformats.org/officeDocument/2006/relationships/image" Target="media/image13.emf"/><Relationship Id="rId40" Type="http://schemas.openxmlformats.org/officeDocument/2006/relationships/hyperlink" Target="http://www.pophealthmetrics.com/content/11/1/2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image" Target="media/image6.emf"/><Relationship Id="rId31" Type="http://schemas.openxmlformats.org/officeDocument/2006/relationships/oleObject" Target="embeddings/oleObject8.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footer" Target="footer6.xml"/><Relationship Id="rId43" Type="http://schemas.openxmlformats.org/officeDocument/2006/relationships/hyperlink" Target="http://www.statisphere.govt.nz/tier1-statistics/principles-protocols.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68CC5-B091-4469-8623-AFE4795A5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102</TotalTime>
  <Pages>1</Pages>
  <Words>6725</Words>
  <Characters>38336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Design from 2015/16</dc:title>
  <dc:creator>Ministry of Health</dc:creator>
  <cp:lastModifiedBy>Jane Adam</cp:lastModifiedBy>
  <cp:revision>11</cp:revision>
  <cp:lastPrinted>2016-12-07T01:03:00Z</cp:lastPrinted>
  <dcterms:created xsi:type="dcterms:W3CDTF">2016-11-28T03:49:00Z</dcterms:created>
  <dcterms:modified xsi:type="dcterms:W3CDTF">2016-12-07T01:11:00Z</dcterms:modified>
</cp:coreProperties>
</file>