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8D1DCC" w:rsidP="00D54D50">
      <w:pPr>
        <w:pStyle w:val="Title"/>
      </w:pPr>
      <w:r>
        <w:t>Guidan</w:t>
      </w:r>
      <w:r w:rsidR="00220F70">
        <w:t>ce</w:t>
      </w:r>
      <w:r>
        <w:t xml:space="preserve"> on Infectious Disease Management under the Health Act 1956</w:t>
      </w:r>
    </w:p>
    <w:p w:rsidR="00455CC9" w:rsidRPr="005971F1" w:rsidRDefault="00455CC9" w:rsidP="00455CC9">
      <w:pPr>
        <w:pStyle w:val="Year"/>
        <w:rPr>
          <w:sz w:val="2"/>
          <w:szCs w:val="2"/>
        </w:rPr>
      </w:pPr>
    </w:p>
    <w:p w:rsidR="00C86248" w:rsidRDefault="00C86248" w:rsidP="00343365">
      <w:pPr>
        <w:pStyle w:val="Subhead"/>
      </w:pP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8D1DCC">
        <w:t>2017</w:t>
      </w:r>
      <w:r w:rsidR="00442C1C">
        <w:t xml:space="preserve">. </w:t>
      </w:r>
      <w:r w:rsidR="008D1DCC">
        <w:rPr>
          <w:i/>
        </w:rPr>
        <w:t>Guidance on Infectious Disease Management under the Health Act 1956</w:t>
      </w:r>
      <w:r w:rsidR="00442C1C">
        <w:t>. Wellington: Ministry of Health.</w:t>
      </w:r>
    </w:p>
    <w:p w:rsidR="00C86248" w:rsidRDefault="00C86248">
      <w:pPr>
        <w:pStyle w:val="Imprint"/>
      </w:pPr>
      <w:r>
        <w:t xml:space="preserve">Published in </w:t>
      </w:r>
      <w:r w:rsidR="008D1DCC">
        <w:t>February 2017</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8D1DCC">
        <w:t>978</w:t>
      </w:r>
      <w:r w:rsidR="008D1DCC" w:rsidRPr="009D719F">
        <w:t>-</w:t>
      </w:r>
      <w:r w:rsidR="009D719F" w:rsidRPr="009D719F">
        <w:rPr>
          <w:rFonts w:eastAsia="Arial" w:cs="Arial"/>
          <w:color w:val="000000"/>
        </w:rPr>
        <w:t>1-98-850215-1</w:t>
      </w:r>
      <w:r w:rsidR="00F63781">
        <w:t xml:space="preserve"> </w:t>
      </w:r>
      <w:r>
        <w:t>(</w:t>
      </w:r>
      <w:r w:rsidR="00442C1C">
        <w:t>online</w:t>
      </w:r>
      <w:r>
        <w:t>)</w:t>
      </w:r>
      <w:r w:rsidR="00082CD6">
        <w:br/>
      </w:r>
      <w:r w:rsidR="00082CD6" w:rsidRPr="009C0F2D">
        <w:t xml:space="preserve">HP </w:t>
      </w:r>
      <w:r w:rsidR="008D1DCC">
        <w:t>6550</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4835A854" wp14:editId="4D878A7D">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63D8AD6F" wp14:editId="0A8254D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pPr>
        <w:pStyle w:val="IntroHead"/>
      </w:pPr>
      <w:bookmarkStart w:id="0" w:name="_Toc405792991"/>
      <w:bookmarkStart w:id="1" w:name="_Toc405793224"/>
      <w:r>
        <w:lastRenderedPageBreak/>
        <w:t>Contents</w:t>
      </w:r>
      <w:bookmarkEnd w:id="0"/>
      <w:bookmarkEnd w:id="1"/>
    </w:p>
    <w:p w:rsidR="00225FBC"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225FBC">
        <w:rPr>
          <w:noProof/>
        </w:rPr>
        <w:t>1</w:t>
      </w:r>
      <w:r w:rsidR="00225FBC">
        <w:rPr>
          <w:rFonts w:asciiTheme="minorHAnsi" w:eastAsiaTheme="minorEastAsia" w:hAnsiTheme="minorHAnsi" w:cstheme="minorBidi"/>
          <w:b w:val="0"/>
          <w:noProof/>
          <w:szCs w:val="22"/>
          <w:lang w:eastAsia="en-NZ"/>
        </w:rPr>
        <w:tab/>
      </w:r>
      <w:r w:rsidR="00225FBC">
        <w:rPr>
          <w:noProof/>
        </w:rPr>
        <w:t>Introduction</w:t>
      </w:r>
      <w:r w:rsidR="00225FBC">
        <w:rPr>
          <w:noProof/>
        </w:rPr>
        <w:tab/>
      </w:r>
      <w:r w:rsidR="00225FBC">
        <w:rPr>
          <w:noProof/>
        </w:rPr>
        <w:fldChar w:fldCharType="begin"/>
      </w:r>
      <w:r w:rsidR="00225FBC">
        <w:rPr>
          <w:noProof/>
        </w:rPr>
        <w:instrText xml:space="preserve"> PAGEREF _Toc473538498 \h </w:instrText>
      </w:r>
      <w:r w:rsidR="00225FBC">
        <w:rPr>
          <w:noProof/>
        </w:rPr>
      </w:r>
      <w:r w:rsidR="00225FBC">
        <w:rPr>
          <w:noProof/>
        </w:rPr>
        <w:fldChar w:fldCharType="separate"/>
      </w:r>
      <w:r w:rsidR="009E1FDE">
        <w:rPr>
          <w:noProof/>
        </w:rPr>
        <w:t>1</w:t>
      </w:r>
      <w:r w:rsidR="00225FBC">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Structure of this guidance</w:t>
      </w:r>
      <w:r>
        <w:rPr>
          <w:noProof/>
        </w:rPr>
        <w:tab/>
      </w:r>
      <w:r>
        <w:rPr>
          <w:noProof/>
        </w:rPr>
        <w:fldChar w:fldCharType="begin"/>
      </w:r>
      <w:r>
        <w:rPr>
          <w:noProof/>
        </w:rPr>
        <w:instrText xml:space="preserve"> PAGEREF _Toc473538499 \h </w:instrText>
      </w:r>
      <w:r>
        <w:rPr>
          <w:noProof/>
        </w:rPr>
      </w:r>
      <w:r>
        <w:rPr>
          <w:noProof/>
        </w:rPr>
        <w:fldChar w:fldCharType="separate"/>
      </w:r>
      <w:r w:rsidR="009E1FDE">
        <w:rPr>
          <w:noProof/>
        </w:rPr>
        <w:t>1</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Notification</w:t>
      </w:r>
      <w:r>
        <w:rPr>
          <w:noProof/>
        </w:rPr>
        <w:tab/>
      </w:r>
      <w:r>
        <w:rPr>
          <w:noProof/>
        </w:rPr>
        <w:fldChar w:fldCharType="begin"/>
      </w:r>
      <w:r>
        <w:rPr>
          <w:noProof/>
        </w:rPr>
        <w:instrText xml:space="preserve"> PAGEREF _Toc473538500 \h </w:instrText>
      </w:r>
      <w:r>
        <w:rPr>
          <w:noProof/>
        </w:rPr>
      </w:r>
      <w:r>
        <w:rPr>
          <w:noProof/>
        </w:rPr>
        <w:fldChar w:fldCharType="separate"/>
      </w:r>
      <w:r w:rsidR="009E1FDE">
        <w:rPr>
          <w:noProof/>
        </w:rPr>
        <w:t>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Purpose of notification</w:t>
      </w:r>
      <w:r>
        <w:rPr>
          <w:noProof/>
        </w:rPr>
        <w:tab/>
      </w:r>
      <w:r>
        <w:rPr>
          <w:noProof/>
        </w:rPr>
        <w:fldChar w:fldCharType="begin"/>
      </w:r>
      <w:r>
        <w:rPr>
          <w:noProof/>
        </w:rPr>
        <w:instrText xml:space="preserve"> PAGEREF _Toc473538501 \h </w:instrText>
      </w:r>
      <w:r>
        <w:rPr>
          <w:noProof/>
        </w:rPr>
      </w:r>
      <w:r>
        <w:rPr>
          <w:noProof/>
        </w:rPr>
        <w:fldChar w:fldCharType="separate"/>
      </w:r>
      <w:r w:rsidR="009E1FDE">
        <w:rPr>
          <w:noProof/>
        </w:rPr>
        <w:t>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The notification database – EpiSurv</w:t>
      </w:r>
      <w:r>
        <w:rPr>
          <w:noProof/>
        </w:rPr>
        <w:tab/>
      </w:r>
      <w:r>
        <w:rPr>
          <w:noProof/>
        </w:rPr>
        <w:fldChar w:fldCharType="begin"/>
      </w:r>
      <w:r>
        <w:rPr>
          <w:noProof/>
        </w:rPr>
        <w:instrText xml:space="preserve"> PAGEREF _Toc473538502 \h </w:instrText>
      </w:r>
      <w:r>
        <w:rPr>
          <w:noProof/>
        </w:rPr>
      </w:r>
      <w:r>
        <w:rPr>
          <w:noProof/>
        </w:rPr>
        <w:fldChar w:fldCharType="separate"/>
      </w:r>
      <w:r w:rsidR="009E1FDE">
        <w:rPr>
          <w:noProof/>
        </w:rPr>
        <w:t>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Responsibilities of health practitioners and laboratories</w:t>
      </w:r>
      <w:r>
        <w:rPr>
          <w:noProof/>
        </w:rPr>
        <w:tab/>
      </w:r>
      <w:r>
        <w:rPr>
          <w:noProof/>
        </w:rPr>
        <w:fldChar w:fldCharType="begin"/>
      </w:r>
      <w:r>
        <w:rPr>
          <w:noProof/>
        </w:rPr>
        <w:instrText xml:space="preserve"> PAGEREF _Toc473538503 \h </w:instrText>
      </w:r>
      <w:r>
        <w:rPr>
          <w:noProof/>
        </w:rPr>
      </w:r>
      <w:r>
        <w:rPr>
          <w:noProof/>
        </w:rPr>
        <w:fldChar w:fldCharType="separate"/>
      </w:r>
      <w:r w:rsidR="009E1FDE">
        <w:rPr>
          <w:noProof/>
        </w:rPr>
        <w:t>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Sexually transmitted infections</w:t>
      </w:r>
      <w:r>
        <w:rPr>
          <w:noProof/>
        </w:rPr>
        <w:tab/>
      </w:r>
      <w:r>
        <w:rPr>
          <w:noProof/>
        </w:rPr>
        <w:fldChar w:fldCharType="begin"/>
      </w:r>
      <w:r>
        <w:rPr>
          <w:noProof/>
        </w:rPr>
        <w:instrText xml:space="preserve"> PAGEREF _Toc473538504 \h </w:instrText>
      </w:r>
      <w:r>
        <w:rPr>
          <w:noProof/>
        </w:rPr>
      </w:r>
      <w:r>
        <w:rPr>
          <w:noProof/>
        </w:rPr>
        <w:fldChar w:fldCharType="separate"/>
      </w:r>
      <w:r w:rsidR="009E1FDE">
        <w:rPr>
          <w:noProof/>
        </w:rPr>
        <w:t>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Section C disease with another notifiable disease</w:t>
      </w:r>
      <w:r>
        <w:rPr>
          <w:noProof/>
        </w:rPr>
        <w:tab/>
      </w:r>
      <w:r>
        <w:rPr>
          <w:noProof/>
        </w:rPr>
        <w:fldChar w:fldCharType="begin"/>
      </w:r>
      <w:r>
        <w:rPr>
          <w:noProof/>
        </w:rPr>
        <w:instrText xml:space="preserve"> PAGEREF _Toc473538505 \h </w:instrText>
      </w:r>
      <w:r>
        <w:rPr>
          <w:noProof/>
        </w:rPr>
      </w:r>
      <w:r>
        <w:rPr>
          <w:noProof/>
        </w:rPr>
        <w:fldChar w:fldCharType="separate"/>
      </w:r>
      <w:r w:rsidR="009E1FDE">
        <w:rPr>
          <w:noProof/>
        </w:rPr>
        <w:t>6</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Notification and rapid test results</w:t>
      </w:r>
      <w:r>
        <w:rPr>
          <w:noProof/>
        </w:rPr>
        <w:tab/>
      </w:r>
      <w:r>
        <w:rPr>
          <w:noProof/>
        </w:rPr>
        <w:fldChar w:fldCharType="begin"/>
      </w:r>
      <w:r>
        <w:rPr>
          <w:noProof/>
        </w:rPr>
        <w:instrText xml:space="preserve"> PAGEREF _Toc473538506 \h </w:instrText>
      </w:r>
      <w:r>
        <w:rPr>
          <w:noProof/>
        </w:rPr>
      </w:r>
      <w:r>
        <w:rPr>
          <w:noProof/>
        </w:rPr>
        <w:fldChar w:fldCharType="separate"/>
      </w:r>
      <w:r w:rsidR="009E1FDE">
        <w:rPr>
          <w:noProof/>
        </w:rPr>
        <w:t>6</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Existing guidance on notification</w:t>
      </w:r>
      <w:r>
        <w:rPr>
          <w:noProof/>
        </w:rPr>
        <w:tab/>
      </w:r>
      <w:r>
        <w:rPr>
          <w:noProof/>
        </w:rPr>
        <w:fldChar w:fldCharType="begin"/>
      </w:r>
      <w:r>
        <w:rPr>
          <w:noProof/>
        </w:rPr>
        <w:instrText xml:space="preserve"> PAGEREF _Toc473538507 \h </w:instrText>
      </w:r>
      <w:r>
        <w:rPr>
          <w:noProof/>
        </w:rPr>
      </w:r>
      <w:r>
        <w:rPr>
          <w:noProof/>
        </w:rPr>
        <w:fldChar w:fldCharType="separate"/>
      </w:r>
      <w:r w:rsidR="009E1FDE">
        <w:rPr>
          <w:noProof/>
        </w:rPr>
        <w:t>6</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Chlamydia and other infectious diseases</w:t>
      </w:r>
      <w:r>
        <w:rPr>
          <w:noProof/>
        </w:rPr>
        <w:tab/>
      </w:r>
      <w:r>
        <w:rPr>
          <w:noProof/>
        </w:rPr>
        <w:fldChar w:fldCharType="begin"/>
      </w:r>
      <w:r>
        <w:rPr>
          <w:noProof/>
        </w:rPr>
        <w:instrText xml:space="preserve"> PAGEREF _Toc473538508 \h </w:instrText>
      </w:r>
      <w:r>
        <w:rPr>
          <w:noProof/>
        </w:rPr>
      </w:r>
      <w:r>
        <w:rPr>
          <w:noProof/>
        </w:rPr>
        <w:fldChar w:fldCharType="separate"/>
      </w:r>
      <w:r w:rsidR="009E1FDE">
        <w:rPr>
          <w:noProof/>
        </w:rPr>
        <w:t>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Notification and non</w:t>
      </w:r>
      <w:r w:rsidR="00F420AF">
        <w:rPr>
          <w:noProof/>
        </w:rPr>
        <w:t>-</w:t>
      </w:r>
      <w:r>
        <w:rPr>
          <w:noProof/>
        </w:rPr>
        <w:t>infectious diseases</w:t>
      </w:r>
      <w:r>
        <w:rPr>
          <w:noProof/>
        </w:rPr>
        <w:tab/>
      </w:r>
      <w:r>
        <w:rPr>
          <w:noProof/>
        </w:rPr>
        <w:fldChar w:fldCharType="begin"/>
      </w:r>
      <w:r>
        <w:rPr>
          <w:noProof/>
        </w:rPr>
        <w:instrText xml:space="preserve"> PAGEREF _Toc473538509 \h </w:instrText>
      </w:r>
      <w:r>
        <w:rPr>
          <w:noProof/>
        </w:rPr>
      </w:r>
      <w:r>
        <w:rPr>
          <w:noProof/>
        </w:rPr>
        <w:fldChar w:fldCharType="separate"/>
      </w:r>
      <w:r w:rsidR="009E1FDE">
        <w:rPr>
          <w:noProof/>
        </w:rPr>
        <w:t>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Clusters and new or re-emerging diseases</w:t>
      </w:r>
      <w:r>
        <w:rPr>
          <w:noProof/>
        </w:rPr>
        <w:tab/>
      </w:r>
      <w:r>
        <w:rPr>
          <w:noProof/>
        </w:rPr>
        <w:fldChar w:fldCharType="begin"/>
      </w:r>
      <w:r>
        <w:rPr>
          <w:noProof/>
        </w:rPr>
        <w:instrText xml:space="preserve"> PAGEREF _Toc473538510 \h </w:instrText>
      </w:r>
      <w:r>
        <w:rPr>
          <w:noProof/>
        </w:rPr>
      </w:r>
      <w:r>
        <w:rPr>
          <w:noProof/>
        </w:rPr>
        <w:fldChar w:fldCharType="separate"/>
      </w:r>
      <w:r w:rsidR="009E1FDE">
        <w:rPr>
          <w:noProof/>
        </w:rPr>
        <w:t>7</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Public health measures</w:t>
      </w:r>
      <w:r>
        <w:rPr>
          <w:noProof/>
        </w:rPr>
        <w:tab/>
      </w:r>
      <w:r>
        <w:rPr>
          <w:noProof/>
        </w:rPr>
        <w:fldChar w:fldCharType="begin"/>
      </w:r>
      <w:r>
        <w:rPr>
          <w:noProof/>
        </w:rPr>
        <w:instrText xml:space="preserve"> PAGEREF _Toc473538511 \h </w:instrText>
      </w:r>
      <w:r>
        <w:rPr>
          <w:noProof/>
        </w:rPr>
      </w:r>
      <w:r>
        <w:rPr>
          <w:noProof/>
        </w:rPr>
        <w:fldChar w:fldCharType="separate"/>
      </w:r>
      <w:r w:rsidR="009E1FDE">
        <w:rPr>
          <w:noProof/>
        </w:rPr>
        <w:t>8</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The legislative context</w:t>
      </w:r>
      <w:r>
        <w:rPr>
          <w:noProof/>
        </w:rPr>
        <w:tab/>
      </w:r>
      <w:r>
        <w:rPr>
          <w:noProof/>
        </w:rPr>
        <w:fldChar w:fldCharType="begin"/>
      </w:r>
      <w:r>
        <w:rPr>
          <w:noProof/>
        </w:rPr>
        <w:instrText xml:space="preserve"> PAGEREF _Toc473538512 \h </w:instrText>
      </w:r>
      <w:r>
        <w:rPr>
          <w:noProof/>
        </w:rPr>
      </w:r>
      <w:r>
        <w:rPr>
          <w:noProof/>
        </w:rPr>
        <w:fldChar w:fldCharType="separate"/>
      </w:r>
      <w:r w:rsidR="009E1FDE">
        <w:rPr>
          <w:noProof/>
        </w:rPr>
        <w:t>8</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A continuum of public health measures</w:t>
      </w:r>
      <w:r>
        <w:rPr>
          <w:noProof/>
        </w:rPr>
        <w:tab/>
      </w:r>
      <w:r>
        <w:rPr>
          <w:noProof/>
        </w:rPr>
        <w:fldChar w:fldCharType="begin"/>
      </w:r>
      <w:r>
        <w:rPr>
          <w:noProof/>
        </w:rPr>
        <w:instrText xml:space="preserve"> PAGEREF _Toc473538513 \h </w:instrText>
      </w:r>
      <w:r>
        <w:rPr>
          <w:noProof/>
        </w:rPr>
      </w:r>
      <w:r>
        <w:rPr>
          <w:noProof/>
        </w:rPr>
        <w:fldChar w:fldCharType="separate"/>
      </w:r>
      <w:r w:rsidR="009E1FDE">
        <w:rPr>
          <w:noProof/>
        </w:rPr>
        <w:t>8</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The first step is scoping the public health risk</w:t>
      </w:r>
      <w:r>
        <w:rPr>
          <w:noProof/>
        </w:rPr>
        <w:tab/>
      </w:r>
      <w:r>
        <w:rPr>
          <w:noProof/>
        </w:rPr>
        <w:fldChar w:fldCharType="begin"/>
      </w:r>
      <w:r>
        <w:rPr>
          <w:noProof/>
        </w:rPr>
        <w:instrText xml:space="preserve"> PAGEREF _Toc473538514 \h </w:instrText>
      </w:r>
      <w:r>
        <w:rPr>
          <w:noProof/>
        </w:rPr>
      </w:r>
      <w:r>
        <w:rPr>
          <w:noProof/>
        </w:rPr>
        <w:fldChar w:fldCharType="separate"/>
      </w:r>
      <w:r w:rsidR="009E1FDE">
        <w:rPr>
          <w:noProof/>
        </w:rPr>
        <w:t>9</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Relevance of the public health risk to the District Court’s decisions</w:t>
      </w:r>
      <w:r>
        <w:rPr>
          <w:noProof/>
        </w:rPr>
        <w:tab/>
      </w:r>
      <w:r>
        <w:rPr>
          <w:noProof/>
        </w:rPr>
        <w:fldChar w:fldCharType="begin"/>
      </w:r>
      <w:r>
        <w:rPr>
          <w:noProof/>
        </w:rPr>
        <w:instrText xml:space="preserve"> PAGEREF _Toc473538515 \h </w:instrText>
      </w:r>
      <w:r>
        <w:rPr>
          <w:noProof/>
        </w:rPr>
      </w:r>
      <w:r>
        <w:rPr>
          <w:noProof/>
        </w:rPr>
        <w:fldChar w:fldCharType="separate"/>
      </w:r>
      <w:r w:rsidR="009E1FDE">
        <w:rPr>
          <w:noProof/>
        </w:rPr>
        <w:t>10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Roles of medical officers of health, health protection officers</w:t>
      </w:r>
      <w:r>
        <w:rPr>
          <w:noProof/>
        </w:rPr>
        <w:tab/>
      </w:r>
      <w:r>
        <w:rPr>
          <w:noProof/>
        </w:rPr>
        <w:fldChar w:fldCharType="begin"/>
      </w:r>
      <w:r>
        <w:rPr>
          <w:noProof/>
        </w:rPr>
        <w:instrText xml:space="preserve"> PAGEREF _Toc473538516 \h </w:instrText>
      </w:r>
      <w:r>
        <w:rPr>
          <w:noProof/>
        </w:rPr>
      </w:r>
      <w:r>
        <w:rPr>
          <w:noProof/>
        </w:rPr>
        <w:fldChar w:fldCharType="separate"/>
      </w:r>
      <w:r w:rsidR="009E1FDE">
        <w:rPr>
          <w:noProof/>
        </w:rPr>
        <w:t>11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Protection from liability</w:t>
      </w:r>
      <w:r>
        <w:rPr>
          <w:noProof/>
        </w:rPr>
        <w:tab/>
      </w:r>
      <w:r>
        <w:rPr>
          <w:noProof/>
        </w:rPr>
        <w:fldChar w:fldCharType="begin"/>
      </w:r>
      <w:r>
        <w:rPr>
          <w:noProof/>
        </w:rPr>
        <w:instrText xml:space="preserve"> PAGEREF _Toc473538517 \h </w:instrText>
      </w:r>
      <w:r>
        <w:rPr>
          <w:noProof/>
        </w:rPr>
      </w:r>
      <w:r>
        <w:rPr>
          <w:noProof/>
        </w:rPr>
        <w:fldChar w:fldCharType="separate"/>
      </w:r>
      <w:r w:rsidR="009E1FDE">
        <w:rPr>
          <w:noProof/>
        </w:rPr>
        <w:t>11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Who pays for diagnosing and treating people?</w:t>
      </w:r>
      <w:r>
        <w:rPr>
          <w:noProof/>
        </w:rPr>
        <w:tab/>
      </w:r>
      <w:r>
        <w:rPr>
          <w:noProof/>
        </w:rPr>
        <w:fldChar w:fldCharType="begin"/>
      </w:r>
      <w:r>
        <w:rPr>
          <w:noProof/>
        </w:rPr>
        <w:instrText xml:space="preserve"> PAGEREF _Toc473538518 \h </w:instrText>
      </w:r>
      <w:r>
        <w:rPr>
          <w:noProof/>
        </w:rPr>
      </w:r>
      <w:r>
        <w:rPr>
          <w:noProof/>
        </w:rPr>
        <w:fldChar w:fldCharType="separate"/>
      </w:r>
      <w:r w:rsidR="009E1FDE">
        <w:rPr>
          <w:noProof/>
        </w:rPr>
        <w:t>11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Who pays for costs arising from public health measures?</w:t>
      </w:r>
      <w:r>
        <w:rPr>
          <w:noProof/>
        </w:rPr>
        <w:tab/>
      </w:r>
      <w:r>
        <w:rPr>
          <w:noProof/>
        </w:rPr>
        <w:fldChar w:fldCharType="begin"/>
      </w:r>
      <w:r>
        <w:rPr>
          <w:noProof/>
        </w:rPr>
        <w:instrText xml:space="preserve"> PAGEREF _Toc473538519 \h </w:instrText>
      </w:r>
      <w:r>
        <w:rPr>
          <w:noProof/>
        </w:rPr>
      </w:r>
      <w:r>
        <w:rPr>
          <w:noProof/>
        </w:rPr>
        <w:fldChar w:fldCharType="separate"/>
      </w:r>
      <w:r w:rsidR="009E1FDE">
        <w:rPr>
          <w:noProof/>
        </w:rPr>
        <w:t>12</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Overarching principles</w:t>
      </w:r>
      <w:r>
        <w:rPr>
          <w:noProof/>
        </w:rPr>
        <w:tab/>
      </w:r>
      <w:r>
        <w:rPr>
          <w:noProof/>
        </w:rPr>
        <w:fldChar w:fldCharType="begin"/>
      </w:r>
      <w:r>
        <w:rPr>
          <w:noProof/>
        </w:rPr>
        <w:instrText xml:space="preserve"> PAGEREF _Toc473538520 \h </w:instrText>
      </w:r>
      <w:r>
        <w:rPr>
          <w:noProof/>
        </w:rPr>
      </w:r>
      <w:r>
        <w:rPr>
          <w:noProof/>
        </w:rPr>
        <w:fldChar w:fldCharType="separate"/>
      </w:r>
      <w:r w:rsidR="009E1FDE">
        <w:rPr>
          <w:noProof/>
        </w:rPr>
        <w:t>13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There are six overarching principles</w:t>
      </w:r>
      <w:r>
        <w:rPr>
          <w:noProof/>
        </w:rPr>
        <w:tab/>
      </w:r>
      <w:r>
        <w:rPr>
          <w:noProof/>
        </w:rPr>
        <w:fldChar w:fldCharType="begin"/>
      </w:r>
      <w:r>
        <w:rPr>
          <w:noProof/>
        </w:rPr>
        <w:instrText xml:space="preserve"> PAGEREF _Toc473538521 \h </w:instrText>
      </w:r>
      <w:r>
        <w:rPr>
          <w:noProof/>
        </w:rPr>
      </w:r>
      <w:r>
        <w:rPr>
          <w:noProof/>
        </w:rPr>
        <w:fldChar w:fldCharType="separate"/>
      </w:r>
      <w:r w:rsidR="009E1FDE">
        <w:rPr>
          <w:noProof/>
        </w:rPr>
        <w:t>13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Checklist of the overarching principles</w:t>
      </w:r>
      <w:r>
        <w:rPr>
          <w:noProof/>
        </w:rPr>
        <w:tab/>
      </w:r>
      <w:r>
        <w:rPr>
          <w:noProof/>
        </w:rPr>
        <w:fldChar w:fldCharType="begin"/>
      </w:r>
      <w:r>
        <w:rPr>
          <w:noProof/>
        </w:rPr>
        <w:instrText xml:space="preserve"> PAGEREF _Toc473538522 \h </w:instrText>
      </w:r>
      <w:r>
        <w:rPr>
          <w:noProof/>
        </w:rPr>
      </w:r>
      <w:r>
        <w:rPr>
          <w:noProof/>
        </w:rPr>
        <w:fldChar w:fldCharType="separate"/>
      </w:r>
      <w:r w:rsidR="009E1FDE">
        <w:rPr>
          <w:noProof/>
        </w:rPr>
        <w:t>14</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5</w:t>
      </w:r>
      <w:r>
        <w:rPr>
          <w:rFonts w:asciiTheme="minorHAnsi" w:eastAsiaTheme="minorEastAsia" w:hAnsiTheme="minorHAnsi" w:cstheme="minorBidi"/>
          <w:b w:val="0"/>
          <w:noProof/>
          <w:szCs w:val="22"/>
          <w:lang w:eastAsia="en-NZ"/>
        </w:rPr>
        <w:tab/>
      </w:r>
      <w:r>
        <w:rPr>
          <w:noProof/>
        </w:rPr>
        <w:t>Duty of care</w:t>
      </w:r>
      <w:r>
        <w:rPr>
          <w:noProof/>
        </w:rPr>
        <w:tab/>
      </w:r>
      <w:r>
        <w:rPr>
          <w:noProof/>
        </w:rPr>
        <w:fldChar w:fldCharType="begin"/>
      </w:r>
      <w:r>
        <w:rPr>
          <w:noProof/>
        </w:rPr>
        <w:instrText xml:space="preserve"> PAGEREF _Toc473538523 \h </w:instrText>
      </w:r>
      <w:r>
        <w:rPr>
          <w:noProof/>
        </w:rPr>
      </w:r>
      <w:r>
        <w:rPr>
          <w:noProof/>
        </w:rPr>
        <w:fldChar w:fldCharType="separate"/>
      </w:r>
      <w:r w:rsidR="009E1FDE">
        <w:rPr>
          <w:noProof/>
        </w:rPr>
        <w:t>16</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6</w:t>
      </w:r>
      <w:r>
        <w:rPr>
          <w:rFonts w:asciiTheme="minorHAnsi" w:eastAsiaTheme="minorEastAsia" w:hAnsiTheme="minorHAnsi" w:cstheme="minorBidi"/>
          <w:b w:val="0"/>
          <w:noProof/>
          <w:szCs w:val="22"/>
          <w:lang w:eastAsia="en-NZ"/>
        </w:rPr>
        <w:tab/>
      </w:r>
      <w:r>
        <w:rPr>
          <w:noProof/>
        </w:rPr>
        <w:t>Contact tracing</w:t>
      </w:r>
      <w:r>
        <w:rPr>
          <w:noProof/>
        </w:rPr>
        <w:tab/>
      </w:r>
      <w:r>
        <w:rPr>
          <w:noProof/>
        </w:rPr>
        <w:fldChar w:fldCharType="begin"/>
      </w:r>
      <w:r>
        <w:rPr>
          <w:noProof/>
        </w:rPr>
        <w:instrText xml:space="preserve"> PAGEREF _Toc473538524 \h </w:instrText>
      </w:r>
      <w:r>
        <w:rPr>
          <w:noProof/>
        </w:rPr>
      </w:r>
      <w:r>
        <w:rPr>
          <w:noProof/>
        </w:rPr>
        <w:fldChar w:fldCharType="separate"/>
      </w:r>
      <w:r w:rsidR="009E1FDE">
        <w:rPr>
          <w:noProof/>
        </w:rPr>
        <w:t>17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_Toc473538525 \h </w:instrText>
      </w:r>
      <w:r>
        <w:rPr>
          <w:noProof/>
        </w:rPr>
      </w:r>
      <w:r>
        <w:rPr>
          <w:noProof/>
        </w:rPr>
        <w:fldChar w:fldCharType="separate"/>
      </w:r>
      <w:r w:rsidR="009E1FDE">
        <w:rPr>
          <w:noProof/>
        </w:rPr>
        <w:t>17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Purpose of formal contact tracing</w:t>
      </w:r>
      <w:r>
        <w:rPr>
          <w:noProof/>
        </w:rPr>
        <w:tab/>
      </w:r>
      <w:r>
        <w:rPr>
          <w:noProof/>
        </w:rPr>
        <w:fldChar w:fldCharType="begin"/>
      </w:r>
      <w:r>
        <w:rPr>
          <w:noProof/>
        </w:rPr>
        <w:instrText xml:space="preserve"> PAGEREF _Toc473538526 \h </w:instrText>
      </w:r>
      <w:r>
        <w:rPr>
          <w:noProof/>
        </w:rPr>
      </w:r>
      <w:r>
        <w:rPr>
          <w:noProof/>
        </w:rPr>
        <w:fldChar w:fldCharType="separate"/>
      </w:r>
      <w:r w:rsidR="009E1FDE">
        <w:rPr>
          <w:noProof/>
        </w:rPr>
        <w:t>18</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When to contact trace</w:t>
      </w:r>
      <w:r>
        <w:rPr>
          <w:noProof/>
        </w:rPr>
        <w:tab/>
      </w:r>
      <w:r>
        <w:rPr>
          <w:noProof/>
        </w:rPr>
        <w:fldChar w:fldCharType="begin"/>
      </w:r>
      <w:r>
        <w:rPr>
          <w:noProof/>
        </w:rPr>
        <w:instrText xml:space="preserve"> PAGEREF _Toc473538527 \h </w:instrText>
      </w:r>
      <w:r>
        <w:rPr>
          <w:noProof/>
        </w:rPr>
      </w:r>
      <w:r>
        <w:rPr>
          <w:noProof/>
        </w:rPr>
        <w:fldChar w:fldCharType="separate"/>
      </w:r>
      <w:r w:rsidR="009E1FDE">
        <w:rPr>
          <w:noProof/>
        </w:rPr>
        <w:t>18</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Who can be a formal contact tracer?</w:t>
      </w:r>
      <w:r>
        <w:rPr>
          <w:noProof/>
        </w:rPr>
        <w:tab/>
      </w:r>
      <w:r>
        <w:rPr>
          <w:noProof/>
        </w:rPr>
        <w:fldChar w:fldCharType="begin"/>
      </w:r>
      <w:r>
        <w:rPr>
          <w:noProof/>
        </w:rPr>
        <w:instrText xml:space="preserve"> PAGEREF _Toc473538528 \h </w:instrText>
      </w:r>
      <w:r>
        <w:rPr>
          <w:noProof/>
        </w:rPr>
      </w:r>
      <w:r>
        <w:rPr>
          <w:noProof/>
        </w:rPr>
        <w:fldChar w:fldCharType="separate"/>
      </w:r>
      <w:r w:rsidR="009E1FDE">
        <w:rPr>
          <w:noProof/>
        </w:rPr>
        <w:t>19</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Individuals undertaking their own contact tracing</w:t>
      </w:r>
      <w:r>
        <w:rPr>
          <w:noProof/>
        </w:rPr>
        <w:tab/>
      </w:r>
      <w:r>
        <w:rPr>
          <w:noProof/>
        </w:rPr>
        <w:fldChar w:fldCharType="begin"/>
      </w:r>
      <w:r>
        <w:rPr>
          <w:noProof/>
        </w:rPr>
        <w:instrText xml:space="preserve"> PAGEREF _Toc473538529 \h </w:instrText>
      </w:r>
      <w:r>
        <w:rPr>
          <w:noProof/>
        </w:rPr>
      </w:r>
      <w:r>
        <w:rPr>
          <w:noProof/>
        </w:rPr>
        <w:fldChar w:fldCharType="separate"/>
      </w:r>
      <w:r w:rsidR="009E1FDE">
        <w:rPr>
          <w:noProof/>
        </w:rPr>
        <w:t>20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Informal contact tracers</w:t>
      </w:r>
      <w:r>
        <w:rPr>
          <w:noProof/>
        </w:rPr>
        <w:tab/>
      </w:r>
      <w:r>
        <w:rPr>
          <w:noProof/>
        </w:rPr>
        <w:fldChar w:fldCharType="begin"/>
      </w:r>
      <w:r>
        <w:rPr>
          <w:noProof/>
        </w:rPr>
        <w:instrText xml:space="preserve"> PAGEREF _Toc473538530 \h </w:instrText>
      </w:r>
      <w:r>
        <w:rPr>
          <w:noProof/>
        </w:rPr>
      </w:r>
      <w:r>
        <w:rPr>
          <w:noProof/>
        </w:rPr>
        <w:fldChar w:fldCharType="separate"/>
      </w:r>
      <w:r w:rsidR="009E1FDE">
        <w:rPr>
          <w:noProof/>
        </w:rPr>
        <w:t>21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Contact tracing across public health districts</w:t>
      </w:r>
      <w:r>
        <w:rPr>
          <w:noProof/>
        </w:rPr>
        <w:tab/>
      </w:r>
      <w:r>
        <w:rPr>
          <w:noProof/>
        </w:rPr>
        <w:fldChar w:fldCharType="begin"/>
      </w:r>
      <w:r>
        <w:rPr>
          <w:noProof/>
        </w:rPr>
        <w:instrText xml:space="preserve"> PAGEREF _Toc473538531 \h </w:instrText>
      </w:r>
      <w:r>
        <w:rPr>
          <w:noProof/>
        </w:rPr>
      </w:r>
      <w:r>
        <w:rPr>
          <w:noProof/>
        </w:rPr>
        <w:fldChar w:fldCharType="separate"/>
      </w:r>
      <w:r w:rsidR="009E1FDE">
        <w:rPr>
          <w:noProof/>
        </w:rPr>
        <w:t>21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What does formal contact tracing involve?</w:t>
      </w:r>
      <w:r>
        <w:rPr>
          <w:noProof/>
        </w:rPr>
        <w:tab/>
      </w:r>
      <w:r>
        <w:rPr>
          <w:noProof/>
        </w:rPr>
        <w:fldChar w:fldCharType="begin"/>
      </w:r>
      <w:r>
        <w:rPr>
          <w:noProof/>
        </w:rPr>
        <w:instrText xml:space="preserve"> PAGEREF _Toc473538532 \h </w:instrText>
      </w:r>
      <w:r>
        <w:rPr>
          <w:noProof/>
        </w:rPr>
      </w:r>
      <w:r>
        <w:rPr>
          <w:noProof/>
        </w:rPr>
        <w:fldChar w:fldCharType="separate"/>
      </w:r>
      <w:r w:rsidR="009E1FDE">
        <w:rPr>
          <w:noProof/>
        </w:rPr>
        <w:t>21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Information required from the individual</w:t>
      </w:r>
      <w:r>
        <w:rPr>
          <w:noProof/>
        </w:rPr>
        <w:tab/>
      </w:r>
      <w:r>
        <w:rPr>
          <w:noProof/>
        </w:rPr>
        <w:fldChar w:fldCharType="begin"/>
      </w:r>
      <w:r>
        <w:rPr>
          <w:noProof/>
        </w:rPr>
        <w:instrText xml:space="preserve"> PAGEREF _Toc473538533 \h </w:instrText>
      </w:r>
      <w:r>
        <w:rPr>
          <w:noProof/>
        </w:rPr>
      </w:r>
      <w:r>
        <w:rPr>
          <w:noProof/>
        </w:rPr>
        <w:fldChar w:fldCharType="separate"/>
      </w:r>
      <w:r w:rsidR="009E1FDE">
        <w:rPr>
          <w:noProof/>
        </w:rPr>
        <w:t>22</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Information provided to contacts</w:t>
      </w:r>
      <w:r>
        <w:rPr>
          <w:noProof/>
        </w:rPr>
        <w:tab/>
      </w:r>
      <w:r>
        <w:rPr>
          <w:noProof/>
        </w:rPr>
        <w:fldChar w:fldCharType="begin"/>
      </w:r>
      <w:r>
        <w:rPr>
          <w:noProof/>
        </w:rPr>
        <w:instrText xml:space="preserve"> PAGEREF _Toc473538534 \h </w:instrText>
      </w:r>
      <w:r>
        <w:rPr>
          <w:noProof/>
        </w:rPr>
      </w:r>
      <w:r>
        <w:rPr>
          <w:noProof/>
        </w:rPr>
        <w:fldChar w:fldCharType="separate"/>
      </w:r>
      <w:r w:rsidR="009E1FDE">
        <w:rPr>
          <w:noProof/>
        </w:rPr>
        <w:t>22</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Confidentiality requirements</w:t>
      </w:r>
      <w:r>
        <w:rPr>
          <w:noProof/>
        </w:rPr>
        <w:tab/>
      </w:r>
      <w:r>
        <w:rPr>
          <w:noProof/>
        </w:rPr>
        <w:fldChar w:fldCharType="begin"/>
      </w:r>
      <w:r>
        <w:rPr>
          <w:noProof/>
        </w:rPr>
        <w:instrText xml:space="preserve"> PAGEREF _Toc473538535 \h </w:instrText>
      </w:r>
      <w:r>
        <w:rPr>
          <w:noProof/>
        </w:rPr>
      </w:r>
      <w:r>
        <w:rPr>
          <w:noProof/>
        </w:rPr>
        <w:fldChar w:fldCharType="separate"/>
      </w:r>
      <w:r w:rsidR="009E1FDE">
        <w:rPr>
          <w:noProof/>
        </w:rPr>
        <w:t>23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Prosecution for an offence</w:t>
      </w:r>
      <w:r>
        <w:rPr>
          <w:noProof/>
        </w:rPr>
        <w:tab/>
      </w:r>
      <w:r>
        <w:rPr>
          <w:noProof/>
        </w:rPr>
        <w:fldChar w:fldCharType="begin"/>
      </w:r>
      <w:r>
        <w:rPr>
          <w:noProof/>
        </w:rPr>
        <w:instrText xml:space="preserve"> PAGEREF _Toc473538536 \h </w:instrText>
      </w:r>
      <w:r>
        <w:rPr>
          <w:noProof/>
        </w:rPr>
      </w:r>
      <w:r>
        <w:rPr>
          <w:noProof/>
        </w:rPr>
        <w:fldChar w:fldCharType="separate"/>
      </w:r>
      <w:r w:rsidR="009E1FDE">
        <w:rPr>
          <w:noProof/>
        </w:rPr>
        <w:t>24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Contact tracing scenarios</w:t>
      </w:r>
      <w:r>
        <w:rPr>
          <w:noProof/>
        </w:rPr>
        <w:tab/>
      </w:r>
      <w:r>
        <w:rPr>
          <w:noProof/>
        </w:rPr>
        <w:fldChar w:fldCharType="begin"/>
      </w:r>
      <w:r>
        <w:rPr>
          <w:noProof/>
        </w:rPr>
        <w:instrText xml:space="preserve"> PAGEREF _Toc473538537 \h </w:instrText>
      </w:r>
      <w:r>
        <w:rPr>
          <w:noProof/>
        </w:rPr>
      </w:r>
      <w:r>
        <w:rPr>
          <w:noProof/>
        </w:rPr>
        <w:fldChar w:fldCharType="separate"/>
      </w:r>
      <w:r w:rsidR="009E1FDE">
        <w:rPr>
          <w:noProof/>
        </w:rPr>
        <w:t>25</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Contact tracing checklist</w:t>
      </w:r>
      <w:r>
        <w:rPr>
          <w:noProof/>
        </w:rPr>
        <w:tab/>
      </w:r>
      <w:r>
        <w:rPr>
          <w:noProof/>
        </w:rPr>
        <w:fldChar w:fldCharType="begin"/>
      </w:r>
      <w:r>
        <w:rPr>
          <w:noProof/>
        </w:rPr>
        <w:instrText xml:space="preserve"> PAGEREF _Toc473538538 \h </w:instrText>
      </w:r>
      <w:r>
        <w:rPr>
          <w:noProof/>
        </w:rPr>
      </w:r>
      <w:r>
        <w:rPr>
          <w:noProof/>
        </w:rPr>
        <w:fldChar w:fldCharType="separate"/>
      </w:r>
      <w:r w:rsidR="009E1FDE">
        <w:rPr>
          <w:noProof/>
        </w:rPr>
        <w:t>26</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Contact tracing resources: sexually transmitted infections</w:t>
      </w:r>
      <w:r>
        <w:rPr>
          <w:noProof/>
        </w:rPr>
        <w:tab/>
      </w:r>
      <w:r>
        <w:rPr>
          <w:noProof/>
        </w:rPr>
        <w:fldChar w:fldCharType="begin"/>
      </w:r>
      <w:r>
        <w:rPr>
          <w:noProof/>
        </w:rPr>
        <w:instrText xml:space="preserve"> PAGEREF _Toc473538539 \h </w:instrText>
      </w:r>
      <w:r>
        <w:rPr>
          <w:noProof/>
        </w:rPr>
      </w:r>
      <w:r>
        <w:rPr>
          <w:noProof/>
        </w:rPr>
        <w:fldChar w:fldCharType="separate"/>
      </w:r>
      <w:r w:rsidR="009E1FDE">
        <w:rPr>
          <w:noProof/>
        </w:rPr>
        <w:t>27</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7</w:t>
      </w:r>
      <w:r>
        <w:rPr>
          <w:rFonts w:asciiTheme="minorHAnsi" w:eastAsiaTheme="minorEastAsia" w:hAnsiTheme="minorHAnsi" w:cstheme="minorBidi"/>
          <w:b w:val="0"/>
          <w:noProof/>
          <w:szCs w:val="22"/>
          <w:lang w:eastAsia="en-NZ"/>
        </w:rPr>
        <w:tab/>
      </w:r>
      <w:r>
        <w:rPr>
          <w:noProof/>
        </w:rPr>
        <w:t>Voluntary measures</w:t>
      </w:r>
      <w:r>
        <w:rPr>
          <w:noProof/>
        </w:rPr>
        <w:tab/>
      </w:r>
      <w:r>
        <w:rPr>
          <w:noProof/>
        </w:rPr>
        <w:fldChar w:fldCharType="begin"/>
      </w:r>
      <w:r>
        <w:rPr>
          <w:noProof/>
        </w:rPr>
        <w:instrText xml:space="preserve"> PAGEREF _Toc473538540 \h </w:instrText>
      </w:r>
      <w:r>
        <w:rPr>
          <w:noProof/>
        </w:rPr>
      </w:r>
      <w:r>
        <w:rPr>
          <w:noProof/>
        </w:rPr>
        <w:fldChar w:fldCharType="separate"/>
      </w:r>
      <w:r w:rsidR="009E1FDE">
        <w:rPr>
          <w:noProof/>
        </w:rPr>
        <w:t>29</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8</w:t>
      </w:r>
      <w:r>
        <w:rPr>
          <w:rFonts w:asciiTheme="minorHAnsi" w:eastAsiaTheme="minorEastAsia" w:hAnsiTheme="minorHAnsi" w:cstheme="minorBidi"/>
          <w:b w:val="0"/>
          <w:noProof/>
          <w:szCs w:val="22"/>
          <w:lang w:eastAsia="en-NZ"/>
        </w:rPr>
        <w:tab/>
      </w:r>
      <w:r>
        <w:rPr>
          <w:noProof/>
        </w:rPr>
        <w:t>Directions</w:t>
      </w:r>
      <w:r>
        <w:rPr>
          <w:noProof/>
        </w:rPr>
        <w:tab/>
      </w:r>
      <w:r>
        <w:rPr>
          <w:noProof/>
        </w:rPr>
        <w:fldChar w:fldCharType="begin"/>
      </w:r>
      <w:r>
        <w:rPr>
          <w:noProof/>
        </w:rPr>
        <w:instrText xml:space="preserve"> PAGEREF _Toc473538541 \h </w:instrText>
      </w:r>
      <w:r>
        <w:rPr>
          <w:noProof/>
        </w:rPr>
      </w:r>
      <w:r>
        <w:rPr>
          <w:noProof/>
        </w:rPr>
        <w:fldChar w:fldCharType="separate"/>
      </w:r>
      <w:r w:rsidR="009E1FDE">
        <w:rPr>
          <w:noProof/>
        </w:rPr>
        <w:t>30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_Toc473538542 \h </w:instrText>
      </w:r>
      <w:r>
        <w:rPr>
          <w:noProof/>
        </w:rPr>
      </w:r>
      <w:r>
        <w:rPr>
          <w:noProof/>
        </w:rPr>
        <w:fldChar w:fldCharType="separate"/>
      </w:r>
      <w:r w:rsidR="009E1FDE">
        <w:rPr>
          <w:noProof/>
        </w:rPr>
        <w:t>30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Public health directions</w:t>
      </w:r>
      <w:r>
        <w:rPr>
          <w:noProof/>
        </w:rPr>
        <w:tab/>
      </w:r>
      <w:r>
        <w:rPr>
          <w:noProof/>
        </w:rPr>
        <w:fldChar w:fldCharType="begin"/>
      </w:r>
      <w:r>
        <w:rPr>
          <w:noProof/>
        </w:rPr>
        <w:instrText xml:space="preserve"> PAGEREF _Toc473538543 \h </w:instrText>
      </w:r>
      <w:r>
        <w:rPr>
          <w:noProof/>
        </w:rPr>
      </w:r>
      <w:r>
        <w:rPr>
          <w:noProof/>
        </w:rPr>
        <w:fldChar w:fldCharType="separate"/>
      </w:r>
      <w:r w:rsidR="009E1FDE">
        <w:rPr>
          <w:noProof/>
        </w:rPr>
        <w:t>31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Directions to contacts</w:t>
      </w:r>
      <w:r>
        <w:rPr>
          <w:noProof/>
        </w:rPr>
        <w:tab/>
      </w:r>
      <w:r>
        <w:rPr>
          <w:noProof/>
        </w:rPr>
        <w:fldChar w:fldCharType="begin"/>
      </w:r>
      <w:r>
        <w:rPr>
          <w:noProof/>
        </w:rPr>
        <w:instrText xml:space="preserve"> PAGEREF _Toc473538544 \h </w:instrText>
      </w:r>
      <w:r>
        <w:rPr>
          <w:noProof/>
        </w:rPr>
      </w:r>
      <w:r>
        <w:rPr>
          <w:noProof/>
        </w:rPr>
        <w:fldChar w:fldCharType="separate"/>
      </w:r>
      <w:r w:rsidR="009E1FDE">
        <w:rPr>
          <w:noProof/>
        </w:rPr>
        <w:t>33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Medical examination directions</w:t>
      </w:r>
      <w:r>
        <w:rPr>
          <w:noProof/>
        </w:rPr>
        <w:tab/>
      </w:r>
      <w:r>
        <w:rPr>
          <w:noProof/>
        </w:rPr>
        <w:fldChar w:fldCharType="begin"/>
      </w:r>
      <w:r>
        <w:rPr>
          <w:noProof/>
        </w:rPr>
        <w:instrText xml:space="preserve"> PAGEREF _Toc473538545 \h </w:instrText>
      </w:r>
      <w:r>
        <w:rPr>
          <w:noProof/>
        </w:rPr>
      </w:r>
      <w:r>
        <w:rPr>
          <w:noProof/>
        </w:rPr>
        <w:fldChar w:fldCharType="separate"/>
      </w:r>
      <w:r w:rsidR="009E1FDE">
        <w:rPr>
          <w:noProof/>
        </w:rPr>
        <w:t>35</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Educational institution directions</w:t>
      </w:r>
      <w:r>
        <w:rPr>
          <w:noProof/>
        </w:rPr>
        <w:tab/>
      </w:r>
      <w:r>
        <w:rPr>
          <w:noProof/>
        </w:rPr>
        <w:fldChar w:fldCharType="begin"/>
      </w:r>
      <w:r>
        <w:rPr>
          <w:noProof/>
        </w:rPr>
        <w:instrText xml:space="preserve"> PAGEREF _Toc473538546 \h </w:instrText>
      </w:r>
      <w:r>
        <w:rPr>
          <w:noProof/>
        </w:rPr>
      </w:r>
      <w:r>
        <w:rPr>
          <w:noProof/>
        </w:rPr>
        <w:fldChar w:fldCharType="separate"/>
      </w:r>
      <w:r w:rsidR="009E1FDE">
        <w:rPr>
          <w:noProof/>
        </w:rPr>
        <w:t>37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How directions can be imposed</w:t>
      </w:r>
      <w:r>
        <w:rPr>
          <w:noProof/>
        </w:rPr>
        <w:tab/>
      </w:r>
      <w:r>
        <w:rPr>
          <w:noProof/>
        </w:rPr>
        <w:fldChar w:fldCharType="begin"/>
      </w:r>
      <w:r>
        <w:rPr>
          <w:noProof/>
        </w:rPr>
        <w:instrText xml:space="preserve"> PAGEREF _Toc473538547 \h </w:instrText>
      </w:r>
      <w:r>
        <w:rPr>
          <w:noProof/>
        </w:rPr>
      </w:r>
      <w:r>
        <w:rPr>
          <w:noProof/>
        </w:rPr>
        <w:fldChar w:fldCharType="separate"/>
      </w:r>
      <w:r w:rsidR="009E1FDE">
        <w:rPr>
          <w:noProof/>
        </w:rPr>
        <w:t>39</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Reviews</w:t>
      </w:r>
      <w:r>
        <w:rPr>
          <w:noProof/>
        </w:rPr>
        <w:tab/>
      </w:r>
      <w:r>
        <w:rPr>
          <w:noProof/>
        </w:rPr>
        <w:fldChar w:fldCharType="begin"/>
      </w:r>
      <w:r>
        <w:rPr>
          <w:noProof/>
        </w:rPr>
        <w:instrText xml:space="preserve"> PAGEREF _Toc473538548 \h </w:instrText>
      </w:r>
      <w:r>
        <w:rPr>
          <w:noProof/>
        </w:rPr>
      </w:r>
      <w:r>
        <w:rPr>
          <w:noProof/>
        </w:rPr>
        <w:fldChar w:fldCharType="separate"/>
      </w:r>
      <w:r w:rsidR="009E1FDE">
        <w:rPr>
          <w:noProof/>
        </w:rPr>
        <w:t>40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Appeals</w:t>
      </w:r>
      <w:r>
        <w:rPr>
          <w:noProof/>
        </w:rPr>
        <w:tab/>
      </w:r>
      <w:r>
        <w:rPr>
          <w:noProof/>
        </w:rPr>
        <w:fldChar w:fldCharType="begin"/>
      </w:r>
      <w:r>
        <w:rPr>
          <w:noProof/>
        </w:rPr>
        <w:instrText xml:space="preserve"> PAGEREF _Toc473538549 \h </w:instrText>
      </w:r>
      <w:r>
        <w:rPr>
          <w:noProof/>
        </w:rPr>
      </w:r>
      <w:r>
        <w:rPr>
          <w:noProof/>
        </w:rPr>
        <w:fldChar w:fldCharType="separate"/>
      </w:r>
      <w:r w:rsidR="009E1FDE">
        <w:rPr>
          <w:noProof/>
        </w:rPr>
        <w:t>41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Prosecution for non-compliance</w:t>
      </w:r>
      <w:r>
        <w:rPr>
          <w:noProof/>
        </w:rPr>
        <w:tab/>
      </w:r>
      <w:r>
        <w:rPr>
          <w:noProof/>
        </w:rPr>
        <w:fldChar w:fldCharType="begin"/>
      </w:r>
      <w:r>
        <w:rPr>
          <w:noProof/>
        </w:rPr>
        <w:instrText xml:space="preserve"> PAGEREF _Toc473538550 \h </w:instrText>
      </w:r>
      <w:r>
        <w:rPr>
          <w:noProof/>
        </w:rPr>
      </w:r>
      <w:r>
        <w:rPr>
          <w:noProof/>
        </w:rPr>
        <w:fldChar w:fldCharType="separate"/>
      </w:r>
      <w:r w:rsidR="009E1FDE">
        <w:rPr>
          <w:noProof/>
        </w:rPr>
        <w:t>41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Confidentiality requirements</w:t>
      </w:r>
      <w:r>
        <w:rPr>
          <w:noProof/>
        </w:rPr>
        <w:tab/>
      </w:r>
      <w:r>
        <w:rPr>
          <w:noProof/>
        </w:rPr>
        <w:fldChar w:fldCharType="begin"/>
      </w:r>
      <w:r>
        <w:rPr>
          <w:noProof/>
        </w:rPr>
        <w:instrText xml:space="preserve"> PAGEREF _Toc473538551 \h </w:instrText>
      </w:r>
      <w:r>
        <w:rPr>
          <w:noProof/>
        </w:rPr>
      </w:r>
      <w:r>
        <w:rPr>
          <w:noProof/>
        </w:rPr>
        <w:fldChar w:fldCharType="separate"/>
      </w:r>
      <w:r w:rsidR="009E1FDE">
        <w:rPr>
          <w:noProof/>
        </w:rPr>
        <w:t>42</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9</w:t>
      </w:r>
      <w:r>
        <w:rPr>
          <w:rFonts w:asciiTheme="minorHAnsi" w:eastAsiaTheme="minorEastAsia" w:hAnsiTheme="minorHAnsi" w:cstheme="minorBidi"/>
          <w:b w:val="0"/>
          <w:noProof/>
          <w:szCs w:val="22"/>
          <w:lang w:eastAsia="en-NZ"/>
        </w:rPr>
        <w:tab/>
      </w:r>
      <w:r>
        <w:rPr>
          <w:noProof/>
        </w:rPr>
        <w:t>Court orders</w:t>
      </w:r>
      <w:r>
        <w:rPr>
          <w:noProof/>
        </w:rPr>
        <w:tab/>
      </w:r>
      <w:r>
        <w:rPr>
          <w:noProof/>
        </w:rPr>
        <w:fldChar w:fldCharType="begin"/>
      </w:r>
      <w:r>
        <w:rPr>
          <w:noProof/>
        </w:rPr>
        <w:instrText xml:space="preserve"> PAGEREF _Toc473538552 \h </w:instrText>
      </w:r>
      <w:r>
        <w:rPr>
          <w:noProof/>
        </w:rPr>
      </w:r>
      <w:r>
        <w:rPr>
          <w:noProof/>
        </w:rPr>
        <w:fldChar w:fldCharType="separate"/>
      </w:r>
      <w:r w:rsidR="009E1FDE">
        <w:rPr>
          <w:noProof/>
        </w:rPr>
        <w:t>44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Types of court order</w:t>
      </w:r>
      <w:r>
        <w:rPr>
          <w:noProof/>
        </w:rPr>
        <w:tab/>
      </w:r>
      <w:r>
        <w:rPr>
          <w:noProof/>
        </w:rPr>
        <w:fldChar w:fldCharType="begin"/>
      </w:r>
      <w:r>
        <w:rPr>
          <w:noProof/>
        </w:rPr>
        <w:instrText xml:space="preserve"> PAGEREF _Toc473538553 \h </w:instrText>
      </w:r>
      <w:r>
        <w:rPr>
          <w:noProof/>
        </w:rPr>
      </w:r>
      <w:r>
        <w:rPr>
          <w:noProof/>
        </w:rPr>
        <w:fldChar w:fldCharType="separate"/>
      </w:r>
      <w:r w:rsidR="009E1FDE">
        <w:rPr>
          <w:noProof/>
        </w:rPr>
        <w:t>44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Differences of scope between orders and directions</w:t>
      </w:r>
      <w:r>
        <w:rPr>
          <w:noProof/>
        </w:rPr>
        <w:tab/>
      </w:r>
      <w:r>
        <w:rPr>
          <w:noProof/>
        </w:rPr>
        <w:fldChar w:fldCharType="begin"/>
      </w:r>
      <w:r>
        <w:rPr>
          <w:noProof/>
        </w:rPr>
        <w:instrText xml:space="preserve"> PAGEREF _Toc473538554 \h </w:instrText>
      </w:r>
      <w:r>
        <w:rPr>
          <w:noProof/>
        </w:rPr>
      </w:r>
      <w:r>
        <w:rPr>
          <w:noProof/>
        </w:rPr>
        <w:fldChar w:fldCharType="separate"/>
      </w:r>
      <w:r w:rsidR="009E1FDE">
        <w:rPr>
          <w:noProof/>
        </w:rPr>
        <w:t>44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Consulting with the person and family/whānau</w:t>
      </w:r>
      <w:r>
        <w:rPr>
          <w:noProof/>
        </w:rPr>
        <w:tab/>
      </w:r>
      <w:r>
        <w:rPr>
          <w:noProof/>
        </w:rPr>
        <w:fldChar w:fldCharType="begin"/>
      </w:r>
      <w:r>
        <w:rPr>
          <w:noProof/>
        </w:rPr>
        <w:instrText xml:space="preserve"> PAGEREF _Toc473538555 \h </w:instrText>
      </w:r>
      <w:r>
        <w:rPr>
          <w:noProof/>
        </w:rPr>
      </w:r>
      <w:r>
        <w:rPr>
          <w:noProof/>
        </w:rPr>
        <w:fldChar w:fldCharType="separate"/>
      </w:r>
      <w:r w:rsidR="009E1FDE">
        <w:rPr>
          <w:noProof/>
        </w:rPr>
        <w:t>45</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Time limits</w:t>
      </w:r>
      <w:r>
        <w:rPr>
          <w:noProof/>
        </w:rPr>
        <w:tab/>
      </w:r>
      <w:r>
        <w:rPr>
          <w:noProof/>
        </w:rPr>
        <w:fldChar w:fldCharType="begin"/>
      </w:r>
      <w:r>
        <w:rPr>
          <w:noProof/>
        </w:rPr>
        <w:instrText xml:space="preserve"> PAGEREF _Toc473538556 \h </w:instrText>
      </w:r>
      <w:r>
        <w:rPr>
          <w:noProof/>
        </w:rPr>
      </w:r>
      <w:r>
        <w:rPr>
          <w:noProof/>
        </w:rPr>
        <w:fldChar w:fldCharType="separate"/>
      </w:r>
      <w:r w:rsidR="009E1FDE">
        <w:rPr>
          <w:noProof/>
        </w:rPr>
        <w:t>46</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Informing the individual</w:t>
      </w:r>
      <w:r>
        <w:rPr>
          <w:noProof/>
        </w:rPr>
        <w:tab/>
      </w:r>
      <w:r>
        <w:rPr>
          <w:noProof/>
        </w:rPr>
        <w:fldChar w:fldCharType="begin"/>
      </w:r>
      <w:r>
        <w:rPr>
          <w:noProof/>
        </w:rPr>
        <w:instrText xml:space="preserve"> PAGEREF _Toc473538557 \h </w:instrText>
      </w:r>
      <w:r>
        <w:rPr>
          <w:noProof/>
        </w:rPr>
      </w:r>
      <w:r>
        <w:rPr>
          <w:noProof/>
        </w:rPr>
        <w:fldChar w:fldCharType="separate"/>
      </w:r>
      <w:r w:rsidR="009E1FDE">
        <w:rPr>
          <w:noProof/>
        </w:rPr>
        <w:t>46</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Public health orders</w:t>
      </w:r>
      <w:r>
        <w:rPr>
          <w:noProof/>
        </w:rPr>
        <w:tab/>
      </w:r>
      <w:r>
        <w:rPr>
          <w:noProof/>
        </w:rPr>
        <w:fldChar w:fldCharType="begin"/>
      </w:r>
      <w:r>
        <w:rPr>
          <w:noProof/>
        </w:rPr>
        <w:instrText xml:space="preserve"> PAGEREF _Toc473538558 \h </w:instrText>
      </w:r>
      <w:r>
        <w:rPr>
          <w:noProof/>
        </w:rPr>
      </w:r>
      <w:r>
        <w:rPr>
          <w:noProof/>
        </w:rPr>
        <w:fldChar w:fldCharType="separate"/>
      </w:r>
      <w:r w:rsidR="009E1FDE">
        <w:rPr>
          <w:noProof/>
        </w:rPr>
        <w:t>47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Medical examination orders</w:t>
      </w:r>
      <w:r>
        <w:rPr>
          <w:noProof/>
        </w:rPr>
        <w:tab/>
      </w:r>
      <w:r>
        <w:rPr>
          <w:noProof/>
        </w:rPr>
        <w:fldChar w:fldCharType="begin"/>
      </w:r>
      <w:r>
        <w:rPr>
          <w:noProof/>
        </w:rPr>
        <w:instrText xml:space="preserve"> PAGEREF _Toc473538559 \h </w:instrText>
      </w:r>
      <w:r>
        <w:rPr>
          <w:noProof/>
        </w:rPr>
      </w:r>
      <w:r>
        <w:rPr>
          <w:noProof/>
        </w:rPr>
        <w:fldChar w:fldCharType="separate"/>
      </w:r>
      <w:r w:rsidR="009E1FDE">
        <w:rPr>
          <w:noProof/>
        </w:rPr>
        <w:t>49</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Orders for contacts</w:t>
      </w:r>
      <w:r>
        <w:rPr>
          <w:noProof/>
        </w:rPr>
        <w:tab/>
      </w:r>
      <w:r>
        <w:rPr>
          <w:noProof/>
        </w:rPr>
        <w:fldChar w:fldCharType="begin"/>
      </w:r>
      <w:r>
        <w:rPr>
          <w:noProof/>
        </w:rPr>
        <w:instrText xml:space="preserve"> PAGEREF _Toc473538560 \h </w:instrText>
      </w:r>
      <w:r>
        <w:rPr>
          <w:noProof/>
        </w:rPr>
      </w:r>
      <w:r>
        <w:rPr>
          <w:noProof/>
        </w:rPr>
        <w:fldChar w:fldCharType="separate"/>
      </w:r>
      <w:r w:rsidR="009E1FDE">
        <w:rPr>
          <w:noProof/>
        </w:rPr>
        <w:t>51</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How to apply for orders</w:t>
      </w:r>
      <w:r>
        <w:rPr>
          <w:noProof/>
        </w:rPr>
        <w:tab/>
      </w:r>
      <w:r>
        <w:rPr>
          <w:noProof/>
        </w:rPr>
        <w:fldChar w:fldCharType="begin"/>
      </w:r>
      <w:r>
        <w:rPr>
          <w:noProof/>
        </w:rPr>
        <w:instrText xml:space="preserve"> PAGEREF _Toc473538561 \h </w:instrText>
      </w:r>
      <w:r>
        <w:rPr>
          <w:noProof/>
        </w:rPr>
      </w:r>
      <w:r>
        <w:rPr>
          <w:noProof/>
        </w:rPr>
        <w:fldChar w:fldCharType="separate"/>
      </w:r>
      <w:r w:rsidR="009E1FDE">
        <w:rPr>
          <w:noProof/>
        </w:rPr>
        <w:t>52</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Effect of orders on directions</w:t>
      </w:r>
      <w:r>
        <w:rPr>
          <w:noProof/>
        </w:rPr>
        <w:tab/>
      </w:r>
      <w:r>
        <w:rPr>
          <w:noProof/>
        </w:rPr>
        <w:fldChar w:fldCharType="begin"/>
      </w:r>
      <w:r>
        <w:rPr>
          <w:noProof/>
        </w:rPr>
        <w:instrText xml:space="preserve"> PAGEREF _Toc473538562 \h </w:instrText>
      </w:r>
      <w:r>
        <w:rPr>
          <w:noProof/>
        </w:rPr>
      </w:r>
      <w:r>
        <w:rPr>
          <w:noProof/>
        </w:rPr>
        <w:fldChar w:fldCharType="separate"/>
      </w:r>
      <w:r w:rsidR="009E1FDE">
        <w:rPr>
          <w:noProof/>
        </w:rPr>
        <w:t>53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Reviews</w:t>
      </w:r>
      <w:r>
        <w:rPr>
          <w:noProof/>
        </w:rPr>
        <w:tab/>
      </w:r>
      <w:r>
        <w:rPr>
          <w:noProof/>
        </w:rPr>
        <w:fldChar w:fldCharType="begin"/>
      </w:r>
      <w:r>
        <w:rPr>
          <w:noProof/>
        </w:rPr>
        <w:instrText xml:space="preserve"> PAGEREF _Toc473538563 \h </w:instrText>
      </w:r>
      <w:r>
        <w:rPr>
          <w:noProof/>
        </w:rPr>
      </w:r>
      <w:r>
        <w:rPr>
          <w:noProof/>
        </w:rPr>
        <w:fldChar w:fldCharType="separate"/>
      </w:r>
      <w:r w:rsidR="009E1FDE">
        <w:rPr>
          <w:noProof/>
        </w:rPr>
        <w:t>53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Variation, extension and cancellation of orders</w:t>
      </w:r>
      <w:r>
        <w:rPr>
          <w:noProof/>
        </w:rPr>
        <w:tab/>
      </w:r>
      <w:r>
        <w:rPr>
          <w:noProof/>
        </w:rPr>
        <w:fldChar w:fldCharType="begin"/>
      </w:r>
      <w:r>
        <w:rPr>
          <w:noProof/>
        </w:rPr>
        <w:instrText xml:space="preserve"> PAGEREF _Toc473538564 \h </w:instrText>
      </w:r>
      <w:r>
        <w:rPr>
          <w:noProof/>
        </w:rPr>
      </w:r>
      <w:r>
        <w:rPr>
          <w:noProof/>
        </w:rPr>
        <w:fldChar w:fldCharType="separate"/>
      </w:r>
      <w:r w:rsidR="009E1FDE">
        <w:rPr>
          <w:noProof/>
        </w:rPr>
        <w:t>54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Appeals against court orders</w:t>
      </w:r>
      <w:r>
        <w:rPr>
          <w:noProof/>
        </w:rPr>
        <w:tab/>
      </w:r>
      <w:r>
        <w:rPr>
          <w:noProof/>
        </w:rPr>
        <w:fldChar w:fldCharType="begin"/>
      </w:r>
      <w:r>
        <w:rPr>
          <w:noProof/>
        </w:rPr>
        <w:instrText xml:space="preserve"> PAGEREF _Toc473538565 \h </w:instrText>
      </w:r>
      <w:r>
        <w:rPr>
          <w:noProof/>
        </w:rPr>
      </w:r>
      <w:r>
        <w:rPr>
          <w:noProof/>
        </w:rPr>
        <w:fldChar w:fldCharType="separate"/>
      </w:r>
      <w:r w:rsidR="009E1FDE">
        <w:rPr>
          <w:noProof/>
        </w:rPr>
        <w:t>55</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Prosecution for non-compliance</w:t>
      </w:r>
      <w:r>
        <w:rPr>
          <w:noProof/>
        </w:rPr>
        <w:tab/>
      </w:r>
      <w:r>
        <w:rPr>
          <w:noProof/>
        </w:rPr>
        <w:fldChar w:fldCharType="begin"/>
      </w:r>
      <w:r>
        <w:rPr>
          <w:noProof/>
        </w:rPr>
        <w:instrText xml:space="preserve"> PAGEREF _Toc473538566 \h </w:instrText>
      </w:r>
      <w:r>
        <w:rPr>
          <w:noProof/>
        </w:rPr>
      </w:r>
      <w:r>
        <w:rPr>
          <w:noProof/>
        </w:rPr>
        <w:fldChar w:fldCharType="separate"/>
      </w:r>
      <w:r w:rsidR="009E1FDE">
        <w:rPr>
          <w:noProof/>
        </w:rPr>
        <w:t>57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Use of force</w:t>
      </w:r>
      <w:r>
        <w:rPr>
          <w:noProof/>
        </w:rPr>
        <w:tab/>
      </w:r>
      <w:r>
        <w:rPr>
          <w:noProof/>
        </w:rPr>
        <w:fldChar w:fldCharType="begin"/>
      </w:r>
      <w:r>
        <w:rPr>
          <w:noProof/>
        </w:rPr>
        <w:instrText xml:space="preserve"> PAGEREF _Toc473538567 \h </w:instrText>
      </w:r>
      <w:r>
        <w:rPr>
          <w:noProof/>
        </w:rPr>
      </w:r>
      <w:r>
        <w:rPr>
          <w:noProof/>
        </w:rPr>
        <w:fldChar w:fldCharType="separate"/>
      </w:r>
      <w:r w:rsidR="009E1FDE">
        <w:rPr>
          <w:noProof/>
        </w:rPr>
        <w:t>58</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Confidentiality requirements</w:t>
      </w:r>
      <w:r>
        <w:rPr>
          <w:noProof/>
        </w:rPr>
        <w:tab/>
      </w:r>
      <w:r>
        <w:rPr>
          <w:noProof/>
        </w:rPr>
        <w:fldChar w:fldCharType="begin"/>
      </w:r>
      <w:r>
        <w:rPr>
          <w:noProof/>
        </w:rPr>
        <w:instrText xml:space="preserve"> PAGEREF _Toc473538568 \h </w:instrText>
      </w:r>
      <w:r>
        <w:rPr>
          <w:noProof/>
        </w:rPr>
      </w:r>
      <w:r>
        <w:rPr>
          <w:noProof/>
        </w:rPr>
        <w:fldChar w:fldCharType="separate"/>
      </w:r>
      <w:r w:rsidR="009E1FDE">
        <w:rPr>
          <w:noProof/>
        </w:rPr>
        <w:t>58</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10</w:t>
      </w:r>
      <w:r>
        <w:rPr>
          <w:rFonts w:asciiTheme="minorHAnsi" w:eastAsiaTheme="minorEastAsia" w:hAnsiTheme="minorHAnsi" w:cstheme="minorBidi"/>
          <w:b w:val="0"/>
          <w:noProof/>
          <w:szCs w:val="22"/>
          <w:lang w:eastAsia="en-NZ"/>
        </w:rPr>
        <w:tab/>
      </w:r>
      <w:r>
        <w:rPr>
          <w:noProof/>
        </w:rPr>
        <w:t>Urgent public health orders</w:t>
      </w:r>
      <w:r>
        <w:rPr>
          <w:noProof/>
        </w:rPr>
        <w:tab/>
      </w:r>
      <w:r>
        <w:rPr>
          <w:noProof/>
        </w:rPr>
        <w:fldChar w:fldCharType="begin"/>
      </w:r>
      <w:r>
        <w:rPr>
          <w:noProof/>
        </w:rPr>
        <w:instrText xml:space="preserve"> PAGEREF _Toc473538569 \h </w:instrText>
      </w:r>
      <w:r>
        <w:rPr>
          <w:noProof/>
        </w:rPr>
      </w:r>
      <w:r>
        <w:rPr>
          <w:noProof/>
        </w:rPr>
        <w:fldChar w:fldCharType="separate"/>
      </w:r>
      <w:r w:rsidR="009E1FDE">
        <w:rPr>
          <w:noProof/>
        </w:rPr>
        <w:t>60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Nature of the order</w:t>
      </w:r>
      <w:r>
        <w:rPr>
          <w:noProof/>
        </w:rPr>
        <w:tab/>
      </w:r>
      <w:r>
        <w:rPr>
          <w:noProof/>
        </w:rPr>
        <w:fldChar w:fldCharType="begin"/>
      </w:r>
      <w:r>
        <w:rPr>
          <w:noProof/>
        </w:rPr>
        <w:instrText xml:space="preserve"> PAGEREF _Toc473538570 \h </w:instrText>
      </w:r>
      <w:r>
        <w:rPr>
          <w:noProof/>
        </w:rPr>
      </w:r>
      <w:r>
        <w:rPr>
          <w:noProof/>
        </w:rPr>
        <w:fldChar w:fldCharType="separate"/>
      </w:r>
      <w:r w:rsidR="009E1FDE">
        <w:rPr>
          <w:noProof/>
        </w:rPr>
        <w:t>60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When the order can be imposed</w:t>
      </w:r>
      <w:r>
        <w:rPr>
          <w:noProof/>
        </w:rPr>
        <w:tab/>
      </w:r>
      <w:r>
        <w:rPr>
          <w:noProof/>
        </w:rPr>
        <w:fldChar w:fldCharType="begin"/>
      </w:r>
      <w:r>
        <w:rPr>
          <w:noProof/>
        </w:rPr>
        <w:instrText xml:space="preserve"> PAGEREF _Toc473538571 \h </w:instrText>
      </w:r>
      <w:r>
        <w:rPr>
          <w:noProof/>
        </w:rPr>
      </w:r>
      <w:r>
        <w:rPr>
          <w:noProof/>
        </w:rPr>
        <w:fldChar w:fldCharType="separate"/>
      </w:r>
      <w:r w:rsidR="009E1FDE">
        <w:rPr>
          <w:noProof/>
        </w:rPr>
        <w:t>60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How the order is imposed</w:t>
      </w:r>
      <w:r>
        <w:rPr>
          <w:noProof/>
        </w:rPr>
        <w:tab/>
      </w:r>
      <w:r>
        <w:rPr>
          <w:noProof/>
        </w:rPr>
        <w:fldChar w:fldCharType="begin"/>
      </w:r>
      <w:r>
        <w:rPr>
          <w:noProof/>
        </w:rPr>
        <w:instrText xml:space="preserve"> PAGEREF _Toc473538572 \h </w:instrText>
      </w:r>
      <w:r>
        <w:rPr>
          <w:noProof/>
        </w:rPr>
      </w:r>
      <w:r>
        <w:rPr>
          <w:noProof/>
        </w:rPr>
        <w:fldChar w:fldCharType="separate"/>
      </w:r>
      <w:r w:rsidR="009E1FDE">
        <w:rPr>
          <w:noProof/>
        </w:rPr>
        <w:t>61</w:t>
      </w:r>
      <w:r>
        <w:rPr>
          <w:noProof/>
        </w:rPr>
        <w:fldChar w:fldCharType="end"/>
      </w:r>
    </w:p>
    <w:p w:rsidR="00225FBC" w:rsidRDefault="00225FBC" w:rsidP="00225FBC">
      <w:pPr>
        <w:pStyle w:val="TOC1"/>
        <w:keepNext/>
        <w:rPr>
          <w:rFonts w:asciiTheme="minorHAnsi" w:eastAsiaTheme="minorEastAsia" w:hAnsiTheme="minorHAnsi" w:cstheme="minorBidi"/>
          <w:b w:val="0"/>
          <w:noProof/>
          <w:szCs w:val="22"/>
          <w:lang w:eastAsia="en-NZ"/>
        </w:rPr>
      </w:pPr>
      <w:r>
        <w:rPr>
          <w:noProof/>
        </w:rPr>
        <w:t>11</w:t>
      </w:r>
      <w:r>
        <w:rPr>
          <w:rFonts w:asciiTheme="minorHAnsi" w:eastAsiaTheme="minorEastAsia" w:hAnsiTheme="minorHAnsi" w:cstheme="minorBidi"/>
          <w:b w:val="0"/>
          <w:noProof/>
          <w:szCs w:val="22"/>
          <w:lang w:eastAsia="en-NZ"/>
        </w:rPr>
        <w:tab/>
      </w:r>
      <w:r>
        <w:rPr>
          <w:noProof/>
        </w:rPr>
        <w:t>Templates</w:t>
      </w:r>
      <w:r>
        <w:rPr>
          <w:noProof/>
        </w:rPr>
        <w:tab/>
      </w:r>
      <w:r>
        <w:rPr>
          <w:noProof/>
        </w:rPr>
        <w:fldChar w:fldCharType="begin"/>
      </w:r>
      <w:r>
        <w:rPr>
          <w:noProof/>
        </w:rPr>
        <w:instrText xml:space="preserve"> PAGEREF _Toc473538573 \h </w:instrText>
      </w:r>
      <w:r>
        <w:rPr>
          <w:noProof/>
        </w:rPr>
      </w:r>
      <w:r>
        <w:rPr>
          <w:noProof/>
        </w:rPr>
        <w:fldChar w:fldCharType="separate"/>
      </w:r>
      <w:r w:rsidR="009E1FDE">
        <w:rPr>
          <w:noProof/>
        </w:rPr>
        <w:t>64</w:t>
      </w:r>
      <w:r>
        <w:rPr>
          <w:noProof/>
        </w:rPr>
        <w:fldChar w:fldCharType="end"/>
      </w:r>
    </w:p>
    <w:p w:rsidR="00225FBC" w:rsidRDefault="00225FBC" w:rsidP="00225FBC">
      <w:pPr>
        <w:pStyle w:val="TOC2"/>
        <w:keepNext/>
        <w:rPr>
          <w:rFonts w:asciiTheme="minorHAnsi" w:eastAsiaTheme="minorEastAsia" w:hAnsiTheme="minorHAnsi" w:cstheme="minorBidi"/>
          <w:noProof/>
          <w:szCs w:val="22"/>
          <w:lang w:eastAsia="en-NZ"/>
        </w:rPr>
      </w:pPr>
      <w:r>
        <w:rPr>
          <w:noProof/>
        </w:rPr>
        <w:t>Introductory</w:t>
      </w:r>
      <w:r>
        <w:rPr>
          <w:noProof/>
        </w:rPr>
        <w:tab/>
      </w:r>
      <w:r>
        <w:rPr>
          <w:noProof/>
        </w:rPr>
        <w:fldChar w:fldCharType="begin"/>
      </w:r>
      <w:r>
        <w:rPr>
          <w:noProof/>
        </w:rPr>
        <w:instrText xml:space="preserve"> PAGEREF _Toc473538574 \h </w:instrText>
      </w:r>
      <w:r>
        <w:rPr>
          <w:noProof/>
        </w:rPr>
      </w:r>
      <w:r>
        <w:rPr>
          <w:noProof/>
        </w:rPr>
        <w:fldChar w:fldCharType="separate"/>
      </w:r>
      <w:r w:rsidR="009E1FDE">
        <w:rPr>
          <w:noProof/>
        </w:rPr>
        <w:t>64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public health direction</w:t>
      </w:r>
      <w:r>
        <w:rPr>
          <w:noProof/>
        </w:rPr>
        <w:tab/>
      </w:r>
      <w:r>
        <w:rPr>
          <w:noProof/>
        </w:rPr>
        <w:fldChar w:fldCharType="begin"/>
      </w:r>
      <w:r>
        <w:rPr>
          <w:noProof/>
        </w:rPr>
        <w:instrText xml:space="preserve"> PAGEREF _Toc473538575 \h </w:instrText>
      </w:r>
      <w:r>
        <w:rPr>
          <w:noProof/>
        </w:rPr>
      </w:r>
      <w:r>
        <w:rPr>
          <w:noProof/>
        </w:rPr>
        <w:fldChar w:fldCharType="separate"/>
      </w:r>
      <w:r w:rsidR="009E1FDE">
        <w:rPr>
          <w:noProof/>
        </w:rPr>
        <w:t>65</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direction for contacts</w:t>
      </w:r>
      <w:r>
        <w:rPr>
          <w:noProof/>
        </w:rPr>
        <w:tab/>
      </w:r>
      <w:r>
        <w:rPr>
          <w:noProof/>
        </w:rPr>
        <w:fldChar w:fldCharType="begin"/>
      </w:r>
      <w:r>
        <w:rPr>
          <w:noProof/>
        </w:rPr>
        <w:instrText xml:space="preserve"> PAGEREF _Toc473538576 \h </w:instrText>
      </w:r>
      <w:r>
        <w:rPr>
          <w:noProof/>
        </w:rPr>
      </w:r>
      <w:r>
        <w:rPr>
          <w:noProof/>
        </w:rPr>
        <w:fldChar w:fldCharType="separate"/>
      </w:r>
      <w:r w:rsidR="009E1FDE">
        <w:rPr>
          <w:noProof/>
        </w:rPr>
        <w:t>69</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medical examination/s direction</w:t>
      </w:r>
      <w:r>
        <w:rPr>
          <w:noProof/>
        </w:rPr>
        <w:tab/>
      </w:r>
      <w:r>
        <w:rPr>
          <w:noProof/>
        </w:rPr>
        <w:fldChar w:fldCharType="begin"/>
      </w:r>
      <w:r>
        <w:rPr>
          <w:noProof/>
        </w:rPr>
        <w:instrText xml:space="preserve"> PAGEREF _Toc473538577 \h </w:instrText>
      </w:r>
      <w:r>
        <w:rPr>
          <w:noProof/>
        </w:rPr>
      </w:r>
      <w:r>
        <w:rPr>
          <w:noProof/>
        </w:rPr>
        <w:fldChar w:fldCharType="separate"/>
      </w:r>
      <w:r w:rsidR="009E1FDE">
        <w:rPr>
          <w:noProof/>
        </w:rPr>
        <w:t>73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educational institution direction</w:t>
      </w:r>
      <w:r>
        <w:rPr>
          <w:noProof/>
        </w:rPr>
        <w:tab/>
      </w:r>
      <w:r>
        <w:rPr>
          <w:noProof/>
        </w:rPr>
        <w:fldChar w:fldCharType="begin"/>
      </w:r>
      <w:r>
        <w:rPr>
          <w:noProof/>
        </w:rPr>
        <w:instrText xml:space="preserve"> PAGEREF _Toc473538578 \h </w:instrText>
      </w:r>
      <w:r>
        <w:rPr>
          <w:noProof/>
        </w:rPr>
      </w:r>
      <w:r>
        <w:rPr>
          <w:noProof/>
        </w:rPr>
        <w:fldChar w:fldCharType="separate"/>
      </w:r>
      <w:r w:rsidR="009E1FDE">
        <w:rPr>
          <w:noProof/>
        </w:rPr>
        <w:t>77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notice extending direction</w:t>
      </w:r>
      <w:r>
        <w:rPr>
          <w:noProof/>
        </w:rPr>
        <w:tab/>
      </w:r>
      <w:r>
        <w:rPr>
          <w:noProof/>
        </w:rPr>
        <w:fldChar w:fldCharType="begin"/>
      </w:r>
      <w:r>
        <w:rPr>
          <w:noProof/>
        </w:rPr>
        <w:instrText xml:space="preserve"> PAGEREF _Toc473538579 \h </w:instrText>
      </w:r>
      <w:r>
        <w:rPr>
          <w:noProof/>
        </w:rPr>
      </w:r>
      <w:r>
        <w:rPr>
          <w:noProof/>
        </w:rPr>
        <w:fldChar w:fldCharType="separate"/>
      </w:r>
      <w:r w:rsidR="009E1FDE">
        <w:rPr>
          <w:noProof/>
        </w:rPr>
        <w:t>80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notice varying direction</w:t>
      </w:r>
      <w:r>
        <w:rPr>
          <w:noProof/>
        </w:rPr>
        <w:tab/>
      </w:r>
      <w:r>
        <w:rPr>
          <w:noProof/>
        </w:rPr>
        <w:fldChar w:fldCharType="begin"/>
      </w:r>
      <w:r>
        <w:rPr>
          <w:noProof/>
        </w:rPr>
        <w:instrText xml:space="preserve"> PAGEREF _Toc473538580 \h </w:instrText>
      </w:r>
      <w:r>
        <w:rPr>
          <w:noProof/>
        </w:rPr>
      </w:r>
      <w:r>
        <w:rPr>
          <w:noProof/>
        </w:rPr>
        <w:fldChar w:fldCharType="separate"/>
      </w:r>
      <w:r w:rsidR="009E1FDE">
        <w:rPr>
          <w:noProof/>
        </w:rPr>
        <w:t>83</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notice cancelling direction</w:t>
      </w:r>
      <w:r>
        <w:rPr>
          <w:noProof/>
        </w:rPr>
        <w:tab/>
      </w:r>
      <w:r>
        <w:rPr>
          <w:noProof/>
        </w:rPr>
        <w:fldChar w:fldCharType="begin"/>
      </w:r>
      <w:r>
        <w:rPr>
          <w:noProof/>
        </w:rPr>
        <w:instrText xml:space="preserve"> PAGEREF _Toc473538581 \h </w:instrText>
      </w:r>
      <w:r>
        <w:rPr>
          <w:noProof/>
        </w:rPr>
      </w:r>
      <w:r>
        <w:rPr>
          <w:noProof/>
        </w:rPr>
        <w:fldChar w:fldCharType="separate"/>
      </w:r>
      <w:r w:rsidR="009E1FDE">
        <w:rPr>
          <w:noProof/>
        </w:rPr>
        <w:t>86</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originating application</w:t>
      </w:r>
      <w:r>
        <w:rPr>
          <w:noProof/>
        </w:rPr>
        <w:tab/>
      </w:r>
      <w:r>
        <w:rPr>
          <w:noProof/>
        </w:rPr>
        <w:fldChar w:fldCharType="begin"/>
      </w:r>
      <w:r>
        <w:rPr>
          <w:noProof/>
        </w:rPr>
        <w:instrText xml:space="preserve"> PAGEREF _Toc473538582 \h </w:instrText>
      </w:r>
      <w:r>
        <w:rPr>
          <w:noProof/>
        </w:rPr>
      </w:r>
      <w:r>
        <w:rPr>
          <w:noProof/>
        </w:rPr>
        <w:fldChar w:fldCharType="separate"/>
      </w:r>
      <w:r w:rsidR="009E1FDE">
        <w:rPr>
          <w:noProof/>
        </w:rPr>
        <w:t>87</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affidavit accompanying originating application</w:t>
      </w:r>
      <w:r>
        <w:rPr>
          <w:noProof/>
        </w:rPr>
        <w:tab/>
      </w:r>
      <w:r>
        <w:rPr>
          <w:noProof/>
        </w:rPr>
        <w:fldChar w:fldCharType="begin"/>
      </w:r>
      <w:r>
        <w:rPr>
          <w:noProof/>
        </w:rPr>
        <w:instrText xml:space="preserve"> PAGEREF _Toc473538583 \h </w:instrText>
      </w:r>
      <w:r>
        <w:rPr>
          <w:noProof/>
        </w:rPr>
      </w:r>
      <w:r>
        <w:rPr>
          <w:noProof/>
        </w:rPr>
        <w:fldChar w:fldCharType="separate"/>
      </w:r>
      <w:r w:rsidR="009E1FDE">
        <w:rPr>
          <w:noProof/>
        </w:rPr>
        <w:t>88</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information sheet once order imposed</w:t>
      </w:r>
      <w:r>
        <w:rPr>
          <w:noProof/>
        </w:rPr>
        <w:tab/>
      </w:r>
      <w:r>
        <w:rPr>
          <w:noProof/>
        </w:rPr>
        <w:fldChar w:fldCharType="begin"/>
      </w:r>
      <w:r>
        <w:rPr>
          <w:noProof/>
        </w:rPr>
        <w:instrText xml:space="preserve"> PAGEREF _Toc473538584 \h </w:instrText>
      </w:r>
      <w:r>
        <w:rPr>
          <w:noProof/>
        </w:rPr>
      </w:r>
      <w:r>
        <w:rPr>
          <w:noProof/>
        </w:rPr>
        <w:fldChar w:fldCharType="separate"/>
      </w:r>
      <w:r w:rsidR="009E1FDE">
        <w:rPr>
          <w:noProof/>
        </w:rPr>
        <w:t>89</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parties’ request to cancel order on the papers</w:t>
      </w:r>
      <w:r>
        <w:rPr>
          <w:noProof/>
        </w:rPr>
        <w:tab/>
      </w:r>
      <w:r>
        <w:rPr>
          <w:noProof/>
        </w:rPr>
        <w:fldChar w:fldCharType="begin"/>
      </w:r>
      <w:r>
        <w:rPr>
          <w:noProof/>
        </w:rPr>
        <w:instrText xml:space="preserve"> PAGEREF _Toc473538585 \h </w:instrText>
      </w:r>
      <w:r>
        <w:rPr>
          <w:noProof/>
        </w:rPr>
      </w:r>
      <w:r>
        <w:rPr>
          <w:noProof/>
        </w:rPr>
        <w:fldChar w:fldCharType="separate"/>
      </w:r>
      <w:r w:rsidR="009E1FDE">
        <w:rPr>
          <w:noProof/>
        </w:rPr>
        <w:t>90</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certificate that order is no longer necessary</w:t>
      </w:r>
      <w:r>
        <w:rPr>
          <w:noProof/>
        </w:rPr>
        <w:tab/>
      </w:r>
      <w:r>
        <w:rPr>
          <w:noProof/>
        </w:rPr>
        <w:fldChar w:fldCharType="begin"/>
      </w:r>
      <w:r>
        <w:rPr>
          <w:noProof/>
        </w:rPr>
        <w:instrText xml:space="preserve"> PAGEREF _Toc473538586 \h </w:instrText>
      </w:r>
      <w:r>
        <w:rPr>
          <w:noProof/>
        </w:rPr>
      </w:r>
      <w:r>
        <w:rPr>
          <w:noProof/>
        </w:rPr>
        <w:fldChar w:fldCharType="separate"/>
      </w:r>
      <w:r w:rsidR="009E1FDE">
        <w:rPr>
          <w:noProof/>
        </w:rPr>
        <w:t>92</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certificate</w:t>
      </w:r>
      <w:r w:rsidRPr="00230FDD">
        <w:rPr>
          <w:rFonts w:cs="Arial"/>
          <w:noProof/>
        </w:rPr>
        <w:t xml:space="preserve"> t</w:t>
      </w:r>
      <w:r>
        <w:rPr>
          <w:noProof/>
        </w:rPr>
        <w:t>hat individual has undergone specified medical examination/s</w:t>
      </w:r>
      <w:r>
        <w:rPr>
          <w:noProof/>
        </w:rPr>
        <w:tab/>
      </w:r>
      <w:r>
        <w:rPr>
          <w:noProof/>
        </w:rPr>
        <w:fldChar w:fldCharType="begin"/>
      </w:r>
      <w:r>
        <w:rPr>
          <w:noProof/>
        </w:rPr>
        <w:instrText xml:space="preserve"> PAGEREF _Toc473538587 \h </w:instrText>
      </w:r>
      <w:r>
        <w:rPr>
          <w:noProof/>
        </w:rPr>
      </w:r>
      <w:r>
        <w:rPr>
          <w:noProof/>
        </w:rPr>
        <w:fldChar w:fldCharType="separate"/>
      </w:r>
      <w:r w:rsidR="009E1FDE">
        <w:rPr>
          <w:noProof/>
        </w:rPr>
        <w:t>94</w:t>
      </w:r>
      <w:r>
        <w:rPr>
          <w:noProof/>
        </w:rPr>
        <w:fldChar w:fldCharType="end"/>
      </w:r>
    </w:p>
    <w:p w:rsidR="00225FBC" w:rsidRDefault="00225FBC">
      <w:pPr>
        <w:pStyle w:val="TOC2"/>
        <w:rPr>
          <w:rFonts w:asciiTheme="minorHAnsi" w:eastAsiaTheme="minorEastAsia" w:hAnsiTheme="minorHAnsi" w:cstheme="minorBidi"/>
          <w:noProof/>
          <w:szCs w:val="22"/>
          <w:lang w:eastAsia="en-NZ"/>
        </w:rPr>
      </w:pPr>
      <w:r>
        <w:rPr>
          <w:noProof/>
        </w:rPr>
        <w:t>Template for urgent public health order</w:t>
      </w:r>
      <w:r>
        <w:rPr>
          <w:noProof/>
        </w:rPr>
        <w:tab/>
      </w:r>
      <w:r>
        <w:rPr>
          <w:noProof/>
        </w:rPr>
        <w:fldChar w:fldCharType="begin"/>
      </w:r>
      <w:r>
        <w:rPr>
          <w:noProof/>
        </w:rPr>
        <w:instrText xml:space="preserve"> PAGEREF _Toc473538588 \h </w:instrText>
      </w:r>
      <w:r>
        <w:rPr>
          <w:noProof/>
        </w:rPr>
      </w:r>
      <w:r>
        <w:rPr>
          <w:noProof/>
        </w:rPr>
        <w:fldChar w:fldCharType="separate"/>
      </w:r>
      <w:r w:rsidR="009E1FDE">
        <w:rPr>
          <w:noProof/>
        </w:rPr>
        <w:t>95</w:t>
      </w:r>
      <w:r>
        <w:rPr>
          <w:noProof/>
        </w:rPr>
        <w:fldChar w:fldCharType="end"/>
      </w:r>
    </w:p>
    <w:p w:rsidR="00225FBC" w:rsidRDefault="00225FBC">
      <w:pPr>
        <w:pStyle w:val="TOC1"/>
        <w:rPr>
          <w:rFonts w:asciiTheme="minorHAnsi" w:eastAsiaTheme="minorEastAsia" w:hAnsiTheme="minorHAnsi" w:cstheme="minorBidi"/>
          <w:b w:val="0"/>
          <w:noProof/>
          <w:szCs w:val="22"/>
          <w:lang w:eastAsia="en-NZ"/>
        </w:rPr>
      </w:pPr>
      <w:r>
        <w:rPr>
          <w:noProof/>
        </w:rPr>
        <w:t>12</w:t>
      </w:r>
      <w:r>
        <w:rPr>
          <w:rFonts w:asciiTheme="minorHAnsi" w:eastAsiaTheme="minorEastAsia" w:hAnsiTheme="minorHAnsi" w:cstheme="minorBidi"/>
          <w:b w:val="0"/>
          <w:noProof/>
          <w:szCs w:val="22"/>
          <w:lang w:eastAsia="en-NZ"/>
        </w:rPr>
        <w:tab/>
      </w:r>
      <w:r>
        <w:rPr>
          <w:noProof/>
        </w:rPr>
        <w:t>Appendices</w:t>
      </w:r>
      <w:r>
        <w:rPr>
          <w:noProof/>
        </w:rPr>
        <w:tab/>
      </w:r>
      <w:r>
        <w:rPr>
          <w:noProof/>
        </w:rPr>
        <w:fldChar w:fldCharType="begin"/>
      </w:r>
      <w:r>
        <w:rPr>
          <w:noProof/>
        </w:rPr>
        <w:instrText xml:space="preserve"> PAGEREF _Toc473538589 \h </w:instrText>
      </w:r>
      <w:r>
        <w:rPr>
          <w:noProof/>
        </w:rPr>
      </w:r>
      <w:r>
        <w:rPr>
          <w:noProof/>
        </w:rPr>
        <w:fldChar w:fldCharType="separate"/>
      </w:r>
      <w:r w:rsidR="009E1FDE">
        <w:rPr>
          <w:noProof/>
        </w:rPr>
        <w:t>98</w:t>
      </w:r>
      <w:r>
        <w:rPr>
          <w:noProof/>
        </w:rPr>
        <w:fldChar w:fldCharType="end"/>
      </w:r>
    </w:p>
    <w:p w:rsidR="00225FBC" w:rsidRDefault="00225FBC" w:rsidP="00225FBC">
      <w:pPr>
        <w:pStyle w:val="TOC2"/>
        <w:tabs>
          <w:tab w:val="left" w:pos="1985"/>
        </w:tabs>
        <w:ind w:left="1985" w:hanging="1418"/>
        <w:rPr>
          <w:rFonts w:asciiTheme="minorHAnsi" w:eastAsiaTheme="minorEastAsia" w:hAnsiTheme="minorHAnsi" w:cstheme="minorBidi"/>
          <w:noProof/>
          <w:szCs w:val="22"/>
          <w:lang w:eastAsia="en-NZ"/>
        </w:rPr>
      </w:pPr>
      <w:r>
        <w:rPr>
          <w:noProof/>
        </w:rPr>
        <w:t>Appendix 1:</w:t>
      </w:r>
      <w:r>
        <w:rPr>
          <w:noProof/>
        </w:rPr>
        <w:tab/>
        <w:t>Glossary</w:t>
      </w:r>
      <w:r>
        <w:rPr>
          <w:noProof/>
        </w:rPr>
        <w:tab/>
      </w:r>
      <w:r>
        <w:rPr>
          <w:noProof/>
        </w:rPr>
        <w:fldChar w:fldCharType="begin"/>
      </w:r>
      <w:r>
        <w:rPr>
          <w:noProof/>
        </w:rPr>
        <w:instrText xml:space="preserve"> PAGEREF _Toc473538590 \h </w:instrText>
      </w:r>
      <w:r>
        <w:rPr>
          <w:noProof/>
        </w:rPr>
      </w:r>
      <w:r>
        <w:rPr>
          <w:noProof/>
        </w:rPr>
        <w:fldChar w:fldCharType="separate"/>
      </w:r>
      <w:r w:rsidR="009E1FDE">
        <w:rPr>
          <w:noProof/>
        </w:rPr>
        <w:t>98</w:t>
      </w:r>
      <w:r>
        <w:rPr>
          <w:noProof/>
        </w:rPr>
        <w:fldChar w:fldCharType="end"/>
      </w:r>
    </w:p>
    <w:p w:rsidR="00225FBC" w:rsidRDefault="00225FBC" w:rsidP="00225FBC">
      <w:pPr>
        <w:pStyle w:val="TOC2"/>
        <w:tabs>
          <w:tab w:val="left" w:pos="1985"/>
        </w:tabs>
        <w:ind w:left="1985" w:hanging="1418"/>
        <w:rPr>
          <w:rFonts w:asciiTheme="minorHAnsi" w:eastAsiaTheme="minorEastAsia" w:hAnsiTheme="minorHAnsi" w:cstheme="minorBidi"/>
          <w:noProof/>
          <w:szCs w:val="22"/>
          <w:lang w:eastAsia="en-NZ"/>
        </w:rPr>
      </w:pPr>
      <w:r>
        <w:rPr>
          <w:noProof/>
        </w:rPr>
        <w:t>Appendix 2:</w:t>
      </w:r>
      <w:r>
        <w:rPr>
          <w:noProof/>
        </w:rPr>
        <w:tab/>
        <w:t>Notification provisions from the Health Act 1956 (as at 4 January 2017)</w:t>
      </w:r>
      <w:r>
        <w:rPr>
          <w:noProof/>
        </w:rPr>
        <w:tab/>
      </w:r>
      <w:r>
        <w:rPr>
          <w:noProof/>
        </w:rPr>
        <w:fldChar w:fldCharType="begin"/>
      </w:r>
      <w:r>
        <w:rPr>
          <w:noProof/>
        </w:rPr>
        <w:instrText xml:space="preserve"> PAGEREF _Toc473538591 \h </w:instrText>
      </w:r>
      <w:r>
        <w:rPr>
          <w:noProof/>
        </w:rPr>
      </w:r>
      <w:r>
        <w:rPr>
          <w:noProof/>
        </w:rPr>
        <w:fldChar w:fldCharType="separate"/>
      </w:r>
      <w:r w:rsidR="009E1FDE">
        <w:rPr>
          <w:noProof/>
        </w:rPr>
        <w:t>101</w:t>
      </w:r>
      <w:r>
        <w:rPr>
          <w:noProof/>
        </w:rPr>
        <w:fldChar w:fldCharType="end"/>
      </w:r>
    </w:p>
    <w:p w:rsidR="00225FBC" w:rsidRDefault="00225FBC" w:rsidP="00225FBC">
      <w:pPr>
        <w:pStyle w:val="TOC2"/>
        <w:tabs>
          <w:tab w:val="left" w:pos="1985"/>
        </w:tabs>
        <w:ind w:left="1985" w:hanging="1418"/>
        <w:rPr>
          <w:rFonts w:asciiTheme="minorHAnsi" w:eastAsiaTheme="minorEastAsia" w:hAnsiTheme="minorHAnsi" w:cstheme="minorBidi"/>
          <w:noProof/>
          <w:szCs w:val="22"/>
          <w:lang w:eastAsia="en-NZ"/>
        </w:rPr>
      </w:pPr>
      <w:r>
        <w:rPr>
          <w:noProof/>
        </w:rPr>
        <w:t>Appendix 3:</w:t>
      </w:r>
      <w:r>
        <w:rPr>
          <w:noProof/>
        </w:rPr>
        <w:tab/>
        <w:t>Notification provisions and forms from the HIND Regulations 2016 (as at 4 January 2017)</w:t>
      </w:r>
      <w:r>
        <w:rPr>
          <w:noProof/>
        </w:rPr>
        <w:tab/>
      </w:r>
      <w:r>
        <w:rPr>
          <w:noProof/>
        </w:rPr>
        <w:fldChar w:fldCharType="begin"/>
      </w:r>
      <w:r>
        <w:rPr>
          <w:noProof/>
        </w:rPr>
        <w:instrText xml:space="preserve"> PAGEREF _Toc473538592 \h </w:instrText>
      </w:r>
      <w:r>
        <w:rPr>
          <w:noProof/>
        </w:rPr>
      </w:r>
      <w:r>
        <w:rPr>
          <w:noProof/>
        </w:rPr>
        <w:fldChar w:fldCharType="separate"/>
      </w:r>
      <w:r w:rsidR="009E1FDE">
        <w:rPr>
          <w:noProof/>
        </w:rPr>
        <w:t>104</w:t>
      </w:r>
      <w:r>
        <w:rPr>
          <w:noProof/>
        </w:rPr>
        <w:fldChar w:fldCharType="end"/>
      </w:r>
    </w:p>
    <w:p w:rsidR="00225FBC" w:rsidRDefault="00225FBC" w:rsidP="00225FBC">
      <w:pPr>
        <w:pStyle w:val="TOC2"/>
        <w:tabs>
          <w:tab w:val="left" w:pos="1985"/>
        </w:tabs>
        <w:ind w:left="1985" w:hanging="1418"/>
        <w:rPr>
          <w:rFonts w:asciiTheme="minorHAnsi" w:eastAsiaTheme="minorEastAsia" w:hAnsiTheme="minorHAnsi" w:cstheme="minorBidi"/>
          <w:noProof/>
          <w:szCs w:val="22"/>
          <w:lang w:eastAsia="en-NZ"/>
        </w:rPr>
      </w:pPr>
      <w:r>
        <w:rPr>
          <w:noProof/>
        </w:rPr>
        <w:t>Appendix 4:</w:t>
      </w:r>
      <w:r>
        <w:rPr>
          <w:noProof/>
        </w:rPr>
        <w:tab/>
        <w:t>The Ministry of Health’s Prosecution Policy</w:t>
      </w:r>
      <w:r>
        <w:rPr>
          <w:noProof/>
        </w:rPr>
        <w:tab/>
      </w:r>
      <w:r w:rsidR="007E2678">
        <w:rPr>
          <w:noProof/>
        </w:rPr>
        <w:t>113</w:t>
      </w:r>
    </w:p>
    <w:p w:rsidR="00C86248" w:rsidRDefault="00C86248">
      <w:r>
        <w:rPr>
          <w:b/>
        </w:rPr>
        <w:fldChar w:fldCharType="end"/>
      </w:r>
    </w:p>
    <w:p w:rsidR="003A5FEA" w:rsidRDefault="003A5FEA" w:rsidP="003A5FEA">
      <w:pPr>
        <w:pStyle w:val="TOC1"/>
      </w:pPr>
      <w:r>
        <w:t xml:space="preserve">List of </w:t>
      </w:r>
      <w:r w:rsidR="00084D54">
        <w:t>f</w:t>
      </w:r>
      <w:r>
        <w:t>igures</w:t>
      </w:r>
    </w:p>
    <w:p w:rsidR="00C65FFC"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C65FFC">
        <w:rPr>
          <w:noProof/>
        </w:rPr>
        <w:t>Figure 1:</w:t>
      </w:r>
      <w:r w:rsidR="00225FBC">
        <w:rPr>
          <w:noProof/>
        </w:rPr>
        <w:tab/>
      </w:r>
      <w:r w:rsidR="00C65FFC">
        <w:rPr>
          <w:noProof/>
        </w:rPr>
        <w:t>Infectious disease management measures under Part 3A</w:t>
      </w:r>
      <w:r w:rsidR="00C65FFC" w:rsidRPr="00B04456">
        <w:rPr>
          <w:noProof/>
          <w:color w:val="7030A0"/>
        </w:rPr>
        <w:t xml:space="preserve"> (</w:t>
      </w:r>
      <w:r w:rsidR="00C65FFC">
        <w:rPr>
          <w:noProof/>
        </w:rPr>
        <w:t>with rarest measures at the top of the pyramid)</w:t>
      </w:r>
      <w:r w:rsidR="00C65FFC">
        <w:rPr>
          <w:noProof/>
        </w:rPr>
        <w:tab/>
      </w:r>
      <w:r w:rsidR="00C65FFC">
        <w:rPr>
          <w:noProof/>
        </w:rPr>
        <w:fldChar w:fldCharType="begin"/>
      </w:r>
      <w:r w:rsidR="00C65FFC">
        <w:rPr>
          <w:noProof/>
        </w:rPr>
        <w:instrText xml:space="preserve"> PAGEREF _Toc473537283 \h </w:instrText>
      </w:r>
      <w:r w:rsidR="00C65FFC">
        <w:rPr>
          <w:noProof/>
        </w:rPr>
      </w:r>
      <w:r w:rsidR="00C65FFC">
        <w:rPr>
          <w:noProof/>
        </w:rPr>
        <w:fldChar w:fldCharType="separate"/>
      </w:r>
      <w:r w:rsidR="00377224">
        <w:rPr>
          <w:noProof/>
        </w:rPr>
        <w:t>9</w:t>
      </w:r>
      <w:r w:rsidR="00C65FFC">
        <w:rPr>
          <w:noProof/>
        </w:rPr>
        <w:fldChar w:fldCharType="end"/>
      </w:r>
    </w:p>
    <w:p w:rsidR="003A5FEA" w:rsidRDefault="003A5FEA" w:rsidP="003A5FEA">
      <w:r>
        <w:fldChar w:fldCharType="end"/>
      </w:r>
    </w:p>
    <w:p w:rsidR="00455CC9" w:rsidRDefault="00455CC9" w:rsidP="0086388B"/>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E2483E" w:rsidP="0086388B">
      <w:pPr>
        <w:pStyle w:val="Heading1"/>
      </w:pPr>
      <w:bookmarkStart w:id="2" w:name="_Toc473538498"/>
      <w:r>
        <w:t>1</w:t>
      </w:r>
      <w:r>
        <w:tab/>
      </w:r>
      <w:r w:rsidR="00032C0A">
        <w:t>Introduction</w:t>
      </w:r>
      <w:bookmarkEnd w:id="2"/>
    </w:p>
    <w:p w:rsidR="003B22F1" w:rsidRDefault="008D1DCC" w:rsidP="00E2483E">
      <w:r w:rsidRPr="005E134B">
        <w:t xml:space="preserve">The Ministry of Health has developed this guidance to </w:t>
      </w:r>
      <w:r>
        <w:t xml:space="preserve">assist public health practitioners </w:t>
      </w:r>
      <w:r w:rsidRPr="005E134B">
        <w:t>to use the infectious disease notification, contact tracing and disease management measures incorporated in the Health Act 1956. These measures became law on 4 January 2017.</w:t>
      </w:r>
      <w:r w:rsidRPr="00E2483E">
        <w:rPr>
          <w:rStyle w:val="FootnoteReference"/>
        </w:rPr>
        <w:footnoteReference w:id="1"/>
      </w:r>
    </w:p>
    <w:p w:rsidR="008D1DCC" w:rsidRDefault="008D1DCC" w:rsidP="00E2483E"/>
    <w:p w:rsidR="008D1DCC" w:rsidRPr="005E134B" w:rsidRDefault="008D1DCC" w:rsidP="00E2483E">
      <w:r w:rsidRPr="005E134B">
        <w:t>Medical practitioners, nurse practitioners, laboratory workers and sexual health clinics may also find parts of the guidance useful – for example, those parts that address n</w:t>
      </w:r>
      <w:r>
        <w:t xml:space="preserve">otification and contact tracing. </w:t>
      </w:r>
      <w:r w:rsidRPr="005E134B">
        <w:t>The guidance is not a substitute for looking at the legislation, and is intended to help understanding of it.</w:t>
      </w:r>
    </w:p>
    <w:p w:rsidR="00E2483E" w:rsidRDefault="00E2483E" w:rsidP="00E2483E"/>
    <w:p w:rsidR="008D1DCC" w:rsidRPr="005E134B" w:rsidRDefault="008D1DCC" w:rsidP="00E2483E">
      <w:r w:rsidRPr="005E134B">
        <w:t>The main drivers behind the 2017 changes include</w:t>
      </w:r>
      <w:r>
        <w:t xml:space="preserve"> to</w:t>
      </w:r>
      <w:r w:rsidRPr="005E134B">
        <w:t>:</w:t>
      </w:r>
    </w:p>
    <w:p w:rsidR="008D1DCC" w:rsidRPr="005E134B" w:rsidRDefault="008D1DCC" w:rsidP="00E2483E">
      <w:pPr>
        <w:pStyle w:val="Bullet"/>
      </w:pPr>
      <w:r>
        <w:t>improve</w:t>
      </w:r>
      <w:r w:rsidRPr="005E134B">
        <w:t xml:space="preserve"> the management of individuals who have</w:t>
      </w:r>
      <w:r>
        <w:t xml:space="preserve"> or</w:t>
      </w:r>
      <w:r w:rsidRPr="005E134B">
        <w:t xml:space="preserve"> may have been exposed to infectious diseases, particularly whe</w:t>
      </w:r>
      <w:r>
        <w:t>n</w:t>
      </w:r>
      <w:r w:rsidRPr="005E134B">
        <w:t xml:space="preserve"> their behaviour puts other people a</w:t>
      </w:r>
      <w:r>
        <w:t>t risk of contracting a disease</w:t>
      </w:r>
    </w:p>
    <w:p w:rsidR="008D1DCC" w:rsidRPr="005E134B" w:rsidRDefault="008D1DCC" w:rsidP="00E2483E">
      <w:pPr>
        <w:pStyle w:val="Bullet"/>
      </w:pPr>
      <w:r>
        <w:t>improve</w:t>
      </w:r>
      <w:r w:rsidRPr="005E134B">
        <w:t xml:space="preserve"> the quality and quantity of infectious disease notifications for surveillance and monitoring purposes, and fo</w:t>
      </w:r>
      <w:r>
        <w:t>r effective public heath action</w:t>
      </w:r>
    </w:p>
    <w:p w:rsidR="008D1DCC" w:rsidRPr="005E134B" w:rsidRDefault="008D1DCC" w:rsidP="00E2483E">
      <w:pPr>
        <w:pStyle w:val="Bullet"/>
      </w:pPr>
      <w:r w:rsidRPr="005E134B">
        <w:t>mak</w:t>
      </w:r>
      <w:r>
        <w:t>e</w:t>
      </w:r>
      <w:r w:rsidRPr="005E134B">
        <w:t xml:space="preserve"> notification and management of tuberculosis consistent with other notifiable infectious diseases listed in Schedule 1 of the Health Act</w:t>
      </w:r>
    </w:p>
    <w:p w:rsidR="008D1DCC" w:rsidRPr="005E134B" w:rsidRDefault="008D1DCC" w:rsidP="00E2483E">
      <w:pPr>
        <w:pStyle w:val="Bullet"/>
      </w:pPr>
      <w:r>
        <w:t>protect</w:t>
      </w:r>
      <w:r w:rsidRPr="005E134B">
        <w:t xml:space="preserve"> the identity of people who have or may have certain specified infectious diseases with a perceived stigma associated, and </w:t>
      </w:r>
      <w:r>
        <w:t>as a result encourage notification</w:t>
      </w:r>
      <w:r w:rsidRPr="005E134B">
        <w:t xml:space="preserve">, diagnosis and treatment and our understanding of risk factors </w:t>
      </w:r>
      <w:r>
        <w:t>to inform prevention activities</w:t>
      </w:r>
    </w:p>
    <w:p w:rsidR="008D1DCC" w:rsidRPr="005E134B" w:rsidRDefault="008D1DCC" w:rsidP="00E2483E">
      <w:pPr>
        <w:pStyle w:val="Bullet"/>
      </w:pPr>
      <w:r w:rsidRPr="005E134B">
        <w:t>updat</w:t>
      </w:r>
      <w:r>
        <w:t>e</w:t>
      </w:r>
      <w:r w:rsidRPr="005E134B">
        <w:t xml:space="preserve"> disease management measures for sexually transmitted infections (STIs), which the legislation previously categorised as </w:t>
      </w:r>
      <w:r w:rsidR="003B22F1">
        <w:t>“</w:t>
      </w:r>
      <w:r w:rsidRPr="005E134B">
        <w:t>venereal diseases</w:t>
      </w:r>
      <w:r w:rsidR="003B22F1">
        <w:t>”</w:t>
      </w:r>
      <w:r w:rsidRPr="005E134B">
        <w:t xml:space="preserve"> – by including th</w:t>
      </w:r>
      <w:r>
        <w:t xml:space="preserve">em </w:t>
      </w:r>
      <w:r w:rsidRPr="005E134B">
        <w:t>with infectious diseases under the Health Act, to which the measures in P</w:t>
      </w:r>
      <w:r>
        <w:t>art 3A of the Act can apply</w:t>
      </w:r>
    </w:p>
    <w:p w:rsidR="008D1DCC" w:rsidRPr="005E134B" w:rsidRDefault="008D1DCC" w:rsidP="00E2483E">
      <w:pPr>
        <w:pStyle w:val="Bullet"/>
      </w:pPr>
      <w:r>
        <w:t>provide</w:t>
      </w:r>
      <w:r w:rsidRPr="005E134B">
        <w:t xml:space="preserve"> a stronger foundation for contact tracing by </w:t>
      </w:r>
      <w:r>
        <w:t>public health units</w:t>
      </w:r>
      <w:r w:rsidRPr="005E134B">
        <w:t>, district heal</w:t>
      </w:r>
      <w:r>
        <w:t>th boards (DHBs</w:t>
      </w:r>
      <w:r w:rsidRPr="005E134B">
        <w:t>) and their nominees.</w:t>
      </w:r>
    </w:p>
    <w:p w:rsidR="008D1DCC" w:rsidRPr="005E134B" w:rsidRDefault="008D1DCC" w:rsidP="00E2483E"/>
    <w:p w:rsidR="008D1DCC" w:rsidRPr="00584182" w:rsidRDefault="008D1DCC" w:rsidP="00E2483E">
      <w:pPr>
        <w:pStyle w:val="Heading2"/>
      </w:pPr>
      <w:bookmarkStart w:id="3" w:name="_Toc473538499"/>
      <w:r w:rsidRPr="00584182">
        <w:t>Structure of this guidance</w:t>
      </w:r>
      <w:bookmarkEnd w:id="3"/>
    </w:p>
    <w:p w:rsidR="003B22F1" w:rsidRDefault="008D1DCC" w:rsidP="00E2483E">
      <w:r>
        <w:t>This document</w:t>
      </w:r>
      <w:r w:rsidR="003B22F1">
        <w:t>’</w:t>
      </w:r>
      <w:r>
        <w:t>s structure largely mirrors the order of provisions</w:t>
      </w:r>
      <w:r w:rsidRPr="005E134B">
        <w:t xml:space="preserve"> in the legislation, and the order in which decision points arise. This is with notification early on, followed by </w:t>
      </w:r>
      <w:r>
        <w:t xml:space="preserve">overarching </w:t>
      </w:r>
      <w:r w:rsidRPr="005E134B">
        <w:t>principles of disease management, contact tracing and then the measures themselves.</w:t>
      </w:r>
    </w:p>
    <w:p w:rsidR="008D1DCC" w:rsidRDefault="008D1DCC" w:rsidP="00E2483E"/>
    <w:p w:rsidR="003B22F1" w:rsidRDefault="008D1DCC" w:rsidP="00E2483E">
      <w:r>
        <w:t>This guidance includes te</w:t>
      </w:r>
      <w:r w:rsidRPr="005E134B">
        <w:t>mplates for each direction or order that public health practitioners may need to use</w:t>
      </w:r>
      <w:r>
        <w:t xml:space="preserve"> </w:t>
      </w:r>
      <w:r w:rsidRPr="00563765">
        <w:t>(see chapter 11).</w:t>
      </w:r>
      <w:r w:rsidRPr="005E134B">
        <w:t xml:space="preserve"> These are </w:t>
      </w:r>
      <w:r>
        <w:t>to ensure practitioners stick to the preconditions and process requirements applying to the measures. They are also to assist their compliance with the prescribed information requirements relating to cases and contacts.</w:t>
      </w:r>
      <w:r w:rsidRPr="00E2483E">
        <w:rPr>
          <w:rStyle w:val="FootnoteReference"/>
        </w:rPr>
        <w:footnoteReference w:id="2"/>
      </w:r>
      <w:r>
        <w:t xml:space="preserve"> Information for cases and contacts accompanies the template forms. </w:t>
      </w:r>
      <w:r w:rsidRPr="005E134B">
        <w:t>Efforts have been made to make them plain English, although there are a number of things specified in the legislation which need to be accurately covered in them – such as the content</w:t>
      </w:r>
      <w:r>
        <w:t>s</w:t>
      </w:r>
      <w:r w:rsidRPr="005E134B">
        <w:t xml:space="preserve"> of the directions and orders.</w:t>
      </w:r>
    </w:p>
    <w:p w:rsidR="008D1DCC" w:rsidRPr="006E5B80" w:rsidRDefault="008D1DCC" w:rsidP="00E2483E"/>
    <w:p w:rsidR="008D1DCC" w:rsidRDefault="008D1DCC" w:rsidP="00E2483E">
      <w:pPr>
        <w:keepNext/>
      </w:pPr>
      <w:r w:rsidRPr="006E5B80">
        <w:t xml:space="preserve">The guidance also </w:t>
      </w:r>
      <w:r>
        <w:t xml:space="preserve">incorporates </w:t>
      </w:r>
      <w:r w:rsidRPr="006E5B80">
        <w:t xml:space="preserve">appendices </w:t>
      </w:r>
      <w:r>
        <w:t xml:space="preserve">in chapter 12 </w:t>
      </w:r>
      <w:r w:rsidRPr="006E5B80">
        <w:t>containing:</w:t>
      </w:r>
    </w:p>
    <w:p w:rsidR="003B22F1" w:rsidRDefault="008D1DCC" w:rsidP="00E2483E">
      <w:pPr>
        <w:pStyle w:val="Bullet"/>
      </w:pPr>
      <w:r w:rsidRPr="006E5B80">
        <w:t>a glossary of common</w:t>
      </w:r>
      <w:r>
        <w:t>ly used terms and abbreviations</w:t>
      </w:r>
    </w:p>
    <w:p w:rsidR="008D1DCC" w:rsidRPr="006E5B80" w:rsidRDefault="008D1DCC" w:rsidP="00E2483E">
      <w:pPr>
        <w:pStyle w:val="Bullet"/>
      </w:pPr>
      <w:r>
        <w:t>t</w:t>
      </w:r>
      <w:r w:rsidRPr="006E5B80">
        <w:t>he notification provisions from the Health Act</w:t>
      </w:r>
    </w:p>
    <w:p w:rsidR="008D1DCC" w:rsidRPr="006E5B80" w:rsidRDefault="008D1DCC" w:rsidP="00E2483E">
      <w:pPr>
        <w:pStyle w:val="Bullet"/>
      </w:pPr>
      <w:r>
        <w:t>t</w:t>
      </w:r>
      <w:r w:rsidRPr="006E5B80">
        <w:t xml:space="preserve">he notification provisions </w:t>
      </w:r>
      <w:r>
        <w:t xml:space="preserve">and forms </w:t>
      </w:r>
      <w:r w:rsidRPr="006E5B80">
        <w:t>from the H</w:t>
      </w:r>
      <w:r w:rsidR="006077FE">
        <w:t xml:space="preserve">ealth (Infectious and Notifiable Diseases) </w:t>
      </w:r>
      <w:r w:rsidRPr="006E5B80">
        <w:t>Regulations 2016</w:t>
      </w:r>
      <w:r w:rsidR="00617951">
        <w:t xml:space="preserve"> (the HIND Regulations 2016)</w:t>
      </w:r>
    </w:p>
    <w:p w:rsidR="008D1DCC" w:rsidRPr="006E5B80" w:rsidRDefault="008D1DCC" w:rsidP="00E2483E">
      <w:pPr>
        <w:pStyle w:val="Bullet"/>
      </w:pPr>
      <w:r>
        <w:t>the Ministry of Health</w:t>
      </w:r>
      <w:r w:rsidR="003B22F1">
        <w:t>’</w:t>
      </w:r>
      <w:r>
        <w:t>s Prosecution P</w:t>
      </w:r>
      <w:r w:rsidRPr="006E5B80">
        <w:t>olicy.</w:t>
      </w:r>
    </w:p>
    <w:p w:rsidR="008D1DCC" w:rsidRPr="005E134B" w:rsidRDefault="008D1DCC" w:rsidP="00E2483E"/>
    <w:p w:rsidR="003B22F1" w:rsidRDefault="008D1DCC" w:rsidP="00E2483E">
      <w:r>
        <w:t xml:space="preserve">Parts of this guidance set out procedural aspects of the legislation that are comparatively complex, </w:t>
      </w:r>
      <w:r w:rsidRPr="005E134B">
        <w:t xml:space="preserve">describing </w:t>
      </w:r>
      <w:r>
        <w:t xml:space="preserve">legislative </w:t>
      </w:r>
      <w:r w:rsidRPr="005E134B">
        <w:t>and court powers and requirements</w:t>
      </w:r>
      <w:r>
        <w:t>. To assist practitioners in making a range of choices under Part 3A of the Health Act, the guidance includes hypothetical s</w:t>
      </w:r>
      <w:r w:rsidRPr="005E134B">
        <w:t>cenarios</w:t>
      </w:r>
      <w:r>
        <w:t xml:space="preserve">. These are designed to ensure </w:t>
      </w:r>
      <w:r w:rsidRPr="005E134B">
        <w:t xml:space="preserve">that </w:t>
      </w:r>
      <w:r>
        <w:t xml:space="preserve">practitioners </w:t>
      </w:r>
      <w:r w:rsidRPr="005E134B">
        <w:t>can manage infectious diseases in a proportionate, lawful and effective way.</w:t>
      </w:r>
    </w:p>
    <w:p w:rsidR="008D1DCC" w:rsidRDefault="008D1DCC" w:rsidP="00E2483E"/>
    <w:p w:rsidR="003B22F1" w:rsidRDefault="008D1DCC" w:rsidP="00E2483E">
      <w:r>
        <w:t>S</w:t>
      </w:r>
      <w:r w:rsidRPr="005E134B">
        <w:t xml:space="preserve">ome of the scenarios show </w:t>
      </w:r>
      <w:r>
        <w:t>m</w:t>
      </w:r>
      <w:r w:rsidRPr="005E134B">
        <w:t xml:space="preserve">edical </w:t>
      </w:r>
      <w:r>
        <w:t>o</w:t>
      </w:r>
      <w:r w:rsidRPr="005E134B">
        <w:t xml:space="preserve">fficers of </w:t>
      </w:r>
      <w:r>
        <w:t>h</w:t>
      </w:r>
      <w:r w:rsidRPr="005E134B">
        <w:t>ealth taking control at an early stage</w:t>
      </w:r>
      <w:r>
        <w:t>. However</w:t>
      </w:r>
      <w:r w:rsidRPr="005E134B">
        <w:t>, the reality is sometimes more complex</w:t>
      </w:r>
      <w:r>
        <w:t>:</w:t>
      </w:r>
      <w:r w:rsidRPr="005E134B">
        <w:t xml:space="preserve"> a consult</w:t>
      </w:r>
      <w:r>
        <w:t xml:space="preserve">ative and conservative approach, involving </w:t>
      </w:r>
      <w:r w:rsidRPr="005E134B">
        <w:t>the individual</w:t>
      </w:r>
      <w:r w:rsidR="003B22F1">
        <w:t>’</w:t>
      </w:r>
      <w:r w:rsidRPr="005E134B">
        <w:t>s health practitioners</w:t>
      </w:r>
      <w:r>
        <w:t xml:space="preserve">, is </w:t>
      </w:r>
      <w:r w:rsidRPr="005E134B">
        <w:t>the norm.</w:t>
      </w:r>
    </w:p>
    <w:p w:rsidR="008D1DCC" w:rsidRPr="005E134B" w:rsidRDefault="008D1DCC" w:rsidP="00E2483E"/>
    <w:p w:rsidR="008D1DCC" w:rsidRPr="00C556E5" w:rsidRDefault="008D1DCC" w:rsidP="00E2483E">
      <w:pPr>
        <w:rPr>
          <w:u w:val="single"/>
        </w:rPr>
      </w:pPr>
      <w:r w:rsidRPr="005E134B">
        <w:t>Th</w:t>
      </w:r>
      <w:r>
        <w:t xml:space="preserve">e Ministry does not intend this document to </w:t>
      </w:r>
      <w:r w:rsidRPr="005E134B">
        <w:t xml:space="preserve">be a clinical guide to contact tracing or public health action. For </w:t>
      </w:r>
      <w:r>
        <w:t>reference to such guides, please see chapter 6</w:t>
      </w:r>
      <w:r w:rsidRPr="005E134B">
        <w:t xml:space="preserve"> and the</w:t>
      </w:r>
      <w:r>
        <w:t xml:space="preserve"> Ministry of Health</w:t>
      </w:r>
      <w:r w:rsidR="003B22F1">
        <w:t>’</w:t>
      </w:r>
      <w:r>
        <w:t xml:space="preserve">s </w:t>
      </w:r>
      <w:r w:rsidRPr="00D301F0">
        <w:rPr>
          <w:i/>
        </w:rPr>
        <w:t>Communicable Disease Control Manual</w:t>
      </w:r>
      <w:r w:rsidRPr="005E134B">
        <w:t xml:space="preserve"> </w:t>
      </w:r>
      <w:r w:rsidRPr="00D301F0">
        <w:rPr>
          <w:i/>
        </w:rPr>
        <w:t>2012</w:t>
      </w:r>
      <w:r>
        <w:rPr>
          <w:i/>
        </w:rPr>
        <w:t xml:space="preserve"> </w:t>
      </w:r>
      <w:r w:rsidRPr="005E134B">
        <w:t>(</w:t>
      </w:r>
      <w:r>
        <w:t xml:space="preserve">the </w:t>
      </w:r>
      <w:r w:rsidRPr="005E134B">
        <w:t>CD Manual)</w:t>
      </w:r>
      <w:r w:rsidRPr="00E2483E">
        <w:t>:</w:t>
      </w:r>
      <w:r w:rsidR="003B22F1" w:rsidRPr="00E2483E">
        <w:t xml:space="preserve"> </w:t>
      </w:r>
      <w:hyperlink r:id="rId18" w:history="1">
        <w:r w:rsidR="007227C6" w:rsidRPr="005349A7">
          <w:rPr>
            <w:rStyle w:val="Hyperlink"/>
            <w:rFonts w:cs="Arial"/>
            <w:szCs w:val="24"/>
          </w:rPr>
          <w:t>www.health.govt.nz/publication/communicable-disease-control-manual-2012</w:t>
        </w:r>
      </w:hyperlink>
    </w:p>
    <w:p w:rsidR="008D1DCC" w:rsidRPr="005E134B" w:rsidRDefault="008D1DCC" w:rsidP="00E2483E"/>
    <w:p w:rsidR="003B22F1" w:rsidRDefault="008D1DCC" w:rsidP="00E2483E">
      <w:r w:rsidRPr="005E134B">
        <w:t xml:space="preserve">This guidance was written by Janet Lewin, Principal Advisor in the Public Health </w:t>
      </w:r>
      <w:r w:rsidR="007E1E60">
        <w:t xml:space="preserve">Capability </w:t>
      </w:r>
      <w:r w:rsidRPr="005E134B">
        <w:t>Team of the Ministry of Health</w:t>
      </w:r>
      <w:r w:rsidR="003B22F1">
        <w:t>’</w:t>
      </w:r>
      <w:r w:rsidRPr="005E134B">
        <w:t>s Public Health Group</w:t>
      </w:r>
      <w:r>
        <w:t>. This was</w:t>
      </w:r>
      <w:r w:rsidRPr="005E134B">
        <w:t xml:space="preserve"> with input from members of the Communicable Diseases Team in the Public Health Group</w:t>
      </w:r>
      <w:r>
        <w:t xml:space="preserve">, </w:t>
      </w:r>
      <w:r w:rsidRPr="005E134B">
        <w:t xml:space="preserve">incorporating feedback gratefully received from </w:t>
      </w:r>
      <w:r>
        <w:t xml:space="preserve">a test group of </w:t>
      </w:r>
      <w:r w:rsidRPr="005E134B">
        <w:t>public health practitioners.</w:t>
      </w:r>
    </w:p>
    <w:p w:rsidR="00E2483E" w:rsidRDefault="00E2483E" w:rsidP="00E2483E"/>
    <w:p w:rsidR="008D1DCC" w:rsidRPr="00633D9B" w:rsidRDefault="008D1DCC" w:rsidP="00E2483E">
      <w:pPr>
        <w:pStyle w:val="Heading1"/>
      </w:pPr>
      <w:bookmarkStart w:id="4" w:name="_Toc473538500"/>
      <w:r w:rsidRPr="00633D9B">
        <w:t>2</w:t>
      </w:r>
      <w:r w:rsidR="00E2483E">
        <w:tab/>
      </w:r>
      <w:r w:rsidRPr="00633D9B">
        <w:t>Notification</w:t>
      </w:r>
      <w:bookmarkEnd w:id="4"/>
    </w:p>
    <w:p w:rsidR="008D1DCC" w:rsidRPr="00584182" w:rsidRDefault="008D1DCC" w:rsidP="00E2483E">
      <w:pPr>
        <w:pStyle w:val="Heading2"/>
      </w:pPr>
      <w:bookmarkStart w:id="5" w:name="_Toc473538501"/>
      <w:r w:rsidRPr="00584182">
        <w:t>Purpose of notification</w:t>
      </w:r>
      <w:bookmarkEnd w:id="5"/>
    </w:p>
    <w:p w:rsidR="008D1DCC" w:rsidRDefault="008D1DCC" w:rsidP="00E2483E">
      <w:r>
        <w:t xml:space="preserve">In this guidance </w:t>
      </w:r>
      <w:r w:rsidR="003B22F1">
        <w:t>‘</w:t>
      </w:r>
      <w:r>
        <w:t>n</w:t>
      </w:r>
      <w:r w:rsidRPr="005E134B">
        <w:t>otification</w:t>
      </w:r>
      <w:r w:rsidR="003B22F1">
        <w:t>’</w:t>
      </w:r>
      <w:r w:rsidRPr="005E134B">
        <w:t xml:space="preserve"> refers to the process by which health practitioners and laboratories officially report the in</w:t>
      </w:r>
      <w:r>
        <w:t xml:space="preserve">cidence of diseases that are listed in </w:t>
      </w:r>
      <w:r w:rsidRPr="005E134B">
        <w:t>Schedule</w:t>
      </w:r>
      <w:r>
        <w:t>s</w:t>
      </w:r>
      <w:r w:rsidRPr="005E134B">
        <w:t xml:space="preserve"> 1 </w:t>
      </w:r>
      <w:r>
        <w:t xml:space="preserve">and 2 </w:t>
      </w:r>
      <w:r w:rsidRPr="005E134B">
        <w:t>of the Health Act.</w:t>
      </w:r>
      <w:r>
        <w:t xml:space="preserve"> </w:t>
      </w:r>
    </w:p>
    <w:p w:rsidR="00ED53D3" w:rsidRPr="005E134B" w:rsidRDefault="00ED53D3" w:rsidP="00E2483E"/>
    <w:p w:rsidR="003B22F1" w:rsidRDefault="008D1DCC" w:rsidP="00E2483E">
      <w:r w:rsidRPr="005E134B">
        <w:t>Disease notification supports two purposes – surveillance, particularly at a national level, and local and national public health action.</w:t>
      </w:r>
    </w:p>
    <w:p w:rsidR="008D1DCC" w:rsidRDefault="008D1DCC" w:rsidP="00E2483E"/>
    <w:p w:rsidR="003B22F1" w:rsidRDefault="008D1DCC" w:rsidP="00E2483E">
      <w:r w:rsidRPr="005E134B">
        <w:t xml:space="preserve">Surveillance helps our understanding of trends in disease rates over time and </w:t>
      </w:r>
      <w:r>
        <w:t xml:space="preserve">the </w:t>
      </w:r>
      <w:r w:rsidRPr="005E134B">
        <w:t>areas and population groups at greater risk of infection (which informs the design and delivery of services).</w:t>
      </w:r>
    </w:p>
    <w:p w:rsidR="008D1DCC" w:rsidRDefault="008D1DCC" w:rsidP="00E2483E"/>
    <w:p w:rsidR="003B22F1" w:rsidRDefault="008D1DCC" w:rsidP="00E2483E">
      <w:r w:rsidRPr="005E134B">
        <w:t xml:space="preserve">Public health action refers to action by </w:t>
      </w:r>
      <w:r>
        <w:t xml:space="preserve">public health units </w:t>
      </w:r>
      <w:r w:rsidRPr="005E134B">
        <w:t>to investigate cases and outbreaks and where necessary take steps to control the spread of disease. The majority of notifications require a minimal public health response, although all notifications contribute to public health surveillance and epidemiological analysis.</w:t>
      </w:r>
    </w:p>
    <w:p w:rsidR="008D1DCC" w:rsidRPr="005E134B" w:rsidRDefault="008D1DCC" w:rsidP="00E2483E"/>
    <w:p w:rsidR="008D1DCC" w:rsidRPr="00584182" w:rsidRDefault="008D1DCC" w:rsidP="00E2483E">
      <w:pPr>
        <w:pStyle w:val="Heading2"/>
      </w:pPr>
      <w:bookmarkStart w:id="6" w:name="_Toc473538502"/>
      <w:r>
        <w:t>The n</w:t>
      </w:r>
      <w:r w:rsidRPr="00584182">
        <w:t>otification database – EpiSurv</w:t>
      </w:r>
      <w:bookmarkEnd w:id="6"/>
    </w:p>
    <w:p w:rsidR="003B22F1" w:rsidRDefault="008D1DCC" w:rsidP="00E2483E">
      <w:r w:rsidRPr="005E134B">
        <w:t>P</w:t>
      </w:r>
      <w:r>
        <w:t>ublic health units</w:t>
      </w:r>
      <w:r w:rsidRPr="005E134B">
        <w:t xml:space="preserve"> </w:t>
      </w:r>
      <w:r>
        <w:t>receive notification data and enter it via a secure web-based portal</w:t>
      </w:r>
      <w:r w:rsidRPr="005E134B">
        <w:t xml:space="preserve"> into ESR</w:t>
      </w:r>
      <w:r w:rsidR="003B22F1">
        <w:t>’</w:t>
      </w:r>
      <w:r w:rsidRPr="005E134B">
        <w:t xml:space="preserve">s national surveillance database (EpiSurv). A case report form is then opened in EpiSurv for completion by the </w:t>
      </w:r>
      <w:r>
        <w:t xml:space="preserve">public health unit </w:t>
      </w:r>
      <w:r w:rsidRPr="005E134B">
        <w:t>for Section A and B diseases, or generates a link that is sent back to the notifier by ESR for completion for Section C diseases.</w:t>
      </w:r>
      <w:r w:rsidRPr="00E2483E">
        <w:rPr>
          <w:rStyle w:val="FootnoteReference"/>
        </w:rPr>
        <w:footnoteReference w:id="3"/>
      </w:r>
    </w:p>
    <w:p w:rsidR="008D1DCC" w:rsidRPr="005E134B" w:rsidRDefault="008D1DCC" w:rsidP="00E2483E"/>
    <w:p w:rsidR="008D1DCC" w:rsidRPr="005E134B" w:rsidRDefault="008D1DCC" w:rsidP="00E2483E">
      <w:r>
        <w:t>ESR collates and analyses near</w:t>
      </w:r>
      <w:r w:rsidRPr="005E134B">
        <w:t xml:space="preserve"> real-time data</w:t>
      </w:r>
      <w:r>
        <w:t xml:space="preserve"> on notifications on behalf of the</w:t>
      </w:r>
      <w:r w:rsidRPr="005E134B">
        <w:t xml:space="preserve"> Ministry</w:t>
      </w:r>
      <w:r>
        <w:t xml:space="preserve"> of Health. The AIDS Epidemiology Group </w:t>
      </w:r>
      <w:r w:rsidRPr="005E134B">
        <w:t xml:space="preserve">analyses HIV data. The data collected </w:t>
      </w:r>
      <w:r>
        <w:t>varies by</w:t>
      </w:r>
      <w:r w:rsidRPr="005E134B">
        <w:t xml:space="preserve"> disease, but usually includes demography, outcome, basis of diagnosis, risk factors and some clinical manag</w:t>
      </w:r>
      <w:r>
        <w:t>ement information. The system is complemented by outbreak surveillance (using EpiSurv).</w:t>
      </w:r>
    </w:p>
    <w:p w:rsidR="008D1DCC" w:rsidRPr="005E134B" w:rsidRDefault="008D1DCC" w:rsidP="00E2483E"/>
    <w:p w:rsidR="008D1DCC" w:rsidRPr="00584182" w:rsidRDefault="008D1DCC" w:rsidP="00E2483E">
      <w:pPr>
        <w:pStyle w:val="Heading2"/>
      </w:pPr>
      <w:bookmarkStart w:id="7" w:name="_Toc473538503"/>
      <w:r w:rsidRPr="00584182">
        <w:t>Responsibilities of health practitioners and laboratories</w:t>
      </w:r>
      <w:bookmarkEnd w:id="7"/>
    </w:p>
    <w:p w:rsidR="003B22F1" w:rsidRDefault="008D1DCC" w:rsidP="00E2483E">
      <w:pPr>
        <w:keepLines/>
      </w:pPr>
      <w:r w:rsidRPr="005E134B">
        <w:t xml:space="preserve">Since 4 January 2017, nurse practitioners, and other suitably qualified health practitioners practising within a relevant scope of practice, </w:t>
      </w:r>
      <w:r>
        <w:t xml:space="preserve">share </w:t>
      </w:r>
      <w:r w:rsidRPr="005E134B">
        <w:t xml:space="preserve">the responsibility to notify </w:t>
      </w:r>
      <w:r>
        <w:t xml:space="preserve">with </w:t>
      </w:r>
      <w:r w:rsidRPr="005E134B">
        <w:t>medical practitioners and medical laboratories.</w:t>
      </w:r>
      <w:r w:rsidRPr="00E2483E">
        <w:rPr>
          <w:rStyle w:val="FootnoteReference"/>
        </w:rPr>
        <w:footnoteReference w:id="4"/>
      </w:r>
      <w:r>
        <w:t xml:space="preserve"> </w:t>
      </w:r>
      <w:r w:rsidRPr="005E134B">
        <w:t>The aim</w:t>
      </w:r>
      <w:r>
        <w:t xml:space="preserve"> of the change</w:t>
      </w:r>
      <w:r w:rsidRPr="005E134B">
        <w:t xml:space="preserve"> is to benefit the public by facilitating disease notifications</w:t>
      </w:r>
      <w:r>
        <w:t>. T</w:t>
      </w:r>
      <w:r w:rsidRPr="005E134B">
        <w:t>his feature</w:t>
      </w:r>
      <w:r>
        <w:t xml:space="preserve"> also</w:t>
      </w:r>
      <w:r w:rsidRPr="005E134B">
        <w:t xml:space="preserve"> better reflects current workplace practices.</w:t>
      </w:r>
      <w:r w:rsidRPr="00E2483E">
        <w:rPr>
          <w:rStyle w:val="FootnoteReference"/>
        </w:rPr>
        <w:footnoteReference w:id="5"/>
      </w:r>
    </w:p>
    <w:p w:rsidR="008D1DCC" w:rsidRPr="005E134B" w:rsidRDefault="008D1DCC" w:rsidP="00E2483E"/>
    <w:p w:rsidR="008D1DCC" w:rsidRPr="005E134B" w:rsidRDefault="008D1DCC" w:rsidP="00E2483E">
      <w:r>
        <w:t xml:space="preserve">A </w:t>
      </w:r>
      <w:r w:rsidRPr="005E134B">
        <w:t>health practitioner</w:t>
      </w:r>
      <w:r w:rsidR="003B22F1">
        <w:t>’</w:t>
      </w:r>
      <w:r w:rsidRPr="005E134B">
        <w:t>s responsibility to notify arises when</w:t>
      </w:r>
      <w:r>
        <w:t xml:space="preserve"> he or she develops a reasonable suspicion that a</w:t>
      </w:r>
      <w:r w:rsidRPr="005E134B">
        <w:t xml:space="preserve"> patient</w:t>
      </w:r>
      <w:r w:rsidR="003B22F1">
        <w:t>’</w:t>
      </w:r>
      <w:r w:rsidRPr="005E134B">
        <w:t xml:space="preserve">s symptoms are due to </w:t>
      </w:r>
      <w:r>
        <w:t>a notifiable infectious disease, or when by post-mortem, they become aware that an individual who has died was infected with such as disease.</w:t>
      </w:r>
      <w:r w:rsidRPr="00E2483E">
        <w:rPr>
          <w:rStyle w:val="FootnoteReference"/>
        </w:rPr>
        <w:footnoteReference w:id="6"/>
      </w:r>
    </w:p>
    <w:p w:rsidR="003B22F1" w:rsidRDefault="003B22F1" w:rsidP="00E2483E"/>
    <w:p w:rsidR="008D1DCC" w:rsidRPr="005E134B" w:rsidRDefault="008D1DCC" w:rsidP="00E2483E">
      <w:r>
        <w:t>In this situation, h</w:t>
      </w:r>
      <w:r w:rsidRPr="005E134B">
        <w:t xml:space="preserve">ealth practitioners must notify the </w:t>
      </w:r>
      <w:r>
        <w:t>m</w:t>
      </w:r>
      <w:r w:rsidRPr="005E134B">
        <w:t>edical officer of health</w:t>
      </w:r>
      <w:r>
        <w:t>. I</w:t>
      </w:r>
      <w:r w:rsidRPr="005E134B">
        <w:t>f the disease is a Section A disease,</w:t>
      </w:r>
      <w:r>
        <w:t xml:space="preserve"> they </w:t>
      </w:r>
      <w:r w:rsidRPr="005E134B">
        <w:t>mus</w:t>
      </w:r>
      <w:r>
        <w:t>t also notify local authorities.</w:t>
      </w:r>
    </w:p>
    <w:p w:rsidR="008D1DCC" w:rsidRPr="005E134B" w:rsidRDefault="008D1DCC" w:rsidP="00E2483E"/>
    <w:p w:rsidR="003B22F1" w:rsidRDefault="008D1DCC" w:rsidP="00E2483E">
      <w:r w:rsidRPr="005E134B">
        <w:t>Laboratories have a responsibility to notify results indicating that an individual is, has been, may be or have been, infected with an infectious disease.</w:t>
      </w:r>
      <w:r w:rsidRPr="00E2483E">
        <w:rPr>
          <w:rStyle w:val="FootnoteReference"/>
        </w:rPr>
        <w:footnoteReference w:id="7"/>
      </w:r>
      <w:r w:rsidRPr="005E134B">
        <w:t xml:space="preserve"> Laboratories must report results showing notifiable infectious disease immediately. They report results to the </w:t>
      </w:r>
      <w:r>
        <w:t>m</w:t>
      </w:r>
      <w:r w:rsidRPr="005E134B">
        <w:t>edical officer of health as well as reporting them to the individual</w:t>
      </w:r>
      <w:r w:rsidR="003B22F1">
        <w:t>’</w:t>
      </w:r>
      <w:r w:rsidRPr="005E134B">
        <w:t>s health practitioner.</w:t>
      </w:r>
    </w:p>
    <w:p w:rsidR="008D1DCC" w:rsidRPr="005E134B" w:rsidRDefault="008D1DCC" w:rsidP="00E2483E"/>
    <w:p w:rsidR="003B22F1" w:rsidRDefault="008D1DCC" w:rsidP="00E2483E">
      <w:r w:rsidRPr="005E134B">
        <w:t xml:space="preserve">Funeral directors, and other people in charge of a </w:t>
      </w:r>
      <w:r w:rsidR="00617951">
        <w:t xml:space="preserve">person </w:t>
      </w:r>
      <w:r w:rsidRPr="005E134B">
        <w:t xml:space="preserve">who has died of an infectious disease, must notify the </w:t>
      </w:r>
      <w:r>
        <w:t>m</w:t>
      </w:r>
      <w:r w:rsidRPr="005E134B">
        <w:t>edical officer of health.</w:t>
      </w:r>
      <w:r w:rsidRPr="00E2483E">
        <w:rPr>
          <w:rStyle w:val="FootnoteReference"/>
        </w:rPr>
        <w:footnoteReference w:id="8"/>
      </w:r>
    </w:p>
    <w:p w:rsidR="008D1DCC" w:rsidRDefault="008D1DCC" w:rsidP="00E2483E"/>
    <w:p w:rsidR="008D1DCC" w:rsidRDefault="008D1DCC" w:rsidP="00E2483E">
      <w:r w:rsidRPr="005E134B">
        <w:t>A version of the notification provisions in the Health Act can be accessed</w:t>
      </w:r>
      <w:r>
        <w:t xml:space="preserve"> from</w:t>
      </w:r>
      <w:r w:rsidRPr="005E134B">
        <w:t xml:space="preserve">: </w:t>
      </w:r>
      <w:hyperlink r:id="rId19" w:history="1">
        <w:r w:rsidRPr="00EA648C">
          <w:rPr>
            <w:rStyle w:val="Hyperlink"/>
            <w:rFonts w:cs="Arial"/>
            <w:szCs w:val="24"/>
          </w:rPr>
          <w:t>www.legislation.govt.nz</w:t>
        </w:r>
      </w:hyperlink>
      <w:r>
        <w:t xml:space="preserve">, </w:t>
      </w:r>
      <w:r w:rsidRPr="005E134B">
        <w:t xml:space="preserve">by typing </w:t>
      </w:r>
      <w:r w:rsidR="003B22F1">
        <w:t>‘</w:t>
      </w:r>
      <w:r w:rsidRPr="005E134B">
        <w:t>Health Act</w:t>
      </w:r>
      <w:r w:rsidR="003B22F1">
        <w:t>’</w:t>
      </w:r>
      <w:r w:rsidRPr="005E134B">
        <w:t xml:space="preserve"> into the search box, and referring to </w:t>
      </w:r>
      <w:r>
        <w:t>sections 74, 74AA, 74B and 85. T</w:t>
      </w:r>
      <w:r w:rsidRPr="005E134B">
        <w:t xml:space="preserve">hese provisions are </w:t>
      </w:r>
      <w:r>
        <w:t xml:space="preserve">also </w:t>
      </w:r>
      <w:r w:rsidRPr="005E134B">
        <w:t>reproduced for ease of reference in</w:t>
      </w:r>
      <w:r w:rsidR="0079715D">
        <w:t xml:space="preserve"> Appendix 2.</w:t>
      </w:r>
    </w:p>
    <w:p w:rsidR="008D1DCC" w:rsidRDefault="008D1DCC" w:rsidP="00E2483E"/>
    <w:p w:rsidR="003B22F1" w:rsidRDefault="008D1DCC" w:rsidP="00E2483E">
      <w:r w:rsidRPr="005E134B">
        <w:t>When health practitioners or laboratories fail to notify in accordance with section 74 and section</w:t>
      </w:r>
      <w:r w:rsidR="00E2483E">
        <w:t> </w:t>
      </w:r>
      <w:r w:rsidRPr="005E134B">
        <w:t>74AA</w:t>
      </w:r>
      <w:r w:rsidR="003B22F1">
        <w:t>’</w:t>
      </w:r>
      <w:r w:rsidRPr="005E134B">
        <w:t xml:space="preserve">s requirements, they may be prosecuted, and on conviction </w:t>
      </w:r>
      <w:r>
        <w:t xml:space="preserve">must </w:t>
      </w:r>
      <w:r w:rsidRPr="005E134B">
        <w:t>pay a fine.</w:t>
      </w:r>
      <w:r w:rsidRPr="00E2483E">
        <w:rPr>
          <w:rStyle w:val="FootnoteReference"/>
        </w:rPr>
        <w:footnoteReference w:id="9"/>
      </w:r>
    </w:p>
    <w:p w:rsidR="008D1DCC" w:rsidRPr="005E134B" w:rsidRDefault="008D1DCC" w:rsidP="00E2483E"/>
    <w:p w:rsidR="008D1DCC" w:rsidRPr="005E134B" w:rsidRDefault="008D1DCC" w:rsidP="00E2483E">
      <w:r w:rsidRPr="005E134B">
        <w:t>The</w:t>
      </w:r>
      <w:r w:rsidR="00617951">
        <w:t xml:space="preserve"> HIND</w:t>
      </w:r>
      <w:r>
        <w:t xml:space="preserve"> R</w:t>
      </w:r>
      <w:r w:rsidRPr="005E134B">
        <w:t>egulations</w:t>
      </w:r>
      <w:r>
        <w:t xml:space="preserve"> 2016</w:t>
      </w:r>
      <w:r w:rsidRPr="005E134B">
        <w:t xml:space="preserve"> contain prescribed notification forms for health pract</w:t>
      </w:r>
      <w:r>
        <w:t xml:space="preserve">itioners and funeral directors. These can also be accessed via: </w:t>
      </w:r>
      <w:hyperlink r:id="rId20" w:history="1">
        <w:r w:rsidRPr="00EA648C">
          <w:rPr>
            <w:rStyle w:val="Hyperlink"/>
            <w:rFonts w:cs="Arial"/>
            <w:szCs w:val="24"/>
          </w:rPr>
          <w:t>www.legislation.govt.nz</w:t>
        </w:r>
      </w:hyperlink>
      <w:r>
        <w:t xml:space="preserve">, and have been reproduced in </w:t>
      </w:r>
      <w:r w:rsidR="0079715D">
        <w:t>Appendix 3</w:t>
      </w:r>
      <w:r>
        <w:t>.</w:t>
      </w:r>
    </w:p>
    <w:p w:rsidR="008D1DCC" w:rsidRPr="005E134B" w:rsidRDefault="008D1DCC" w:rsidP="00E2483E"/>
    <w:p w:rsidR="003B22F1" w:rsidRDefault="008D1DCC" w:rsidP="00E2483E">
      <w:r w:rsidRPr="005E134B">
        <w:t>The notif</w:t>
      </w:r>
      <w:r>
        <w:t xml:space="preserve">ication forms in the </w:t>
      </w:r>
      <w:r w:rsidRPr="005E134B">
        <w:t xml:space="preserve">Regulations </w:t>
      </w:r>
      <w:r>
        <w:t>elicit basic information, which practitioners</w:t>
      </w:r>
      <w:r w:rsidRPr="005E134B">
        <w:t xml:space="preserve"> can </w:t>
      </w:r>
      <w:r>
        <w:t>s</w:t>
      </w:r>
      <w:r w:rsidRPr="005E134B">
        <w:t>upplement</w:t>
      </w:r>
      <w:r>
        <w:t xml:space="preserve"> </w:t>
      </w:r>
      <w:r w:rsidRPr="005E134B">
        <w:t>in the case report form provided in EpiSurv by ESR.</w:t>
      </w:r>
      <w:r>
        <w:t xml:space="preserve"> </w:t>
      </w:r>
      <w:r w:rsidRPr="005E134B">
        <w:t xml:space="preserve">The forms </w:t>
      </w:r>
      <w:r>
        <w:t xml:space="preserve">seek </w:t>
      </w:r>
      <w:r w:rsidRPr="005E134B">
        <w:t>patient details, details of the disease and details of the notifying health practitioner and include a more general category prompt.</w:t>
      </w:r>
    </w:p>
    <w:p w:rsidR="008D1DCC" w:rsidRDefault="008D1DCC" w:rsidP="00E2483E"/>
    <w:p w:rsidR="003B22F1" w:rsidRDefault="008D1DCC" w:rsidP="00E2483E">
      <w:r w:rsidRPr="005E134B">
        <w:t>While no form is prescribed for laboratory notifications, there are minimum information requirements.</w:t>
      </w:r>
      <w:r w:rsidRPr="00E2483E">
        <w:rPr>
          <w:rStyle w:val="FootnoteReference"/>
        </w:rPr>
        <w:footnoteReference w:id="10"/>
      </w:r>
      <w:r>
        <w:t xml:space="preserve"> In practice, c</w:t>
      </w:r>
      <w:r w:rsidRPr="005E134B">
        <w:t>ase report forms provided in E</w:t>
      </w:r>
      <w:r>
        <w:t xml:space="preserve">piSurv by ESR will be fuller </w:t>
      </w:r>
      <w:r w:rsidRPr="005E134B">
        <w:t>than the prescribed forms and minimum requirements.</w:t>
      </w:r>
    </w:p>
    <w:p w:rsidR="008D1DCC" w:rsidRPr="005E134B" w:rsidRDefault="008D1DCC" w:rsidP="00E2483E"/>
    <w:p w:rsidR="008D1DCC" w:rsidRPr="00584182" w:rsidRDefault="008D1DCC" w:rsidP="00E2483E">
      <w:pPr>
        <w:pStyle w:val="Heading2"/>
      </w:pPr>
      <w:bookmarkStart w:id="8" w:name="_Toc473538504"/>
      <w:r w:rsidRPr="00584182">
        <w:t>Sexually transmitted infections</w:t>
      </w:r>
      <w:bookmarkEnd w:id="8"/>
    </w:p>
    <w:p w:rsidR="003B22F1" w:rsidRDefault="008D1DCC" w:rsidP="00E2483E">
      <w:r w:rsidRPr="005E134B">
        <w:t xml:space="preserve">Until 2017, with the exception of AIDS, the late downstream effects of HIV and hepatitis B, STIs </w:t>
      </w:r>
      <w:r>
        <w:t xml:space="preserve">were </w:t>
      </w:r>
      <w:r w:rsidRPr="005E134B">
        <w:t>not formally notifiable in New Zealan</w:t>
      </w:r>
      <w:r>
        <w:t>d, except in a narrow range of circumstances.</w:t>
      </w:r>
      <w:r w:rsidRPr="00E2483E">
        <w:rPr>
          <w:rStyle w:val="FootnoteReference"/>
        </w:rPr>
        <w:footnoteReference w:id="11"/>
      </w:r>
      <w:r>
        <w:t xml:space="preserve"> </w:t>
      </w:r>
      <w:r w:rsidRPr="005E134B">
        <w:t>Surveillance for STIs of public importance</w:t>
      </w:r>
      <w:r w:rsidRPr="005E134B">
        <w:rPr>
          <w:rStyle w:val="FootnoteReference"/>
          <w:rFonts w:cs="Arial"/>
        </w:rPr>
        <w:footnoteReference w:id="12"/>
      </w:r>
      <w:r>
        <w:t xml:space="preserve"> relied on family planning or</w:t>
      </w:r>
      <w:r w:rsidRPr="005E134B">
        <w:t xml:space="preserve"> sexual health clinics and laboratories voluntarily providing non-identifiable data.</w:t>
      </w:r>
      <w:r>
        <w:t xml:space="preserve"> </w:t>
      </w:r>
      <w:r w:rsidRPr="005E134B">
        <w:t>The AIDS Epidemiology Group contracted to</w:t>
      </w:r>
      <w:r>
        <w:t xml:space="preserve"> collect information about HIV (and continues to do so currently). </w:t>
      </w:r>
      <w:r w:rsidRPr="005E134B">
        <w:t>Coding ensures that the identity of the patient is known only to the reporting health practitioner, although is sufficiently specific to allow detection of duplicate reports.</w:t>
      </w:r>
    </w:p>
    <w:p w:rsidR="00E2483E" w:rsidRDefault="00E2483E" w:rsidP="00E2483E"/>
    <w:p w:rsidR="008D1DCC" w:rsidRPr="005E134B" w:rsidRDefault="008D1DCC" w:rsidP="00E2483E">
      <w:r w:rsidRPr="005E134B">
        <w:t>Since January 2017, HIV, gonorrhoea and syphilis are formally no</w:t>
      </w:r>
      <w:r>
        <w:t xml:space="preserve">tifiable, in addition to AIDS. </w:t>
      </w:r>
      <w:r w:rsidRPr="005E134B">
        <w:t xml:space="preserve">They are in a category of infectious diseases notifiable on a non-identified basis – </w:t>
      </w:r>
      <w:r>
        <w:t xml:space="preserve">and referred to in the Health Act as </w:t>
      </w:r>
      <w:r w:rsidR="003B22F1">
        <w:t>‘</w:t>
      </w:r>
      <w:r w:rsidRPr="005E134B">
        <w:t>Section C diseases</w:t>
      </w:r>
      <w:r w:rsidR="003B22F1">
        <w:t>’</w:t>
      </w:r>
      <w:r>
        <w:t xml:space="preserve">. </w:t>
      </w:r>
      <w:r w:rsidRPr="005E134B">
        <w:t>Th</w:t>
      </w:r>
      <w:r>
        <w:t>e new category</w:t>
      </w:r>
      <w:r w:rsidR="005117EB">
        <w:t xml:space="preserve">’s identity protection requirements has </w:t>
      </w:r>
      <w:r w:rsidRPr="005E134B">
        <w:t>the aim of preventing individuals from avoiding diagnosis and treatment due to perceptions of stigma attached to having certain diseases.</w:t>
      </w:r>
      <w:r w:rsidRPr="00E2483E">
        <w:rPr>
          <w:rStyle w:val="FootnoteReference"/>
        </w:rPr>
        <w:footnoteReference w:id="13"/>
      </w:r>
      <w:r>
        <w:t xml:space="preserve"> </w:t>
      </w:r>
      <w:r w:rsidRPr="005E134B">
        <w:t>While the four STIs are all to be notified protecting the case</w:t>
      </w:r>
      <w:r w:rsidR="003B22F1">
        <w:t>’</w:t>
      </w:r>
      <w:r w:rsidRPr="005E134B">
        <w:t>s identity, the considerations leading to notification are not t</w:t>
      </w:r>
      <w:r>
        <w:t xml:space="preserve">he same for all four diseases. </w:t>
      </w:r>
      <w:r w:rsidRPr="005E134B">
        <w:t>For example, AIDS is a clinical diagnoses, while HIV, syphilis and gonorrhoea usually can be directly laboratory notified, thereby avoiding a number of people handling the information.</w:t>
      </w:r>
    </w:p>
    <w:p w:rsidR="00E2483E" w:rsidRDefault="00E2483E" w:rsidP="00E2483E"/>
    <w:p w:rsidR="003B22F1" w:rsidRDefault="008D1DCC" w:rsidP="00E2483E">
      <w:r w:rsidRPr="005E134B">
        <w:t>It is vital that when health practitioners and laboratories notify HIV, AIDS, gonorrhoea, or syphilis, they comply with the protection</w:t>
      </w:r>
      <w:r>
        <w:t>-</w:t>
      </w:r>
      <w:r w:rsidRPr="005E134B">
        <w:t>of</w:t>
      </w:r>
      <w:r>
        <w:t>-</w:t>
      </w:r>
      <w:r w:rsidRPr="005E134B">
        <w:t>identity requirements.</w:t>
      </w:r>
      <w:r w:rsidRPr="00E2483E">
        <w:rPr>
          <w:rStyle w:val="FootnoteReference"/>
        </w:rPr>
        <w:footnoteReference w:id="14"/>
      </w:r>
      <w:r>
        <w:t xml:space="preserve"> </w:t>
      </w:r>
      <w:r w:rsidRPr="005E134B">
        <w:t xml:space="preserve">This means they must </w:t>
      </w:r>
      <w:r w:rsidRPr="005D71C7">
        <w:t>not</w:t>
      </w:r>
      <w:r w:rsidRPr="005E134B">
        <w:t xml:space="preserve"> notify the name, address, place of work or education, or contact information of the individual</w:t>
      </w:r>
      <w:r>
        <w:t xml:space="preserve"> concerned</w:t>
      </w:r>
      <w:r w:rsidRPr="005E134B">
        <w:t>.</w:t>
      </w:r>
      <w:r w:rsidRPr="00E2483E">
        <w:rPr>
          <w:rStyle w:val="FootnoteReference"/>
        </w:rPr>
        <w:footnoteReference w:id="15"/>
      </w:r>
    </w:p>
    <w:p w:rsidR="00E2483E" w:rsidRDefault="00E2483E" w:rsidP="00E2483E"/>
    <w:p w:rsidR="008D1DCC" w:rsidRPr="005E134B" w:rsidRDefault="008D1DCC" w:rsidP="00E2483E">
      <w:r>
        <w:t>N</w:t>
      </w:r>
      <w:r w:rsidRPr="005E134B">
        <w:t xml:space="preserve">otifications </w:t>
      </w:r>
      <w:r>
        <w:t xml:space="preserve">will </w:t>
      </w:r>
      <w:r w:rsidRPr="005E134B">
        <w:t>include the N</w:t>
      </w:r>
      <w:r>
        <w:t xml:space="preserve">ational Health Index (NHI) </w:t>
      </w:r>
      <w:r w:rsidRPr="005E134B">
        <w:t xml:space="preserve">number, </w:t>
      </w:r>
      <w:r>
        <w:t>but public health practitioners must not use this</w:t>
      </w:r>
      <w:r w:rsidRPr="005E134B">
        <w:t xml:space="preserve"> to trace </w:t>
      </w:r>
      <w:r w:rsidR="003B22F1">
        <w:t>‘</w:t>
      </w:r>
      <w:r w:rsidRPr="005E134B">
        <w:t>identifying information</w:t>
      </w:r>
      <w:r w:rsidR="003B22F1">
        <w:t>’</w:t>
      </w:r>
      <w:r w:rsidRPr="005E134B">
        <w:t xml:space="preserve"> about an individual </w:t>
      </w:r>
      <w:r>
        <w:t>due to protections in the Health Act, general privacy law (the Privacy Act 1992) and the Health Information Privacy Code 1994 (which places restrictions on the sharing of personal health information).</w:t>
      </w:r>
    </w:p>
    <w:p w:rsidR="00E2483E" w:rsidRDefault="00E2483E" w:rsidP="00E2483E"/>
    <w:p w:rsidR="008D1DCC" w:rsidRPr="00E2483E" w:rsidRDefault="008D1DCC" w:rsidP="00E2483E">
      <w:r>
        <w:t>When</w:t>
      </w:r>
      <w:r w:rsidRPr="005E134B">
        <w:t xml:space="preserve"> </w:t>
      </w:r>
      <w:r>
        <w:t>a m</w:t>
      </w:r>
      <w:r w:rsidRPr="005E134B">
        <w:t xml:space="preserve">edical officer of health receiving </w:t>
      </w:r>
      <w:r>
        <w:t xml:space="preserve">a </w:t>
      </w:r>
      <w:r w:rsidRPr="005E134B">
        <w:t>notification believes that disclosure of identifying information is necessary to respond effectively to a public health risk, he or she may request that information from the</w:t>
      </w:r>
      <w:r>
        <w:t xml:space="preserve"> notifier.</w:t>
      </w:r>
      <w:r w:rsidRPr="00E2483E">
        <w:rPr>
          <w:rStyle w:val="FootnoteReference"/>
        </w:rPr>
        <w:footnoteReference w:id="16"/>
      </w:r>
      <w:r>
        <w:t xml:space="preserve"> However, t</w:t>
      </w:r>
      <w:r w:rsidRPr="005E134B">
        <w:t>his is very much on an exceptions basis</w:t>
      </w:r>
      <w:r>
        <w:t>, for example, when there is a cluster of infections or anti-microbial resistance requiring a public health response. T</w:t>
      </w:r>
      <w:r w:rsidRPr="005E134B">
        <w:t xml:space="preserve">he default position </w:t>
      </w:r>
      <w:r w:rsidR="005117EB">
        <w:t xml:space="preserve">is </w:t>
      </w:r>
      <w:r w:rsidRPr="005E134B">
        <w:t>that identity must be protected for Section C diseases –</w:t>
      </w:r>
      <w:r>
        <w:t xml:space="preserve"> </w:t>
      </w:r>
      <w:r w:rsidRPr="005E134B">
        <w:t>gonorrhoea, syphilis, AIDS and HIV.</w:t>
      </w:r>
    </w:p>
    <w:p w:rsidR="00E2483E" w:rsidRDefault="00E2483E" w:rsidP="00E2483E"/>
    <w:p w:rsidR="008D1DCC" w:rsidRDefault="008D1DCC" w:rsidP="00E2483E">
      <w:r w:rsidRPr="005E134B">
        <w:t xml:space="preserve">The prescribed form for health practitioners notifying Section C diseases contains a specific question to the notifier about contact tracing. In this context, </w:t>
      </w:r>
      <w:r w:rsidR="003B22F1">
        <w:t>‘</w:t>
      </w:r>
      <w:r w:rsidRPr="005E134B">
        <w:t>contact tracing</w:t>
      </w:r>
      <w:r w:rsidR="003B22F1">
        <w:t>’</w:t>
      </w:r>
      <w:r w:rsidRPr="005E134B">
        <w:t xml:space="preserve"> refers to either informal contact tracing that primary health, NGOs, and others currently undertake, </w:t>
      </w:r>
      <w:r w:rsidRPr="00BA5E72">
        <w:t>and</w:t>
      </w:r>
      <w:r w:rsidRPr="005E134B">
        <w:t xml:space="preserve"> to formal contact tracing under Part 3A of the Health Act.</w:t>
      </w:r>
      <w:r>
        <w:t xml:space="preserve"> This question is not intended to elicit a flood of contact tracing referrals from primary practitioners and NGOs to public health units and DHBs. However, in unusual circumstances when voluntary, informal contact tracing is unlikely to be effective, or where there is a major public health risk, referral to a public health unit may be a sensible course of action.</w:t>
      </w:r>
    </w:p>
    <w:p w:rsidR="00E2483E" w:rsidRDefault="00E2483E" w:rsidP="00E2483E"/>
    <w:p w:rsidR="008D1DCC" w:rsidRDefault="008D1DCC" w:rsidP="00E2483E">
      <w:pPr>
        <w:pStyle w:val="Heading2"/>
      </w:pPr>
      <w:bookmarkStart w:id="9" w:name="_Toc473538505"/>
      <w:r w:rsidRPr="00584182">
        <w:t>Section C disease with another notifiable disease</w:t>
      </w:r>
      <w:bookmarkEnd w:id="9"/>
    </w:p>
    <w:p w:rsidR="008D1DCC" w:rsidRDefault="008D1DCC" w:rsidP="00E2483E">
      <w:r w:rsidRPr="005D71C7">
        <w:t xml:space="preserve">When </w:t>
      </w:r>
      <w:r>
        <w:t xml:space="preserve">an individual could </w:t>
      </w:r>
      <w:r w:rsidRPr="005E134B">
        <w:t>be infected with another notifiable disease, along with a Section C disease</w:t>
      </w:r>
      <w:r>
        <w:t xml:space="preserve"> that</w:t>
      </w:r>
      <w:r w:rsidRPr="005E134B">
        <w:t xml:space="preserve"> is notifiable on a non</w:t>
      </w:r>
      <w:r w:rsidR="00084D54">
        <w:t>-i</w:t>
      </w:r>
      <w:r w:rsidRPr="005E134B">
        <w:t xml:space="preserve">dentified basis, </w:t>
      </w:r>
      <w:r>
        <w:t xml:space="preserve">practitioners or laboratories should notify the diseases separately. </w:t>
      </w:r>
      <w:r w:rsidRPr="005E134B">
        <w:t>The</w:t>
      </w:r>
      <w:r>
        <w:t>y must use</w:t>
      </w:r>
      <w:r w:rsidRPr="005E134B">
        <w:t xml:space="preserve"> </w:t>
      </w:r>
      <w:r>
        <w:t xml:space="preserve">two different forms from </w:t>
      </w:r>
      <w:r w:rsidR="00E24308">
        <w:t xml:space="preserve">Schedule 2 of </w:t>
      </w:r>
      <w:r>
        <w:t xml:space="preserve">the </w:t>
      </w:r>
      <w:r w:rsidRPr="005E134B">
        <w:t xml:space="preserve">HIND Regulations 2016 </w:t>
      </w:r>
      <w:r>
        <w:t>–</w:t>
      </w:r>
      <w:r w:rsidR="00E24308">
        <w:t xml:space="preserve"> </w:t>
      </w:r>
      <w:r>
        <w:t>form</w:t>
      </w:r>
      <w:r w:rsidR="00E24308">
        <w:t xml:space="preserve"> 1 </w:t>
      </w:r>
      <w:r>
        <w:t>for notifiable diseases in general (which does not require identity protection)</w:t>
      </w:r>
      <w:r w:rsidR="00E24308">
        <w:t>,</w:t>
      </w:r>
      <w:r>
        <w:t xml:space="preserve"> </w:t>
      </w:r>
      <w:r w:rsidR="00E24308">
        <w:t xml:space="preserve">or </w:t>
      </w:r>
      <w:r>
        <w:t>form</w:t>
      </w:r>
      <w:r w:rsidR="00E24308">
        <w:t xml:space="preserve"> 2</w:t>
      </w:r>
      <w:r>
        <w:t xml:space="preserve"> for Section C notifiable diseases (which does require identity protection).</w:t>
      </w:r>
    </w:p>
    <w:p w:rsidR="00E2483E" w:rsidRDefault="00E2483E" w:rsidP="00E2483E"/>
    <w:p w:rsidR="003B22F1" w:rsidRDefault="008D1DCC" w:rsidP="00E2483E">
      <w:r w:rsidRPr="005E134B">
        <w:t>Both forms contain a prompt for</w:t>
      </w:r>
      <w:r>
        <w:t xml:space="preserve">: </w:t>
      </w:r>
      <w:r w:rsidR="003B22F1">
        <w:t>“</w:t>
      </w:r>
      <w:r w:rsidRPr="005E134B">
        <w:t>Any other information relevant to the risk of the patient having or transmitting the disease (for example, vaccine history, sexual behaviour or activity, or sex of partner or partners, if known).</w:t>
      </w:r>
      <w:r w:rsidR="003B22F1">
        <w:t>”</w:t>
      </w:r>
    </w:p>
    <w:p w:rsidR="00E2483E" w:rsidRDefault="00E2483E" w:rsidP="00E2483E"/>
    <w:p w:rsidR="008D1DCC" w:rsidRDefault="008D1DCC" w:rsidP="00E2483E">
      <w:r>
        <w:t xml:space="preserve">However, notifiers </w:t>
      </w:r>
      <w:r w:rsidRPr="005E134B">
        <w:t xml:space="preserve">should not disclose Section C diseases in response to </w:t>
      </w:r>
      <w:r>
        <w:t>this prompt. For example, a case may have tuberculosis in conjunction with HIV, and if this is considered relevant to the tuberculosis notification, the notifier must not record the case</w:t>
      </w:r>
      <w:r w:rsidR="003B22F1">
        <w:t>’</w:t>
      </w:r>
      <w:r>
        <w:t xml:space="preserve">s HIV status on the tuberculosis notification form. By contrast, the notifier may record tuberculosis, or any other Section C disease, in response to either a specific question or an </w:t>
      </w:r>
      <w:r w:rsidR="003B22F1">
        <w:t>‘</w:t>
      </w:r>
      <w:r>
        <w:t>other information</w:t>
      </w:r>
      <w:r w:rsidR="003B22F1">
        <w:t>’</w:t>
      </w:r>
      <w:r>
        <w:t xml:space="preserve"> prompt on the Section C disease notification form.</w:t>
      </w:r>
    </w:p>
    <w:p w:rsidR="00E2483E" w:rsidRDefault="00E2483E" w:rsidP="00E2483E"/>
    <w:p w:rsidR="008D1DCC" w:rsidRPr="00584182" w:rsidRDefault="008D1DCC" w:rsidP="00E2483E">
      <w:pPr>
        <w:pStyle w:val="Heading2"/>
      </w:pPr>
      <w:bookmarkStart w:id="10" w:name="_Toc473538506"/>
      <w:r w:rsidRPr="00584182">
        <w:t>Notification and rapid test results</w:t>
      </w:r>
      <w:bookmarkEnd w:id="10"/>
    </w:p>
    <w:p w:rsidR="008D1DCC" w:rsidRDefault="008D1DCC" w:rsidP="00E2483E">
      <w:r>
        <w:t xml:space="preserve">Rapid tests are sometimes carried out for diseases such as HIV, syphilis and hepatitis C and the </w:t>
      </w:r>
      <w:r w:rsidRPr="005E134B">
        <w:t xml:space="preserve">results </w:t>
      </w:r>
      <w:r>
        <w:t>need to b</w:t>
      </w:r>
      <w:r w:rsidRPr="005E134B">
        <w:t xml:space="preserve">e confirmed by diagnostic testing. Therefore, rapid test </w:t>
      </w:r>
      <w:r>
        <w:t xml:space="preserve">results normally </w:t>
      </w:r>
      <w:r w:rsidRPr="005E134B">
        <w:t xml:space="preserve">do not need to be notified. </w:t>
      </w:r>
      <w:r>
        <w:t>A</w:t>
      </w:r>
      <w:r w:rsidRPr="005E134B">
        <w:t>gencies performing rapid tests provide advice and support for individuals with positive results. Th</w:t>
      </w:r>
      <w:r>
        <w:t>at</w:t>
      </w:r>
      <w:r w:rsidRPr="005E134B">
        <w:t xml:space="preserve"> invariably includes a recommendation that they should undergo formal confirmatory diagnostic testing. When this is sought, or alternatively the preconditions for notification are met (by health practitioners on reasonable suspicion and by laboratories with results that a person has been, may be or may have been, infected with an infectious disease), the notification requirements are then triggered.</w:t>
      </w:r>
    </w:p>
    <w:p w:rsidR="00E2483E" w:rsidRPr="005E134B" w:rsidRDefault="00E2483E" w:rsidP="00E2483E"/>
    <w:p w:rsidR="003B22F1" w:rsidRDefault="008D1DCC" w:rsidP="00E2483E">
      <w:pPr>
        <w:pStyle w:val="Heading2"/>
      </w:pPr>
      <w:bookmarkStart w:id="11" w:name="_Toc473538507"/>
      <w:r>
        <w:t>Existing guidance on n</w:t>
      </w:r>
      <w:r w:rsidRPr="00584182">
        <w:t>otification</w:t>
      </w:r>
      <w:bookmarkEnd w:id="11"/>
    </w:p>
    <w:p w:rsidR="008D1DCC" w:rsidRDefault="008D1DCC" w:rsidP="00E2483E">
      <w:r w:rsidRPr="005E134B">
        <w:t xml:space="preserve">Guidance on notification, developed </w:t>
      </w:r>
      <w:r>
        <w:t xml:space="preserve">prior to the 2017 changes </w:t>
      </w:r>
      <w:r w:rsidRPr="005E134B">
        <w:t>includes:</w:t>
      </w:r>
    </w:p>
    <w:p w:rsidR="008D1DCC" w:rsidRPr="00906C8D" w:rsidRDefault="008D1DCC" w:rsidP="00E2483E">
      <w:pPr>
        <w:pStyle w:val="Bullet"/>
        <w:rPr>
          <w:rStyle w:val="Hyperlink"/>
          <w:rFonts w:cs="Arial"/>
          <w:szCs w:val="24"/>
        </w:rPr>
      </w:pPr>
      <w:r w:rsidRPr="001F0476">
        <w:rPr>
          <w:i/>
        </w:rPr>
        <w:t>Direct Laboratory Notification of</w:t>
      </w:r>
      <w:r w:rsidR="003B22F1">
        <w:rPr>
          <w:i/>
        </w:rPr>
        <w:t xml:space="preserve"> </w:t>
      </w:r>
      <w:r w:rsidRPr="001F0476">
        <w:rPr>
          <w:i/>
        </w:rPr>
        <w:t>Communicable Diseases:</w:t>
      </w:r>
      <w:r w:rsidR="003B22F1">
        <w:rPr>
          <w:i/>
        </w:rPr>
        <w:t xml:space="preserve"> </w:t>
      </w:r>
      <w:r w:rsidRPr="001F0476">
        <w:rPr>
          <w:i/>
        </w:rPr>
        <w:t>National Guidelines</w:t>
      </w:r>
      <w:r w:rsidRPr="005E134B">
        <w:t>, accessible from ESR</w:t>
      </w:r>
      <w:r w:rsidR="003B22F1">
        <w:t>’</w:t>
      </w:r>
      <w:r w:rsidRPr="005E134B">
        <w:t xml:space="preserve">s website at: </w:t>
      </w:r>
      <w:r w:rsidR="007227C6">
        <w:br/>
      </w:r>
      <w:hyperlink r:id="rId21" w:history="1">
        <w:r w:rsidRPr="005E134B">
          <w:rPr>
            <w:rStyle w:val="Hyperlink"/>
            <w:rFonts w:cs="Arial"/>
            <w:szCs w:val="24"/>
          </w:rPr>
          <w:t>www.surv.esr.cri.nz/LabSurv/Documents/dln-national-guidelines-dec07.pdf</w:t>
        </w:r>
      </w:hyperlink>
    </w:p>
    <w:p w:rsidR="008D1DCC" w:rsidRDefault="008D1DCC" w:rsidP="00E2483E">
      <w:pPr>
        <w:pStyle w:val="Bullet"/>
      </w:pPr>
      <w:r w:rsidRPr="001F0476">
        <w:t xml:space="preserve">The Public </w:t>
      </w:r>
      <w:r>
        <w:t>Health Surveillance information accessible on ESR</w:t>
      </w:r>
      <w:r w:rsidR="003B22F1">
        <w:t>’</w:t>
      </w:r>
      <w:r>
        <w:t>s website at:</w:t>
      </w:r>
      <w:r w:rsidR="003B22F1">
        <w:t xml:space="preserve"> </w:t>
      </w:r>
      <w:hyperlink r:id="rId22" w:history="1">
        <w:r w:rsidRPr="00852599">
          <w:rPr>
            <w:rStyle w:val="Hyperlink"/>
            <w:rFonts w:cs="Arial"/>
            <w:szCs w:val="24"/>
          </w:rPr>
          <w:t>https://surv.esr.cri.nz/</w:t>
        </w:r>
      </w:hyperlink>
    </w:p>
    <w:p w:rsidR="008D1DCC" w:rsidRPr="005E134B" w:rsidRDefault="008D1DCC" w:rsidP="007227C6">
      <w:pPr>
        <w:pStyle w:val="Bullet"/>
        <w:keepNext/>
        <w:keepLines/>
      </w:pPr>
      <w:r w:rsidRPr="005E134B">
        <w:t>The Ministry of Health</w:t>
      </w:r>
      <w:r w:rsidR="003B22F1">
        <w:t>’</w:t>
      </w:r>
      <w:r w:rsidRPr="005E134B">
        <w:t xml:space="preserve">s </w:t>
      </w:r>
      <w:r w:rsidRPr="001F0476">
        <w:rPr>
          <w:i/>
        </w:rPr>
        <w:t xml:space="preserve">Communicable Disease Control Manual </w:t>
      </w:r>
      <w:r w:rsidRPr="001F0476">
        <w:t>2012,</w:t>
      </w:r>
      <w:r w:rsidRPr="005E134B">
        <w:t xml:space="preserve"> accessible from the Ministry</w:t>
      </w:r>
      <w:r w:rsidR="003B22F1">
        <w:t>’</w:t>
      </w:r>
      <w:r w:rsidRPr="005E134B">
        <w:t xml:space="preserve">s website at: </w:t>
      </w:r>
      <w:r w:rsidR="007227C6">
        <w:br/>
      </w:r>
      <w:hyperlink r:id="rId23" w:history="1">
        <w:r w:rsidRPr="001158E7">
          <w:rPr>
            <w:rStyle w:val="Hyperlink"/>
            <w:rFonts w:cs="Arial"/>
            <w:szCs w:val="24"/>
          </w:rPr>
          <w:t>www.health.govt.nz/publication/communicable-disease-control-manual-2012</w:t>
        </w:r>
      </w:hyperlink>
      <w:r w:rsidRPr="005E134B">
        <w:t xml:space="preserve"> (subject to ongoing revision).</w:t>
      </w:r>
    </w:p>
    <w:p w:rsidR="008D1DCC" w:rsidRPr="005E134B" w:rsidRDefault="008D1DCC" w:rsidP="00E2483E"/>
    <w:p w:rsidR="008D1DCC" w:rsidRPr="00584182" w:rsidRDefault="008D1DCC" w:rsidP="00E2483E">
      <w:pPr>
        <w:pStyle w:val="Heading2"/>
      </w:pPr>
      <w:bookmarkStart w:id="12" w:name="_Toc473538508"/>
      <w:r w:rsidRPr="00584182">
        <w:t>Chlamydia</w:t>
      </w:r>
      <w:r>
        <w:t xml:space="preserve"> and other infectious diseases</w:t>
      </w:r>
      <w:bookmarkEnd w:id="12"/>
    </w:p>
    <w:p w:rsidR="003B22F1" w:rsidRDefault="008D1DCC" w:rsidP="00E2483E">
      <w:r>
        <w:t>Chlamydia is a prevalent</w:t>
      </w:r>
      <w:r w:rsidR="0044090E">
        <w:t xml:space="preserve"> disease</w:t>
      </w:r>
      <w:r>
        <w:t xml:space="preserve"> and, wh</w:t>
      </w:r>
      <w:r w:rsidRPr="005E134B">
        <w:t xml:space="preserve">ile chlamydia is not formally notifiable in New Zealand, it is </w:t>
      </w:r>
      <w:r>
        <w:t>since January 2017</w:t>
      </w:r>
      <w:r w:rsidRPr="005E134B">
        <w:t xml:space="preserve"> categorised as an </w:t>
      </w:r>
      <w:r w:rsidR="003B22F1">
        <w:t>‘</w:t>
      </w:r>
      <w:r w:rsidRPr="005E134B">
        <w:t>other infectious disease</w:t>
      </w:r>
      <w:r w:rsidR="003B22F1">
        <w:t>’</w:t>
      </w:r>
      <w:r w:rsidRPr="005E134B">
        <w:t>.</w:t>
      </w:r>
      <w:r w:rsidRPr="00E2483E">
        <w:rPr>
          <w:rStyle w:val="FootnoteReference"/>
        </w:rPr>
        <w:footnoteReference w:id="17"/>
      </w:r>
      <w:r>
        <w:t xml:space="preserve"> </w:t>
      </w:r>
      <w:r w:rsidRPr="005E134B">
        <w:t xml:space="preserve">This means that the public health measures </w:t>
      </w:r>
      <w:r>
        <w:t>discussed in this guidance can apply to it. M</w:t>
      </w:r>
      <w:r w:rsidRPr="005E134B">
        <w:t xml:space="preserve">edical </w:t>
      </w:r>
      <w:r>
        <w:t>o</w:t>
      </w:r>
      <w:r w:rsidRPr="005E134B">
        <w:t xml:space="preserve">fficers of </w:t>
      </w:r>
      <w:r>
        <w:t>h</w:t>
      </w:r>
      <w:r w:rsidRPr="005E134B">
        <w:t>ealth may consider using these measures in the event of non-cooperation when severe and uncommon presentations of chlamydia surface, such as w</w:t>
      </w:r>
      <w:r>
        <w:t>here</w:t>
      </w:r>
      <w:r w:rsidRPr="005E134B">
        <w:t xml:space="preserve"> lymphogranuloma venereum</w:t>
      </w:r>
      <w:r>
        <w:t xml:space="preserve"> is also a factor</w:t>
      </w:r>
      <w:r w:rsidRPr="005E134B">
        <w:t>, or when there is an outbreak.</w:t>
      </w:r>
    </w:p>
    <w:p w:rsidR="008D1DCC" w:rsidRDefault="008D1DCC" w:rsidP="00E2483E"/>
    <w:p w:rsidR="003B22F1" w:rsidRDefault="008D1DCC" w:rsidP="00E2483E">
      <w:pPr>
        <w:pStyle w:val="Heading2"/>
      </w:pPr>
      <w:bookmarkStart w:id="13" w:name="_Toc473538509"/>
      <w:r w:rsidRPr="00584182">
        <w:t>Notification and non</w:t>
      </w:r>
      <w:r w:rsidR="00084D54">
        <w:t>-</w:t>
      </w:r>
      <w:r w:rsidRPr="00584182">
        <w:t>infectious diseases</w:t>
      </w:r>
      <w:bookmarkEnd w:id="13"/>
    </w:p>
    <w:p w:rsidR="003B22F1" w:rsidRDefault="008D1DCC" w:rsidP="00E2483E">
      <w:r w:rsidRPr="005E134B">
        <w:t>While most of the HIND Regulations 2016 deal with notification and management of infectious diseases, the</w:t>
      </w:r>
      <w:r>
        <w:t xml:space="preserve"> Regulations</w:t>
      </w:r>
      <w:r w:rsidRPr="005E134B">
        <w:t xml:space="preserve"> also provide a form for notification of non</w:t>
      </w:r>
      <w:r w:rsidR="00084D54">
        <w:t>-</w:t>
      </w:r>
      <w:r w:rsidRPr="005E134B">
        <w:t>communicable diseases.</w:t>
      </w:r>
      <w:r w:rsidRPr="00E2483E">
        <w:rPr>
          <w:rStyle w:val="FootnoteReference"/>
        </w:rPr>
        <w:footnoteReference w:id="18"/>
      </w:r>
    </w:p>
    <w:p w:rsidR="00E2483E" w:rsidRDefault="00E2483E" w:rsidP="00E2483E"/>
    <w:p w:rsidR="008D1DCC" w:rsidRPr="00584182" w:rsidRDefault="008D1DCC" w:rsidP="00E2483E">
      <w:pPr>
        <w:pStyle w:val="Heading2"/>
      </w:pPr>
      <w:bookmarkStart w:id="14" w:name="_Toc473538510"/>
      <w:r w:rsidRPr="00584182">
        <w:t>Clusters and new or re-emerging diseases</w:t>
      </w:r>
      <w:bookmarkEnd w:id="14"/>
    </w:p>
    <w:p w:rsidR="008D1DCC" w:rsidRPr="005E134B" w:rsidRDefault="008D1DCC" w:rsidP="00E2483E">
      <w:r w:rsidRPr="005E134B">
        <w:t>Informal reporting by laboratories and health practitioners or by other sources occurs for high</w:t>
      </w:r>
      <w:r>
        <w:t>-</w:t>
      </w:r>
      <w:r w:rsidRPr="005E134B">
        <w:t>risk diseases in certain circumstances (eg, an outbreak of influenza in a rest home, or ch</w:t>
      </w:r>
      <w:r>
        <w:t>icken pox in a boarding school), enabling public health action.</w:t>
      </w:r>
    </w:p>
    <w:p w:rsidR="00E2483E" w:rsidRDefault="00E2483E" w:rsidP="00E2483E"/>
    <w:p w:rsidR="008D1DCC" w:rsidRDefault="008D1DCC" w:rsidP="00E2483E">
      <w:r w:rsidRPr="005E134B">
        <w:t>New and emerging or re-emerging infectious diseases can become categorised as formally notifiable infectious diseases at any time, by adding to the list of scheduled</w:t>
      </w:r>
      <w:r w:rsidR="003B22F1">
        <w:t xml:space="preserve"> </w:t>
      </w:r>
      <w:r>
        <w:t xml:space="preserve">diseases by Order in Council. </w:t>
      </w:r>
      <w:r w:rsidRPr="005E134B">
        <w:t xml:space="preserve">An </w:t>
      </w:r>
      <w:r>
        <w:t>example of this is Middle East respiratory s</w:t>
      </w:r>
      <w:r w:rsidRPr="005E134B">
        <w:t xml:space="preserve">yndrome </w:t>
      </w:r>
      <w:r>
        <w:t>c</w:t>
      </w:r>
      <w:r w:rsidRPr="005E134B">
        <w:t>oronavirus (MERS-CoV), which was added in September 2013.</w:t>
      </w:r>
    </w:p>
    <w:p w:rsidR="00E2483E" w:rsidRPr="005E134B" w:rsidRDefault="00E2483E" w:rsidP="00E2483E"/>
    <w:p w:rsidR="008D1DCC" w:rsidRPr="00A651AB" w:rsidRDefault="008D1DCC" w:rsidP="00E2483E">
      <w:pPr>
        <w:pStyle w:val="Heading1"/>
      </w:pPr>
      <w:bookmarkStart w:id="15" w:name="_Toc473538511"/>
      <w:r w:rsidRPr="00A651AB">
        <w:t>3</w:t>
      </w:r>
      <w:r w:rsidR="00E2483E">
        <w:tab/>
      </w:r>
      <w:r w:rsidRPr="00A651AB">
        <w:t>Public health measures</w:t>
      </w:r>
      <w:bookmarkEnd w:id="15"/>
    </w:p>
    <w:p w:rsidR="008D1DCC" w:rsidRPr="00584182" w:rsidRDefault="008D1DCC" w:rsidP="00E2483E">
      <w:pPr>
        <w:pStyle w:val="Heading2"/>
      </w:pPr>
      <w:bookmarkStart w:id="16" w:name="_Toc473538512"/>
      <w:r>
        <w:t>T</w:t>
      </w:r>
      <w:r w:rsidRPr="00584182">
        <w:t>he legislative context</w:t>
      </w:r>
      <w:bookmarkEnd w:id="16"/>
    </w:p>
    <w:p w:rsidR="003B22F1" w:rsidRDefault="008D1DCC" w:rsidP="00E2483E">
      <w:r>
        <w:t xml:space="preserve">New Part 3A of the Health Act replaces </w:t>
      </w:r>
      <w:r w:rsidRPr="005E134B">
        <w:t>venereal diseases legislation</w:t>
      </w:r>
      <w:r w:rsidRPr="00E2483E">
        <w:rPr>
          <w:rStyle w:val="FootnoteReference"/>
        </w:rPr>
        <w:footnoteReference w:id="19"/>
      </w:r>
      <w:r w:rsidRPr="005E134B">
        <w:t xml:space="preserve"> and </w:t>
      </w:r>
      <w:r>
        <w:t>the HIND Regulations 1966, which were both out of date. The outdated legislation was also inconsistent with Part 3A</w:t>
      </w:r>
      <w:r w:rsidR="003B22F1">
        <w:t>’</w:t>
      </w:r>
      <w:r>
        <w:t xml:space="preserve">s </w:t>
      </w:r>
      <w:r w:rsidRPr="005E134B">
        <w:t>incremental approach</w:t>
      </w:r>
      <w:r>
        <w:t xml:space="preserve"> and the emphasis on attempting vo</w:t>
      </w:r>
      <w:r w:rsidRPr="005E134B">
        <w:t>luntary</w:t>
      </w:r>
      <w:r>
        <w:t xml:space="preserve"> measures first, specifying</w:t>
      </w:r>
      <w:r w:rsidRPr="005E134B">
        <w:t xml:space="preserve"> time limits</w:t>
      </w:r>
      <w:r>
        <w:t>, and on applying overarching principles</w:t>
      </w:r>
      <w:r w:rsidRPr="005E134B">
        <w:t xml:space="preserve"> and other safeguards</w:t>
      </w:r>
      <w:r>
        <w:t>.</w:t>
      </w:r>
      <w:r w:rsidRPr="00E2483E">
        <w:rPr>
          <w:rStyle w:val="FootnoteReference"/>
        </w:rPr>
        <w:footnoteReference w:id="20"/>
      </w:r>
    </w:p>
    <w:p w:rsidR="008D1DCC" w:rsidRPr="005E134B" w:rsidRDefault="008D1DCC" w:rsidP="00E2483E"/>
    <w:p w:rsidR="003B22F1" w:rsidRDefault="008D1DCC" w:rsidP="00E2483E">
      <w:r>
        <w:t>T</w:t>
      </w:r>
      <w:r w:rsidRPr="005E134B">
        <w:t>he Food Act 2014 and Food Regulations 2015 regulate food businesses</w:t>
      </w:r>
      <w:r w:rsidR="003B22F1">
        <w:t>’</w:t>
      </w:r>
      <w:r w:rsidRPr="005E134B">
        <w:t xml:space="preserve"> obligations relating to safe food handling practices and safe </w:t>
      </w:r>
      <w:r w:rsidRPr="00A13A62">
        <w:t>premises</w:t>
      </w:r>
      <w:r>
        <w:t xml:space="preserve">. </w:t>
      </w:r>
      <w:r w:rsidRPr="005E134B">
        <w:t>The</w:t>
      </w:r>
      <w:r>
        <w:t xml:space="preserve"> amended</w:t>
      </w:r>
      <w:r w:rsidRPr="005E134B">
        <w:t xml:space="preserve"> Health Act gives public health practitioners powers to manage the public health risk presented by potentially infectious </w:t>
      </w:r>
      <w:r w:rsidRPr="00A13A62">
        <w:t>people</w:t>
      </w:r>
      <w:r w:rsidRPr="005E134B">
        <w:t>.</w:t>
      </w:r>
      <w:r>
        <w:t xml:space="preserve"> Both the food legislation and new Part 3A of the Health Act largely impose more general obligations in place</w:t>
      </w:r>
      <w:r w:rsidR="00C67C1F">
        <w:t xml:space="preserve"> of</w:t>
      </w:r>
      <w:r>
        <w:t xml:space="preserve"> </w:t>
      </w:r>
      <w:r w:rsidR="005D04B7">
        <w:t>the disease specific measures,</w:t>
      </w:r>
      <w:r>
        <w:t xml:space="preserve"> than previously applied.</w:t>
      </w:r>
      <w:r w:rsidRPr="00E2483E">
        <w:rPr>
          <w:rStyle w:val="FootnoteReference"/>
        </w:rPr>
        <w:footnoteReference w:id="21"/>
      </w:r>
    </w:p>
    <w:p w:rsidR="008D1DCC" w:rsidRPr="005E134B" w:rsidRDefault="008D1DCC" w:rsidP="00E2483E"/>
    <w:p w:rsidR="008D1DCC" w:rsidRDefault="008D1DCC" w:rsidP="00E2483E">
      <w:r w:rsidRPr="005E134B">
        <w:t xml:space="preserve">The Tuberculosis Act 1948 and Tuberculosis Regulations 1951 have been repealed and revoked, respectively, in favour of </w:t>
      </w:r>
      <w:r>
        <w:t xml:space="preserve">incorporating </w:t>
      </w:r>
      <w:r w:rsidRPr="005E134B">
        <w:t>tuberculosis with other Section B diseases</w:t>
      </w:r>
      <w:r>
        <w:t xml:space="preserve"> which are</w:t>
      </w:r>
      <w:r w:rsidRPr="005E134B">
        <w:t xml:space="preserve"> notifiable to the </w:t>
      </w:r>
      <w:r>
        <w:t>m</w:t>
      </w:r>
      <w:r w:rsidRPr="005E134B">
        <w:t>edical officer of health</w:t>
      </w:r>
      <w:r>
        <w:t xml:space="preserve"> and requesting health practitioner</w:t>
      </w:r>
      <w:r w:rsidRPr="005E134B">
        <w:t>.</w:t>
      </w:r>
    </w:p>
    <w:p w:rsidR="008D1DCC" w:rsidRDefault="008D1DCC" w:rsidP="00E2483E"/>
    <w:p w:rsidR="008D1DCC" w:rsidRPr="00F127EE" w:rsidRDefault="008D1DCC" w:rsidP="00E2483E">
      <w:pPr>
        <w:pStyle w:val="Heading2"/>
        <w:rPr>
          <w:rFonts w:cs="Arial"/>
          <w:szCs w:val="24"/>
        </w:rPr>
      </w:pPr>
      <w:bookmarkStart w:id="17" w:name="_Toc473538513"/>
      <w:r>
        <w:t xml:space="preserve">A continuum of public health </w:t>
      </w:r>
      <w:r w:rsidRPr="00F127EE">
        <w:t>measures</w:t>
      </w:r>
      <w:bookmarkEnd w:id="17"/>
    </w:p>
    <w:p w:rsidR="008D1DCC" w:rsidRPr="005E134B" w:rsidRDefault="008D1DCC" w:rsidP="00E2483E">
      <w:r>
        <w:t xml:space="preserve">The measures under Part 3A of the Health Act are on a continuum or pyramid of least to most severe – namely, </w:t>
      </w:r>
      <w:r w:rsidRPr="005E134B">
        <w:t>voluntary cooperation at one end of the spectrum to detention under an urgent public health order, and prosecution for offences of non-compliance or obstruction, at the other.</w:t>
      </w:r>
      <w:r>
        <w:t xml:space="preserve"> This is illustrated in </w:t>
      </w:r>
      <w:r w:rsidR="00170DAC">
        <w:t>Figure 1.</w:t>
      </w:r>
    </w:p>
    <w:p w:rsidR="008D1DCC" w:rsidRDefault="008D1DCC" w:rsidP="00E2483E"/>
    <w:p w:rsidR="008D1DCC" w:rsidRPr="00170DAC" w:rsidRDefault="00447819" w:rsidP="00447819">
      <w:pPr>
        <w:pStyle w:val="Figure"/>
      </w:pPr>
      <w:bookmarkStart w:id="18" w:name="_Toc473537283"/>
      <w:r>
        <w:t xml:space="preserve">Figure </w:t>
      </w:r>
      <w:r w:rsidR="008D1DCC" w:rsidRPr="005E134B">
        <w:t>1:</w:t>
      </w:r>
      <w:r w:rsidR="003B22F1">
        <w:t xml:space="preserve"> </w:t>
      </w:r>
      <w:r w:rsidR="008D1DCC">
        <w:t>Infectious d</w:t>
      </w:r>
      <w:r w:rsidR="008D1DCC" w:rsidRPr="005E134B">
        <w:t>isease management measures under Part 3A</w:t>
      </w:r>
      <w:r w:rsidR="008D1DCC">
        <w:rPr>
          <w:color w:val="7030A0"/>
        </w:rPr>
        <w:t xml:space="preserve"> (</w:t>
      </w:r>
      <w:r w:rsidR="008D1DCC" w:rsidRPr="00372D3B">
        <w:t>with rarest measures at the top of the pyramid</w:t>
      </w:r>
      <w:r w:rsidR="008D1DCC">
        <w:t>)</w:t>
      </w:r>
      <w:bookmarkEnd w:id="18"/>
    </w:p>
    <w:p w:rsidR="008D1DCC" w:rsidRDefault="00170DAC" w:rsidP="00170DAC">
      <w:r w:rsidRPr="00170DAC">
        <w:rPr>
          <w:noProof/>
          <w:lang w:eastAsia="en-NZ"/>
        </w:rPr>
        <w:drawing>
          <wp:inline distT="0" distB="0" distL="0" distR="0" wp14:anchorId="256509E8" wp14:editId="3039E020">
            <wp:extent cx="4314305" cy="449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grayscl/>
                    </a:blip>
                    <a:stretch>
                      <a:fillRect/>
                    </a:stretch>
                  </pic:blipFill>
                  <pic:spPr>
                    <a:xfrm>
                      <a:off x="0" y="0"/>
                      <a:ext cx="4315406" cy="4499363"/>
                    </a:xfrm>
                    <a:prstGeom prst="rect">
                      <a:avLst/>
                    </a:prstGeom>
                  </pic:spPr>
                </pic:pic>
              </a:graphicData>
            </a:graphic>
          </wp:inline>
        </w:drawing>
      </w:r>
    </w:p>
    <w:p w:rsidR="00170DAC" w:rsidRDefault="00170DAC" w:rsidP="00170DAC"/>
    <w:p w:rsidR="008D1DCC" w:rsidRPr="00584182" w:rsidRDefault="008D1DCC" w:rsidP="00170DAC">
      <w:pPr>
        <w:pStyle w:val="Heading2"/>
      </w:pPr>
      <w:bookmarkStart w:id="19" w:name="_Toc473538514"/>
      <w:r>
        <w:t>The first step is scoping the</w:t>
      </w:r>
      <w:r w:rsidRPr="00584182">
        <w:t xml:space="preserve"> public health risk</w:t>
      </w:r>
      <w:bookmarkEnd w:id="19"/>
    </w:p>
    <w:p w:rsidR="003B22F1" w:rsidRDefault="008D1DCC" w:rsidP="00170DAC">
      <w:r>
        <w:t>N</w:t>
      </w:r>
      <w:r w:rsidRPr="005E134B">
        <w:t xml:space="preserve">otification is one avenue through which </w:t>
      </w:r>
      <w:r>
        <w:t>m</w:t>
      </w:r>
      <w:r w:rsidRPr="005E134B">
        <w:t>edical</w:t>
      </w:r>
      <w:r>
        <w:t xml:space="preserve"> o</w:t>
      </w:r>
      <w:r w:rsidRPr="005E134B">
        <w:t xml:space="preserve">fficers of </w:t>
      </w:r>
      <w:r>
        <w:t>h</w:t>
      </w:r>
      <w:r w:rsidRPr="005E134B">
        <w:t>ealth detect potential risks and initiate appropriate public health action</w:t>
      </w:r>
      <w:r>
        <w:t>. However, they</w:t>
      </w:r>
      <w:r w:rsidRPr="005E134B">
        <w:t xml:space="preserve"> need not wait for </w:t>
      </w:r>
      <w:r>
        <w:t xml:space="preserve">notification </w:t>
      </w:r>
      <w:r w:rsidRPr="005E134B">
        <w:t xml:space="preserve">that a person has an infectious disease. Conversely, notification of a confirmed diagnosis of an infectious disease does not necessarily warrant immediate public health action in every instance, or even </w:t>
      </w:r>
      <w:r>
        <w:t xml:space="preserve">in </w:t>
      </w:r>
      <w:r w:rsidRPr="005E134B">
        <w:t>the majority of instances.</w:t>
      </w:r>
    </w:p>
    <w:p w:rsidR="00170DAC" w:rsidRDefault="00170DAC" w:rsidP="00170DAC"/>
    <w:p w:rsidR="003B22F1" w:rsidRDefault="008D1DCC" w:rsidP="00170DAC">
      <w:r>
        <w:t xml:space="preserve">The legislation defines and requires the existence of a </w:t>
      </w:r>
      <w:r w:rsidR="003B22F1">
        <w:t>‘</w:t>
      </w:r>
      <w:r>
        <w:t>public health risk</w:t>
      </w:r>
      <w:r w:rsidR="003B22F1">
        <w:t>’</w:t>
      </w:r>
      <w:r>
        <w:t xml:space="preserve"> in relation to infectious diseases before the statutory measures can be taken.</w:t>
      </w:r>
      <w:r w:rsidRPr="00170DAC">
        <w:rPr>
          <w:rStyle w:val="FootnoteReference"/>
        </w:rPr>
        <w:footnoteReference w:id="22"/>
      </w:r>
      <w:r>
        <w:t xml:space="preserve"> This is in addition to perquisites specific to individual powers (eg, an urgent public health order should not be imposed unless a direction is unlikely to work).</w:t>
      </w:r>
    </w:p>
    <w:p w:rsidR="00170DAC" w:rsidRDefault="00170DAC" w:rsidP="00170DAC"/>
    <w:p w:rsidR="008D1DCC" w:rsidRDefault="008D1DCC" w:rsidP="00170DAC">
      <w:r>
        <w:t>Paragraph (a) of the definition mentions</w:t>
      </w:r>
      <w:r w:rsidRPr="005E134B">
        <w:t xml:space="preserve"> risk factors which should be taken into account </w:t>
      </w:r>
      <w:r>
        <w:t>in defining such a risk. These</w:t>
      </w:r>
      <w:r w:rsidRPr="005E134B">
        <w:t xml:space="preserve"> include the mode or ease of transmission (eg, highly infectious respiratory), number of people affected, case morbidity and mortality rates, the ease of and ways in which the risk can be prevented or minimised, and </w:t>
      </w:r>
      <w:r>
        <w:t>whether the disease is rare or re</w:t>
      </w:r>
      <w:r w:rsidR="00170DAC">
        <w:noBreakHyphen/>
      </w:r>
      <w:r w:rsidRPr="005E134B">
        <w:t>emerging.</w:t>
      </w:r>
    </w:p>
    <w:p w:rsidR="00170DAC" w:rsidRDefault="00170DAC" w:rsidP="00170DAC"/>
    <w:p w:rsidR="003B22F1" w:rsidRDefault="008D1DCC" w:rsidP="00170DAC">
      <w:pPr>
        <w:keepLines/>
      </w:pPr>
      <w:r>
        <w:t xml:space="preserve">Paragraph (b) of the definition refers to the </w:t>
      </w:r>
      <w:r w:rsidR="003B22F1">
        <w:t>‘</w:t>
      </w:r>
      <w:r>
        <w:t>relevant circumstances of the particular case</w:t>
      </w:r>
      <w:r w:rsidR="003B22F1">
        <w:t>’</w:t>
      </w:r>
      <w:r>
        <w:t xml:space="preserve">. </w:t>
      </w:r>
      <w:r w:rsidRPr="005E134B">
        <w:t>The case</w:t>
      </w:r>
      <w:r w:rsidR="003B22F1">
        <w:t>’</w:t>
      </w:r>
      <w:r w:rsidRPr="005E134B">
        <w:t>s occupation is one of the</w:t>
      </w:r>
      <w:r>
        <w:t>se</w:t>
      </w:r>
      <w:r w:rsidRPr="005E134B">
        <w:t xml:space="preserve"> </w:t>
      </w:r>
      <w:r w:rsidR="003B22F1">
        <w:t>‘</w:t>
      </w:r>
      <w:r w:rsidRPr="005E134B">
        <w:t>relevant circumstances</w:t>
      </w:r>
      <w:r w:rsidR="003B22F1">
        <w:t>’</w:t>
      </w:r>
      <w:r w:rsidRPr="005E134B">
        <w:t>.</w:t>
      </w:r>
      <w:r>
        <w:t xml:space="preserve"> </w:t>
      </w:r>
      <w:r w:rsidRPr="005E134B">
        <w:t>Depending on the disease, occupations like health care workers, sex workers, educators – particularly preschool educators, and food handlers</w:t>
      </w:r>
      <w:r>
        <w:t>, and those who travel for work purposes,</w:t>
      </w:r>
      <w:r w:rsidRPr="005E134B">
        <w:t xml:space="preserve"> can all carry a heightened risk of infecting others.</w:t>
      </w:r>
    </w:p>
    <w:p w:rsidR="00170DAC" w:rsidRDefault="00170DAC" w:rsidP="00170DAC"/>
    <w:p w:rsidR="008D1DCC" w:rsidRPr="005E134B" w:rsidRDefault="008D1DCC" w:rsidP="00170DAC">
      <w:r w:rsidRPr="005E134B">
        <w:t>Relevant circumstances can</w:t>
      </w:r>
      <w:r>
        <w:t xml:space="preserve"> also</w:t>
      </w:r>
      <w:r w:rsidRPr="005E134B">
        <w:t xml:space="preserve"> include inherent or temporary characteristics of the case </w:t>
      </w:r>
      <w:r>
        <w:t xml:space="preserve">which heighten their </w:t>
      </w:r>
      <w:r w:rsidRPr="005E134B">
        <w:t>personal level of risk</w:t>
      </w:r>
      <w:r>
        <w:t xml:space="preserve">, such as pregnancy and </w:t>
      </w:r>
      <w:r w:rsidRPr="005E134B">
        <w:t>immune status. Invariably, the case</w:t>
      </w:r>
      <w:r w:rsidR="003B22F1">
        <w:t>’</w:t>
      </w:r>
      <w:r w:rsidRPr="005E134B">
        <w:t>s mind set a</w:t>
      </w:r>
      <w:r>
        <w:t xml:space="preserve">nd behaviour will be relevant. </w:t>
      </w:r>
      <w:r w:rsidRPr="005E134B">
        <w:t xml:space="preserve">When </w:t>
      </w:r>
      <w:r>
        <w:t xml:space="preserve">an individual </w:t>
      </w:r>
      <w:r w:rsidRPr="005E134B">
        <w:t>shows reckless disregard for personal safety or that of other</w:t>
      </w:r>
      <w:r>
        <w:t xml:space="preserve"> people and continues with high-</w:t>
      </w:r>
      <w:r w:rsidRPr="005E134B">
        <w:t>risk activities, there will be a heightened public health risk.</w:t>
      </w:r>
    </w:p>
    <w:p w:rsidR="00170DAC" w:rsidRDefault="00170DAC" w:rsidP="00170DAC"/>
    <w:p w:rsidR="008D1DCC" w:rsidRDefault="008D1DCC" w:rsidP="00170DAC">
      <w:r>
        <w:t>In addition, r</w:t>
      </w:r>
      <w:r w:rsidRPr="005E134B">
        <w:t xml:space="preserve">elevant circumstances may </w:t>
      </w:r>
      <w:r>
        <w:t xml:space="preserve">involve </w:t>
      </w:r>
      <w:r w:rsidRPr="005E134B">
        <w:t>the living conditions of the case – such as in crowded, substandard housing, or residential or other institutional care, where the risk of a disease spreading can be greater.</w:t>
      </w:r>
    </w:p>
    <w:p w:rsidR="00170DAC" w:rsidRDefault="00170DAC" w:rsidP="00170DAC"/>
    <w:p w:rsidR="008D1DCC" w:rsidRPr="005E134B" w:rsidRDefault="008D1DCC" w:rsidP="00170DAC">
      <w:pPr>
        <w:pStyle w:val="Heading2"/>
        <w:rPr>
          <w:rFonts w:cs="Arial"/>
          <w:szCs w:val="24"/>
        </w:rPr>
      </w:pPr>
      <w:bookmarkStart w:id="20" w:name="_Toc473538515"/>
      <w:r w:rsidRPr="00F127EE">
        <w:t>Relevance of the public health risk to the District Court</w:t>
      </w:r>
      <w:r w:rsidR="003B22F1">
        <w:t>’</w:t>
      </w:r>
      <w:r w:rsidRPr="00F127EE">
        <w:t>s decisions</w:t>
      </w:r>
      <w:bookmarkEnd w:id="20"/>
    </w:p>
    <w:p w:rsidR="008D1DCC" w:rsidRPr="005E134B" w:rsidRDefault="008D1DCC" w:rsidP="00170DAC">
      <w:r w:rsidRPr="005E134B">
        <w:t xml:space="preserve">When a </w:t>
      </w:r>
      <w:r>
        <w:t>m</w:t>
      </w:r>
      <w:r w:rsidRPr="005E134B">
        <w:t>edical officer of health applies to the District Court for a public health order, there are additional matters the court can take into account in ass</w:t>
      </w:r>
      <w:r>
        <w:t xml:space="preserve">essing the public health risk. </w:t>
      </w:r>
      <w:r w:rsidRPr="005E134B">
        <w:t>They include:</w:t>
      </w:r>
    </w:p>
    <w:p w:rsidR="008D1DCC" w:rsidRPr="005E134B" w:rsidRDefault="008D1DCC" w:rsidP="00170DAC">
      <w:pPr>
        <w:pStyle w:val="Bullet"/>
      </w:pPr>
      <w:r w:rsidRPr="005E134B">
        <w:t>what infectious disease</w:t>
      </w:r>
      <w:r>
        <w:t xml:space="preserve"> the individual has or may have</w:t>
      </w:r>
    </w:p>
    <w:p w:rsidR="008D1DCC" w:rsidRPr="005E134B" w:rsidRDefault="008D1DCC" w:rsidP="00170DAC">
      <w:pPr>
        <w:pStyle w:val="Bullet"/>
      </w:pPr>
      <w:r w:rsidRPr="005E134B">
        <w:t>if there was any opportunity to minimise the transmission risk, whether and to wh</w:t>
      </w:r>
      <w:r>
        <w:t>at extent the case has done so</w:t>
      </w:r>
    </w:p>
    <w:p w:rsidR="008D1DCC" w:rsidRPr="005E134B" w:rsidRDefault="008D1DCC" w:rsidP="00170DAC">
      <w:pPr>
        <w:pStyle w:val="Bullet"/>
      </w:pPr>
      <w:r w:rsidRPr="005E134B">
        <w:t>the extent to which the case has complied with any directions or requests from specified health practitioners to prevent or minimise the risk.</w:t>
      </w:r>
      <w:r w:rsidRPr="00170DAC">
        <w:rPr>
          <w:rStyle w:val="FootnoteReference"/>
        </w:rPr>
        <w:footnoteReference w:id="23"/>
      </w:r>
    </w:p>
    <w:p w:rsidR="00170DAC" w:rsidRDefault="00170DAC" w:rsidP="00170DAC"/>
    <w:p w:rsidR="008D1DCC" w:rsidRPr="005E134B" w:rsidRDefault="008D1DCC" w:rsidP="00170DAC">
      <w:r w:rsidRPr="005E134B">
        <w:t xml:space="preserve">Once a </w:t>
      </w:r>
      <w:r>
        <w:t>m</w:t>
      </w:r>
      <w:r w:rsidRPr="005E134B">
        <w:t>edical officer of health becomes aware that an individual poses a public health risk,</w:t>
      </w:r>
      <w:r>
        <w:t xml:space="preserve"> he or she should encourage the individual to take</w:t>
      </w:r>
      <w:r w:rsidRPr="005E134B">
        <w:t xml:space="preserve"> voluntary measures </w:t>
      </w:r>
      <w:r>
        <w:t>to manage the risk. The medical officer of health should inform</w:t>
      </w:r>
      <w:r w:rsidRPr="005E134B">
        <w:t xml:space="preserve"> and educat</w:t>
      </w:r>
      <w:r>
        <w:t>e</w:t>
      </w:r>
      <w:r w:rsidRPr="005E134B">
        <w:t xml:space="preserve"> the</w:t>
      </w:r>
      <w:r>
        <w:t xml:space="preserve"> individual about</w:t>
      </w:r>
      <w:r w:rsidRPr="005E134B">
        <w:t xml:space="preserve"> the risk and ways of preventing or minimising it, and encourag</w:t>
      </w:r>
      <w:r>
        <w:t>e</w:t>
      </w:r>
      <w:r w:rsidRPr="005E134B">
        <w:t xml:space="preserve"> their voluntary participation</w:t>
      </w:r>
      <w:r>
        <w:t xml:space="preserve"> in doing so. </w:t>
      </w:r>
      <w:r w:rsidRPr="005E134B">
        <w:t>When these have not worked, are unlikely to work, or the urgency of the public health risk means formal action should be taken, there are three main options:</w:t>
      </w:r>
      <w:r w:rsidRPr="00170DAC">
        <w:rPr>
          <w:rStyle w:val="FootnoteReference"/>
        </w:rPr>
        <w:footnoteReference w:id="24"/>
      </w:r>
    </w:p>
    <w:p w:rsidR="008D1DCC" w:rsidRPr="005E134B" w:rsidRDefault="00170DAC" w:rsidP="00170DAC">
      <w:pPr>
        <w:spacing w:before="90"/>
        <w:ind w:left="567" w:hanging="567"/>
      </w:pPr>
      <w:r>
        <w:t>(i)</w:t>
      </w:r>
      <w:r>
        <w:tab/>
      </w:r>
      <w:r w:rsidR="008D1DCC">
        <w:t>impose a direction</w:t>
      </w:r>
    </w:p>
    <w:p w:rsidR="008D1DCC" w:rsidRPr="005E134B" w:rsidRDefault="00170DAC" w:rsidP="00170DAC">
      <w:pPr>
        <w:spacing w:before="90"/>
        <w:ind w:left="567" w:hanging="567"/>
      </w:pPr>
      <w:r>
        <w:t>(ii)</w:t>
      </w:r>
      <w:r>
        <w:tab/>
      </w:r>
      <w:r w:rsidR="008D1DCC" w:rsidRPr="005E134B">
        <w:t>impose an urgent public health order</w:t>
      </w:r>
    </w:p>
    <w:p w:rsidR="008D1DCC" w:rsidRPr="005E134B" w:rsidRDefault="00170DAC" w:rsidP="00170DAC">
      <w:pPr>
        <w:spacing w:before="90"/>
        <w:ind w:left="567" w:hanging="567"/>
      </w:pPr>
      <w:r>
        <w:t>(iii)</w:t>
      </w:r>
      <w:r>
        <w:tab/>
      </w:r>
      <w:r w:rsidR="008D1DCC" w:rsidRPr="005E134B">
        <w:t>apply for a court order</w:t>
      </w:r>
      <w:r w:rsidR="008D1DCC">
        <w:t>:</w:t>
      </w:r>
      <w:r w:rsidR="003B22F1">
        <w:t xml:space="preserve"> </w:t>
      </w:r>
      <w:r w:rsidR="008D1DCC" w:rsidRPr="005E134B">
        <w:t>when other means have been tried</w:t>
      </w:r>
      <w:r>
        <w:t xml:space="preserve"> </w:t>
      </w:r>
      <w:r w:rsidR="008D1DCC">
        <w:t xml:space="preserve">and failed, or are </w:t>
      </w:r>
      <w:r w:rsidR="008D1DCC" w:rsidRPr="005E134B">
        <w:t>unlikely to work, or where an urgent public health order is about to expire and the individual must be detained for a longer period.</w:t>
      </w:r>
    </w:p>
    <w:p w:rsidR="00170DAC" w:rsidRDefault="00170DAC" w:rsidP="00170DAC"/>
    <w:p w:rsidR="003B22F1" w:rsidRDefault="008D1DCC" w:rsidP="00170DAC">
      <w:r w:rsidRPr="005E134B">
        <w:t xml:space="preserve">These options apply on top of existing disease management </w:t>
      </w:r>
      <w:r>
        <w:t xml:space="preserve">powers, such as powers of entry, </w:t>
      </w:r>
      <w:r w:rsidRPr="005E134B">
        <w:t xml:space="preserve">inspection of premises (and disinfection of premises and items), exercised mainly by </w:t>
      </w:r>
      <w:r>
        <w:t>m</w:t>
      </w:r>
      <w:r w:rsidRPr="005E134B">
        <w:t>edical</w:t>
      </w:r>
      <w:r>
        <w:t xml:space="preserve"> o</w:t>
      </w:r>
      <w:r w:rsidRPr="005E134B">
        <w:t xml:space="preserve">fficers of </w:t>
      </w:r>
      <w:r>
        <w:t>h</w:t>
      </w:r>
      <w:r w:rsidRPr="005E134B">
        <w:t>ealth and HPOs.</w:t>
      </w:r>
      <w:r w:rsidRPr="00170DAC">
        <w:rPr>
          <w:rStyle w:val="FootnoteReference"/>
        </w:rPr>
        <w:footnoteReference w:id="25"/>
      </w:r>
      <w:r>
        <w:t xml:space="preserve"> </w:t>
      </w:r>
      <w:r w:rsidRPr="005E134B">
        <w:t>(</w:t>
      </w:r>
      <w:r w:rsidR="003B22F1">
        <w:t>‘</w:t>
      </w:r>
      <w:r w:rsidRPr="005E134B">
        <w:t>Premises</w:t>
      </w:r>
      <w:r w:rsidR="003B22F1">
        <w:t>’</w:t>
      </w:r>
      <w:r w:rsidRPr="005E134B">
        <w:t xml:space="preserve"> has been re-defined to include:</w:t>
      </w:r>
      <w:r w:rsidR="003B22F1">
        <w:t xml:space="preserve"> ‘</w:t>
      </w:r>
      <w:r w:rsidRPr="005E134B">
        <w:t>any commercial premises, private premises, vehicle, ship or aircraft.</w:t>
      </w:r>
      <w:r w:rsidR="003B22F1">
        <w:t>’</w:t>
      </w:r>
      <w:r w:rsidRPr="005E134B">
        <w:t>)</w:t>
      </w:r>
    </w:p>
    <w:p w:rsidR="008D1DCC" w:rsidRPr="005E134B" w:rsidRDefault="008D1DCC" w:rsidP="00170DAC"/>
    <w:p w:rsidR="003B22F1" w:rsidRDefault="008D1DCC" w:rsidP="00170DAC">
      <w:pPr>
        <w:pStyle w:val="Heading2"/>
      </w:pPr>
      <w:bookmarkStart w:id="21" w:name="_Toc473538516"/>
      <w:r w:rsidRPr="00584182">
        <w:t xml:space="preserve">Roles of </w:t>
      </w:r>
      <w:r>
        <w:t>m</w:t>
      </w:r>
      <w:r w:rsidRPr="00584182">
        <w:t>edical</w:t>
      </w:r>
      <w:r>
        <w:t xml:space="preserve"> officers of h</w:t>
      </w:r>
      <w:r w:rsidRPr="00584182">
        <w:t xml:space="preserve">ealth, </w:t>
      </w:r>
      <w:r>
        <w:t>h</w:t>
      </w:r>
      <w:r w:rsidRPr="00584182">
        <w:t xml:space="preserve">ealth </w:t>
      </w:r>
      <w:r w:rsidR="00170DAC">
        <w:t>p</w:t>
      </w:r>
      <w:r w:rsidRPr="00584182">
        <w:t>rotection officers</w:t>
      </w:r>
      <w:bookmarkEnd w:id="21"/>
    </w:p>
    <w:p w:rsidR="003B22F1" w:rsidRDefault="008D1DCC" w:rsidP="00170DAC">
      <w:r w:rsidRPr="005E134B">
        <w:t xml:space="preserve">There may be some confusion about when </w:t>
      </w:r>
      <w:r>
        <w:t>a m</w:t>
      </w:r>
      <w:r w:rsidRPr="005E134B">
        <w:t>edical officer of health, an HPO or another office holder can exercise the various powers</w:t>
      </w:r>
      <w:r>
        <w:t xml:space="preserve"> in</w:t>
      </w:r>
      <w:r w:rsidRPr="005E134B">
        <w:t xml:space="preserve"> </w:t>
      </w:r>
      <w:r>
        <w:t>Part 3A of the Health Act.</w:t>
      </w:r>
      <w:r w:rsidR="003B22F1">
        <w:t xml:space="preserve"> </w:t>
      </w:r>
      <w:r w:rsidRPr="005E134B">
        <w:t xml:space="preserve">As a general rule, if </w:t>
      </w:r>
      <w:r>
        <w:t xml:space="preserve">a </w:t>
      </w:r>
      <w:r w:rsidRPr="005E134B">
        <w:t>provision</w:t>
      </w:r>
      <w:r>
        <w:t xml:space="preserve"> only</w:t>
      </w:r>
      <w:r w:rsidRPr="005E134B">
        <w:t xml:space="preserve"> refers to the </w:t>
      </w:r>
      <w:r w:rsidR="003B22F1">
        <w:t>‘</w:t>
      </w:r>
      <w:r>
        <w:t>m</w:t>
      </w:r>
      <w:r w:rsidRPr="005E134B">
        <w:t>edical officer of health</w:t>
      </w:r>
      <w:r w:rsidR="003B22F1">
        <w:t>’</w:t>
      </w:r>
      <w:r w:rsidRPr="005E134B">
        <w:t xml:space="preserve">, he or she is the individual who </w:t>
      </w:r>
      <w:r>
        <w:t>is able to exercise</w:t>
      </w:r>
      <w:r w:rsidRPr="005E134B">
        <w:t xml:space="preserve"> the power</w:t>
      </w:r>
      <w:r>
        <w:t>. However, o</w:t>
      </w:r>
      <w:r w:rsidRPr="005E134B">
        <w:t>ther people can assist in the lead up to and im</w:t>
      </w:r>
      <w:r>
        <w:t>plementation of these measures. The effectiveness of the medical officer of health</w:t>
      </w:r>
      <w:r w:rsidR="003B22F1">
        <w:t>’</w:t>
      </w:r>
      <w:r>
        <w:t>s response will often be enhanced by getting help from an</w:t>
      </w:r>
      <w:r w:rsidRPr="005E134B">
        <w:t xml:space="preserve"> HPO</w:t>
      </w:r>
      <w:r>
        <w:t xml:space="preserve">, environmental health officer (EHO), or public health nurse, as well as </w:t>
      </w:r>
      <w:r w:rsidRPr="005E134B">
        <w:t>collaborati</w:t>
      </w:r>
      <w:r>
        <w:t>ng</w:t>
      </w:r>
      <w:r w:rsidRPr="005E134B">
        <w:t xml:space="preserve"> with Ministry for P</w:t>
      </w:r>
      <w:r>
        <w:t>rimary Industries</w:t>
      </w:r>
      <w:r w:rsidR="003B22F1">
        <w:t>’</w:t>
      </w:r>
      <w:r>
        <w:t xml:space="preserve"> staff on food</w:t>
      </w:r>
      <w:r w:rsidRPr="005E134B">
        <w:t>borne illnesses</w:t>
      </w:r>
      <w:r>
        <w:t>.</w:t>
      </w:r>
      <w:r w:rsidR="00170DAC">
        <w:t xml:space="preserve"> </w:t>
      </w:r>
      <w:r w:rsidRPr="005E134B">
        <w:t>In some situa</w:t>
      </w:r>
      <w:r>
        <w:t xml:space="preserve">tions the legislation expressly gives powers </w:t>
      </w:r>
      <w:r w:rsidRPr="005E134B">
        <w:t xml:space="preserve">to HPOs as well as to </w:t>
      </w:r>
      <w:r>
        <w:t>m</w:t>
      </w:r>
      <w:r w:rsidRPr="005E134B">
        <w:t xml:space="preserve">edical </w:t>
      </w:r>
      <w:r>
        <w:t>o</w:t>
      </w:r>
      <w:r w:rsidRPr="005E134B">
        <w:t xml:space="preserve">fficers of </w:t>
      </w:r>
      <w:r>
        <w:t>h</w:t>
      </w:r>
      <w:r w:rsidRPr="005E134B">
        <w:t>ealth (eg, serving written notices and directions).</w:t>
      </w:r>
      <w:r w:rsidRPr="00170DAC">
        <w:rPr>
          <w:rStyle w:val="FootnoteReference"/>
        </w:rPr>
        <w:footnoteReference w:id="26"/>
      </w:r>
    </w:p>
    <w:p w:rsidR="008D1DCC" w:rsidRPr="005E134B" w:rsidRDefault="008D1DCC" w:rsidP="00170DAC"/>
    <w:p w:rsidR="008D1DCC" w:rsidRPr="00170DAC" w:rsidRDefault="008D1DCC" w:rsidP="00170DAC">
      <w:r w:rsidRPr="005E134B">
        <w:t xml:space="preserve">When EHOs, employed by local authorities, carry out their infectious disease management functions under the Health Act, they must keep </w:t>
      </w:r>
      <w:r>
        <w:t>m</w:t>
      </w:r>
      <w:r w:rsidRPr="005E134B">
        <w:t xml:space="preserve">edical </w:t>
      </w:r>
      <w:r>
        <w:t>o</w:t>
      </w:r>
      <w:r w:rsidRPr="005E134B">
        <w:t xml:space="preserve">fficers of </w:t>
      </w:r>
      <w:r>
        <w:t>h</w:t>
      </w:r>
      <w:r w:rsidRPr="005E134B">
        <w:t>ealth informed of matters affecting the risk to public health from infectious diseases.</w:t>
      </w:r>
      <w:r w:rsidR="003B22F1">
        <w:t xml:space="preserve"> </w:t>
      </w:r>
      <w:r w:rsidRPr="005E134B">
        <w:t xml:space="preserve">They must also act in accordance with directions from the </w:t>
      </w:r>
      <w:r>
        <w:t>m</w:t>
      </w:r>
      <w:r w:rsidRPr="005E134B">
        <w:t xml:space="preserve">edical </w:t>
      </w:r>
      <w:r>
        <w:t>o</w:t>
      </w:r>
      <w:r w:rsidRPr="005E134B">
        <w:t xml:space="preserve">fficers of </w:t>
      </w:r>
      <w:r>
        <w:t>h</w:t>
      </w:r>
      <w:r w:rsidRPr="005E134B">
        <w:t>ealth relating to preventing the outbreak or spread of infectious disease.</w:t>
      </w:r>
      <w:r w:rsidRPr="00170DAC">
        <w:rPr>
          <w:rStyle w:val="FootnoteReference"/>
        </w:rPr>
        <w:footnoteReference w:id="27"/>
      </w:r>
    </w:p>
    <w:p w:rsidR="008D1DCC" w:rsidRPr="005E134B" w:rsidRDefault="008D1DCC" w:rsidP="00170DAC"/>
    <w:p w:rsidR="008D1DCC" w:rsidRPr="00170DAC" w:rsidRDefault="008D1DCC" w:rsidP="00170DAC">
      <w:r w:rsidRPr="005E134B">
        <w:t xml:space="preserve">The Director-General has powers to direct a </w:t>
      </w:r>
      <w:r>
        <w:t>m</w:t>
      </w:r>
      <w:r w:rsidRPr="005E134B">
        <w:t>edical officer of health or HPO on any matter when one of them has to form a reasonable belief in a particular state of affairs before they can exercise their legislative powers.</w:t>
      </w:r>
      <w:r w:rsidRPr="00170DAC">
        <w:rPr>
          <w:rStyle w:val="FootnoteReference"/>
        </w:rPr>
        <w:footnoteReference w:id="28"/>
      </w:r>
      <w:r>
        <w:t xml:space="preserve"> </w:t>
      </w:r>
      <w:r w:rsidRPr="005E134B">
        <w:t>This is with the proviso that the Director-General (or designate) holds this belief at the time of the direction.</w:t>
      </w:r>
    </w:p>
    <w:p w:rsidR="008D1DCC" w:rsidRPr="005E134B" w:rsidRDefault="008D1DCC" w:rsidP="00170DAC"/>
    <w:p w:rsidR="003B22F1" w:rsidRDefault="008D1DCC" w:rsidP="00170DAC">
      <w:pPr>
        <w:pStyle w:val="Heading2"/>
      </w:pPr>
      <w:bookmarkStart w:id="22" w:name="_Toc473538517"/>
      <w:r w:rsidRPr="00584182">
        <w:t>Protection from liability</w:t>
      </w:r>
      <w:bookmarkEnd w:id="22"/>
    </w:p>
    <w:p w:rsidR="008D1DCC" w:rsidRPr="00170DAC" w:rsidRDefault="008D1DCC" w:rsidP="00170DAC">
      <w:r w:rsidRPr="005E134B">
        <w:t>Medical</w:t>
      </w:r>
      <w:r>
        <w:t xml:space="preserve"> officers of h</w:t>
      </w:r>
      <w:r w:rsidRPr="005E134B">
        <w:t>ealth and others carrying out functions under Part 3A and the</w:t>
      </w:r>
      <w:r w:rsidR="00170DAC">
        <w:t xml:space="preserve"> </w:t>
      </w:r>
      <w:r w:rsidRPr="005E134B">
        <w:t>noti</w:t>
      </w:r>
      <w:r>
        <w:t>fication provisions will not face civil or criminal liability for any conduct unless</w:t>
      </w:r>
      <w:r w:rsidR="00170DAC">
        <w:t xml:space="preserve"> </w:t>
      </w:r>
      <w:r w:rsidRPr="005E134B">
        <w:t>there is bad faith or lack of reasonable care</w:t>
      </w:r>
      <w:r w:rsidRPr="00170DAC">
        <w:t>.</w:t>
      </w:r>
      <w:r w:rsidRPr="00170DAC">
        <w:rPr>
          <w:rStyle w:val="FootnoteReference"/>
        </w:rPr>
        <w:footnoteReference w:id="29"/>
      </w:r>
    </w:p>
    <w:p w:rsidR="008D1DCC" w:rsidRPr="005E134B" w:rsidRDefault="008D1DCC" w:rsidP="00170DAC"/>
    <w:p w:rsidR="008D1DCC" w:rsidRPr="00584182" w:rsidRDefault="008D1DCC" w:rsidP="00170DAC">
      <w:pPr>
        <w:pStyle w:val="Heading2"/>
      </w:pPr>
      <w:bookmarkStart w:id="23" w:name="_Toc473538518"/>
      <w:r>
        <w:t>Who pays for diagnosing and treating people?</w:t>
      </w:r>
      <w:bookmarkEnd w:id="23"/>
    </w:p>
    <w:p w:rsidR="008D1DCC" w:rsidRPr="005E134B" w:rsidRDefault="008D1DCC" w:rsidP="00170DAC">
      <w:r>
        <w:t>A person who has</w:t>
      </w:r>
      <w:r w:rsidRPr="005E134B">
        <w:t xml:space="preserve"> or </w:t>
      </w:r>
      <w:r>
        <w:t>is</w:t>
      </w:r>
      <w:r w:rsidRPr="005E134B">
        <w:t xml:space="preserve"> suspected of having any infectious disease (ie,</w:t>
      </w:r>
      <w:r>
        <w:t xml:space="preserve"> a</w:t>
      </w:r>
      <w:r w:rsidRPr="005E134B">
        <w:t xml:space="preserve"> notifiable infectious disease or other infectious disease)</w:t>
      </w:r>
      <w:r w:rsidRPr="00170DAC">
        <w:rPr>
          <w:rStyle w:val="FootnoteReference"/>
        </w:rPr>
        <w:footnoteReference w:id="30"/>
      </w:r>
      <w:r w:rsidRPr="005E134B">
        <w:t xml:space="preserve"> </w:t>
      </w:r>
      <w:r>
        <w:t xml:space="preserve">is </w:t>
      </w:r>
      <w:r w:rsidRPr="005E134B">
        <w:t>eligible to receive those publicly funded services specified in clause B23 of the Health and Disability Servi</w:t>
      </w:r>
      <w:r>
        <w:t xml:space="preserve">ces Eligibility Direction 2011. </w:t>
      </w:r>
      <w:r w:rsidRPr="005E134B">
        <w:t>This does not depend on their residency status in New Zealand.</w:t>
      </w:r>
    </w:p>
    <w:p w:rsidR="008D1DCC" w:rsidRPr="005E134B" w:rsidRDefault="008D1DCC" w:rsidP="00170DAC"/>
    <w:p w:rsidR="008D1DCC" w:rsidRPr="005E134B" w:rsidRDefault="008D1DCC" w:rsidP="00170DAC">
      <w:r>
        <w:t>For an individual to be eligible for public funding the infectious disease</w:t>
      </w:r>
      <w:r w:rsidRPr="005E134B">
        <w:t xml:space="preserve"> need not be formally no</w:t>
      </w:r>
      <w:r>
        <w:t xml:space="preserve">tifiable. </w:t>
      </w:r>
      <w:r w:rsidRPr="005E134B">
        <w:t>However, it must be a disease</w:t>
      </w:r>
      <w:r>
        <w:t xml:space="preserve"> listed i</w:t>
      </w:r>
      <w:r w:rsidRPr="005E134B">
        <w:t xml:space="preserve">n Schedule 1 of the Act, and </w:t>
      </w:r>
      <w:r>
        <w:t>t</w:t>
      </w:r>
      <w:r w:rsidRPr="005E134B">
        <w:t xml:space="preserve">he </w:t>
      </w:r>
      <w:r>
        <w:t xml:space="preserve">person concerned </w:t>
      </w:r>
      <w:r w:rsidRPr="005E134B">
        <w:t xml:space="preserve">must not be otherwise eligible under the </w:t>
      </w:r>
      <w:r>
        <w:t>D</w:t>
      </w:r>
      <w:r w:rsidRPr="005E134B">
        <w:t>irection to receive the publicly funded services.</w:t>
      </w:r>
    </w:p>
    <w:p w:rsidR="008D1DCC" w:rsidRPr="005E134B" w:rsidRDefault="008D1DCC" w:rsidP="00170DAC"/>
    <w:p w:rsidR="008D1DCC" w:rsidRPr="005E134B" w:rsidRDefault="008D1DCC" w:rsidP="00170DAC">
      <w:r w:rsidRPr="005E134B">
        <w:t xml:space="preserve">Clause B23 </w:t>
      </w:r>
      <w:r>
        <w:t xml:space="preserve">of the Direction lists </w:t>
      </w:r>
      <w:r w:rsidRPr="005E134B">
        <w:t>funded services as surveillance, diagnosis, treatment, follow-up services and contact tracing services, to the extent that is appropriate in the circumstances to address risks to other people.</w:t>
      </w:r>
    </w:p>
    <w:p w:rsidR="008D1DCC" w:rsidRPr="005E134B" w:rsidRDefault="008D1DCC" w:rsidP="00170DAC"/>
    <w:p w:rsidR="003B22F1" w:rsidRDefault="008D1DCC" w:rsidP="00170DAC">
      <w:r w:rsidRPr="005E134B">
        <w:t>HIV is now</w:t>
      </w:r>
      <w:r>
        <w:t xml:space="preserve"> legislatively recognised</w:t>
      </w:r>
      <w:r w:rsidRPr="005E134B">
        <w:t xml:space="preserve"> as an infectious and notifiable disease, and </w:t>
      </w:r>
      <w:r>
        <w:t xml:space="preserve">therefore </w:t>
      </w:r>
      <w:r w:rsidRPr="005E134B">
        <w:t>comes within the</w:t>
      </w:r>
      <w:r>
        <w:t xml:space="preserve"> Eligibility Direction</w:t>
      </w:r>
      <w:r w:rsidRPr="005E134B">
        <w:t>.</w:t>
      </w:r>
      <w:r>
        <w:t xml:space="preserve"> </w:t>
      </w:r>
      <w:r w:rsidRPr="005E134B">
        <w:t xml:space="preserve">This does not alter </w:t>
      </w:r>
      <w:r>
        <w:t>a person</w:t>
      </w:r>
      <w:r w:rsidR="003B22F1">
        <w:t>’</w:t>
      </w:r>
      <w:r>
        <w:t>s eligibility under</w:t>
      </w:r>
      <w:r w:rsidRPr="005E134B">
        <w:t xml:space="preserve"> the Pharmaceutical Schedule</w:t>
      </w:r>
      <w:r>
        <w:t xml:space="preserve"> for public funding of medications, such as for treatment of HIV, which is determined by PHARMAC</w:t>
      </w:r>
      <w:r w:rsidRPr="005E134B">
        <w:t>.</w:t>
      </w:r>
      <w:r w:rsidRPr="00170DAC">
        <w:rPr>
          <w:rStyle w:val="FootnoteReference"/>
        </w:rPr>
        <w:footnoteReference w:id="31"/>
      </w:r>
    </w:p>
    <w:p w:rsidR="00170DAC" w:rsidRDefault="00170DAC" w:rsidP="00170DAC"/>
    <w:p w:rsidR="008D1DCC" w:rsidRPr="00584182" w:rsidRDefault="008D1DCC" w:rsidP="00170DAC">
      <w:pPr>
        <w:pStyle w:val="Heading2"/>
      </w:pPr>
      <w:bookmarkStart w:id="24" w:name="_Toc473538519"/>
      <w:r w:rsidRPr="00584182">
        <w:t>Who pays for costs arising from public health measures?</w:t>
      </w:r>
      <w:bookmarkEnd w:id="24"/>
    </w:p>
    <w:p w:rsidR="008D1DCC" w:rsidRPr="005E134B" w:rsidRDefault="008D1DCC" w:rsidP="00170DAC">
      <w:pPr>
        <w:rPr>
          <w:lang w:eastAsia="en-NZ"/>
        </w:rPr>
      </w:pPr>
      <w:r w:rsidRPr="005E134B">
        <w:rPr>
          <w:lang w:eastAsia="en-NZ"/>
        </w:rPr>
        <w:t>In some situations, compliance with measures to protect public health will carry direct or indirect costs for the case or contact.</w:t>
      </w:r>
      <w:r>
        <w:rPr>
          <w:lang w:eastAsia="en-NZ"/>
        </w:rPr>
        <w:t xml:space="preserve"> For example, a medical officer of health may direct a case </w:t>
      </w:r>
      <w:r w:rsidRPr="005E134B">
        <w:rPr>
          <w:lang w:eastAsia="en-NZ"/>
        </w:rPr>
        <w:t xml:space="preserve">to stay away from work for some time, or to seek diagnosis (not covered by public funding under the </w:t>
      </w:r>
      <w:r>
        <w:rPr>
          <w:lang w:eastAsia="en-NZ"/>
        </w:rPr>
        <w:t>E</w:t>
      </w:r>
      <w:r w:rsidRPr="005E134B">
        <w:rPr>
          <w:lang w:eastAsia="en-NZ"/>
        </w:rPr>
        <w:t xml:space="preserve">ligibility </w:t>
      </w:r>
      <w:r>
        <w:rPr>
          <w:lang w:eastAsia="en-NZ"/>
        </w:rPr>
        <w:t>D</w:t>
      </w:r>
      <w:r w:rsidRPr="005E134B">
        <w:rPr>
          <w:lang w:eastAsia="en-NZ"/>
        </w:rPr>
        <w:t>irection), or to undertake courses or counselling.</w:t>
      </w:r>
    </w:p>
    <w:p w:rsidR="008D1DCC" w:rsidRPr="005E134B" w:rsidRDefault="008D1DCC" w:rsidP="00170DAC">
      <w:pPr>
        <w:rPr>
          <w:lang w:eastAsia="en-NZ"/>
        </w:rPr>
      </w:pPr>
    </w:p>
    <w:p w:rsidR="003B22F1" w:rsidRDefault="008D1DCC" w:rsidP="00170DAC">
      <w:pPr>
        <w:rPr>
          <w:lang w:eastAsia="en-NZ"/>
        </w:rPr>
      </w:pPr>
      <w:r w:rsidRPr="005E134B">
        <w:rPr>
          <w:lang w:eastAsia="en-NZ"/>
        </w:rPr>
        <w:t xml:space="preserve">As the Health Act does not expressly provide for </w:t>
      </w:r>
      <w:r>
        <w:rPr>
          <w:lang w:eastAsia="en-NZ"/>
        </w:rPr>
        <w:t>compensation for these expenses, DHBs have no legal obligation to compensate people o</w:t>
      </w:r>
      <w:r w:rsidRPr="005E134B">
        <w:rPr>
          <w:lang w:eastAsia="en-NZ"/>
        </w:rPr>
        <w:t>n a dis</w:t>
      </w:r>
      <w:r>
        <w:rPr>
          <w:lang w:eastAsia="en-NZ"/>
        </w:rPr>
        <w:t xml:space="preserve">cretionary basis or otherwise. </w:t>
      </w:r>
      <w:r w:rsidRPr="005E134B">
        <w:rPr>
          <w:lang w:eastAsia="en-NZ"/>
        </w:rPr>
        <w:t xml:space="preserve">However, if </w:t>
      </w:r>
      <w:r>
        <w:rPr>
          <w:lang w:eastAsia="en-NZ"/>
        </w:rPr>
        <w:t xml:space="preserve">DHBs </w:t>
      </w:r>
      <w:r w:rsidRPr="005E134B">
        <w:rPr>
          <w:lang w:eastAsia="en-NZ"/>
        </w:rPr>
        <w:t>choose to voluntarily compensate the case or contact, there is nothing legally preventing this.</w:t>
      </w:r>
      <w:r w:rsidRPr="00170DAC">
        <w:rPr>
          <w:rStyle w:val="FootnoteReference"/>
        </w:rPr>
        <w:footnoteReference w:id="32"/>
      </w:r>
    </w:p>
    <w:p w:rsidR="008D1DCC" w:rsidRPr="005E134B" w:rsidRDefault="008D1DCC" w:rsidP="00170DAC">
      <w:pPr>
        <w:rPr>
          <w:lang w:eastAsia="en-NZ"/>
        </w:rPr>
      </w:pPr>
    </w:p>
    <w:p w:rsidR="003B22F1" w:rsidRDefault="008D1DCC" w:rsidP="00170DAC">
      <w:pPr>
        <w:rPr>
          <w:lang w:eastAsia="en-NZ"/>
        </w:rPr>
      </w:pPr>
      <w:r>
        <w:rPr>
          <w:lang w:eastAsia="en-NZ"/>
        </w:rPr>
        <w:t>In considering compensation, DHBs should take</w:t>
      </w:r>
      <w:r w:rsidRPr="005E134B">
        <w:rPr>
          <w:lang w:eastAsia="en-NZ"/>
        </w:rPr>
        <w:t xml:space="preserve"> specific</w:t>
      </w:r>
      <w:r>
        <w:rPr>
          <w:lang w:eastAsia="en-NZ"/>
        </w:rPr>
        <w:t xml:space="preserve"> individual</w:t>
      </w:r>
      <w:r w:rsidRPr="005E134B">
        <w:rPr>
          <w:lang w:eastAsia="en-NZ"/>
        </w:rPr>
        <w:t xml:space="preserve"> circumstances and vulnerabilities into account, including personal responsibility.</w:t>
      </w:r>
    </w:p>
    <w:p w:rsidR="008D1DCC" w:rsidRPr="005E134B" w:rsidRDefault="008D1DCC" w:rsidP="00170DAC">
      <w:pPr>
        <w:rPr>
          <w:lang w:eastAsia="en-NZ"/>
        </w:rPr>
      </w:pPr>
    </w:p>
    <w:p w:rsidR="008D1DCC" w:rsidRPr="005E134B" w:rsidRDefault="008D1DCC" w:rsidP="00170DAC">
      <w:pPr>
        <w:rPr>
          <w:lang w:eastAsia="en-NZ"/>
        </w:rPr>
      </w:pPr>
      <w:r w:rsidRPr="005E134B">
        <w:rPr>
          <w:lang w:eastAsia="en-NZ"/>
        </w:rPr>
        <w:t xml:space="preserve">If a </w:t>
      </w:r>
      <w:r>
        <w:rPr>
          <w:lang w:eastAsia="en-NZ"/>
        </w:rPr>
        <w:t xml:space="preserve">DHB </w:t>
      </w:r>
      <w:r w:rsidRPr="005E134B">
        <w:rPr>
          <w:lang w:eastAsia="en-NZ"/>
        </w:rPr>
        <w:t>choose</w:t>
      </w:r>
      <w:r>
        <w:rPr>
          <w:lang w:eastAsia="en-NZ"/>
        </w:rPr>
        <w:t>s</w:t>
      </w:r>
      <w:r w:rsidRPr="005E134B">
        <w:rPr>
          <w:lang w:eastAsia="en-NZ"/>
        </w:rPr>
        <w:t xml:space="preserve"> to fund an individual on a discretionary basis it can either make the payment itself or pay through its agent</w:t>
      </w:r>
      <w:r>
        <w:rPr>
          <w:lang w:eastAsia="en-NZ"/>
        </w:rPr>
        <w:t xml:space="preserve">, </w:t>
      </w:r>
      <w:r w:rsidRPr="005E134B">
        <w:rPr>
          <w:lang w:eastAsia="en-NZ"/>
        </w:rPr>
        <w:t xml:space="preserve">the relevant </w:t>
      </w:r>
      <w:r>
        <w:rPr>
          <w:lang w:eastAsia="en-NZ"/>
        </w:rPr>
        <w:t xml:space="preserve">public health unit </w:t>
      </w:r>
      <w:r w:rsidRPr="005E134B">
        <w:rPr>
          <w:lang w:eastAsia="en-NZ"/>
        </w:rPr>
        <w:t xml:space="preserve">(if the </w:t>
      </w:r>
      <w:r>
        <w:rPr>
          <w:lang w:eastAsia="en-NZ"/>
        </w:rPr>
        <w:t xml:space="preserve">DHB </w:t>
      </w:r>
      <w:r w:rsidRPr="005E134B">
        <w:rPr>
          <w:lang w:eastAsia="en-NZ"/>
        </w:rPr>
        <w:t>is part administrator</w:t>
      </w:r>
      <w:r>
        <w:rPr>
          <w:lang w:eastAsia="en-NZ"/>
        </w:rPr>
        <w:t xml:space="preserve"> of the public health unit). </w:t>
      </w:r>
      <w:r w:rsidRPr="005E134B">
        <w:rPr>
          <w:lang w:eastAsia="en-NZ"/>
        </w:rPr>
        <w:t xml:space="preserve">It is important to note that any payment could create an expectation </w:t>
      </w:r>
      <w:r>
        <w:rPr>
          <w:lang w:eastAsia="en-NZ"/>
        </w:rPr>
        <w:t>and a precedent for future case</w:t>
      </w:r>
      <w:r w:rsidR="006F5B39">
        <w:rPr>
          <w:lang w:eastAsia="en-NZ"/>
        </w:rPr>
        <w:t>s</w:t>
      </w:r>
      <w:r w:rsidRPr="005E134B">
        <w:rPr>
          <w:lang w:eastAsia="en-NZ"/>
        </w:rPr>
        <w:t>.</w:t>
      </w:r>
      <w:r>
        <w:rPr>
          <w:lang w:eastAsia="en-NZ"/>
        </w:rPr>
        <w:t xml:space="preserve"> District health boards </w:t>
      </w:r>
      <w:r w:rsidRPr="005E134B">
        <w:rPr>
          <w:lang w:eastAsia="en-NZ"/>
        </w:rPr>
        <w:t xml:space="preserve">should </w:t>
      </w:r>
      <w:r>
        <w:rPr>
          <w:lang w:eastAsia="en-NZ"/>
        </w:rPr>
        <w:t>avoid this</w:t>
      </w:r>
      <w:r w:rsidRPr="005E134B">
        <w:rPr>
          <w:lang w:eastAsia="en-NZ"/>
        </w:rPr>
        <w:t xml:space="preserve"> where possible.</w:t>
      </w:r>
    </w:p>
    <w:p w:rsidR="008D1DCC" w:rsidRPr="005E134B" w:rsidRDefault="008D1DCC" w:rsidP="00170DAC">
      <w:pPr>
        <w:rPr>
          <w:lang w:eastAsia="en-NZ"/>
        </w:rPr>
      </w:pPr>
    </w:p>
    <w:p w:rsidR="008D1DCC" w:rsidRPr="005E134B" w:rsidRDefault="008D1DCC" w:rsidP="00170DAC">
      <w:pPr>
        <w:rPr>
          <w:lang w:eastAsia="en-NZ"/>
        </w:rPr>
      </w:pPr>
      <w:r w:rsidRPr="005E134B">
        <w:rPr>
          <w:lang w:eastAsia="en-NZ"/>
        </w:rPr>
        <w:t xml:space="preserve">The </w:t>
      </w:r>
      <w:r>
        <w:rPr>
          <w:lang w:eastAsia="en-NZ"/>
        </w:rPr>
        <w:t xml:space="preserve">funding situation does not differ by provider (of examinations, treatments or other services). </w:t>
      </w:r>
      <w:r w:rsidRPr="005E134B">
        <w:rPr>
          <w:lang w:eastAsia="en-NZ"/>
        </w:rPr>
        <w:t xml:space="preserve">Simply put, </w:t>
      </w:r>
      <w:r>
        <w:rPr>
          <w:lang w:eastAsia="en-NZ"/>
        </w:rPr>
        <w:t>there is no requirement for any agency</w:t>
      </w:r>
      <w:r w:rsidRPr="005E134B">
        <w:rPr>
          <w:lang w:eastAsia="en-NZ"/>
        </w:rPr>
        <w:t xml:space="preserve"> to fund unless specified in the legislation (or under the </w:t>
      </w:r>
      <w:r>
        <w:rPr>
          <w:lang w:eastAsia="en-NZ"/>
        </w:rPr>
        <w:t>E</w:t>
      </w:r>
      <w:r w:rsidRPr="005E134B">
        <w:rPr>
          <w:lang w:eastAsia="en-NZ"/>
        </w:rPr>
        <w:t xml:space="preserve">ligibility </w:t>
      </w:r>
      <w:r>
        <w:rPr>
          <w:lang w:eastAsia="en-NZ"/>
        </w:rPr>
        <w:t xml:space="preserve">Direction). </w:t>
      </w:r>
      <w:r w:rsidRPr="005E134B">
        <w:rPr>
          <w:lang w:eastAsia="en-NZ"/>
        </w:rPr>
        <w:t>However, any</w:t>
      </w:r>
      <w:r>
        <w:rPr>
          <w:lang w:eastAsia="en-NZ"/>
        </w:rPr>
        <w:t xml:space="preserve"> DHB</w:t>
      </w:r>
      <w:r w:rsidRPr="005E134B">
        <w:rPr>
          <w:lang w:eastAsia="en-NZ"/>
        </w:rPr>
        <w:t>, general practitioner</w:t>
      </w:r>
      <w:r>
        <w:rPr>
          <w:lang w:eastAsia="en-NZ"/>
        </w:rPr>
        <w:t xml:space="preserve"> (GP)</w:t>
      </w:r>
      <w:r w:rsidRPr="005E134B">
        <w:rPr>
          <w:lang w:eastAsia="en-NZ"/>
        </w:rPr>
        <w:t xml:space="preserve">, STI clinic not attached to a </w:t>
      </w:r>
      <w:r>
        <w:rPr>
          <w:lang w:eastAsia="en-NZ"/>
        </w:rPr>
        <w:t xml:space="preserve">DHB </w:t>
      </w:r>
      <w:r w:rsidRPr="005E134B">
        <w:rPr>
          <w:lang w:eastAsia="en-NZ"/>
        </w:rPr>
        <w:t>(etc), can fund</w:t>
      </w:r>
      <w:r>
        <w:rPr>
          <w:lang w:eastAsia="en-NZ"/>
        </w:rPr>
        <w:t xml:space="preserve"> </w:t>
      </w:r>
      <w:r w:rsidRPr="005E134B">
        <w:rPr>
          <w:lang w:eastAsia="en-NZ"/>
        </w:rPr>
        <w:t>individual</w:t>
      </w:r>
      <w:r>
        <w:rPr>
          <w:lang w:eastAsia="en-NZ"/>
        </w:rPr>
        <w:t>s at their discretion</w:t>
      </w:r>
      <w:r w:rsidRPr="005E134B">
        <w:rPr>
          <w:lang w:eastAsia="en-NZ"/>
        </w:rPr>
        <w:t>.</w:t>
      </w:r>
    </w:p>
    <w:p w:rsidR="008D1DCC" w:rsidRPr="005E134B" w:rsidRDefault="008D1DCC" w:rsidP="00170DAC">
      <w:pPr>
        <w:rPr>
          <w:lang w:eastAsia="en-NZ"/>
        </w:rPr>
      </w:pPr>
    </w:p>
    <w:p w:rsidR="008D1DCC" w:rsidRPr="00715D69" w:rsidRDefault="008D1DCC" w:rsidP="00170DAC">
      <w:pPr>
        <w:pStyle w:val="Heading1"/>
      </w:pPr>
      <w:bookmarkStart w:id="25" w:name="_Toc473538520"/>
      <w:r>
        <w:t>4</w:t>
      </w:r>
      <w:r w:rsidR="00170DAC">
        <w:tab/>
      </w:r>
      <w:r w:rsidRPr="00715D69">
        <w:t>Overarching principles</w:t>
      </w:r>
      <w:bookmarkEnd w:id="25"/>
    </w:p>
    <w:p w:rsidR="008D1DCC" w:rsidRPr="00584182" w:rsidRDefault="008D1DCC" w:rsidP="00325B1C">
      <w:pPr>
        <w:pStyle w:val="Heading2"/>
      </w:pPr>
      <w:bookmarkStart w:id="26" w:name="_Toc473538521"/>
      <w:r w:rsidRPr="00584182">
        <w:t>There are six overarching principles</w:t>
      </w:r>
      <w:bookmarkEnd w:id="26"/>
    </w:p>
    <w:p w:rsidR="003B22F1" w:rsidRDefault="008D1DCC" w:rsidP="00325B1C">
      <w:r w:rsidRPr="005E134B">
        <w:t xml:space="preserve">Six </w:t>
      </w:r>
      <w:r w:rsidRPr="00A871F4">
        <w:t>overarching principles</w:t>
      </w:r>
      <w:r w:rsidRPr="005E134B">
        <w:t xml:space="preserve"> apply to the application of the disease management measures, which are imposed by public health practitioners or the courts exercising</w:t>
      </w:r>
      <w:r>
        <w:t xml:space="preserve"> responsibilities under Part</w:t>
      </w:r>
      <w:r w:rsidR="00325B1C">
        <w:t> </w:t>
      </w:r>
      <w:r>
        <w:t>3A.</w:t>
      </w:r>
      <w:r w:rsidRPr="00325B1C">
        <w:rPr>
          <w:rStyle w:val="FootnoteReference"/>
        </w:rPr>
        <w:footnoteReference w:id="33"/>
      </w:r>
      <w:r>
        <w:t xml:space="preserve"> </w:t>
      </w:r>
      <w:r w:rsidRPr="005E134B">
        <w:t xml:space="preserve">The paramount consideration in </w:t>
      </w:r>
      <w:r>
        <w:t>their application</w:t>
      </w:r>
      <w:r w:rsidRPr="005E134B">
        <w:t xml:space="preserve"> is the protection of public health.</w:t>
      </w:r>
      <w:r w:rsidRPr="00325B1C">
        <w:rPr>
          <w:rStyle w:val="FootnoteReference"/>
        </w:rPr>
        <w:footnoteReference w:id="34"/>
      </w:r>
    </w:p>
    <w:p w:rsidR="008D1DCC" w:rsidRPr="005E134B" w:rsidRDefault="008D1DCC" w:rsidP="00325B1C"/>
    <w:p w:rsidR="008D1DCC" w:rsidRPr="005E134B" w:rsidRDefault="008D1DCC" w:rsidP="00325B1C">
      <w:r w:rsidRPr="005E134B">
        <w:t>In no particular order of importance, the principles are</w:t>
      </w:r>
      <w:r>
        <w:t xml:space="preserve"> as follows</w:t>
      </w:r>
      <w:r w:rsidRPr="005E134B">
        <w:t>:</w:t>
      </w:r>
    </w:p>
    <w:p w:rsidR="003B22F1" w:rsidRDefault="008D1DCC" w:rsidP="00916B56">
      <w:pPr>
        <w:pStyle w:val="Bullet"/>
        <w:spacing w:before="180"/>
      </w:pPr>
      <w:r w:rsidRPr="00916B56">
        <w:rPr>
          <w:b/>
        </w:rPr>
        <w:t>Respect for individuals:</w:t>
      </w:r>
      <w:r w:rsidRPr="005E134B">
        <w:t xml:space="preserve"> Treating individuals with respect for their dignity and taking into account any known special circumstances or vulnerabilities, to the extent that the protection of public health allows this.</w:t>
      </w:r>
      <w:r>
        <w:t xml:space="preserve"> </w:t>
      </w:r>
      <w:r w:rsidRPr="005E134B">
        <w:t>As well as the obvious – youth or age</w:t>
      </w:r>
      <w:r w:rsidR="003B22F1">
        <w:t xml:space="preserve"> – </w:t>
      </w:r>
      <w:r w:rsidRPr="005E134B">
        <w:t xml:space="preserve">special circumstances or vulnerabilities might include concerns about sexual infidelity, domestic violence, needle sharing as part of drug use, or any number of other factors which can affect </w:t>
      </w:r>
      <w:r>
        <w:t xml:space="preserve">a </w:t>
      </w:r>
      <w:r w:rsidRPr="005E134B">
        <w:t>person</w:t>
      </w:r>
      <w:r w:rsidR="003B22F1">
        <w:t>’</w:t>
      </w:r>
      <w:r w:rsidRPr="005E134B">
        <w:t>s willingness to cooperate.</w:t>
      </w:r>
    </w:p>
    <w:p w:rsidR="003B22F1" w:rsidRDefault="008D1DCC" w:rsidP="00916B56">
      <w:pPr>
        <w:pStyle w:val="Bullet"/>
        <w:spacing w:before="180"/>
      </w:pPr>
      <w:r w:rsidRPr="00916B56">
        <w:rPr>
          <w:b/>
        </w:rPr>
        <w:t>Voluntary compliance:</w:t>
      </w:r>
      <w:r w:rsidRPr="005E134B">
        <w:t xml:space="preserve"> Giving individuals the opportunity to voluntarily comply with disease management measures when the public health risk they pose can be prevented or minimised</w:t>
      </w:r>
      <w:r>
        <w:t xml:space="preserve"> by their voluntary compliance. B</w:t>
      </w:r>
      <w:r w:rsidRPr="005E134B">
        <w:t xml:space="preserve">efore imposing disease management measures under Part 3A, </w:t>
      </w:r>
      <w:r>
        <w:t>an officer</w:t>
      </w:r>
      <w:r w:rsidRPr="005E134B">
        <w:t xml:space="preserve"> or court must consider the </w:t>
      </w:r>
      <w:r>
        <w:t>individual</w:t>
      </w:r>
      <w:r w:rsidR="003B22F1">
        <w:t>’</w:t>
      </w:r>
      <w:r>
        <w:t xml:space="preserve">s </w:t>
      </w:r>
      <w:r w:rsidRPr="005E134B">
        <w:t>opportunities to minimise the</w:t>
      </w:r>
      <w:r>
        <w:t xml:space="preserve"> transmission risk, whether the individual has </w:t>
      </w:r>
      <w:r w:rsidRPr="005E134B">
        <w:t>taken up</w:t>
      </w:r>
      <w:r>
        <w:t xml:space="preserve"> such opportunities, and to what extent. </w:t>
      </w:r>
      <w:r w:rsidRPr="005E134B">
        <w:t>This</w:t>
      </w:r>
      <w:r>
        <w:t xml:space="preserve"> is </w:t>
      </w:r>
      <w:r w:rsidRPr="005E134B">
        <w:t>particularly in response to directions, and requests or instructions from health practitioners.</w:t>
      </w:r>
    </w:p>
    <w:p w:rsidR="008D1DCC" w:rsidRPr="005E134B" w:rsidRDefault="008D1DCC" w:rsidP="00916B56">
      <w:pPr>
        <w:spacing w:before="90"/>
        <w:ind w:left="284"/>
      </w:pPr>
      <w:r w:rsidRPr="005E134B">
        <w:t xml:space="preserve">As part </w:t>
      </w:r>
      <w:r>
        <w:t xml:space="preserve">of the </w:t>
      </w:r>
      <w:r w:rsidRPr="005E134B">
        <w:t>voluntary compliance</w:t>
      </w:r>
      <w:r>
        <w:t xml:space="preserve"> principle</w:t>
      </w:r>
      <w:r w:rsidRPr="005E134B">
        <w:t>, individuals and communities should be encouraged to take responsibility and participate in decisions about their health.</w:t>
      </w:r>
    </w:p>
    <w:p w:rsidR="008D1DCC" w:rsidRPr="005E134B" w:rsidRDefault="008D1DCC" w:rsidP="00916B56">
      <w:pPr>
        <w:pStyle w:val="Bullet"/>
        <w:spacing w:before="180"/>
      </w:pPr>
      <w:r w:rsidRPr="00916B56">
        <w:rPr>
          <w:b/>
        </w:rPr>
        <w:t>Individual to be informed:</w:t>
      </w:r>
      <w:r w:rsidRPr="005E134B">
        <w:rPr>
          <w:i/>
        </w:rPr>
        <w:t xml:space="preserve"> </w:t>
      </w:r>
      <w:r w:rsidRPr="005E134B">
        <w:t>Promptly informing</w:t>
      </w:r>
      <w:r>
        <w:t xml:space="preserve"> individuals</w:t>
      </w:r>
      <w:r w:rsidRPr="005E134B">
        <w:t>, in a way they are likely to understand, about the nature and implications of the disease management measures being imposed</w:t>
      </w:r>
      <w:r>
        <w:t xml:space="preserve"> on them</w:t>
      </w:r>
      <w:r w:rsidRPr="005E134B">
        <w:t xml:space="preserve">, future steps, and of any rights of </w:t>
      </w:r>
      <w:r>
        <w:t>the individual to appeal or judicial review.</w:t>
      </w:r>
    </w:p>
    <w:p w:rsidR="003B22F1" w:rsidRDefault="008D1DCC" w:rsidP="00916B56">
      <w:pPr>
        <w:pStyle w:val="Bullet"/>
        <w:spacing w:before="180"/>
      </w:pPr>
      <w:r w:rsidRPr="00916B56">
        <w:rPr>
          <w:b/>
        </w:rPr>
        <w:t>Principle of proportionality:</w:t>
      </w:r>
      <w:r w:rsidRPr="005E134B">
        <w:t xml:space="preserve"> </w:t>
      </w:r>
      <w:r>
        <w:t xml:space="preserve">Applying the </w:t>
      </w:r>
      <w:r w:rsidRPr="005E134B">
        <w:t xml:space="preserve">disease management measures </w:t>
      </w:r>
      <w:r>
        <w:t xml:space="preserve">in a way that is </w:t>
      </w:r>
      <w:r w:rsidRPr="005E134B">
        <w:t>proportionate to the public health risk posed by t</w:t>
      </w:r>
      <w:r>
        <w:t xml:space="preserve">he individual, and </w:t>
      </w:r>
      <w:r w:rsidRPr="005E134B">
        <w:t>not appl</w:t>
      </w:r>
      <w:r>
        <w:t>ying them</w:t>
      </w:r>
      <w:r w:rsidRPr="005E134B">
        <w:t xml:space="preserve"> in an arbitrary manner.</w:t>
      </w:r>
    </w:p>
    <w:p w:rsidR="003B22F1" w:rsidRDefault="008D1DCC" w:rsidP="00916B56">
      <w:pPr>
        <w:pStyle w:val="Bullet"/>
        <w:spacing w:before="180"/>
      </w:pPr>
      <w:r w:rsidRPr="00916B56">
        <w:rPr>
          <w:b/>
        </w:rPr>
        <w:t>Least restrictive alternative:</w:t>
      </w:r>
      <w:r w:rsidRPr="005E134B">
        <w:t xml:space="preserve"> Applying the least restrictive available measure that in the individual</w:t>
      </w:r>
      <w:r w:rsidR="003B22F1">
        <w:t>’</w:t>
      </w:r>
      <w:r w:rsidRPr="005E134B">
        <w:t>s or court</w:t>
      </w:r>
      <w:r w:rsidR="003B22F1">
        <w:t>’</w:t>
      </w:r>
      <w:r w:rsidRPr="005E134B">
        <w:t>s judgment will achieve the objective of minimising the public health risk posed by the person.</w:t>
      </w:r>
    </w:p>
    <w:p w:rsidR="003B22F1" w:rsidRDefault="008D1DCC" w:rsidP="00916B56">
      <w:pPr>
        <w:pStyle w:val="Bullet"/>
        <w:spacing w:before="180"/>
      </w:pPr>
      <w:r w:rsidRPr="00916B56">
        <w:rPr>
          <w:b/>
        </w:rPr>
        <w:t>Measures to apply no longer than necessary:</w:t>
      </w:r>
      <w:r>
        <w:rPr>
          <w:i/>
        </w:rPr>
        <w:t xml:space="preserve"> </w:t>
      </w:r>
      <w:r w:rsidRPr="005E134B">
        <w:t>Applying measures no longer than is necessary to prevent or minimise the public health risk posed by the individual.</w:t>
      </w:r>
    </w:p>
    <w:p w:rsidR="008D1DCC" w:rsidRDefault="008D1DCC" w:rsidP="00916B56"/>
    <w:p w:rsidR="008D1DCC" w:rsidRPr="00584182" w:rsidRDefault="008D1DCC" w:rsidP="00916B56">
      <w:pPr>
        <w:pStyle w:val="Heading2"/>
      </w:pPr>
      <w:bookmarkStart w:id="27" w:name="_Toc473538522"/>
      <w:r w:rsidRPr="00584182">
        <w:t>Checklist of the overarching principles</w:t>
      </w:r>
      <w:bookmarkEnd w:id="27"/>
    </w:p>
    <w:p w:rsidR="008D1DCC" w:rsidRDefault="008D1DCC" w:rsidP="00916B56">
      <w:pPr>
        <w:keepNext/>
      </w:pPr>
      <w:r w:rsidRPr="005E134B">
        <w:t>X = Case or contact</w:t>
      </w:r>
    </w:p>
    <w:p w:rsidR="00916B56" w:rsidRDefault="00916B56" w:rsidP="00916B56">
      <w:pPr>
        <w:keepNext/>
      </w:pPr>
    </w:p>
    <w:p w:rsidR="003B22F1" w:rsidRDefault="00916B56" w:rsidP="00916B56">
      <w:pPr>
        <w:pStyle w:val="Heading3"/>
      </w:pPr>
      <w:r>
        <w:t>1</w:t>
      </w:r>
      <w:r>
        <w:tab/>
      </w:r>
      <w:r w:rsidR="008D1DCC" w:rsidRPr="00853E12">
        <w:t>Behaviour showing respect</w:t>
      </w:r>
    </w:p>
    <w:p w:rsidR="008D1DCC" w:rsidRPr="005E134B" w:rsidRDefault="008D1DCC" w:rsidP="00916B56">
      <w:pPr>
        <w:spacing w:before="60"/>
        <w:ind w:left="567" w:hanging="567"/>
      </w:pPr>
      <w:r w:rsidRPr="005E134B">
        <w:t>1.1</w:t>
      </w:r>
      <w:r w:rsidRPr="005E134B">
        <w:tab/>
        <w:t>Does X have any special circumstances and vulnerabilities, if so what are they?</w:t>
      </w:r>
    </w:p>
    <w:p w:rsidR="008D1DCC" w:rsidRPr="005E134B" w:rsidRDefault="008D1DCC" w:rsidP="00916B56">
      <w:pPr>
        <w:spacing w:before="60"/>
        <w:ind w:left="567" w:hanging="567"/>
      </w:pPr>
      <w:r w:rsidRPr="005E134B">
        <w:t>1.2</w:t>
      </w:r>
      <w:r w:rsidRPr="005E134B">
        <w:tab/>
        <w:t xml:space="preserve">What should I do differently because of </w:t>
      </w:r>
      <w:r>
        <w:t>X</w:t>
      </w:r>
      <w:r w:rsidR="003B22F1">
        <w:t>’</w:t>
      </w:r>
      <w:r>
        <w:t xml:space="preserve">s special </w:t>
      </w:r>
      <w:r w:rsidRPr="005E134B">
        <w:t>circumstances or vulnerabilities?</w:t>
      </w:r>
    </w:p>
    <w:p w:rsidR="008D1DCC" w:rsidRPr="005E134B" w:rsidRDefault="008D1DCC" w:rsidP="00916B56">
      <w:pPr>
        <w:spacing w:before="60"/>
        <w:ind w:left="567" w:hanging="567"/>
      </w:pPr>
      <w:r w:rsidRPr="005E134B">
        <w:t>1.3</w:t>
      </w:r>
      <w:r w:rsidRPr="005E134B">
        <w:tab/>
        <w:t>Has my conduct been reasonable and fair in the circumstances?</w:t>
      </w:r>
    </w:p>
    <w:p w:rsidR="008D1DCC" w:rsidRPr="005E134B" w:rsidRDefault="008D1DCC" w:rsidP="00916B56">
      <w:pPr>
        <w:spacing w:before="60"/>
        <w:ind w:left="567" w:hanging="567"/>
      </w:pPr>
      <w:r w:rsidRPr="005E134B">
        <w:t>1.4</w:t>
      </w:r>
      <w:r w:rsidRPr="005E134B">
        <w:tab/>
        <w:t>Have I acted in good faith</w:t>
      </w:r>
      <w:r>
        <w:t xml:space="preserve"> and</w:t>
      </w:r>
      <w:r w:rsidRPr="005E134B">
        <w:t xml:space="preserve"> within the scope of my powers?</w:t>
      </w:r>
    </w:p>
    <w:p w:rsidR="008D1DCC" w:rsidRDefault="008D1DCC" w:rsidP="00916B56">
      <w:pPr>
        <w:spacing w:before="60"/>
        <w:ind w:left="567" w:hanging="567"/>
      </w:pPr>
      <w:r w:rsidRPr="005E134B">
        <w:t>1.5</w:t>
      </w:r>
      <w:r w:rsidRPr="005E134B">
        <w:tab/>
        <w:t>Have I shown respect for X</w:t>
      </w:r>
      <w:r w:rsidR="003B22F1">
        <w:t>’</w:t>
      </w:r>
      <w:r w:rsidRPr="005E134B">
        <w:t>s bodily integrity, privacy and inherent dignity as person?</w:t>
      </w:r>
    </w:p>
    <w:p w:rsidR="008D1DCC" w:rsidRPr="00916B56" w:rsidRDefault="008D1DCC" w:rsidP="00916B56">
      <w:pPr>
        <w:spacing w:before="120"/>
        <w:rPr>
          <w:i/>
        </w:rPr>
      </w:pPr>
      <w:r w:rsidRPr="00916B56">
        <w:rPr>
          <w:i/>
        </w:rPr>
        <w:t>What does protecting public health require?</w:t>
      </w:r>
    </w:p>
    <w:p w:rsidR="00916B56" w:rsidRPr="000A37B0" w:rsidRDefault="00916B56" w:rsidP="00916B56"/>
    <w:p w:rsidR="008D1DCC" w:rsidRPr="00853E12" w:rsidRDefault="00916B56" w:rsidP="00916B56">
      <w:pPr>
        <w:pStyle w:val="Heading3"/>
      </w:pPr>
      <w:r>
        <w:t>2</w:t>
      </w:r>
      <w:r>
        <w:tab/>
      </w:r>
      <w:r w:rsidR="008D1DCC" w:rsidRPr="00853E12">
        <w:t>Measures imposed with cooperation where possible</w:t>
      </w:r>
    </w:p>
    <w:p w:rsidR="008D1DCC" w:rsidRPr="005E134B" w:rsidRDefault="008D1DCC" w:rsidP="00916B56">
      <w:pPr>
        <w:spacing w:before="60"/>
        <w:ind w:left="567" w:hanging="567"/>
      </w:pPr>
      <w:r w:rsidRPr="005E134B">
        <w:t>2.1</w:t>
      </w:r>
      <w:r w:rsidRPr="005E134B">
        <w:tab/>
        <w:t>What are the voluntary measures I can try here?</w:t>
      </w:r>
    </w:p>
    <w:p w:rsidR="008D1DCC" w:rsidRPr="005E134B" w:rsidRDefault="008D1DCC" w:rsidP="00916B56">
      <w:pPr>
        <w:spacing w:before="60"/>
        <w:ind w:left="567" w:hanging="567"/>
      </w:pPr>
      <w:r w:rsidRPr="005E134B">
        <w:t>2.2</w:t>
      </w:r>
      <w:r w:rsidRPr="005E134B">
        <w:tab/>
        <w:t>Will voluntary measures work?</w:t>
      </w:r>
    </w:p>
    <w:p w:rsidR="008D1DCC" w:rsidRPr="005E134B" w:rsidRDefault="008D1DCC" w:rsidP="00916B56">
      <w:pPr>
        <w:spacing w:before="60"/>
        <w:ind w:left="567" w:hanging="567"/>
      </w:pPr>
      <w:r w:rsidRPr="005E134B">
        <w:t>2.3</w:t>
      </w:r>
      <w:r w:rsidRPr="005E134B">
        <w:tab/>
        <w:t>What has X previously done to lessen or increase the risk of disease transmission?</w:t>
      </w:r>
    </w:p>
    <w:p w:rsidR="008D1DCC" w:rsidRPr="005E134B" w:rsidRDefault="008D1DCC" w:rsidP="00916B56">
      <w:pPr>
        <w:spacing w:before="60"/>
        <w:ind w:left="567" w:hanging="567"/>
      </w:pPr>
      <w:r w:rsidRPr="005E134B">
        <w:t>2.4</w:t>
      </w:r>
      <w:r w:rsidRPr="005E134B">
        <w:tab/>
        <w:t>What steps have been taken so far, and if some have not worked, why not?</w:t>
      </w:r>
    </w:p>
    <w:p w:rsidR="008D1DCC" w:rsidRDefault="008D1DCC" w:rsidP="00916B56">
      <w:pPr>
        <w:spacing w:before="60"/>
        <w:ind w:left="567" w:hanging="567"/>
      </w:pPr>
      <w:r w:rsidRPr="005E134B">
        <w:t>2.5</w:t>
      </w:r>
      <w:r w:rsidRPr="005E134B">
        <w:tab/>
        <w:t>What instructions or directions have previously been given to X?</w:t>
      </w:r>
      <w:r w:rsidR="003B22F1">
        <w:t xml:space="preserve"> </w:t>
      </w:r>
      <w:r w:rsidRPr="005E134B">
        <w:t>What happened and why?</w:t>
      </w:r>
    </w:p>
    <w:p w:rsidR="008D1DCC" w:rsidRPr="005E134B" w:rsidRDefault="008D1DCC" w:rsidP="00916B56">
      <w:pPr>
        <w:spacing w:before="60"/>
        <w:ind w:left="567" w:hanging="567"/>
      </w:pPr>
      <w:r w:rsidRPr="005E134B">
        <w:t>2.6</w:t>
      </w:r>
      <w:r w:rsidRPr="005E134B">
        <w:tab/>
        <w:t>Have I given X enough opportunities to comply with measures?</w:t>
      </w:r>
    </w:p>
    <w:p w:rsidR="008D1DCC" w:rsidRPr="005E134B" w:rsidRDefault="008D1DCC" w:rsidP="00916B56">
      <w:pPr>
        <w:spacing w:before="60"/>
        <w:ind w:left="567" w:hanging="567"/>
      </w:pPr>
      <w:r w:rsidRPr="005E134B">
        <w:t>2.7</w:t>
      </w:r>
      <w:r w:rsidRPr="005E134B">
        <w:tab/>
        <w:t>How can I encourage X to take responsibility for his/her own health?</w:t>
      </w:r>
    </w:p>
    <w:p w:rsidR="008D1DCC" w:rsidRPr="005E134B" w:rsidRDefault="008D1DCC" w:rsidP="00916B56">
      <w:pPr>
        <w:spacing w:before="60"/>
        <w:ind w:left="567" w:hanging="567"/>
      </w:pPr>
      <w:r w:rsidRPr="005E134B">
        <w:t>2.8</w:t>
      </w:r>
      <w:r w:rsidRPr="005E134B">
        <w:tab/>
        <w:t>Should I consult X or someone else at this point in the process?</w:t>
      </w:r>
    </w:p>
    <w:p w:rsidR="008D1DCC" w:rsidRDefault="008D1DCC" w:rsidP="00916B56">
      <w:pPr>
        <w:spacing w:before="60"/>
        <w:ind w:left="567" w:hanging="567"/>
      </w:pPr>
      <w:r w:rsidRPr="005E134B">
        <w:t>2.9</w:t>
      </w:r>
      <w:r w:rsidRPr="005E134B">
        <w:tab/>
        <w:t>What health</w:t>
      </w:r>
      <w:r>
        <w:t>-</w:t>
      </w:r>
      <w:r w:rsidRPr="005E134B">
        <w:t>related decisions would it be appropriate for X to participate in making?</w:t>
      </w:r>
    </w:p>
    <w:p w:rsidR="008D1DCC" w:rsidRPr="00916B56" w:rsidRDefault="008D1DCC" w:rsidP="00916B56">
      <w:pPr>
        <w:spacing w:before="120"/>
        <w:rPr>
          <w:i/>
        </w:rPr>
      </w:pPr>
      <w:r w:rsidRPr="00916B56">
        <w:rPr>
          <w:i/>
        </w:rPr>
        <w:t>What does protecting public health require?</w:t>
      </w:r>
    </w:p>
    <w:p w:rsidR="00916B56" w:rsidRPr="000A37B0" w:rsidRDefault="00916B56" w:rsidP="00916B56"/>
    <w:p w:rsidR="008D1DCC" w:rsidRPr="00853E12" w:rsidRDefault="008D1DCC" w:rsidP="00916B56">
      <w:pPr>
        <w:pStyle w:val="Heading3"/>
      </w:pPr>
      <w:r w:rsidRPr="00853E12">
        <w:t>3</w:t>
      </w:r>
      <w:r w:rsidRPr="00853E12">
        <w:tab/>
        <w:t>Measures backed up by timely and relevant information</w:t>
      </w:r>
    </w:p>
    <w:p w:rsidR="008D1DCC" w:rsidRPr="005E134B" w:rsidRDefault="008D1DCC" w:rsidP="00916B56">
      <w:pPr>
        <w:spacing w:before="60"/>
        <w:ind w:left="567" w:hanging="567"/>
      </w:pPr>
      <w:r w:rsidRPr="005E134B">
        <w:t>3.1</w:t>
      </w:r>
      <w:r w:rsidRPr="005E134B">
        <w:tab/>
        <w:t>How can I tell X in a way he</w:t>
      </w:r>
      <w:r>
        <w:t xml:space="preserve"> or she</w:t>
      </w:r>
      <w:r w:rsidRPr="005E134B">
        <w:t xml:space="preserve"> will understand about the nature of the disease </w:t>
      </w:r>
      <w:r w:rsidR="00B15B3E">
        <w:t xml:space="preserve">risk </w:t>
      </w:r>
      <w:r w:rsidRPr="005E134B">
        <w:t>and what is happening as a consequence?</w:t>
      </w:r>
    </w:p>
    <w:p w:rsidR="008D1DCC" w:rsidRPr="005E134B" w:rsidRDefault="008D1DCC" w:rsidP="00916B56">
      <w:pPr>
        <w:spacing w:before="60"/>
        <w:ind w:left="567" w:hanging="567"/>
      </w:pPr>
      <w:r w:rsidRPr="005E134B">
        <w:t>3.2</w:t>
      </w:r>
      <w:r w:rsidRPr="005E134B">
        <w:tab/>
        <w:t>What should I be telling X at this point about the steps I am considering taking?</w:t>
      </w:r>
    </w:p>
    <w:p w:rsidR="008D1DCC" w:rsidRPr="005E134B" w:rsidRDefault="008D1DCC" w:rsidP="00916B56">
      <w:pPr>
        <w:spacing w:before="60"/>
        <w:ind w:left="567" w:hanging="567"/>
      </w:pPr>
      <w:r w:rsidRPr="005E134B">
        <w:t>3.3</w:t>
      </w:r>
      <w:r w:rsidRPr="005E134B">
        <w:tab/>
        <w:t>What are the implications for X of doing this?</w:t>
      </w:r>
      <w:r w:rsidR="003B22F1">
        <w:t xml:space="preserve"> </w:t>
      </w:r>
      <w:r w:rsidRPr="005E134B">
        <w:t>Have I told X?</w:t>
      </w:r>
    </w:p>
    <w:p w:rsidR="008D1DCC" w:rsidRPr="005E134B" w:rsidRDefault="008D1DCC" w:rsidP="00916B56">
      <w:pPr>
        <w:spacing w:before="60"/>
        <w:ind w:left="567" w:hanging="567"/>
      </w:pPr>
      <w:r w:rsidRPr="005E134B">
        <w:t>3.4</w:t>
      </w:r>
      <w:r w:rsidRPr="005E134B">
        <w:tab/>
        <w:t>Does X have a right of appeal to the court against this measure?</w:t>
      </w:r>
      <w:r w:rsidR="003B22F1">
        <w:t xml:space="preserve"> </w:t>
      </w:r>
      <w:r w:rsidRPr="005E134B">
        <w:t>Have I told X?</w:t>
      </w:r>
    </w:p>
    <w:p w:rsidR="008D1DCC" w:rsidRPr="005E134B" w:rsidRDefault="008D1DCC" w:rsidP="00916B56">
      <w:pPr>
        <w:spacing w:before="60"/>
        <w:ind w:left="567" w:hanging="567"/>
      </w:pPr>
      <w:r w:rsidRPr="005E134B">
        <w:t>3.5</w:t>
      </w:r>
      <w:r w:rsidRPr="005E134B">
        <w:tab/>
        <w:t>Is what I am doing able to be challenged in court?</w:t>
      </w:r>
      <w:r w:rsidR="003B22F1">
        <w:t xml:space="preserve"> </w:t>
      </w:r>
      <w:r w:rsidRPr="005E134B">
        <w:t>Have I told X?</w:t>
      </w:r>
    </w:p>
    <w:p w:rsidR="008D1DCC" w:rsidRDefault="008D1DCC" w:rsidP="00916B56">
      <w:pPr>
        <w:spacing w:before="60"/>
        <w:ind w:left="567" w:hanging="567"/>
      </w:pPr>
      <w:r w:rsidRPr="005E134B">
        <w:t>3.6</w:t>
      </w:r>
      <w:r w:rsidRPr="005E134B">
        <w:tab/>
        <w:t>Does X u</w:t>
      </w:r>
      <w:r>
        <w:t xml:space="preserve">nderstand what I am telling him or </w:t>
      </w:r>
      <w:r w:rsidRPr="005E134B">
        <w:t>her and if not, should I get the help of an interpreter, X</w:t>
      </w:r>
      <w:r w:rsidR="003B22F1">
        <w:t>’</w:t>
      </w:r>
      <w:r w:rsidRPr="005E134B">
        <w:t xml:space="preserve">s </w:t>
      </w:r>
      <w:r w:rsidR="00B15B3E">
        <w:t xml:space="preserve">caregiver, or </w:t>
      </w:r>
      <w:r w:rsidRPr="005E134B">
        <w:t>legal representative?</w:t>
      </w:r>
    </w:p>
    <w:p w:rsidR="008D1DCC" w:rsidRPr="00916B56" w:rsidRDefault="008D1DCC" w:rsidP="00916B56">
      <w:pPr>
        <w:spacing w:before="120"/>
        <w:rPr>
          <w:i/>
        </w:rPr>
      </w:pPr>
      <w:r w:rsidRPr="00916B56">
        <w:rPr>
          <w:i/>
        </w:rPr>
        <w:t>What does protecting public health require?</w:t>
      </w:r>
    </w:p>
    <w:p w:rsidR="00916B56" w:rsidRPr="000A37B0" w:rsidRDefault="00916B56" w:rsidP="00916B56"/>
    <w:p w:rsidR="008D1DCC" w:rsidRPr="00853E12" w:rsidRDefault="008D1DCC" w:rsidP="00916B56">
      <w:pPr>
        <w:pStyle w:val="Heading3"/>
      </w:pPr>
      <w:r>
        <w:t>4</w:t>
      </w:r>
      <w:r w:rsidR="00916B56">
        <w:tab/>
      </w:r>
      <w:r w:rsidRPr="00853E12">
        <w:t>Measures that are proportionate and avoid undue restriction</w:t>
      </w:r>
    </w:p>
    <w:p w:rsidR="008D1DCC" w:rsidRPr="005E134B" w:rsidRDefault="008D1DCC" w:rsidP="00916B56">
      <w:pPr>
        <w:spacing w:before="60"/>
        <w:ind w:left="567" w:hanging="567"/>
      </w:pPr>
      <w:r w:rsidRPr="005E134B">
        <w:t>4.1</w:t>
      </w:r>
      <w:r w:rsidRPr="005E134B">
        <w:tab/>
        <w:t>Is my choice of measure likely to protect public health?</w:t>
      </w:r>
    </w:p>
    <w:p w:rsidR="008D1DCC" w:rsidRPr="005E134B" w:rsidRDefault="008D1DCC" w:rsidP="00916B56">
      <w:pPr>
        <w:spacing w:before="60"/>
        <w:ind w:left="567" w:hanging="567"/>
      </w:pPr>
      <w:r w:rsidRPr="005E134B">
        <w:t>4.2</w:t>
      </w:r>
      <w:r w:rsidRPr="005E134B">
        <w:tab/>
        <w:t>Are the measures I have chosen proportionate to the public health risk that X poses?</w:t>
      </w:r>
    </w:p>
    <w:p w:rsidR="008D1DCC" w:rsidRPr="005E134B" w:rsidRDefault="008D1DCC" w:rsidP="00916B56">
      <w:pPr>
        <w:spacing w:before="60"/>
        <w:ind w:left="567" w:hanging="567"/>
      </w:pPr>
      <w:r w:rsidRPr="005E134B">
        <w:t>4.3</w:t>
      </w:r>
      <w:r w:rsidRPr="005E134B">
        <w:tab/>
        <w:t>What is the least restrictive measure I could choose right now that would probably work?</w:t>
      </w:r>
    </w:p>
    <w:p w:rsidR="008D1DCC" w:rsidRDefault="008D1DCC" w:rsidP="00916B56">
      <w:pPr>
        <w:spacing w:before="60"/>
        <w:ind w:left="567" w:hanging="567"/>
      </w:pPr>
      <w:r w:rsidRPr="005E134B">
        <w:t>4.4</w:t>
      </w:r>
      <w:r w:rsidRPr="005E134B">
        <w:tab/>
        <w:t>On balance, is this the most effective thing I could do right now?</w:t>
      </w:r>
    </w:p>
    <w:p w:rsidR="008D1DCC" w:rsidRPr="00916B56" w:rsidRDefault="008D1DCC" w:rsidP="00916B56">
      <w:pPr>
        <w:spacing w:before="120"/>
        <w:rPr>
          <w:i/>
        </w:rPr>
      </w:pPr>
      <w:r w:rsidRPr="00916B56">
        <w:rPr>
          <w:i/>
        </w:rPr>
        <w:t>What does protecting public health require?</w:t>
      </w:r>
    </w:p>
    <w:p w:rsidR="00916B56" w:rsidRPr="000A37B0" w:rsidRDefault="00916B56" w:rsidP="00916B56"/>
    <w:p w:rsidR="008D1DCC" w:rsidRPr="005E134B" w:rsidRDefault="00916B56" w:rsidP="00916B56">
      <w:pPr>
        <w:pStyle w:val="Heading3"/>
        <w:ind w:left="567" w:hanging="567"/>
      </w:pPr>
      <w:r>
        <w:t>5</w:t>
      </w:r>
      <w:r>
        <w:tab/>
      </w:r>
      <w:r w:rsidR="008D1DCC">
        <w:t>Measures that are time limited and are only for the time that is necessary</w:t>
      </w:r>
    </w:p>
    <w:p w:rsidR="008D1DCC" w:rsidRPr="005E134B" w:rsidRDefault="008D1DCC" w:rsidP="00916B56">
      <w:pPr>
        <w:spacing w:before="60"/>
        <w:ind w:left="567" w:hanging="567"/>
      </w:pPr>
      <w:r w:rsidRPr="005E134B">
        <w:t>5.1</w:t>
      </w:r>
      <w:r w:rsidRPr="005E134B">
        <w:tab/>
        <w:t>How long does this measure need to last to address the public health risk?</w:t>
      </w:r>
    </w:p>
    <w:p w:rsidR="008D1DCC" w:rsidRPr="005E134B" w:rsidRDefault="008D1DCC" w:rsidP="00916B56">
      <w:pPr>
        <w:spacing w:before="60"/>
        <w:ind w:left="567" w:hanging="567"/>
      </w:pPr>
      <w:r w:rsidRPr="005E134B">
        <w:t>5.2</w:t>
      </w:r>
      <w:r w:rsidRPr="005E134B">
        <w:tab/>
        <w:t>Have I specified an appropriate time limit on my chosen measure?</w:t>
      </w:r>
    </w:p>
    <w:p w:rsidR="008D1DCC" w:rsidRDefault="008D1DCC" w:rsidP="00916B56">
      <w:pPr>
        <w:spacing w:before="60"/>
        <w:ind w:left="567" w:hanging="567"/>
      </w:pPr>
      <w:r w:rsidRPr="005E134B">
        <w:t>5.3</w:t>
      </w:r>
      <w:r w:rsidRPr="005E134B">
        <w:tab/>
        <w:t>At what point will I review the measures and X</w:t>
      </w:r>
      <w:r w:rsidR="003B22F1">
        <w:t>’</w:t>
      </w:r>
      <w:r w:rsidRPr="005E134B">
        <w:t>s circumstances</w:t>
      </w:r>
      <w:r>
        <w:t>?</w:t>
      </w:r>
    </w:p>
    <w:p w:rsidR="008D1DCC" w:rsidRPr="005E134B" w:rsidRDefault="008D1DCC" w:rsidP="00916B56">
      <w:pPr>
        <w:spacing w:before="60"/>
        <w:ind w:left="567" w:hanging="567"/>
      </w:pPr>
      <w:r w:rsidRPr="005E134B">
        <w:t>5.4</w:t>
      </w:r>
      <w:r w:rsidRPr="005E134B">
        <w:tab/>
        <w:t>Have X</w:t>
      </w:r>
      <w:r w:rsidR="003B22F1">
        <w:t>’</w:t>
      </w:r>
      <w:r w:rsidRPr="005E134B">
        <w:t>s circumstances changed</w:t>
      </w:r>
      <w:r>
        <w:t>,</w:t>
      </w:r>
      <w:r w:rsidRPr="005E134B">
        <w:t xml:space="preserve"> meaning the initial time given is now too long or not sufficient to address the risk?</w:t>
      </w:r>
    </w:p>
    <w:p w:rsidR="008D1DCC" w:rsidRPr="005E134B" w:rsidRDefault="008D1DCC" w:rsidP="00916B56">
      <w:pPr>
        <w:spacing w:before="60"/>
        <w:ind w:left="567" w:hanging="567"/>
      </w:pPr>
      <w:r w:rsidRPr="005E134B">
        <w:t>5.5</w:t>
      </w:r>
      <w:r w:rsidRPr="005E134B">
        <w:tab/>
        <w:t>Is this measure likely to work if it lasts for this duration?</w:t>
      </w:r>
    </w:p>
    <w:p w:rsidR="008D1DCC" w:rsidRDefault="008D1DCC" w:rsidP="00916B56">
      <w:pPr>
        <w:spacing w:before="60"/>
        <w:ind w:left="567" w:hanging="567"/>
      </w:pPr>
      <w:r w:rsidRPr="005E134B">
        <w:t>5.6</w:t>
      </w:r>
      <w:r w:rsidRPr="005E134B">
        <w:tab/>
        <w:t>What are the implications (for example, psycho-social, financial, educational) for X of the measure lasting for this duration?</w:t>
      </w:r>
    </w:p>
    <w:p w:rsidR="008D1DCC" w:rsidRPr="00916B56" w:rsidRDefault="008D1DCC" w:rsidP="00916B56">
      <w:pPr>
        <w:spacing w:before="120"/>
        <w:rPr>
          <w:i/>
        </w:rPr>
      </w:pPr>
      <w:r w:rsidRPr="00916B56">
        <w:rPr>
          <w:i/>
        </w:rPr>
        <w:t>What does protecting public health require?</w:t>
      </w:r>
    </w:p>
    <w:p w:rsidR="008D1DCC" w:rsidRPr="005E134B" w:rsidRDefault="008D1DCC" w:rsidP="00916B56"/>
    <w:p w:rsidR="008D1DCC" w:rsidRPr="00A651AB" w:rsidRDefault="008D1DCC" w:rsidP="00916B56">
      <w:pPr>
        <w:pStyle w:val="Heading1"/>
      </w:pPr>
      <w:bookmarkStart w:id="28" w:name="_Toc473538523"/>
      <w:r>
        <w:t>5</w:t>
      </w:r>
      <w:r w:rsidR="00916B56">
        <w:tab/>
      </w:r>
      <w:r w:rsidRPr="00A651AB">
        <w:t>Duty of care</w:t>
      </w:r>
      <w:bookmarkEnd w:id="28"/>
    </w:p>
    <w:p w:rsidR="003B22F1" w:rsidRDefault="008D1DCC" w:rsidP="00916B56">
      <w:r>
        <w:t>C</w:t>
      </w:r>
      <w:r w:rsidRPr="005E134B">
        <w:t>hildren under 16 and people lacking legal capacity (such as those who are mentally incapacitated)</w:t>
      </w:r>
      <w:r>
        <w:t xml:space="preserve"> are particularly vulnerable and</w:t>
      </w:r>
      <w:r w:rsidRPr="005E134B">
        <w:t xml:space="preserve"> may not be able to make informed decisions on their own behalf. Therefore, a duty of care applies to their parents, guardians, and</w:t>
      </w:r>
      <w:r>
        <w:t xml:space="preserve"> other</w:t>
      </w:r>
      <w:r w:rsidRPr="005E134B">
        <w:t xml:space="preserve"> caregi</w:t>
      </w:r>
      <w:r>
        <w:t>vers making those decisions</w:t>
      </w:r>
      <w:r w:rsidRPr="005E134B">
        <w:t>.</w:t>
      </w:r>
      <w:r w:rsidRPr="00916B56">
        <w:rPr>
          <w:rStyle w:val="FootnoteReference"/>
        </w:rPr>
        <w:footnoteReference w:id="35"/>
      </w:r>
    </w:p>
    <w:p w:rsidR="008D1DCC" w:rsidRDefault="008D1DCC" w:rsidP="00916B56"/>
    <w:p w:rsidR="008D1DCC" w:rsidRPr="005E134B" w:rsidRDefault="008D1DCC" w:rsidP="00916B56">
      <w:r w:rsidRPr="005E134B">
        <w:t xml:space="preserve">When </w:t>
      </w:r>
      <w:r>
        <w:t xml:space="preserve">a </w:t>
      </w:r>
      <w:r w:rsidRPr="005E134B">
        <w:t xml:space="preserve">vulnerable person has an infectious disease, </w:t>
      </w:r>
      <w:r>
        <w:t xml:space="preserve">the person responsible for them </w:t>
      </w:r>
      <w:r w:rsidRPr="005E134B">
        <w:t>must take reasonable steps and care to:</w:t>
      </w:r>
    </w:p>
    <w:p w:rsidR="003B22F1" w:rsidRDefault="00916B56" w:rsidP="00916B56">
      <w:pPr>
        <w:spacing w:before="120"/>
        <w:ind w:left="567" w:hanging="567"/>
      </w:pPr>
      <w:r>
        <w:t>(a)</w:t>
      </w:r>
      <w:r>
        <w:tab/>
      </w:r>
      <w:r w:rsidR="008D1DCC" w:rsidRPr="005E134B">
        <w:t>ensure the</w:t>
      </w:r>
      <w:r w:rsidR="008D1DCC">
        <w:t xml:space="preserve"> vulnerable</w:t>
      </w:r>
      <w:r w:rsidR="008D1DCC" w:rsidRPr="005E134B">
        <w:t xml:space="preserve"> person is professionally attended by a medical practitioner, and to fac</w:t>
      </w:r>
      <w:r w:rsidR="008D1DCC">
        <w:t>ilitate diagnosis and treatment</w:t>
      </w:r>
      <w:r w:rsidR="008D1DCC" w:rsidRPr="00916B56">
        <w:rPr>
          <w:rStyle w:val="FootnoteReference"/>
        </w:rPr>
        <w:footnoteReference w:id="36"/>
      </w:r>
    </w:p>
    <w:p w:rsidR="008D1DCC" w:rsidRPr="005E134B" w:rsidRDefault="00916B56" w:rsidP="00916B56">
      <w:pPr>
        <w:spacing w:before="120"/>
        <w:ind w:left="567" w:hanging="567"/>
      </w:pPr>
      <w:r>
        <w:t>(b)</w:t>
      </w:r>
      <w:r>
        <w:tab/>
      </w:r>
      <w:r w:rsidR="008D1DCC" w:rsidRPr="005E134B">
        <w:t xml:space="preserve">prevent or minimise the </w:t>
      </w:r>
      <w:r w:rsidR="008D1DCC">
        <w:t xml:space="preserve">vulnerable </w:t>
      </w:r>
      <w:r w:rsidR="008D1DCC" w:rsidRPr="005E134B">
        <w:t>person</w:t>
      </w:r>
      <w:r w:rsidR="003B22F1">
        <w:t>’</w:t>
      </w:r>
      <w:r w:rsidR="008D1DCC" w:rsidRPr="005E134B">
        <w:t>s risk of disease transmission.</w:t>
      </w:r>
      <w:r w:rsidR="008D1DCC" w:rsidRPr="00916B56">
        <w:rPr>
          <w:rStyle w:val="FootnoteReference"/>
        </w:rPr>
        <w:footnoteReference w:id="37"/>
      </w:r>
    </w:p>
    <w:p w:rsidR="00916B56" w:rsidRDefault="00916B56" w:rsidP="00916B56"/>
    <w:p w:rsidR="008D1DCC" w:rsidRPr="005E134B" w:rsidRDefault="008D1DCC" w:rsidP="00916B56">
      <w:r>
        <w:t xml:space="preserve">The person responsible </w:t>
      </w:r>
      <w:r w:rsidRPr="005E134B">
        <w:t xml:space="preserve">will be committing an offence if </w:t>
      </w:r>
      <w:r>
        <w:t>he or she i</w:t>
      </w:r>
      <w:r w:rsidRPr="005E134B">
        <w:t>ntentionally obstruct</w:t>
      </w:r>
      <w:r>
        <w:t>s</w:t>
      </w:r>
      <w:r w:rsidRPr="005E134B">
        <w:t xml:space="preserve"> compliance with directions or court orders.</w:t>
      </w:r>
      <w:r w:rsidRPr="00916B56">
        <w:rPr>
          <w:rStyle w:val="FootnoteReference"/>
        </w:rPr>
        <w:footnoteReference w:id="38"/>
      </w:r>
    </w:p>
    <w:p w:rsidR="008D1DCC" w:rsidRPr="005E134B" w:rsidRDefault="008D1DCC" w:rsidP="00916B56"/>
    <w:p w:rsidR="008D1DCC" w:rsidRPr="005E134B" w:rsidRDefault="008D1DCC" w:rsidP="00916B56">
      <w:r w:rsidRPr="005E134B">
        <w:t>Other statutory duties of care, and professional standards, continue to apply to health practitioners in the normal way.</w:t>
      </w:r>
    </w:p>
    <w:p w:rsidR="008D1DCC" w:rsidRPr="005E134B" w:rsidRDefault="008D1DCC" w:rsidP="00916B56"/>
    <w:p w:rsidR="008D1DCC" w:rsidRPr="00A651AB" w:rsidRDefault="008D1DCC" w:rsidP="00916B56">
      <w:pPr>
        <w:pStyle w:val="Heading1"/>
      </w:pPr>
      <w:bookmarkStart w:id="29" w:name="_Toc473538524"/>
      <w:r>
        <w:t>6</w:t>
      </w:r>
      <w:r w:rsidR="00916B56">
        <w:tab/>
      </w:r>
      <w:r w:rsidRPr="00A651AB">
        <w:t>Contact tracing</w:t>
      </w:r>
      <w:bookmarkEnd w:id="29"/>
    </w:p>
    <w:p w:rsidR="008D1DCC" w:rsidRPr="00584182" w:rsidRDefault="008D1DCC" w:rsidP="00916B56">
      <w:pPr>
        <w:pStyle w:val="Heading2"/>
      </w:pPr>
      <w:bookmarkStart w:id="30" w:name="_Toc473538525"/>
      <w:r w:rsidRPr="00584182">
        <w:t>Introduction</w:t>
      </w:r>
      <w:bookmarkEnd w:id="30"/>
    </w:p>
    <w:p w:rsidR="003B22F1" w:rsidRDefault="008D1DCC" w:rsidP="0019695B">
      <w:r w:rsidRPr="005E134B">
        <w:t>Contact tracing is an internationally recognised public health strategy to help reduce the spread of infectious disease in the community. It is the process of identifying relevant contacts of a</w:t>
      </w:r>
      <w:r>
        <w:t xml:space="preserve">n individual who has or may have an infectious disease </w:t>
      </w:r>
      <w:r w:rsidRPr="005E134B">
        <w:t>and ensuring that those contacts are aware of their risk of exposure. It is used to interrupt disease transmission, by identifying people with infection who may require treatment, isolation or quarantine</w:t>
      </w:r>
      <w:r>
        <w:t>,</w:t>
      </w:r>
      <w:r w:rsidRPr="005E134B">
        <w:t xml:space="preserve"> and</w:t>
      </w:r>
      <w:r>
        <w:t xml:space="preserve"> to</w:t>
      </w:r>
      <w:r w:rsidRPr="005E134B">
        <w:t xml:space="preserve"> </w:t>
      </w:r>
      <w:r>
        <w:t xml:space="preserve">take the necessary steps </w:t>
      </w:r>
      <w:r w:rsidRPr="005E134B">
        <w:t>to prevent further infection.</w:t>
      </w:r>
    </w:p>
    <w:p w:rsidR="008D1DCC" w:rsidRDefault="008D1DCC" w:rsidP="0019695B"/>
    <w:p w:rsidR="003B22F1" w:rsidRDefault="008D1DCC" w:rsidP="0019695B">
      <w:r w:rsidRPr="005E134B">
        <w:t xml:space="preserve">Contact tracing </w:t>
      </w:r>
      <w:r>
        <w:t xml:space="preserve">applies to a </w:t>
      </w:r>
      <w:r w:rsidRPr="005E134B">
        <w:t xml:space="preserve">wide range of infectious diseases and can be done by </w:t>
      </w:r>
      <w:r>
        <w:t xml:space="preserve">the person considered an infection risk (ie, </w:t>
      </w:r>
      <w:r w:rsidR="003B22F1">
        <w:t>‘</w:t>
      </w:r>
      <w:r w:rsidRPr="005E134B">
        <w:t>the case</w:t>
      </w:r>
      <w:r w:rsidR="003B22F1">
        <w:t>’</w:t>
      </w:r>
      <w:r>
        <w:t>)</w:t>
      </w:r>
      <w:r w:rsidRPr="005E134B">
        <w:t xml:space="preserve">, </w:t>
      </w:r>
      <w:r>
        <w:t>DHBs,</w:t>
      </w:r>
      <w:r w:rsidRPr="005E134B">
        <w:t xml:space="preserve"> primary care practitioners such as GP</w:t>
      </w:r>
      <w:r>
        <w:t xml:space="preserve">s, </w:t>
      </w:r>
      <w:r w:rsidRPr="005E134B">
        <w:t>sexual health clinics and non</w:t>
      </w:r>
      <w:r>
        <w:t xml:space="preserve">-government organisations. Up until 4 January 2017, the process has been </w:t>
      </w:r>
      <w:r w:rsidRPr="005E134B">
        <w:t>informal, involving informed consent and taking account of the information privacy principles in the Privacy Act 1993 and the Health Information Privacy Code 1994.</w:t>
      </w:r>
    </w:p>
    <w:p w:rsidR="0019695B" w:rsidRDefault="0019695B" w:rsidP="0019695B"/>
    <w:p w:rsidR="003B22F1" w:rsidRDefault="008D1DCC" w:rsidP="0019695B">
      <w:r w:rsidRPr="005E134B">
        <w:t xml:space="preserve">Since 4 January 2017, Part 3A of the Health Act provides a clear basis for the practice and scope of formal, mandatory contact tracing, </w:t>
      </w:r>
      <w:r>
        <w:t xml:space="preserve">although </w:t>
      </w:r>
      <w:r w:rsidRPr="005E134B">
        <w:t xml:space="preserve">does </w:t>
      </w:r>
      <w:r w:rsidRPr="000A37B0">
        <w:t>not</w:t>
      </w:r>
      <w:r w:rsidRPr="005E134B">
        <w:t xml:space="preserve"> change</w:t>
      </w:r>
      <w:r>
        <w:t xml:space="preserve"> informal</w:t>
      </w:r>
      <w:r w:rsidRPr="005E134B">
        <w:t xml:space="preserve"> contact tracing</w:t>
      </w:r>
      <w:r>
        <w:t xml:space="preserve"> which can continue as before</w:t>
      </w:r>
      <w:r w:rsidRPr="005E134B">
        <w:t>.</w:t>
      </w:r>
    </w:p>
    <w:p w:rsidR="0019695B" w:rsidRDefault="0019695B" w:rsidP="0019695B"/>
    <w:p w:rsidR="008D1DCC" w:rsidRDefault="008D1DCC" w:rsidP="0019695B">
      <w:r>
        <w:t>Formal contact tracing includes a number of mandatory process steps and statutory powers t</w:t>
      </w:r>
      <w:r w:rsidRPr="005E134B">
        <w:t>o require</w:t>
      </w:r>
      <w:r>
        <w:t xml:space="preserve"> specific</w:t>
      </w:r>
      <w:r w:rsidRPr="005E134B">
        <w:t xml:space="preserve"> information from the case</w:t>
      </w:r>
      <w:r>
        <w:t xml:space="preserve"> about their contacts</w:t>
      </w:r>
      <w:r w:rsidRPr="005E134B">
        <w:t xml:space="preserve">. </w:t>
      </w:r>
      <w:r>
        <w:t>Formal contact tracing may be considered necessary when voluntary inquiries are unlikely to work or are inappropriate, or in situations of urgency, taking account of the presenting public health risk.</w:t>
      </w:r>
      <w:r w:rsidRPr="0019695B">
        <w:rPr>
          <w:rStyle w:val="FootnoteReference"/>
        </w:rPr>
        <w:footnoteReference w:id="39"/>
      </w:r>
    </w:p>
    <w:p w:rsidR="0019695B" w:rsidRDefault="0019695B" w:rsidP="0019695B"/>
    <w:p w:rsidR="003B22F1" w:rsidRDefault="008D1DCC" w:rsidP="0019695B">
      <w:r>
        <w:t>The difference between informal and formal contact tracing does not rest on whether the case does their own contact tracing, but instead on whether the DHB, medical officer of health, health protection officer (HPO) or their nominees relies on or invokes their statutory power.</w:t>
      </w:r>
      <w:r w:rsidRPr="0019695B">
        <w:rPr>
          <w:rStyle w:val="FootnoteReference"/>
        </w:rPr>
        <w:footnoteReference w:id="40"/>
      </w:r>
    </w:p>
    <w:p w:rsidR="0019695B" w:rsidRDefault="0019695B" w:rsidP="0019695B"/>
    <w:p w:rsidR="003B22F1" w:rsidRDefault="008D1DCC" w:rsidP="0019695B">
      <w:r>
        <w:t>When a</w:t>
      </w:r>
      <w:r w:rsidRPr="005E134B">
        <w:t xml:space="preserve"> </w:t>
      </w:r>
      <w:r>
        <w:t xml:space="preserve">DHB </w:t>
      </w:r>
      <w:r w:rsidRPr="005E134B">
        <w:t xml:space="preserve">or </w:t>
      </w:r>
      <w:r>
        <w:t>m</w:t>
      </w:r>
      <w:r w:rsidRPr="005E134B">
        <w:t>edical officer of health</w:t>
      </w:r>
      <w:r>
        <w:t xml:space="preserve"> considers contact tracing is necessary and the pre-requisites in the Health Act</w:t>
      </w:r>
      <w:r w:rsidRPr="005E134B">
        <w:t xml:space="preserve"> </w:t>
      </w:r>
      <w:r>
        <w:t xml:space="preserve">are met, they </w:t>
      </w:r>
      <w:r w:rsidRPr="005E134B">
        <w:t xml:space="preserve">can nominate </w:t>
      </w:r>
      <w:r w:rsidR="003B22F1">
        <w:t>“</w:t>
      </w:r>
      <w:r w:rsidRPr="005E134B">
        <w:t>a person suitably qualified in health or community work</w:t>
      </w:r>
      <w:r w:rsidR="003B22F1">
        <w:t>”</w:t>
      </w:r>
      <w:r w:rsidRPr="005E134B">
        <w:t xml:space="preserve"> to undertake contact tracing</w:t>
      </w:r>
      <w:r>
        <w:t>, if they or an HPO are not going to contact trace</w:t>
      </w:r>
      <w:r w:rsidRPr="005E134B">
        <w:t>.</w:t>
      </w:r>
      <w:r>
        <w:t xml:space="preserve"> </w:t>
      </w:r>
      <w:r w:rsidRPr="005E134B">
        <w:t xml:space="preserve">The nominee may include GPs, sexual health clinic staff, </w:t>
      </w:r>
      <w:r>
        <w:t xml:space="preserve">public health unit </w:t>
      </w:r>
      <w:r w:rsidRPr="005E134B">
        <w:t>communicable disease nurses and public health nurses, or community workers experienced in dealing with infectious disease.</w:t>
      </w:r>
      <w:r>
        <w:t xml:space="preserve"> </w:t>
      </w:r>
      <w:r w:rsidRPr="005E134B">
        <w:t>When a person is nominated in this way, they must comply with the contact tracing steps set out in Part 3A</w:t>
      </w:r>
      <w:r>
        <w:t>, even though they may normally informally contact trace outside the scope of the legislation</w:t>
      </w:r>
      <w:r w:rsidRPr="005E134B">
        <w:t>.</w:t>
      </w:r>
    </w:p>
    <w:p w:rsidR="0019695B" w:rsidRDefault="0019695B" w:rsidP="0019695B"/>
    <w:p w:rsidR="003B22F1" w:rsidRDefault="008D1DCC" w:rsidP="0019695B">
      <w:r>
        <w:t>Formal c</w:t>
      </w:r>
      <w:r w:rsidRPr="005E134B">
        <w:t xml:space="preserve">ontact tracers, including those nominated by a </w:t>
      </w:r>
      <w:r>
        <w:t xml:space="preserve">DHB </w:t>
      </w:r>
      <w:r w:rsidRPr="005E134B">
        <w:t xml:space="preserve">or </w:t>
      </w:r>
      <w:r>
        <w:t>m</w:t>
      </w:r>
      <w:r w:rsidRPr="005E134B">
        <w:t>edical officer of health</w:t>
      </w:r>
      <w:r>
        <w:t xml:space="preserve">, </w:t>
      </w:r>
      <w:r w:rsidRPr="005E134B">
        <w:t>have a duty to keep patient and contact information private whenever possible while still being able to effectively manage the risk of further transmission.</w:t>
      </w:r>
    </w:p>
    <w:p w:rsidR="0019695B" w:rsidRDefault="0019695B" w:rsidP="0019695B"/>
    <w:p w:rsidR="008D1DCC" w:rsidRPr="00584182" w:rsidRDefault="008D1DCC" w:rsidP="0019695B">
      <w:pPr>
        <w:pStyle w:val="Heading2"/>
      </w:pPr>
      <w:bookmarkStart w:id="31" w:name="_Toc473538526"/>
      <w:r w:rsidRPr="00584182">
        <w:t xml:space="preserve">Purpose of </w:t>
      </w:r>
      <w:r>
        <w:t xml:space="preserve">formal </w:t>
      </w:r>
      <w:r w:rsidRPr="00584182">
        <w:t>contact tracing</w:t>
      </w:r>
      <w:bookmarkEnd w:id="31"/>
    </w:p>
    <w:p w:rsidR="008D1DCC" w:rsidRPr="00C862AE" w:rsidRDefault="008D1DCC" w:rsidP="0019695B">
      <w:pPr>
        <w:rPr>
          <w:szCs w:val="24"/>
        </w:rPr>
      </w:pPr>
      <w:r>
        <w:t>T</w:t>
      </w:r>
      <w:r w:rsidRPr="005E134B">
        <w:t xml:space="preserve">he </w:t>
      </w:r>
      <w:r>
        <w:t xml:space="preserve">statutorily prescribed </w:t>
      </w:r>
      <w:r w:rsidRPr="005E134B">
        <w:t>purpose of formal contact tracing is to obtain information about the contacts of people with, or who may have, scheduled infectious diseases.</w:t>
      </w:r>
      <w:r w:rsidRPr="0019695B">
        <w:rPr>
          <w:rStyle w:val="FootnoteReference"/>
        </w:rPr>
        <w:footnoteReference w:id="41"/>
      </w:r>
      <w:r>
        <w:t xml:space="preserve"> </w:t>
      </w:r>
      <w:r w:rsidRPr="00C862AE">
        <w:rPr>
          <w:szCs w:val="24"/>
        </w:rPr>
        <w:t>This is in order to:</w:t>
      </w:r>
    </w:p>
    <w:p w:rsidR="008D1DCC" w:rsidRPr="00C862AE" w:rsidRDefault="008D1DCC" w:rsidP="0019695B">
      <w:pPr>
        <w:pStyle w:val="Bullet"/>
      </w:pPr>
      <w:r>
        <w:t>identify the disease</w:t>
      </w:r>
      <w:r w:rsidR="003B22F1">
        <w:t>’</w:t>
      </w:r>
      <w:r>
        <w:t>s source</w:t>
      </w:r>
    </w:p>
    <w:p w:rsidR="008D1DCC" w:rsidRPr="00C862AE" w:rsidRDefault="008D1DCC" w:rsidP="0019695B">
      <w:pPr>
        <w:pStyle w:val="Bullet"/>
      </w:pPr>
      <w:r w:rsidRPr="00C862AE">
        <w:t>make contacts aware they may be infected, inform them of symptoms, ascertain if they h</w:t>
      </w:r>
      <w:r>
        <w:t xml:space="preserve">ave symptoms </w:t>
      </w:r>
    </w:p>
    <w:p w:rsidR="008D1DCC" w:rsidRPr="00C862AE" w:rsidRDefault="008D1DCC" w:rsidP="0019695B">
      <w:pPr>
        <w:pStyle w:val="Bullet"/>
      </w:pPr>
      <w:r w:rsidRPr="00C862AE">
        <w:t>encourage contacts to seek diagnosis and treatment if necessary</w:t>
      </w:r>
    </w:p>
    <w:p w:rsidR="008D1DCC" w:rsidRDefault="008D1DCC" w:rsidP="0019695B">
      <w:pPr>
        <w:pStyle w:val="Bullet"/>
      </w:pPr>
      <w:r w:rsidRPr="00C862AE">
        <w:t>limit transmission of the disease.</w:t>
      </w:r>
      <w:r w:rsidRPr="0019695B">
        <w:rPr>
          <w:rStyle w:val="FootnoteReference"/>
        </w:rPr>
        <w:footnoteReference w:id="42"/>
      </w:r>
    </w:p>
    <w:p w:rsidR="0019695B" w:rsidRDefault="0019695B" w:rsidP="0019695B"/>
    <w:p w:rsidR="008D1DCC" w:rsidRDefault="008D1DCC" w:rsidP="0019695B">
      <w:r>
        <w:t>The statutory purpose is an important reference point in applying the legislation, as several provisions refer back to it (eg, section 92ZZB</w:t>
      </w:r>
      <w:r w:rsidR="00DC14BB">
        <w:t>(1)</w:t>
      </w:r>
      <w:r>
        <w:t xml:space="preserve"> which deals with the appropriateness of formal contact tracing).</w:t>
      </w:r>
    </w:p>
    <w:p w:rsidR="0019695B" w:rsidRPr="006C5674" w:rsidRDefault="0019695B" w:rsidP="0019695B"/>
    <w:p w:rsidR="008D1DCC" w:rsidRPr="00584182" w:rsidRDefault="008D1DCC" w:rsidP="0019695B">
      <w:pPr>
        <w:pStyle w:val="Heading2"/>
      </w:pPr>
      <w:bookmarkStart w:id="32" w:name="_Toc473538527"/>
      <w:r w:rsidRPr="00584182">
        <w:t>When to contact trace</w:t>
      </w:r>
      <w:bookmarkEnd w:id="32"/>
    </w:p>
    <w:p w:rsidR="008D1DCC" w:rsidRPr="005E134B" w:rsidRDefault="008D1DCC" w:rsidP="0019695B">
      <w:pPr>
        <w:pStyle w:val="Heading3"/>
      </w:pPr>
      <w:r w:rsidRPr="005E134B">
        <w:t>Clinical considerations</w:t>
      </w:r>
    </w:p>
    <w:p w:rsidR="003B22F1" w:rsidRDefault="008D1DCC" w:rsidP="0019695B">
      <w:r w:rsidRPr="005E134B">
        <w:t xml:space="preserve">Although </w:t>
      </w:r>
      <w:r>
        <w:t xml:space="preserve">the legislation authorises </w:t>
      </w:r>
      <w:r w:rsidRPr="005E134B">
        <w:t xml:space="preserve">formal contact tracing for all </w:t>
      </w:r>
      <w:r>
        <w:t>infectious diseases in Schedule</w:t>
      </w:r>
      <w:r w:rsidR="0019695B">
        <w:t> </w:t>
      </w:r>
      <w:r w:rsidRPr="00891BAE">
        <w:t>1</w:t>
      </w:r>
      <w:r w:rsidRPr="0019695B">
        <w:rPr>
          <w:rStyle w:val="FootnoteReference"/>
        </w:rPr>
        <w:footnoteReference w:id="43"/>
      </w:r>
      <w:r w:rsidRPr="005E134B">
        <w:t xml:space="preserve"> (which includes notifiable and non-notifiable infectious diseases),</w:t>
      </w:r>
      <w:r>
        <w:t xml:space="preserve"> formal contact tracing will not be appropriate for all diseases</w:t>
      </w:r>
      <w:r w:rsidRPr="005E134B">
        <w:t xml:space="preserve">. In practice, </w:t>
      </w:r>
      <w:r>
        <w:t>medical officers of health, HPOs and DHBs will need to prioritise</w:t>
      </w:r>
      <w:r w:rsidRPr="005E134B">
        <w:t>, bearing in mind resource constraints.</w:t>
      </w:r>
      <w:r>
        <w:t xml:space="preserve"> </w:t>
      </w:r>
      <w:r w:rsidRPr="005E134B">
        <w:t>The potential seriousness of the disease, the potential benefits of contact tracing and the likelihood of transmission or the disease</w:t>
      </w:r>
      <w:r w:rsidR="003B22F1">
        <w:t>’</w:t>
      </w:r>
      <w:r w:rsidRPr="005E134B">
        <w:t>s transmissibility are all relevant considerations.</w:t>
      </w:r>
    </w:p>
    <w:p w:rsidR="0019695B" w:rsidRDefault="0019695B" w:rsidP="0019695B"/>
    <w:p w:rsidR="008D1DCC" w:rsidRPr="00891BAE" w:rsidRDefault="008D1DCC" w:rsidP="0019695B">
      <w:r w:rsidRPr="005E134B">
        <w:t xml:space="preserve">If </w:t>
      </w:r>
      <w:r>
        <w:t xml:space="preserve">a </w:t>
      </w:r>
      <w:r w:rsidRPr="00891BAE">
        <w:t>contact tracer cannot locate a contact immediately, it is worth persisting with tracing for:</w:t>
      </w:r>
    </w:p>
    <w:p w:rsidR="003B22F1" w:rsidRDefault="008D1DCC" w:rsidP="0019695B">
      <w:pPr>
        <w:pStyle w:val="Bullet"/>
      </w:pPr>
      <w:r w:rsidRPr="00891BAE">
        <w:t>diseases when the consequences of infection are comparatively severe – such as meningococca</w:t>
      </w:r>
      <w:r>
        <w:t>l disease, tuberculosis and HIV</w:t>
      </w:r>
    </w:p>
    <w:p w:rsidR="008D1DCC" w:rsidRPr="005E134B" w:rsidRDefault="008D1DCC" w:rsidP="0019695B">
      <w:pPr>
        <w:pStyle w:val="Bullet"/>
      </w:pPr>
      <w:r w:rsidRPr="005E134B">
        <w:t>contacts with a higher risk of complications, such as young children, pregnant women, and those with decreased immunity or comorbidities.</w:t>
      </w:r>
      <w:r w:rsidRPr="0019695B">
        <w:rPr>
          <w:rStyle w:val="FootnoteReference"/>
        </w:rPr>
        <w:footnoteReference w:id="44"/>
      </w:r>
    </w:p>
    <w:p w:rsidR="0019695B" w:rsidRDefault="0019695B" w:rsidP="0019695B"/>
    <w:p w:rsidR="008D1DCC" w:rsidRPr="0019695B" w:rsidRDefault="008D1DCC" w:rsidP="0019695B">
      <w:r w:rsidRPr="005E134B">
        <w:t xml:space="preserve">There may be circumstances </w:t>
      </w:r>
      <w:r>
        <w:t xml:space="preserve">in which </w:t>
      </w:r>
      <w:r w:rsidRPr="005E134B">
        <w:t xml:space="preserve">formal contact tracing is </w:t>
      </w:r>
      <w:r>
        <w:t xml:space="preserve">appropriate </w:t>
      </w:r>
      <w:r w:rsidRPr="005E134B">
        <w:t xml:space="preserve">for </w:t>
      </w:r>
      <w:r w:rsidR="003B22F1">
        <w:t>‘</w:t>
      </w:r>
      <w:r w:rsidRPr="005E134B">
        <w:t>other infectious diseases</w:t>
      </w:r>
      <w:r w:rsidR="003B22F1">
        <w:t>’</w:t>
      </w:r>
      <w:r w:rsidRPr="005E134B">
        <w:t xml:space="preserve"> that are not notifiable</w:t>
      </w:r>
      <w:r>
        <w:t xml:space="preserve"> (</w:t>
      </w:r>
      <w:r w:rsidRPr="005E134B">
        <w:t>eg, a serious chlamydia outbreak</w:t>
      </w:r>
      <w:r>
        <w:t>)</w:t>
      </w:r>
      <w:r w:rsidRPr="005E134B">
        <w:t xml:space="preserve">. </w:t>
      </w:r>
      <w:r>
        <w:t>In this regard, f</w:t>
      </w:r>
      <w:r w:rsidRPr="005E134B">
        <w:t>urther information is available in this chapter, and in the CD Manual</w:t>
      </w:r>
      <w:r w:rsidR="003B22F1">
        <w:t xml:space="preserve"> – </w:t>
      </w:r>
      <w:r w:rsidRPr="005E134B">
        <w:t xml:space="preserve">including on </w:t>
      </w:r>
      <w:r w:rsidR="003B22F1">
        <w:t>‘</w:t>
      </w:r>
      <w:r w:rsidRPr="005E134B">
        <w:t>windows</w:t>
      </w:r>
      <w:r w:rsidR="003B22F1">
        <w:t>’</w:t>
      </w:r>
      <w:r w:rsidRPr="005E134B">
        <w:t xml:space="preserve"> of opportunity for tracing particular diseases</w:t>
      </w:r>
      <w:r w:rsidRPr="0019695B">
        <w:t>.</w:t>
      </w:r>
      <w:r w:rsidRPr="0019695B">
        <w:rPr>
          <w:rStyle w:val="FootnoteReference"/>
        </w:rPr>
        <w:footnoteReference w:id="45"/>
      </w:r>
    </w:p>
    <w:p w:rsidR="0019695B" w:rsidRDefault="0019695B" w:rsidP="0019695B"/>
    <w:p w:rsidR="003B22F1" w:rsidRDefault="008D1DCC" w:rsidP="0019695B">
      <w:r w:rsidRPr="005E134B">
        <w:t>There may be more than one contact to trace. Prioritising the list of contacts, taking account of the likelihood that the contact is infected and the potential chance of them acquiring the infection, is advisable and inherent in usual contact tracing practice.</w:t>
      </w:r>
    </w:p>
    <w:p w:rsidR="008D1DCC" w:rsidRDefault="008D1DCC" w:rsidP="0019695B"/>
    <w:p w:rsidR="008D1DCC" w:rsidRDefault="008D1DCC" w:rsidP="0019695B">
      <w:pPr>
        <w:pStyle w:val="Heading3"/>
      </w:pPr>
      <w:r w:rsidRPr="0048578A">
        <w:t>Legislative considerations</w:t>
      </w:r>
    </w:p>
    <w:p w:rsidR="008D1DCC" w:rsidRPr="005E134B" w:rsidRDefault="008D1DCC" w:rsidP="0019695B">
      <w:pPr>
        <w:keepNext/>
        <w:rPr>
          <w:szCs w:val="24"/>
        </w:rPr>
      </w:pPr>
      <w:r w:rsidRPr="005E134B">
        <w:t xml:space="preserve">Before </w:t>
      </w:r>
      <w:r w:rsidRPr="005E134B">
        <w:rPr>
          <w:i/>
        </w:rPr>
        <w:t>requiring</w:t>
      </w:r>
      <w:r w:rsidRPr="005E134B">
        <w:t xml:space="preserve"> information about contacts from an individual as part of formal contact tracing the contact tracer must consider whether the information is </w:t>
      </w:r>
      <w:r w:rsidRPr="005E134B">
        <w:rPr>
          <w:szCs w:val="24"/>
        </w:rPr>
        <w:t>necessary, taking into account:</w:t>
      </w:r>
    </w:p>
    <w:p w:rsidR="008D1DCC" w:rsidRPr="005E134B" w:rsidRDefault="0019695B" w:rsidP="0019695B">
      <w:pPr>
        <w:spacing w:before="90"/>
        <w:ind w:left="567" w:hanging="567"/>
      </w:pPr>
      <w:r>
        <w:t>(a)</w:t>
      </w:r>
      <w:r>
        <w:tab/>
      </w:r>
      <w:r w:rsidR="008D1DCC" w:rsidRPr="005E134B">
        <w:t>the seriousness of the public</w:t>
      </w:r>
      <w:r w:rsidR="008D1DCC">
        <w:t xml:space="preserve"> health risk posed by the case</w:t>
      </w:r>
    </w:p>
    <w:p w:rsidR="008D1DCC" w:rsidRPr="005E134B" w:rsidRDefault="0019695B" w:rsidP="0019695B">
      <w:pPr>
        <w:spacing w:before="90"/>
        <w:ind w:left="567" w:hanging="567"/>
      </w:pPr>
      <w:r>
        <w:t>(b)</w:t>
      </w:r>
      <w:r>
        <w:tab/>
      </w:r>
      <w:r w:rsidR="008D1DCC" w:rsidRPr="005E134B">
        <w:t>the ability and willingness of the case to do their own contact tracing.</w:t>
      </w:r>
    </w:p>
    <w:p w:rsidR="0019695B" w:rsidRDefault="0019695B" w:rsidP="0019695B"/>
    <w:p w:rsidR="008D1DCC" w:rsidRPr="005E134B" w:rsidRDefault="008D1DCC" w:rsidP="0019695B">
      <w:r>
        <w:t xml:space="preserve">The contact tracer must also give reasons </w:t>
      </w:r>
      <w:r w:rsidRPr="005E134B">
        <w:t>for why information is required.</w:t>
      </w:r>
      <w:r w:rsidRPr="0019695B">
        <w:rPr>
          <w:rStyle w:val="FootnoteReference"/>
        </w:rPr>
        <w:footnoteReference w:id="46"/>
      </w:r>
    </w:p>
    <w:p w:rsidR="0019695B" w:rsidRDefault="0019695B" w:rsidP="0019695B"/>
    <w:p w:rsidR="008D1DCC" w:rsidRPr="005E134B" w:rsidRDefault="008D1DCC" w:rsidP="0019695B">
      <w:r>
        <w:t>F</w:t>
      </w:r>
      <w:r w:rsidRPr="005E134B">
        <w:t xml:space="preserve">ormal contact tracing powers to require information from individuals about their contacts are relatively intrusive ones, and </w:t>
      </w:r>
      <w:r>
        <w:t xml:space="preserve">contact tracers </w:t>
      </w:r>
      <w:r w:rsidRPr="005E134B">
        <w:t>should use</w:t>
      </w:r>
      <w:r>
        <w:t xml:space="preserve"> these</w:t>
      </w:r>
      <w:r w:rsidRPr="005E134B">
        <w:t xml:space="preserve"> with care.</w:t>
      </w:r>
    </w:p>
    <w:p w:rsidR="0019695B" w:rsidRDefault="0019695B" w:rsidP="0019695B"/>
    <w:p w:rsidR="008D1DCC" w:rsidRDefault="008D1DCC" w:rsidP="0019695B">
      <w:r w:rsidRPr="005E134B">
        <w:t xml:space="preserve">The </w:t>
      </w:r>
      <w:r w:rsidRPr="00A871F4">
        <w:t>overarching principles</w:t>
      </w:r>
      <w:r w:rsidRPr="005E134B">
        <w:t xml:space="preserve"> apply to formal contact tracing.</w:t>
      </w:r>
      <w:r>
        <w:t xml:space="preserve"> </w:t>
      </w:r>
      <w:r w:rsidRPr="005E134B">
        <w:t>Therefore, the case</w:t>
      </w:r>
      <w:r w:rsidR="003B22F1">
        <w:t>’</w:t>
      </w:r>
      <w:r w:rsidRPr="005E134B">
        <w:t>s known special circumstances or vulnerabilities need to be taken into account.</w:t>
      </w:r>
      <w:r>
        <w:t xml:space="preserve"> The contact tracer could sensibly focus on the </w:t>
      </w:r>
      <w:r w:rsidR="003B22F1">
        <w:t>‘</w:t>
      </w:r>
      <w:r>
        <w:t>most need to know</w:t>
      </w:r>
      <w:r w:rsidR="003B22F1">
        <w:t>’</w:t>
      </w:r>
      <w:r>
        <w:t xml:space="preserve"> information if the case </w:t>
      </w:r>
      <w:r w:rsidRPr="005E134B">
        <w:t>is very highly strung</w:t>
      </w:r>
      <w:r>
        <w:t xml:space="preserve"> or</w:t>
      </w:r>
      <w:r w:rsidRPr="005E134B">
        <w:t xml:space="preserve"> exhaustive questioning about multiple contacts is likely to increase the chances of non-compliance with public health measures</w:t>
      </w:r>
      <w:r>
        <w:t>.</w:t>
      </w:r>
    </w:p>
    <w:p w:rsidR="008D1DCC" w:rsidRDefault="008D1DCC" w:rsidP="0019695B"/>
    <w:p w:rsidR="008D1DCC" w:rsidRPr="00A008A9" w:rsidRDefault="008D1DCC" w:rsidP="0019695B">
      <w:r w:rsidRPr="00A008A9">
        <w:t>When a medical officer of health is considering contact tracing, he or she may take account of any recommendation by the individual</w:t>
      </w:r>
      <w:r w:rsidR="003B22F1">
        <w:t>’</w:t>
      </w:r>
      <w:r w:rsidRPr="00A008A9">
        <w:t>s medical practitioner.</w:t>
      </w:r>
      <w:r w:rsidRPr="0019695B">
        <w:rPr>
          <w:rStyle w:val="FootnoteReference"/>
        </w:rPr>
        <w:footnoteReference w:id="47"/>
      </w:r>
    </w:p>
    <w:p w:rsidR="008D1DCC" w:rsidRDefault="008D1DCC" w:rsidP="0019695B"/>
    <w:p w:rsidR="008D1DCC" w:rsidRPr="00584182" w:rsidRDefault="008D1DCC" w:rsidP="0019695B">
      <w:pPr>
        <w:pStyle w:val="Heading2"/>
      </w:pPr>
      <w:bookmarkStart w:id="33" w:name="_Toc473538528"/>
      <w:r w:rsidRPr="00584182">
        <w:t>Who can be a formal contact tracer?</w:t>
      </w:r>
      <w:bookmarkEnd w:id="33"/>
    </w:p>
    <w:p w:rsidR="008D1DCC" w:rsidRPr="005E134B" w:rsidRDefault="008D1DCC" w:rsidP="0019695B">
      <w:r w:rsidRPr="005E134B">
        <w:t>The following people can be formal contact tracers:</w:t>
      </w:r>
    </w:p>
    <w:p w:rsidR="008D1DCC" w:rsidRPr="005E134B" w:rsidRDefault="008D1DCC" w:rsidP="0019695B">
      <w:pPr>
        <w:pStyle w:val="Bullet"/>
      </w:pPr>
      <w:r w:rsidRPr="005E134B">
        <w:t xml:space="preserve">a </w:t>
      </w:r>
      <w:r>
        <w:t>m</w:t>
      </w:r>
      <w:r w:rsidRPr="005E134B">
        <w:t>edical officer of health</w:t>
      </w:r>
    </w:p>
    <w:p w:rsidR="008D1DCC" w:rsidRPr="005E134B" w:rsidRDefault="008D1DCC" w:rsidP="0019695B">
      <w:pPr>
        <w:pStyle w:val="Bullet"/>
      </w:pPr>
      <w:r>
        <w:t>an HPO</w:t>
      </w:r>
    </w:p>
    <w:p w:rsidR="008D1DCC" w:rsidRPr="005E134B" w:rsidRDefault="008D1DCC" w:rsidP="0019695B">
      <w:pPr>
        <w:pStyle w:val="Bullet"/>
      </w:pPr>
      <w:r w:rsidRPr="005E134B">
        <w:t xml:space="preserve">a person suitably qualified in health or community work who is nominated to undertake contact tracing by a </w:t>
      </w:r>
      <w:r>
        <w:t xml:space="preserve">DHB </w:t>
      </w:r>
      <w:r w:rsidRPr="005E134B">
        <w:t xml:space="preserve">or a </w:t>
      </w:r>
      <w:r>
        <w:t>m</w:t>
      </w:r>
      <w:r w:rsidRPr="005E134B">
        <w:t>edical officer of health.</w:t>
      </w:r>
      <w:r w:rsidRPr="0019695B">
        <w:rPr>
          <w:rStyle w:val="FootnoteReference"/>
        </w:rPr>
        <w:footnoteReference w:id="48"/>
      </w:r>
    </w:p>
    <w:p w:rsidR="008D1DCC" w:rsidRPr="005E134B" w:rsidRDefault="008D1DCC" w:rsidP="0019695B"/>
    <w:p w:rsidR="008D1DCC" w:rsidRPr="005E134B" w:rsidRDefault="008D1DCC" w:rsidP="0019695B">
      <w:r>
        <w:t>In this guidance, t</w:t>
      </w:r>
      <w:r w:rsidRPr="005E134B">
        <w:t xml:space="preserve">he term </w:t>
      </w:r>
      <w:r w:rsidR="003B22F1">
        <w:t>‘</w:t>
      </w:r>
      <w:r w:rsidRPr="005E134B">
        <w:t>contact tracer</w:t>
      </w:r>
      <w:r w:rsidR="003B22F1">
        <w:t>’</w:t>
      </w:r>
      <w:r>
        <w:t xml:space="preserve"> </w:t>
      </w:r>
      <w:r w:rsidRPr="005E134B">
        <w:t>usually refers to any of these people doing formal contact tracing rather than</w:t>
      </w:r>
      <w:r>
        <w:t xml:space="preserve"> to</w:t>
      </w:r>
      <w:r w:rsidRPr="005E134B">
        <w:t xml:space="preserve"> </w:t>
      </w:r>
      <w:r>
        <w:t>the</w:t>
      </w:r>
      <w:r w:rsidRPr="005E134B">
        <w:t xml:space="preserve"> case doing </w:t>
      </w:r>
      <w:r>
        <w:t xml:space="preserve">his or her </w:t>
      </w:r>
      <w:r w:rsidRPr="005E134B">
        <w:t xml:space="preserve">own contact tracing or </w:t>
      </w:r>
      <w:r>
        <w:t xml:space="preserve">to informal </w:t>
      </w:r>
      <w:r w:rsidRPr="005E134B">
        <w:t>contact tracing not reliant on the Health Act.</w:t>
      </w:r>
    </w:p>
    <w:p w:rsidR="0019695B" w:rsidRDefault="0019695B" w:rsidP="0019695B"/>
    <w:p w:rsidR="008D1DCC" w:rsidRPr="005E134B" w:rsidRDefault="008D1DCC" w:rsidP="0019695B">
      <w:r w:rsidRPr="005E134B">
        <w:t xml:space="preserve">The term </w:t>
      </w:r>
      <w:r w:rsidR="003B22F1">
        <w:t>‘</w:t>
      </w:r>
      <w:r w:rsidRPr="005E134B">
        <w:t>suitably qualified in health or community work</w:t>
      </w:r>
      <w:r w:rsidR="003B22F1">
        <w:t>’</w:t>
      </w:r>
      <w:r w:rsidRPr="005E134B">
        <w:t xml:space="preserve"> suggests that </w:t>
      </w:r>
      <w:r>
        <w:t xml:space="preserve">the contact tracer should make </w:t>
      </w:r>
      <w:r w:rsidRPr="005E134B">
        <w:t xml:space="preserve">some effort </w:t>
      </w:r>
      <w:r>
        <w:t>t</w:t>
      </w:r>
      <w:r w:rsidRPr="005E134B">
        <w:t xml:space="preserve">o match the skill set and experience of the nominee with the disease risk the </w:t>
      </w:r>
      <w:r>
        <w:t xml:space="preserve">case </w:t>
      </w:r>
      <w:r w:rsidRPr="005E134B">
        <w:t xml:space="preserve">poses. </w:t>
      </w:r>
      <w:r>
        <w:t>In other words, i</w:t>
      </w:r>
      <w:r w:rsidRPr="005E134B">
        <w:t xml:space="preserve">t may be </w:t>
      </w:r>
      <w:r>
        <w:t>in</w:t>
      </w:r>
      <w:r w:rsidRPr="005E134B">
        <w:t xml:space="preserve">appropriate to nominate a </w:t>
      </w:r>
      <w:r>
        <w:t xml:space="preserve">sexual health clinic employee </w:t>
      </w:r>
      <w:r w:rsidRPr="005E134B">
        <w:t>to contact trace</w:t>
      </w:r>
      <w:r>
        <w:t xml:space="preserve"> the contacts of an individual who has</w:t>
      </w:r>
      <w:r w:rsidRPr="005E134B">
        <w:t xml:space="preserve"> meningitis).</w:t>
      </w:r>
    </w:p>
    <w:p w:rsidR="0019695B" w:rsidRDefault="0019695B" w:rsidP="0019695B"/>
    <w:p w:rsidR="008D1DCC" w:rsidRPr="005E134B" w:rsidRDefault="008D1DCC" w:rsidP="0019695B">
      <w:r w:rsidRPr="005E134B">
        <w:t xml:space="preserve">Given resourcing and accountability implications, </w:t>
      </w:r>
      <w:r>
        <w:t>most nominees could</w:t>
      </w:r>
      <w:r w:rsidRPr="005E134B">
        <w:t xml:space="preserve"> be </w:t>
      </w:r>
      <w:r>
        <w:t xml:space="preserve">DHB </w:t>
      </w:r>
      <w:r w:rsidRPr="005E134B">
        <w:t>employees.</w:t>
      </w:r>
      <w:r>
        <w:t xml:space="preserve"> However, other situations are possible: f</w:t>
      </w:r>
      <w:r w:rsidRPr="005E134B">
        <w:t xml:space="preserve">or example, in </w:t>
      </w:r>
      <w:r>
        <w:t xml:space="preserve">a </w:t>
      </w:r>
      <w:r w:rsidRPr="005E134B">
        <w:t>sexual health clinic where staff members are not employed by the</w:t>
      </w:r>
      <w:r>
        <w:t xml:space="preserve"> DHB,</w:t>
      </w:r>
      <w:r w:rsidRPr="005E134B">
        <w:t xml:space="preserve"> or in a rural environment, </w:t>
      </w:r>
      <w:r>
        <w:t xml:space="preserve">a DHB manager of medical officer of health may nominate </w:t>
      </w:r>
      <w:r w:rsidRPr="005E134B">
        <w:t>a GP, nurse or social worke</w:t>
      </w:r>
      <w:r>
        <w:t xml:space="preserve">r to carry out contact tracing. </w:t>
      </w:r>
      <w:r w:rsidRPr="005E134B">
        <w:t>This would have to be done in consultation and agreement with the nominee, given the resource implications.</w:t>
      </w:r>
    </w:p>
    <w:p w:rsidR="0019695B" w:rsidRDefault="0019695B" w:rsidP="0019695B"/>
    <w:p w:rsidR="003B22F1" w:rsidRDefault="008D1DCC" w:rsidP="0019695B">
      <w:pPr>
        <w:keepNext/>
      </w:pPr>
      <w:r>
        <w:t xml:space="preserve">Nominators must ensure that nominees are trained to </w:t>
      </w:r>
      <w:r w:rsidRPr="005E134B">
        <w:t>comply with the</w:t>
      </w:r>
      <w:r>
        <w:t xml:space="preserve"> processes and obligations set out in the</w:t>
      </w:r>
      <w:r w:rsidRPr="005E134B">
        <w:t xml:space="preserve"> A</w:t>
      </w:r>
      <w:r>
        <w:t>ct</w:t>
      </w:r>
      <w:r w:rsidRPr="005E134B">
        <w:t>.</w:t>
      </w:r>
    </w:p>
    <w:p w:rsidR="008D1DCC" w:rsidRPr="005E134B" w:rsidRDefault="008D1DCC" w:rsidP="0019695B"/>
    <w:p w:rsidR="003B22F1" w:rsidRDefault="008D1DCC" w:rsidP="0019695B">
      <w:r w:rsidRPr="005E134B">
        <w:t xml:space="preserve">The process of nominating </w:t>
      </w:r>
      <w:r>
        <w:t>need not be time consuming</w:t>
      </w:r>
      <w:r w:rsidRPr="005E134B">
        <w:t xml:space="preserve"> for </w:t>
      </w:r>
      <w:r>
        <w:t>m</w:t>
      </w:r>
      <w:r w:rsidRPr="005E134B">
        <w:t xml:space="preserve">edical </w:t>
      </w:r>
      <w:r>
        <w:t xml:space="preserve">officers of health and DHBs. </w:t>
      </w:r>
      <w:r w:rsidRPr="005E134B">
        <w:t xml:space="preserve">The authority to nominate is broad enough to enable nominating </w:t>
      </w:r>
      <w:r>
        <w:t xml:space="preserve">either </w:t>
      </w:r>
      <w:r w:rsidRPr="005E134B">
        <w:t>a body c</w:t>
      </w:r>
      <w:r>
        <w:t>orporate or agency or an individual</w:t>
      </w:r>
      <w:r w:rsidRPr="005E134B">
        <w:t>.</w:t>
      </w:r>
    </w:p>
    <w:p w:rsidR="0019695B" w:rsidRDefault="0019695B" w:rsidP="0019695B"/>
    <w:p w:rsidR="008D1DCC" w:rsidRDefault="008D1DCC" w:rsidP="0019695B">
      <w:r w:rsidRPr="005E134B">
        <w:t xml:space="preserve">The legislation is silent on </w:t>
      </w:r>
      <w:r>
        <w:t xml:space="preserve">specific </w:t>
      </w:r>
      <w:r w:rsidRPr="005E134B">
        <w:t xml:space="preserve">nomination processes, leaving it up to the </w:t>
      </w:r>
      <w:r>
        <w:t>m</w:t>
      </w:r>
      <w:r w:rsidRPr="005E134B">
        <w:t xml:space="preserve">edical officer of health or </w:t>
      </w:r>
      <w:r>
        <w:t xml:space="preserve">DHB </w:t>
      </w:r>
      <w:r w:rsidRPr="005E134B">
        <w:t>nominating a contact tracer</w:t>
      </w:r>
      <w:r>
        <w:t>. There is an underlying</w:t>
      </w:r>
      <w:r w:rsidRPr="005E134B">
        <w:t xml:space="preserve"> expectation that the nominator will retain overall management of the contact tracing, ide</w:t>
      </w:r>
      <w:r>
        <w:t xml:space="preserve">ntifying any follow up action. </w:t>
      </w:r>
      <w:r w:rsidRPr="005E134B">
        <w:t xml:space="preserve">This includes </w:t>
      </w:r>
      <w:r>
        <w:t>m</w:t>
      </w:r>
      <w:r w:rsidRPr="005E134B">
        <w:t>edical officer of health directions to cases and contacts, applications for court orders, and urgent public health orders.</w:t>
      </w:r>
      <w:r w:rsidR="003B22F1">
        <w:t xml:space="preserve"> </w:t>
      </w:r>
      <w:r>
        <w:t xml:space="preserve">Such </w:t>
      </w:r>
      <w:r w:rsidRPr="005E134B">
        <w:t>oversight</w:t>
      </w:r>
      <w:r>
        <w:t xml:space="preserve"> aims to</w:t>
      </w:r>
      <w:r w:rsidRPr="005E134B">
        <w:t xml:space="preserve"> avoid lack of coordination, </w:t>
      </w:r>
      <w:r>
        <w:t>incomplete processes</w:t>
      </w:r>
      <w:r w:rsidRPr="005E134B">
        <w:t xml:space="preserve"> and duplication.</w:t>
      </w:r>
    </w:p>
    <w:p w:rsidR="0019695B" w:rsidRPr="005E134B" w:rsidRDefault="0019695B" w:rsidP="0019695B"/>
    <w:p w:rsidR="008D1DCC" w:rsidRPr="00584182" w:rsidRDefault="008D1DCC" w:rsidP="0019695B">
      <w:pPr>
        <w:pStyle w:val="Heading2"/>
      </w:pPr>
      <w:bookmarkStart w:id="34" w:name="_Toc473538529"/>
      <w:r w:rsidRPr="00584182">
        <w:t>Individual</w:t>
      </w:r>
      <w:r>
        <w:t>s</w:t>
      </w:r>
      <w:r w:rsidRPr="00584182">
        <w:t xml:space="preserve"> undertaking their own contact tracing</w:t>
      </w:r>
      <w:bookmarkEnd w:id="34"/>
    </w:p>
    <w:p w:rsidR="008D1DCC" w:rsidRPr="005E134B" w:rsidRDefault="008D1DCC" w:rsidP="0019695B">
      <w:r>
        <w:t xml:space="preserve">A formal contact tracer must allow a case the </w:t>
      </w:r>
      <w:r w:rsidRPr="005E134B">
        <w:t xml:space="preserve">opportunity to undertake contact </w:t>
      </w:r>
      <w:r>
        <w:t xml:space="preserve">tracing for themselves </w:t>
      </w:r>
      <w:r w:rsidRPr="005E134B">
        <w:t xml:space="preserve">if </w:t>
      </w:r>
      <w:r>
        <w:t>the contact tracer considers that this i</w:t>
      </w:r>
      <w:r w:rsidRPr="005E134B">
        <w:t>s appropriate and</w:t>
      </w:r>
      <w:r>
        <w:t xml:space="preserve"> that</w:t>
      </w:r>
      <w:r w:rsidRPr="005E134B">
        <w:t xml:space="preserve"> </w:t>
      </w:r>
      <w:r>
        <w:t xml:space="preserve">the case is willing and able. This </w:t>
      </w:r>
      <w:r w:rsidRPr="005E134B">
        <w:t xml:space="preserve">might be appropriate </w:t>
      </w:r>
      <w:r>
        <w:t xml:space="preserve">for </w:t>
      </w:r>
      <w:r w:rsidRPr="005E134B">
        <w:t>partner tracing</w:t>
      </w:r>
      <w:r>
        <w:t xml:space="preserve"> for </w:t>
      </w:r>
      <w:r w:rsidRPr="005E134B">
        <w:t xml:space="preserve">STIs, within a family environment in relation to other infectious diseases, or </w:t>
      </w:r>
      <w:r>
        <w:t>with</w:t>
      </w:r>
      <w:r w:rsidRPr="005E134B">
        <w:t xml:space="preserve">in a religious or ethnic community </w:t>
      </w:r>
      <w:r>
        <w:t xml:space="preserve">that </w:t>
      </w:r>
      <w:r w:rsidRPr="005E134B">
        <w:t>feel</w:t>
      </w:r>
      <w:r>
        <w:t>s</w:t>
      </w:r>
      <w:r w:rsidRPr="005E134B">
        <w:t xml:space="preserve"> challenged </w:t>
      </w:r>
      <w:r>
        <w:t xml:space="preserve">or intimidated </w:t>
      </w:r>
      <w:r w:rsidRPr="005E134B">
        <w:t>by officials not of their culture or language.</w:t>
      </w:r>
    </w:p>
    <w:p w:rsidR="008D1DCC" w:rsidRPr="005E134B" w:rsidRDefault="008D1DCC" w:rsidP="0019695B"/>
    <w:p w:rsidR="008D1DCC" w:rsidRDefault="008D1DCC" w:rsidP="0019695B">
      <w:r>
        <w:t xml:space="preserve">When the disease is very serious or has rapid onset </w:t>
      </w:r>
      <w:r w:rsidRPr="005E134B">
        <w:t>(eg, measles, meni</w:t>
      </w:r>
      <w:r>
        <w:t>ngococcal disease, hepatitis A), it wi</w:t>
      </w:r>
      <w:r w:rsidRPr="005E134B">
        <w:t xml:space="preserve">ll not be </w:t>
      </w:r>
      <w:r>
        <w:t>f</w:t>
      </w:r>
      <w:r w:rsidRPr="005E134B">
        <w:t xml:space="preserve">easible for cases </w:t>
      </w:r>
      <w:r>
        <w:t>to do their own contact tracing.</w:t>
      </w:r>
    </w:p>
    <w:p w:rsidR="008D1DCC" w:rsidRPr="005E134B" w:rsidRDefault="008D1DCC" w:rsidP="0019695B"/>
    <w:p w:rsidR="008D1DCC" w:rsidRPr="005E134B" w:rsidRDefault="008D1DCC" w:rsidP="0019695B">
      <w:r w:rsidRPr="005E134B">
        <w:t>When case</w:t>
      </w:r>
      <w:r>
        <w:t>s do</w:t>
      </w:r>
      <w:r w:rsidRPr="005E134B">
        <w:t xml:space="preserve"> their own contact tracing, they are not subject to the </w:t>
      </w:r>
      <w:r w:rsidRPr="00A871F4">
        <w:t>overarching principles</w:t>
      </w:r>
      <w:r>
        <w:rPr>
          <w:i/>
        </w:rPr>
        <w:t xml:space="preserve"> </w:t>
      </w:r>
      <w:r w:rsidRPr="00A375BA">
        <w:t>which apply to formal contact tracers. For example, they are</w:t>
      </w:r>
      <w:r>
        <w:rPr>
          <w:i/>
        </w:rPr>
        <w:t xml:space="preserve"> </w:t>
      </w:r>
      <w:r>
        <w:t>not obliged to provide contacts with information on their rights.</w:t>
      </w:r>
      <w:r w:rsidRPr="0019695B">
        <w:rPr>
          <w:rStyle w:val="FootnoteReference"/>
        </w:rPr>
        <w:footnoteReference w:id="49"/>
      </w:r>
      <w:r>
        <w:t xml:space="preserve"> </w:t>
      </w:r>
      <w:r w:rsidRPr="005E134B">
        <w:t>In addition, they do not have the information</w:t>
      </w:r>
      <w:r w:rsidR="003B22F1">
        <w:t xml:space="preserve"> – </w:t>
      </w:r>
      <w:r w:rsidRPr="005E134B">
        <w:t>requiring powers and duties of a formal contact tracer.</w:t>
      </w:r>
      <w:r>
        <w:t xml:space="preserve"> </w:t>
      </w:r>
      <w:r w:rsidRPr="005E134B">
        <w:t>Despite this, they can and</w:t>
      </w:r>
      <w:r>
        <w:t xml:space="preserve"> should:</w:t>
      </w:r>
    </w:p>
    <w:p w:rsidR="008D1DCC" w:rsidRPr="005E134B" w:rsidRDefault="008D1DCC" w:rsidP="0019695B">
      <w:pPr>
        <w:pStyle w:val="Bullet"/>
      </w:pPr>
      <w:r w:rsidRPr="005E134B">
        <w:t>communicate with contact</w:t>
      </w:r>
      <w:r>
        <w:t>s</w:t>
      </w:r>
    </w:p>
    <w:p w:rsidR="008D1DCC" w:rsidRPr="005E134B" w:rsidRDefault="008D1DCC" w:rsidP="0019695B">
      <w:pPr>
        <w:pStyle w:val="Bullet"/>
      </w:pPr>
      <w:r w:rsidRPr="005E134B">
        <w:t>find out more about the circumstances in which the disease may have been transmitted to or by contact</w:t>
      </w:r>
      <w:r>
        <w:t>s</w:t>
      </w:r>
    </w:p>
    <w:p w:rsidR="008D1DCC" w:rsidRPr="005E134B" w:rsidRDefault="008D1DCC" w:rsidP="0019695B">
      <w:pPr>
        <w:pStyle w:val="Bullet"/>
      </w:pPr>
      <w:r w:rsidRPr="005E134B">
        <w:t>provide information to contact</w:t>
      </w:r>
      <w:r>
        <w:t>s (eg, a</w:t>
      </w:r>
      <w:r w:rsidRPr="005E134B">
        <w:t xml:space="preserve"> pamphlet</w:t>
      </w:r>
      <w:r>
        <w:t>)</w:t>
      </w:r>
      <w:r w:rsidR="00B15B3E">
        <w:t xml:space="preserve"> </w:t>
      </w:r>
      <w:r w:rsidRPr="005E134B">
        <w:t>about the risks to themselves and others, and ways of preventing or reducing th</w:t>
      </w:r>
      <w:r>
        <w:t>ose</w:t>
      </w:r>
      <w:r w:rsidRPr="005E134B">
        <w:t xml:space="preserve"> risk</w:t>
      </w:r>
      <w:r>
        <w:t>s)</w:t>
      </w:r>
    </w:p>
    <w:p w:rsidR="008D1DCC" w:rsidRPr="005E134B" w:rsidRDefault="008D1DCC" w:rsidP="0019695B">
      <w:pPr>
        <w:pStyle w:val="Bullet"/>
      </w:pPr>
      <w:r w:rsidRPr="005E134B">
        <w:t xml:space="preserve">ask for (but cannot require) identifying information about the contacts of </w:t>
      </w:r>
      <w:r>
        <w:t xml:space="preserve">a </w:t>
      </w:r>
      <w:r w:rsidRPr="005E134B">
        <w:t>contact (eg, name, add</w:t>
      </w:r>
      <w:r>
        <w:t>ress, sex and contact details)</w:t>
      </w:r>
    </w:p>
    <w:p w:rsidR="008D1DCC" w:rsidRPr="005E134B" w:rsidRDefault="008D1DCC" w:rsidP="0019695B">
      <w:pPr>
        <w:pStyle w:val="Bullet"/>
      </w:pPr>
      <w:r w:rsidRPr="005E134B">
        <w:t>(when partner</w:t>
      </w:r>
      <w:r>
        <w:t xml:space="preserve"> tracing for STIs) at a minimum, </w:t>
      </w:r>
      <w:r w:rsidRPr="005E134B">
        <w:t>notify</w:t>
      </w:r>
      <w:r>
        <w:t xml:space="preserve"> contacts that</w:t>
      </w:r>
      <w:r w:rsidRPr="005E134B">
        <w:t xml:space="preserve"> they may have been exposed to an infectious disease</w:t>
      </w:r>
      <w:r>
        <w:t>,</w:t>
      </w:r>
      <w:r w:rsidRPr="005E134B">
        <w:t xml:space="preserve"> and that they should seek diagnosis and treatment if infected.</w:t>
      </w:r>
    </w:p>
    <w:p w:rsidR="008D1DCC" w:rsidRPr="005E134B" w:rsidRDefault="008D1DCC" w:rsidP="0019695B"/>
    <w:p w:rsidR="003B22F1" w:rsidRDefault="008D1DCC" w:rsidP="0019695B">
      <w:r>
        <w:t xml:space="preserve">When a case </w:t>
      </w:r>
      <w:r w:rsidRPr="005E134B">
        <w:t xml:space="preserve">undertakes </w:t>
      </w:r>
      <w:r>
        <w:t xml:space="preserve">their own contact tracing, the formal contact tracer </w:t>
      </w:r>
      <w:r w:rsidRPr="005E134B">
        <w:t>must</w:t>
      </w:r>
      <w:r>
        <w:t xml:space="preserve"> </w:t>
      </w:r>
      <w:r w:rsidRPr="005E134B">
        <w:t>ask</w:t>
      </w:r>
      <w:r>
        <w:t xml:space="preserve"> them t</w:t>
      </w:r>
      <w:r w:rsidRPr="005E134B">
        <w:t>o report back by a specified time.</w:t>
      </w:r>
      <w:r w:rsidRPr="0019695B">
        <w:rPr>
          <w:rStyle w:val="FootnoteReference"/>
        </w:rPr>
        <w:footnoteReference w:id="50"/>
      </w:r>
      <w:r>
        <w:t xml:space="preserve"> If this does not happen, the formal contact tracer must follow up with the case to complete the contact tracing process. </w:t>
      </w:r>
      <w:r w:rsidRPr="005E134B">
        <w:t xml:space="preserve">A failure to follow up with people undertaking their own contact tracing could result in further infection, wasted resources and </w:t>
      </w:r>
      <w:r>
        <w:t xml:space="preserve">wasted </w:t>
      </w:r>
      <w:r w:rsidRPr="005E134B">
        <w:t>opportunities to prevent the transmission of infectious diseases.</w:t>
      </w:r>
    </w:p>
    <w:p w:rsidR="003B22F1" w:rsidRDefault="008D1DCC" w:rsidP="0019695B">
      <w:pPr>
        <w:pStyle w:val="Heading2"/>
      </w:pPr>
      <w:bookmarkStart w:id="35" w:name="_Toc473538530"/>
      <w:r>
        <w:t>I</w:t>
      </w:r>
      <w:r w:rsidRPr="00584182">
        <w:t>nformal contact tracers</w:t>
      </w:r>
      <w:bookmarkEnd w:id="35"/>
    </w:p>
    <w:p w:rsidR="003B22F1" w:rsidRDefault="008D1DCC" w:rsidP="0019695B">
      <w:r w:rsidRPr="005E134B">
        <w:t>The provisions in the Act on contact tracing are not a contact tracing code.</w:t>
      </w:r>
      <w:r>
        <w:t xml:space="preserve"> </w:t>
      </w:r>
      <w:r w:rsidRPr="005E134B">
        <w:t>They will have a neutral effect on informal contact or partner tracing, which some GPs, sexual health clinics not attached to</w:t>
      </w:r>
      <w:r>
        <w:t xml:space="preserve"> DHBs</w:t>
      </w:r>
      <w:r w:rsidRPr="005E134B">
        <w:t>, and other organisations</w:t>
      </w:r>
      <w:r>
        <w:t xml:space="preserve"> will continue to do on a voluntary and informed consent basis. </w:t>
      </w:r>
      <w:r w:rsidRPr="005E134B">
        <w:t>There is one exception to this, mentioned above.</w:t>
      </w:r>
      <w:r>
        <w:t xml:space="preserve"> </w:t>
      </w:r>
      <w:r w:rsidRPr="005E134B">
        <w:t xml:space="preserve">It is when a </w:t>
      </w:r>
      <w:r>
        <w:t>m</w:t>
      </w:r>
      <w:r w:rsidRPr="005E134B">
        <w:t xml:space="preserve">edical officer of health or a </w:t>
      </w:r>
      <w:r>
        <w:t xml:space="preserve">DHB </w:t>
      </w:r>
      <w:r w:rsidRPr="005E134B">
        <w:t>nominates a person who is suitably qualified in health or community work to undertake contact tracing.</w:t>
      </w:r>
    </w:p>
    <w:p w:rsidR="008D1DCC" w:rsidRDefault="008D1DCC" w:rsidP="0019695B"/>
    <w:p w:rsidR="008D1DCC" w:rsidRDefault="008D1DCC" w:rsidP="0019695B">
      <w:pPr>
        <w:pStyle w:val="Heading2"/>
      </w:pPr>
      <w:bookmarkStart w:id="36" w:name="_Toc473538531"/>
      <w:r w:rsidRPr="00584182">
        <w:t>Contact tracing across public health districts</w:t>
      </w:r>
      <w:bookmarkEnd w:id="36"/>
    </w:p>
    <w:p w:rsidR="008D1DCC" w:rsidRPr="005E134B" w:rsidRDefault="008D1DCC" w:rsidP="0019695B">
      <w:r w:rsidRPr="005E134B">
        <w:t>Medical</w:t>
      </w:r>
      <w:r>
        <w:t xml:space="preserve"> o</w:t>
      </w:r>
      <w:r w:rsidRPr="005E134B">
        <w:t xml:space="preserve">fficers of </w:t>
      </w:r>
      <w:r>
        <w:t>h</w:t>
      </w:r>
      <w:r w:rsidRPr="005E134B">
        <w:t>ealth normally exercise powers, functions and duties only in the health districts for which they are designated.</w:t>
      </w:r>
      <w:r>
        <w:t xml:space="preserve"> However, </w:t>
      </w:r>
      <w:r w:rsidRPr="005E134B">
        <w:t>formal contact tracing powers are not limited by health districts.</w:t>
      </w:r>
      <w:r>
        <w:t xml:space="preserve"> The across-district-powers allowed by the legislation </w:t>
      </w:r>
      <w:r w:rsidRPr="005E134B">
        <w:t xml:space="preserve">can be useful in communities where contact tracing expertise </w:t>
      </w:r>
      <w:r>
        <w:t xml:space="preserve">is </w:t>
      </w:r>
      <w:r w:rsidRPr="005E134B">
        <w:t>limited and in situations where the case or contacts travel between districts.</w:t>
      </w:r>
    </w:p>
    <w:p w:rsidR="008D1DCC" w:rsidRDefault="008D1DCC" w:rsidP="0019695B"/>
    <w:p w:rsidR="008D1DCC" w:rsidRPr="00584182" w:rsidRDefault="008D1DCC" w:rsidP="0019695B">
      <w:pPr>
        <w:pStyle w:val="Heading2"/>
      </w:pPr>
      <w:bookmarkStart w:id="37" w:name="_Toc473538532"/>
      <w:r w:rsidRPr="00584182">
        <w:t>What does formal contact tracing involve?</w:t>
      </w:r>
      <w:bookmarkEnd w:id="37"/>
    </w:p>
    <w:p w:rsidR="008D1DCC" w:rsidRDefault="008D1DCC" w:rsidP="0019695B">
      <w:r>
        <w:t>F</w:t>
      </w:r>
      <w:r w:rsidRPr="005E134B">
        <w:t>ormal contact tracing involves:</w:t>
      </w:r>
    </w:p>
    <w:p w:rsidR="008D1DCC" w:rsidRPr="005E134B" w:rsidRDefault="008D1DCC" w:rsidP="0019695B">
      <w:pPr>
        <w:pStyle w:val="Bullet"/>
      </w:pPr>
      <w:r w:rsidRPr="005E134B">
        <w:t>ascertaining the identity</w:t>
      </w:r>
      <w:r>
        <w:t xml:space="preserve"> of each of the case</w:t>
      </w:r>
      <w:r w:rsidR="003B22F1">
        <w:t>’</w:t>
      </w:r>
      <w:r>
        <w:t>s contacts</w:t>
      </w:r>
    </w:p>
    <w:p w:rsidR="008D1DCC" w:rsidRPr="005E134B" w:rsidRDefault="008D1DCC" w:rsidP="0019695B">
      <w:pPr>
        <w:pStyle w:val="Bullet"/>
      </w:pPr>
      <w:r w:rsidRPr="005E134B">
        <w:t xml:space="preserve">as far as practicable and appropriate, </w:t>
      </w:r>
      <w:r>
        <w:t>communicating with each contact</w:t>
      </w:r>
    </w:p>
    <w:p w:rsidR="008D1DCC" w:rsidRPr="005E134B" w:rsidRDefault="008D1DCC" w:rsidP="0019695B">
      <w:pPr>
        <w:pStyle w:val="Bullet"/>
      </w:pPr>
      <w:r w:rsidRPr="005E134B">
        <w:t>ascertaining the circumstances in which the disease may have been transmitted to the contact (eg, the nature, degree, frequency or duration of the contact rele</w:t>
      </w:r>
      <w:r>
        <w:t>vant to the public health risk)</w:t>
      </w:r>
    </w:p>
    <w:p w:rsidR="008D1DCC" w:rsidRPr="005E134B" w:rsidRDefault="008D1DCC" w:rsidP="0019695B">
      <w:pPr>
        <w:pStyle w:val="Bullet"/>
      </w:pPr>
      <w:r w:rsidRPr="005E134B">
        <w:t xml:space="preserve">advising </w:t>
      </w:r>
      <w:r>
        <w:t xml:space="preserve">each </w:t>
      </w:r>
      <w:r w:rsidRPr="005E134B">
        <w:t>contact about their risk of exposure to the disease (including any known, relevant protection or risk factors likely to lessen or contri</w:t>
      </w:r>
      <w:r>
        <w:t>bute to the public health risk)</w:t>
      </w:r>
    </w:p>
    <w:p w:rsidR="008D1DCC" w:rsidRPr="005E134B" w:rsidRDefault="008D1DCC" w:rsidP="0019695B">
      <w:pPr>
        <w:pStyle w:val="Bullet"/>
      </w:pPr>
      <w:r w:rsidRPr="005E134B">
        <w:t xml:space="preserve">where appropriate, advising </w:t>
      </w:r>
      <w:r>
        <w:t xml:space="preserve">each contact </w:t>
      </w:r>
      <w:r w:rsidRPr="005E134B">
        <w:t>about medical examinations, the risk of them spreading the disease, and appropriate treatm</w:t>
      </w:r>
      <w:r>
        <w:t>ent, exclusion and prophylaxis</w:t>
      </w:r>
    </w:p>
    <w:p w:rsidR="003B22F1" w:rsidRDefault="008D1DCC" w:rsidP="0019695B">
      <w:pPr>
        <w:pStyle w:val="Bullet"/>
      </w:pPr>
      <w:r w:rsidRPr="005E134B">
        <w:t>obtaining information about the contacts of contact</w:t>
      </w:r>
      <w:r>
        <w:t>s</w:t>
      </w:r>
      <w:r w:rsidRPr="005E134B">
        <w:t>.</w:t>
      </w:r>
      <w:r w:rsidRPr="0019695B">
        <w:rPr>
          <w:rStyle w:val="FootnoteReference"/>
        </w:rPr>
        <w:footnoteReference w:id="51"/>
      </w:r>
    </w:p>
    <w:p w:rsidR="008D1DCC" w:rsidRPr="005E134B" w:rsidRDefault="008D1DCC" w:rsidP="0019695B"/>
    <w:p w:rsidR="003B22F1" w:rsidRDefault="008D1DCC" w:rsidP="0019695B">
      <w:r>
        <w:t>C</w:t>
      </w:r>
      <w:r w:rsidRPr="005E134B">
        <w:t xml:space="preserve">ooperation </w:t>
      </w:r>
      <w:r>
        <w:t>in the process of seeking information about contacts is always preferable</w:t>
      </w:r>
      <w:r w:rsidRPr="005E134B">
        <w:t xml:space="preserve">, and </w:t>
      </w:r>
      <w:r w:rsidR="00B15B3E">
        <w:t>formal contact tracers should, where practicable,</w:t>
      </w:r>
      <w:r w:rsidR="00B15B3E">
        <w:rPr>
          <w:rStyle w:val="FootnoteReference"/>
        </w:rPr>
        <w:footnoteReference w:id="52"/>
      </w:r>
      <w:r w:rsidR="00B15B3E">
        <w:t xml:space="preserve"> </w:t>
      </w:r>
      <w:r>
        <w:t>attempt voluntary contact tracing first.</w:t>
      </w:r>
    </w:p>
    <w:p w:rsidR="0019695B" w:rsidRDefault="0019695B" w:rsidP="0019695B"/>
    <w:p w:rsidR="003B22F1" w:rsidRDefault="008D1DCC" w:rsidP="0019695B">
      <w:r w:rsidRPr="005E134B">
        <w:t>The</w:t>
      </w:r>
      <w:r>
        <w:t xml:space="preserve"> legislative</w:t>
      </w:r>
      <w:r w:rsidRPr="005E134B">
        <w:t xml:space="preserve"> information</w:t>
      </w:r>
      <w:r>
        <w:t>-</w:t>
      </w:r>
      <w:r w:rsidRPr="001769FD">
        <w:t>requiring</w:t>
      </w:r>
      <w:r w:rsidRPr="005E134B">
        <w:t xml:space="preserve"> powers are there to reinforce the contact tracer</w:t>
      </w:r>
      <w:r w:rsidR="003B22F1">
        <w:t>’</w:t>
      </w:r>
      <w:r w:rsidRPr="005E134B">
        <w:t xml:space="preserve">s need to </w:t>
      </w:r>
      <w:r>
        <w:t xml:space="preserve">obtain </w:t>
      </w:r>
      <w:r w:rsidRPr="005E134B">
        <w:t>th</w:t>
      </w:r>
      <w:r>
        <w:t>e information, particularly when</w:t>
      </w:r>
      <w:r w:rsidRPr="005E134B">
        <w:t xml:space="preserve"> the case </w:t>
      </w:r>
      <w:r>
        <w:t xml:space="preserve">is </w:t>
      </w:r>
      <w:r w:rsidRPr="005E134B">
        <w:t xml:space="preserve">reluctant to provide the information or there is an element of </w:t>
      </w:r>
      <w:r>
        <w:t>wilfulness or reckless disregard.</w:t>
      </w:r>
    </w:p>
    <w:p w:rsidR="0019695B" w:rsidRDefault="0019695B" w:rsidP="0019695B"/>
    <w:p w:rsidR="003B22F1" w:rsidRDefault="008D1DCC" w:rsidP="0019695B">
      <w:r w:rsidRPr="005E134B">
        <w:t>Depending on the circumstances, when a contact tracer has only a suspicion that an individual may be suffering from an infectious disease, the information requirements may be fewer than when a diagnosis has been confirmed.</w:t>
      </w:r>
    </w:p>
    <w:p w:rsidR="0019695B" w:rsidRDefault="0019695B" w:rsidP="0019695B"/>
    <w:p w:rsidR="008D1DCC" w:rsidRDefault="008D1DCC" w:rsidP="0019695B">
      <w:r w:rsidRPr="005E134B">
        <w:t xml:space="preserve">Ethics and law both require </w:t>
      </w:r>
      <w:r>
        <w:t xml:space="preserve">contact tracers to show </w:t>
      </w:r>
      <w:r w:rsidRPr="005E134B">
        <w:t xml:space="preserve">respect </w:t>
      </w:r>
      <w:r>
        <w:t>f</w:t>
      </w:r>
      <w:r w:rsidRPr="005E134B">
        <w:t>or individuals with, or suspected of having, infectious diseases, including respect f</w:t>
      </w:r>
      <w:r>
        <w:t>or their privacy and autonomy. However, t</w:t>
      </w:r>
      <w:r w:rsidRPr="005E134B">
        <w:t xml:space="preserve">hese considerations do </w:t>
      </w:r>
      <w:r>
        <w:t>not exist in a vacuum. Pr</w:t>
      </w:r>
      <w:r w:rsidRPr="005E134B">
        <w:t xml:space="preserve">otection of public health </w:t>
      </w:r>
      <w:r>
        <w:t xml:space="preserve">is </w:t>
      </w:r>
      <w:r w:rsidRPr="005E134B">
        <w:t>the paramount consideration</w:t>
      </w:r>
      <w:r>
        <w:t xml:space="preserve">. Contact tracers must give due weight to </w:t>
      </w:r>
      <w:r w:rsidRPr="005E134B">
        <w:t>the interests of those who may have been or could in future be exposed to the disease.</w:t>
      </w:r>
    </w:p>
    <w:p w:rsidR="0019695B" w:rsidRPr="005E134B" w:rsidRDefault="0019695B" w:rsidP="0019695B"/>
    <w:p w:rsidR="008D1DCC" w:rsidRPr="00584182" w:rsidRDefault="008D1DCC" w:rsidP="0019695B">
      <w:pPr>
        <w:pStyle w:val="Heading2"/>
      </w:pPr>
      <w:bookmarkStart w:id="38" w:name="_Toc473538533"/>
      <w:r w:rsidRPr="00584182">
        <w:t xml:space="preserve">Information </w:t>
      </w:r>
      <w:r>
        <w:t xml:space="preserve">required </w:t>
      </w:r>
      <w:r w:rsidRPr="00584182">
        <w:t>from the individual</w:t>
      </w:r>
      <w:bookmarkEnd w:id="38"/>
    </w:p>
    <w:p w:rsidR="008D1DCC" w:rsidRPr="0019695B" w:rsidRDefault="008D1DCC" w:rsidP="0019695B">
      <w:pPr>
        <w:ind w:right="-284"/>
        <w:rPr>
          <w:spacing w:val="-2"/>
        </w:rPr>
      </w:pPr>
      <w:r w:rsidRPr="0019695B">
        <w:rPr>
          <w:spacing w:val="-2"/>
        </w:rPr>
        <w:t>When a formal contact tracer asks them to do so, an individual with, or suspected of having, an infectious disease must provide certain information about contacts. This includes information about:</w:t>
      </w:r>
    </w:p>
    <w:p w:rsidR="008D1DCC" w:rsidRPr="005E134B" w:rsidRDefault="008D1DCC" w:rsidP="0019695B">
      <w:pPr>
        <w:pStyle w:val="Bullet"/>
      </w:pPr>
      <w:r w:rsidRPr="005E134B">
        <w:t xml:space="preserve">those people with </w:t>
      </w:r>
      <w:r>
        <w:t>whom they have been in contact</w:t>
      </w:r>
    </w:p>
    <w:p w:rsidR="008D1DCC" w:rsidRPr="005E134B" w:rsidRDefault="008D1DCC" w:rsidP="0019695B">
      <w:pPr>
        <w:pStyle w:val="Bullet"/>
      </w:pPr>
      <w:r w:rsidRPr="005E134B">
        <w:t>the circumstances in which the individual believes they have contracted, or may have tran</w:t>
      </w:r>
      <w:r>
        <w:t>smitted, the infectious disease.</w:t>
      </w:r>
    </w:p>
    <w:p w:rsidR="0019695B" w:rsidRDefault="0019695B" w:rsidP="0019695B"/>
    <w:p w:rsidR="008D1DCC" w:rsidRPr="005E134B" w:rsidRDefault="008D1DCC" w:rsidP="0019695B">
      <w:r w:rsidRPr="005E134B">
        <w:t>In relation to the first of these</w:t>
      </w:r>
      <w:r>
        <w:t xml:space="preserve"> requirements</w:t>
      </w:r>
      <w:r w:rsidRPr="005E134B">
        <w:t xml:space="preserve">, for each of the contacts, the following </w:t>
      </w:r>
      <w:r>
        <w:t xml:space="preserve">information </w:t>
      </w:r>
      <w:r w:rsidRPr="005E134B">
        <w:t>may be necessary:</w:t>
      </w:r>
    </w:p>
    <w:p w:rsidR="008D1DCC" w:rsidRPr="005E134B" w:rsidRDefault="008D1DCC" w:rsidP="0019695B">
      <w:pPr>
        <w:pStyle w:val="Bullet"/>
      </w:pPr>
      <w:r>
        <w:t>name</w:t>
      </w:r>
    </w:p>
    <w:p w:rsidR="008D1DCC" w:rsidRPr="005E134B" w:rsidRDefault="008D1DCC" w:rsidP="0019695B">
      <w:pPr>
        <w:pStyle w:val="Bullet"/>
      </w:pPr>
      <w:r>
        <w:t>age</w:t>
      </w:r>
    </w:p>
    <w:p w:rsidR="008D1DCC" w:rsidRPr="005E134B" w:rsidRDefault="008D1DCC" w:rsidP="0019695B">
      <w:pPr>
        <w:pStyle w:val="Bullet"/>
      </w:pPr>
      <w:r>
        <w:t>sex</w:t>
      </w:r>
    </w:p>
    <w:p w:rsidR="008D1DCC" w:rsidRPr="005E134B" w:rsidRDefault="008D1DCC" w:rsidP="0019695B">
      <w:pPr>
        <w:pStyle w:val="Bullet"/>
      </w:pPr>
      <w:r w:rsidRPr="005E134B">
        <w:t>address and other contact details</w:t>
      </w:r>
      <w:r w:rsidRPr="0019695B">
        <w:rPr>
          <w:rStyle w:val="FootnoteReference"/>
        </w:rPr>
        <w:footnoteReference w:id="53"/>
      </w:r>
    </w:p>
    <w:p w:rsidR="008D1DCC" w:rsidRPr="005E134B" w:rsidRDefault="008D1DCC" w:rsidP="0019695B">
      <w:pPr>
        <w:pStyle w:val="Bullet"/>
      </w:pPr>
      <w:r w:rsidRPr="005E134B">
        <w:t>whether the contact has been diagnosed with the disease or confirmed as not having it (and when that diagno</w:t>
      </w:r>
      <w:r>
        <w:t>sis or confirmation was given)</w:t>
      </w:r>
    </w:p>
    <w:p w:rsidR="008D1DCC" w:rsidRPr="005E134B" w:rsidRDefault="008D1DCC" w:rsidP="0019695B">
      <w:pPr>
        <w:pStyle w:val="Bullet"/>
      </w:pPr>
      <w:r w:rsidRPr="005E134B">
        <w:t>the timing, nature and place of the contact</w:t>
      </w:r>
      <w:r w:rsidR="003B22F1">
        <w:t>’</w:t>
      </w:r>
      <w:r w:rsidRPr="005E134B">
        <w:t xml:space="preserve">s </w:t>
      </w:r>
      <w:r>
        <w:t>association with the individual</w:t>
      </w:r>
    </w:p>
    <w:p w:rsidR="003B22F1" w:rsidRDefault="008D1DCC" w:rsidP="0019695B">
      <w:pPr>
        <w:pStyle w:val="Bullet"/>
      </w:pPr>
      <w:r w:rsidRPr="005E134B">
        <w:t xml:space="preserve">medical information about the contact that increases or decreases the risk of </w:t>
      </w:r>
      <w:r>
        <w:t xml:space="preserve">his or </w:t>
      </w:r>
      <w:r w:rsidRPr="005E134B">
        <w:t>having or transmitting the dise</w:t>
      </w:r>
      <w:r>
        <w:t>ase</w:t>
      </w:r>
    </w:p>
    <w:p w:rsidR="008D1DCC" w:rsidRPr="005E134B" w:rsidRDefault="008D1DCC" w:rsidP="0019695B">
      <w:pPr>
        <w:pStyle w:val="Bullet"/>
      </w:pPr>
      <w:r w:rsidRPr="005E134B">
        <w:t xml:space="preserve">behaviour or activities of the contact that increase or decrease the risk of </w:t>
      </w:r>
      <w:r>
        <w:t xml:space="preserve">his or her </w:t>
      </w:r>
      <w:r w:rsidRPr="005E134B">
        <w:t>having or transmitting the disease.</w:t>
      </w:r>
      <w:r w:rsidRPr="0019695B">
        <w:rPr>
          <w:rStyle w:val="FootnoteReference"/>
        </w:rPr>
        <w:footnoteReference w:id="54"/>
      </w:r>
    </w:p>
    <w:p w:rsidR="008D1DCC" w:rsidRPr="005E134B" w:rsidRDefault="008D1DCC" w:rsidP="0019695B"/>
    <w:p w:rsidR="003B22F1" w:rsidRDefault="008D1DCC" w:rsidP="0019695B">
      <w:r w:rsidRPr="005E134B">
        <w:t>Th</w:t>
      </w:r>
      <w:r>
        <w:t>e contact tracer can seek this</w:t>
      </w:r>
      <w:r w:rsidRPr="005E134B">
        <w:t xml:space="preserve"> information at </w:t>
      </w:r>
      <w:r>
        <w:t xml:space="preserve">their </w:t>
      </w:r>
      <w:r w:rsidRPr="005E134B">
        <w:t>discretion as not all of the</w:t>
      </w:r>
      <w:r>
        <w:t xml:space="preserve">se factors </w:t>
      </w:r>
      <w:r w:rsidRPr="005E134B">
        <w:t>will be applicable in every case.</w:t>
      </w:r>
    </w:p>
    <w:p w:rsidR="008D1DCC" w:rsidRPr="005E134B" w:rsidRDefault="008D1DCC" w:rsidP="0019695B"/>
    <w:p w:rsidR="003B22F1" w:rsidRDefault="008D1DCC" w:rsidP="0019695B">
      <w:pPr>
        <w:pStyle w:val="Heading2"/>
      </w:pPr>
      <w:bookmarkStart w:id="39" w:name="_Toc473538534"/>
      <w:r w:rsidRPr="00584182">
        <w:t>Information provided to contact</w:t>
      </w:r>
      <w:r>
        <w:t>s</w:t>
      </w:r>
      <w:bookmarkEnd w:id="39"/>
    </w:p>
    <w:p w:rsidR="008D1DCC" w:rsidRPr="005E134B" w:rsidRDefault="008D1DCC" w:rsidP="0019695B">
      <w:r w:rsidRPr="005E134B">
        <w:t xml:space="preserve">The information principle </w:t>
      </w:r>
      <w:r>
        <w:t>(</w:t>
      </w:r>
      <w:r w:rsidR="003B22F1">
        <w:t>‘</w:t>
      </w:r>
      <w:r>
        <w:t>Individual to be informed</w:t>
      </w:r>
      <w:r w:rsidR="003B22F1">
        <w:t>’</w:t>
      </w:r>
      <w:r>
        <w:t xml:space="preserve">: one of the six overarching principles discussed in chapter 4) </w:t>
      </w:r>
      <w:r w:rsidRPr="005E134B">
        <w:t>applies when a contact tracer interacts with</w:t>
      </w:r>
      <w:r>
        <w:t xml:space="preserve"> a case and with contacts</w:t>
      </w:r>
      <w:r w:rsidRPr="005E134B">
        <w:t>.</w:t>
      </w:r>
      <w:r w:rsidRPr="0019695B">
        <w:rPr>
          <w:rStyle w:val="FootnoteReference"/>
        </w:rPr>
        <w:footnoteReference w:id="55"/>
      </w:r>
      <w:r>
        <w:t xml:space="preserve"> A</w:t>
      </w:r>
      <w:r w:rsidR="0019695B">
        <w:t> </w:t>
      </w:r>
      <w:r>
        <w:t>contact tracer should provide sufficient</w:t>
      </w:r>
      <w:r w:rsidRPr="005E134B">
        <w:t xml:space="preserve"> information on</w:t>
      </w:r>
      <w:r>
        <w:t xml:space="preserve"> the</w:t>
      </w:r>
      <w:r w:rsidRPr="005E134B">
        <w:t xml:space="preserve"> contact tracing</w:t>
      </w:r>
      <w:r>
        <w:t xml:space="preserve"> process. D</w:t>
      </w:r>
      <w:r w:rsidRPr="005E134B">
        <w:t xml:space="preserve">epending on the particular circumstances, it may </w:t>
      </w:r>
      <w:r>
        <w:t xml:space="preserve">also be appropriate to </w:t>
      </w:r>
      <w:r w:rsidRPr="005E134B">
        <w:t>inform either the case or the contacts of the following:</w:t>
      </w:r>
    </w:p>
    <w:p w:rsidR="008D1DCC" w:rsidRPr="005E134B" w:rsidRDefault="008D1DCC" w:rsidP="0019695B">
      <w:pPr>
        <w:pStyle w:val="Bullet"/>
      </w:pPr>
      <w:r w:rsidRPr="005E134B">
        <w:t>information about the disease they are suspected of having or may have come into contact with and its sy</w:t>
      </w:r>
      <w:r>
        <w:t>mptoms, diagnosis and treatment</w:t>
      </w:r>
    </w:p>
    <w:p w:rsidR="008D1DCC" w:rsidRPr="005E134B" w:rsidRDefault="008D1DCC" w:rsidP="0019695B">
      <w:pPr>
        <w:pStyle w:val="Bullet"/>
      </w:pPr>
      <w:r w:rsidRPr="005E134B">
        <w:t>information on testing for susceptibility to the disease (eg, immune status)</w:t>
      </w:r>
    </w:p>
    <w:p w:rsidR="008D1DCC" w:rsidRPr="005E134B" w:rsidRDefault="008D1DCC" w:rsidP="0019695B">
      <w:pPr>
        <w:pStyle w:val="Bullet"/>
      </w:pPr>
      <w:r>
        <w:t>counselling or welfare options</w:t>
      </w:r>
    </w:p>
    <w:p w:rsidR="008D1DCC" w:rsidRPr="005E134B" w:rsidRDefault="008D1DCC" w:rsidP="0019695B">
      <w:pPr>
        <w:pStyle w:val="Bullet"/>
      </w:pPr>
      <w:r w:rsidRPr="005E134B">
        <w:t>ways of minimising disease onset or transmission (eg, staying at home, hygiene practices, treatment options, education, prophylax</w:t>
      </w:r>
      <w:r>
        <w:t>is, seclusion, or vaccination)</w:t>
      </w:r>
    </w:p>
    <w:p w:rsidR="003B22F1" w:rsidRDefault="008D1DCC" w:rsidP="0019695B">
      <w:pPr>
        <w:pStyle w:val="Bullet"/>
      </w:pPr>
      <w:r w:rsidRPr="005E134B">
        <w:t>advice on potential next steps to contain the disease risk.</w:t>
      </w:r>
    </w:p>
    <w:p w:rsidR="008D1DCC" w:rsidRDefault="008D1DCC" w:rsidP="0019695B"/>
    <w:p w:rsidR="008D1DCC" w:rsidRPr="00584182" w:rsidRDefault="008D1DCC" w:rsidP="0019695B">
      <w:pPr>
        <w:pStyle w:val="Heading2"/>
      </w:pPr>
      <w:bookmarkStart w:id="40" w:name="_Toc473538535"/>
      <w:r w:rsidRPr="00584182">
        <w:t>Confidentiality requirements</w:t>
      </w:r>
      <w:bookmarkEnd w:id="40"/>
    </w:p>
    <w:p w:rsidR="003B22F1" w:rsidRDefault="008D1DCC" w:rsidP="0019695B">
      <w:r w:rsidRPr="005E134B">
        <w:t xml:space="preserve">A formal contact tracer has a duty of confidentiality. </w:t>
      </w:r>
      <w:r>
        <w:t>He or she must not use or disclose i</w:t>
      </w:r>
      <w:r w:rsidRPr="005E134B">
        <w:t xml:space="preserve">nformation obtained in the course of contact tracing except for the </w:t>
      </w:r>
      <w:r>
        <w:t xml:space="preserve">purpose of </w:t>
      </w:r>
      <w:r w:rsidRPr="005E134B">
        <w:t>effective management of infectious diseases.</w:t>
      </w:r>
    </w:p>
    <w:p w:rsidR="008D1DCC" w:rsidRDefault="008D1DCC" w:rsidP="0019695B"/>
    <w:p w:rsidR="003B22F1" w:rsidRDefault="008D1DCC" w:rsidP="0019695B">
      <w:r>
        <w:t xml:space="preserve">The legislation specifies that people carrying out responsibilities under the Act must not use or disclose any information about </w:t>
      </w:r>
      <w:r w:rsidRPr="005E134B">
        <w:t>a person obtained under Part 3A of the Health Act, including information obtained in contact tracing, except as provided under the Health Act or another Act.</w:t>
      </w:r>
      <w:r w:rsidRPr="0019695B">
        <w:rPr>
          <w:rStyle w:val="FootnoteReference"/>
        </w:rPr>
        <w:footnoteReference w:id="56"/>
      </w:r>
      <w:r w:rsidRPr="005E134B">
        <w:t xml:space="preserve"> This includes the Health Information Privacy Code 1994.</w:t>
      </w:r>
      <w:r w:rsidRPr="0019695B">
        <w:rPr>
          <w:rStyle w:val="FootnoteReference"/>
        </w:rPr>
        <w:footnoteReference w:id="57"/>
      </w:r>
      <w:r>
        <w:t xml:space="preserve"> </w:t>
      </w:r>
      <w:r w:rsidRPr="005E134B">
        <w:t xml:space="preserve">The </w:t>
      </w:r>
      <w:r>
        <w:t xml:space="preserve">case </w:t>
      </w:r>
      <w:r w:rsidRPr="005E134B">
        <w:t>may access or disclose information about themselves under the Privacy Act 1993 or another Act.</w:t>
      </w:r>
      <w:r w:rsidRPr="0019695B">
        <w:rPr>
          <w:rStyle w:val="FootnoteReference"/>
        </w:rPr>
        <w:footnoteReference w:id="58"/>
      </w:r>
    </w:p>
    <w:p w:rsidR="008D1DCC" w:rsidRPr="005E134B" w:rsidRDefault="008D1DCC" w:rsidP="0019695B"/>
    <w:p w:rsidR="003B22F1" w:rsidRPr="0019695B" w:rsidRDefault="008D1DCC" w:rsidP="0019695B">
      <w:pPr>
        <w:rPr>
          <w:spacing w:val="-2"/>
        </w:rPr>
      </w:pPr>
      <w:r w:rsidRPr="0019695B">
        <w:rPr>
          <w:spacing w:val="-2"/>
        </w:rPr>
        <w:t>One example of information which may be used or disclosed relying on the Health Act or another Act is information obtained by the medical officer of health from someone detained in quarantine. This is when the medical officer of health believes on reasonable grounds that the information is necessary to manage the risk to public health, under section 97A of the Health</w:t>
      </w:r>
      <w:r w:rsidR="0019695B" w:rsidRPr="0019695B">
        <w:rPr>
          <w:spacing w:val="-2"/>
        </w:rPr>
        <w:t xml:space="preserve"> </w:t>
      </w:r>
      <w:r w:rsidRPr="0019695B">
        <w:rPr>
          <w:spacing w:val="-2"/>
        </w:rPr>
        <w:t>Act.</w:t>
      </w:r>
    </w:p>
    <w:p w:rsidR="0019695B" w:rsidRDefault="0019695B" w:rsidP="0019695B"/>
    <w:p w:rsidR="003B22F1" w:rsidRDefault="008D1DCC" w:rsidP="0019695B">
      <w:r>
        <w:t xml:space="preserve">Contact tracers must carry out the contact tracing process </w:t>
      </w:r>
      <w:r w:rsidRPr="005E134B">
        <w:t>in such a way as to avoid unreasonable interference with cases</w:t>
      </w:r>
      <w:r w:rsidR="003B22F1">
        <w:t>’</w:t>
      </w:r>
      <w:r w:rsidRPr="005E134B">
        <w:t xml:space="preserve"> and contacts</w:t>
      </w:r>
      <w:r w:rsidR="003B22F1">
        <w:t>’</w:t>
      </w:r>
      <w:r w:rsidRPr="005E134B">
        <w:t xml:space="preserve"> privacy.</w:t>
      </w:r>
      <w:r>
        <w:t xml:space="preserve"> They</w:t>
      </w:r>
      <w:r w:rsidRPr="005E134B">
        <w:t xml:space="preserve"> must </w:t>
      </w:r>
      <w:r>
        <w:t xml:space="preserve">try to </w:t>
      </w:r>
      <w:r w:rsidRPr="005E134B">
        <w:t xml:space="preserve">avoid </w:t>
      </w:r>
      <w:r>
        <w:t xml:space="preserve">adverse or unintended </w:t>
      </w:r>
      <w:r w:rsidRPr="005E134B">
        <w:t>consequences, such as deterring people from seeking testing or treatment for infectious diseases.</w:t>
      </w:r>
    </w:p>
    <w:p w:rsidR="0019695B" w:rsidRDefault="0019695B" w:rsidP="0019695B"/>
    <w:p w:rsidR="008D1DCC" w:rsidRPr="005E134B" w:rsidRDefault="008D1DCC" w:rsidP="0019695B">
      <w:r w:rsidRPr="005E134B">
        <w:t xml:space="preserve">The duty of confidentiality </w:t>
      </w:r>
      <w:r>
        <w:t>includes a requirement that the contact tracer does not, as far as practicable, disclose the case</w:t>
      </w:r>
      <w:r w:rsidR="003B22F1">
        <w:t>’</w:t>
      </w:r>
      <w:r>
        <w:t>s identity. However, the Health Act allows disclosure of the case</w:t>
      </w:r>
      <w:r w:rsidR="003B22F1">
        <w:t>’</w:t>
      </w:r>
      <w:r>
        <w:t>s identity to contacts and other people in some limited circumstances, including when it is not possible to obtain useful information from a contact or other individuals without disclosing the case</w:t>
      </w:r>
      <w:r w:rsidR="003B22F1">
        <w:t>’</w:t>
      </w:r>
      <w:r>
        <w:t>s identity.</w:t>
      </w:r>
      <w:r w:rsidRPr="0019695B">
        <w:rPr>
          <w:rStyle w:val="FootnoteReference"/>
        </w:rPr>
        <w:footnoteReference w:id="59"/>
      </w:r>
      <w:r>
        <w:t xml:space="preserve"> </w:t>
      </w:r>
      <w:r w:rsidRPr="005E134B">
        <w:t>For example, when the suspected disease is an STI or the case works in a small organisation</w:t>
      </w:r>
      <w:r>
        <w:t>,</w:t>
      </w:r>
      <w:r w:rsidRPr="005E134B">
        <w:t xml:space="preserve"> it may not be possible to provide meaningful information about the disease and how it may have been transmitted</w:t>
      </w:r>
      <w:r>
        <w:t xml:space="preserve"> without</w:t>
      </w:r>
      <w:r w:rsidRPr="005E134B">
        <w:t xml:space="preserve"> </w:t>
      </w:r>
      <w:r>
        <w:t xml:space="preserve">revealing </w:t>
      </w:r>
      <w:r w:rsidRPr="005E134B">
        <w:t>the case</w:t>
      </w:r>
      <w:r w:rsidR="003B22F1">
        <w:t>’</w:t>
      </w:r>
      <w:r w:rsidRPr="005E134B">
        <w:t>s identity.</w:t>
      </w:r>
    </w:p>
    <w:p w:rsidR="0019695B" w:rsidRDefault="0019695B" w:rsidP="0019695B"/>
    <w:p w:rsidR="008D1DCC" w:rsidRPr="005E134B" w:rsidRDefault="008D1DCC" w:rsidP="0019695B">
      <w:r w:rsidRPr="005E134B">
        <w:t>The default position</w:t>
      </w:r>
      <w:r>
        <w:t>,</w:t>
      </w:r>
      <w:r w:rsidRPr="005E134B">
        <w:t xml:space="preserve"> of protecting the case</w:t>
      </w:r>
      <w:r w:rsidR="003B22F1">
        <w:t>’</w:t>
      </w:r>
      <w:r w:rsidRPr="005E134B">
        <w:t>s identity</w:t>
      </w:r>
      <w:r>
        <w:t>,</w:t>
      </w:r>
      <w:r w:rsidRPr="005E134B">
        <w:t xml:space="preserve"> applies when a contact tracer requires information from people connected with </w:t>
      </w:r>
      <w:r>
        <w:t xml:space="preserve">the case </w:t>
      </w:r>
      <w:r w:rsidRPr="005E134B">
        <w:t>(ie, the names and addresses of con</w:t>
      </w:r>
      <w:r>
        <w:t xml:space="preserve">tacts known to the person). </w:t>
      </w:r>
      <w:r w:rsidRPr="005E134B">
        <w:t>These people are</w:t>
      </w:r>
      <w:r>
        <w:t>:</w:t>
      </w:r>
    </w:p>
    <w:p w:rsidR="008D1DCC" w:rsidRPr="005E134B" w:rsidRDefault="008D1DCC" w:rsidP="00C61E8E">
      <w:pPr>
        <w:pStyle w:val="Bullet"/>
      </w:pPr>
      <w:r w:rsidRPr="005E134B">
        <w:t>the</w:t>
      </w:r>
      <w:r>
        <w:t xml:space="preserve"> case</w:t>
      </w:r>
      <w:r w:rsidR="003B22F1">
        <w:t>’</w:t>
      </w:r>
      <w:r>
        <w:t>s employer</w:t>
      </w:r>
    </w:p>
    <w:p w:rsidR="008D1DCC" w:rsidRPr="005E134B" w:rsidRDefault="008D1DCC" w:rsidP="00C61E8E">
      <w:pPr>
        <w:pStyle w:val="Bullet"/>
      </w:pPr>
      <w:r>
        <w:t>an educational institution the case</w:t>
      </w:r>
      <w:r w:rsidRPr="005E134B">
        <w:t xml:space="preserve"> attend</w:t>
      </w:r>
      <w:r>
        <w:t>s</w:t>
      </w:r>
    </w:p>
    <w:p w:rsidR="003B22F1" w:rsidRDefault="008D1DCC" w:rsidP="00C61E8E">
      <w:pPr>
        <w:pStyle w:val="Bullet"/>
        <w:keepNext/>
      </w:pPr>
      <w:r w:rsidRPr="00720D94">
        <w:t xml:space="preserve">any business or other organisation that the case has </w:t>
      </w:r>
      <w:r>
        <w:t>dealt with</w:t>
      </w:r>
    </w:p>
    <w:p w:rsidR="008D1DCC" w:rsidRPr="005E134B" w:rsidRDefault="008D1DCC" w:rsidP="00C61E8E">
      <w:pPr>
        <w:pStyle w:val="Bullet"/>
      </w:pPr>
      <w:r w:rsidRPr="005E134B">
        <w:t>an event co-ordinator or other person likely to have a list of those attending an event</w:t>
      </w:r>
      <w:r>
        <w:t xml:space="preserve"> (eg, a</w:t>
      </w:r>
      <w:r w:rsidRPr="005E134B">
        <w:t xml:space="preserve"> cultural festival, sports event or scout camp</w:t>
      </w:r>
      <w:r>
        <w:t>)</w:t>
      </w:r>
      <w:r w:rsidRPr="005E134B">
        <w:t>.</w:t>
      </w:r>
      <w:r w:rsidRPr="00C61E8E">
        <w:rPr>
          <w:rStyle w:val="FootnoteReference"/>
        </w:rPr>
        <w:footnoteReference w:id="60"/>
      </w:r>
    </w:p>
    <w:p w:rsidR="00C61E8E" w:rsidRDefault="00C61E8E" w:rsidP="00C61E8E"/>
    <w:p w:rsidR="008D1DCC" w:rsidRDefault="008D1DCC" w:rsidP="00C61E8E">
      <w:r>
        <w:t>Whether the contact tracer seeks information from these people will depend on, among other factors, the nature of the disease and the likelihood of the contacts being able to supply the information.</w:t>
      </w:r>
    </w:p>
    <w:p w:rsidR="00C61E8E" w:rsidRDefault="00C61E8E" w:rsidP="00C61E8E"/>
    <w:p w:rsidR="003B22F1" w:rsidRDefault="008D1DCC" w:rsidP="00C61E8E">
      <w:r w:rsidRPr="005E134B">
        <w:t>If necessary, these people must provide the information the contact tracer</w:t>
      </w:r>
      <w:r>
        <w:t xml:space="preserve"> seeks</w:t>
      </w:r>
      <w:r w:rsidRPr="005E134B">
        <w:t xml:space="preserve">, even </w:t>
      </w:r>
      <w:r>
        <w:t xml:space="preserve">if </w:t>
      </w:r>
      <w:r w:rsidRPr="005E134B">
        <w:t>this would otherwise breach protection of personal privacy rights under the Privacy Act.</w:t>
      </w:r>
      <w:r>
        <w:t xml:space="preserve"> </w:t>
      </w:r>
      <w:r w:rsidRPr="005E134B">
        <w:t>In requiring information from the case or the people mentioned above, the contact tracer has a duty to advise them that the information must be provided for the effective management of infectious diseases.</w:t>
      </w:r>
    </w:p>
    <w:p w:rsidR="00C61E8E" w:rsidRDefault="00C61E8E" w:rsidP="00C61E8E"/>
    <w:p w:rsidR="003B22F1" w:rsidRDefault="008D1DCC" w:rsidP="00C61E8E">
      <w:r>
        <w:t xml:space="preserve">If a </w:t>
      </w:r>
      <w:r w:rsidRPr="005E134B">
        <w:t>case is under 16 or lacks legal capacity,</w:t>
      </w:r>
      <w:r>
        <w:t xml:space="preserve"> a contact tracer may ask his or her</w:t>
      </w:r>
      <w:r w:rsidRPr="005E134B">
        <w:t xml:space="preserve"> legal representative or</w:t>
      </w:r>
      <w:r>
        <w:t xml:space="preserve"> person responsible for them to provide the information. However, i</w:t>
      </w:r>
      <w:r w:rsidRPr="005E134B">
        <w:t>n the situation where</w:t>
      </w:r>
      <w:r>
        <w:t xml:space="preserve"> the contact tracer must urgently address</w:t>
      </w:r>
      <w:r w:rsidRPr="005E134B">
        <w:t xml:space="preserve"> the public health risk </w:t>
      </w:r>
      <w:r>
        <w:t>(eg, because of a suspected case of meningococcal, which is life threatening) and the representative or care</w:t>
      </w:r>
      <w:r w:rsidRPr="005E134B">
        <w:t>giver is not immediately present or available, common sense should prevail.</w:t>
      </w:r>
      <w:r w:rsidRPr="00C61E8E">
        <w:rPr>
          <w:rStyle w:val="FootnoteReference"/>
        </w:rPr>
        <w:footnoteReference w:id="61"/>
      </w:r>
    </w:p>
    <w:p w:rsidR="00C61E8E" w:rsidRDefault="00C61E8E" w:rsidP="00C61E8E"/>
    <w:p w:rsidR="008D1DCC" w:rsidRDefault="008D1DCC" w:rsidP="00C61E8E">
      <w:r w:rsidRPr="005E134B">
        <w:t xml:space="preserve">In tandem with obtaining information about contacts from the case or people occupying positions of responsibility, </w:t>
      </w:r>
      <w:r>
        <w:t>m</w:t>
      </w:r>
      <w:r w:rsidRPr="005E134B">
        <w:t xml:space="preserve">edical </w:t>
      </w:r>
      <w:r>
        <w:t>o</w:t>
      </w:r>
      <w:r w:rsidRPr="005E134B">
        <w:t xml:space="preserve">fficers of </w:t>
      </w:r>
      <w:r>
        <w:t>h</w:t>
      </w:r>
      <w:r w:rsidRPr="005E134B">
        <w:t>ealth may need to take action to prevent the case or conta</w:t>
      </w:r>
      <w:r>
        <w:t xml:space="preserve">ct from spreading the disease. </w:t>
      </w:r>
      <w:r w:rsidRPr="005E134B">
        <w:t>This includes requesting or directing them to seek confirmation of diagnosis, requesting them to get treated within a specified time, or in unusual circumstances applying for an order for treatment.</w:t>
      </w:r>
    </w:p>
    <w:p w:rsidR="00C61E8E" w:rsidRPr="005E134B" w:rsidRDefault="00C61E8E" w:rsidP="00C61E8E"/>
    <w:p w:rsidR="008D1DCC" w:rsidRPr="00584182" w:rsidRDefault="008D1DCC" w:rsidP="00C61E8E">
      <w:pPr>
        <w:pStyle w:val="Heading2"/>
      </w:pPr>
      <w:bookmarkStart w:id="41" w:name="_Toc473538536"/>
      <w:r w:rsidRPr="00584182">
        <w:t>Prosecution for an offence</w:t>
      </w:r>
      <w:bookmarkEnd w:id="41"/>
    </w:p>
    <w:p w:rsidR="003B22F1" w:rsidRDefault="008D1DCC" w:rsidP="00C61E8E">
      <w:r w:rsidRPr="005E134B">
        <w:t>If other measures fail or are likely to be ineffective, and the public health risk justifies it,</w:t>
      </w:r>
      <w:r>
        <w:t xml:space="preserve"> medical officers of health may consider the option of referring the matter to the Ministry of Health</w:t>
      </w:r>
      <w:r w:rsidR="003B22F1">
        <w:t>’</w:t>
      </w:r>
      <w:r>
        <w:t xml:space="preserve">s Enforcement Unit for </w:t>
      </w:r>
      <w:r w:rsidRPr="005E134B">
        <w:t>prosecut</w:t>
      </w:r>
      <w:r>
        <w:t xml:space="preserve">ion. </w:t>
      </w:r>
      <w:r w:rsidRPr="005E134B">
        <w:t>The offence is one of failing to provide information about contacts without reasonable excuse, or intentionally omitting, or giving false, information.</w:t>
      </w:r>
      <w:r w:rsidRPr="00C61E8E">
        <w:rPr>
          <w:rStyle w:val="FootnoteReference"/>
        </w:rPr>
        <w:footnoteReference w:id="62"/>
      </w:r>
      <w:r w:rsidRPr="005E134B">
        <w:t xml:space="preserve"> It</w:t>
      </w:r>
      <w:r w:rsidR="00C61E8E">
        <w:t> </w:t>
      </w:r>
      <w:r w:rsidRPr="005E134B">
        <w:t>carries a maximum penalty on conviction of a fine of $2,000.</w:t>
      </w:r>
    </w:p>
    <w:p w:rsidR="00C61E8E" w:rsidRDefault="00C61E8E" w:rsidP="00C61E8E"/>
    <w:p w:rsidR="008D1DCC" w:rsidRDefault="008D1DCC" w:rsidP="00C61E8E">
      <w:r w:rsidRPr="005E134B">
        <w:t>The Ministry of Health</w:t>
      </w:r>
      <w:r w:rsidR="003B22F1">
        <w:t>’</w:t>
      </w:r>
      <w:r w:rsidRPr="005E134B">
        <w:t>s Prosecution Policy (</w:t>
      </w:r>
      <w:r>
        <w:t xml:space="preserve">see </w:t>
      </w:r>
      <w:r w:rsidR="00184D90">
        <w:t>Appendix 4</w:t>
      </w:r>
      <w:r>
        <w:t xml:space="preserve">) assumes </w:t>
      </w:r>
      <w:r w:rsidRPr="005E134B">
        <w:t>that potential prosecutions come through the Ministry</w:t>
      </w:r>
      <w:r w:rsidR="003B22F1">
        <w:t>’</w:t>
      </w:r>
      <w:r w:rsidRPr="005E134B">
        <w:t xml:space="preserve">s Enforcement </w:t>
      </w:r>
      <w:r>
        <w:t xml:space="preserve">Unit, located in Health Legal. </w:t>
      </w:r>
      <w:r w:rsidRPr="005E134B">
        <w:t>This is in order to ensure that any prosecution action taken is cost-effective, consistent, and fairly managed, while giving due consideration to each case on its own merits.</w:t>
      </w:r>
    </w:p>
    <w:p w:rsidR="008D1DCC" w:rsidRDefault="008D1DCC" w:rsidP="00C61E8E"/>
    <w:p w:rsidR="008D1DCC" w:rsidRPr="00584182" w:rsidRDefault="008D1DCC" w:rsidP="00C61E8E">
      <w:pPr>
        <w:pStyle w:val="Heading2"/>
      </w:pPr>
      <w:bookmarkStart w:id="42" w:name="_Toc473538537"/>
      <w:r w:rsidRPr="00584182">
        <w:t>Contact tracing scenarios</w:t>
      </w:r>
      <w:bookmarkEnd w:id="42"/>
    </w:p>
    <w:p w:rsidR="00C61E8E" w:rsidRPr="003F3ECF" w:rsidRDefault="00C61E8E" w:rsidP="00C61E8E">
      <w:pPr>
        <w:pStyle w:val="BoxHeading"/>
      </w:pPr>
      <w:r w:rsidRPr="003F3ECF">
        <w:t>Scenario 1 – informal contact tracing</w:t>
      </w:r>
    </w:p>
    <w:p w:rsidR="00C61E8E" w:rsidRPr="005E134B" w:rsidRDefault="00C61E8E" w:rsidP="00C61E8E">
      <w:pPr>
        <w:pStyle w:val="Box"/>
        <w:keepLines/>
      </w:pPr>
      <w:r w:rsidRPr="005E134B">
        <w:t>Reggie is 65 year</w:t>
      </w:r>
      <w:r>
        <w:t>s</w:t>
      </w:r>
      <w:r w:rsidRPr="005E134B">
        <w:t xml:space="preserve"> old </w:t>
      </w:r>
      <w:r>
        <w:t xml:space="preserve">and </w:t>
      </w:r>
      <w:r w:rsidRPr="005E134B">
        <w:t>a fairly new inhabitant of the Twilight Retirement Home.</w:t>
      </w:r>
      <w:r>
        <w:t xml:space="preserve"> </w:t>
      </w:r>
      <w:r w:rsidRPr="005E134B">
        <w:t xml:space="preserve">Staff members become concerned </w:t>
      </w:r>
      <w:r>
        <w:t xml:space="preserve">about his nocturnal activities. </w:t>
      </w:r>
      <w:r w:rsidRPr="005E134B">
        <w:t>Reggie has been complaining of nasty sores on his genitals and on medical examination is found to have syphilis.</w:t>
      </w:r>
      <w:r>
        <w:t xml:space="preserve"> </w:t>
      </w:r>
      <w:r w:rsidRPr="005E134B">
        <w:t xml:space="preserve">However, Reggie does not always take his medication, and although he has </w:t>
      </w:r>
      <w:r>
        <w:t xml:space="preserve">reduced </w:t>
      </w:r>
      <w:r w:rsidRPr="005E134B">
        <w:t>his nocturnal wandering, has not completely stopped the behaviour causing a disease transmission risk.</w:t>
      </w:r>
      <w:r>
        <w:t xml:space="preserve"> </w:t>
      </w:r>
      <w:r w:rsidRPr="005E134B">
        <w:t>The home is reluctant to lock Reggie in his room, due to the fire risk, and the concerns of the other residents and family.</w:t>
      </w:r>
    </w:p>
    <w:p w:rsidR="00C61E8E" w:rsidRPr="005E134B" w:rsidRDefault="00C61E8E" w:rsidP="00C61E8E">
      <w:pPr>
        <w:pStyle w:val="Box"/>
      </w:pPr>
      <w:r w:rsidRPr="005E134B">
        <w:t xml:space="preserve">The doctor follows up on the earlier notification, discussing the case with the local </w:t>
      </w:r>
      <w:r>
        <w:t>m</w:t>
      </w:r>
      <w:r w:rsidRPr="005E134B">
        <w:t xml:space="preserve">edical officer of health, </w:t>
      </w:r>
      <w:r>
        <w:t xml:space="preserve">and </w:t>
      </w:r>
      <w:r w:rsidRPr="005E134B">
        <w:t>seeking advice, while not disclosing Reggie</w:t>
      </w:r>
      <w:r>
        <w:t xml:space="preserve">’s identity. </w:t>
      </w:r>
      <w:r w:rsidRPr="005E134B">
        <w:t xml:space="preserve">The </w:t>
      </w:r>
      <w:r>
        <w:t>m</w:t>
      </w:r>
      <w:r w:rsidRPr="005E134B">
        <w:t>edical officer of health forms the view that Reggie should be asked for information about his co</w:t>
      </w:r>
      <w:r>
        <w:t xml:space="preserve">ntacts as a matter of priority. </w:t>
      </w:r>
      <w:r w:rsidRPr="005E134B">
        <w:t xml:space="preserve">The </w:t>
      </w:r>
      <w:r>
        <w:t>m</w:t>
      </w:r>
      <w:r w:rsidRPr="005E134B">
        <w:t>edical officer of health suggests that the doctor attempt informal contact tracing, bearing in mind that Reggie knows the doctor.</w:t>
      </w:r>
    </w:p>
    <w:p w:rsidR="00C61E8E" w:rsidRPr="005E134B" w:rsidRDefault="00C61E8E" w:rsidP="00C61E8E">
      <w:pPr>
        <w:pStyle w:val="Box"/>
      </w:pPr>
      <w:r>
        <w:t>The doctor talks to the manager of the r</w:t>
      </w:r>
      <w:r w:rsidRPr="005E134B">
        <w:t xml:space="preserve">etirement </w:t>
      </w:r>
      <w:r>
        <w:t>h</w:t>
      </w:r>
      <w:r w:rsidRPr="005E134B">
        <w:t xml:space="preserve">ome, as the person in charge of Reggie (with welfare power of attorney), and finds out sufficient information to identify </w:t>
      </w:r>
      <w:r>
        <w:t xml:space="preserve">Reggie’s </w:t>
      </w:r>
      <w:r w:rsidRPr="005E134B">
        <w:t>contacts. The doctor sets about approaching them, and provid</w:t>
      </w:r>
      <w:r>
        <w:t>es</w:t>
      </w:r>
      <w:r w:rsidRPr="005E134B">
        <w:t xml:space="preserve"> them with information about syphilis. He impresses on them the importance of being diagnosed and treated if necessary, and of the particular risks of continuing sexual activity without using condoms.</w:t>
      </w:r>
    </w:p>
    <w:p w:rsidR="00C61E8E" w:rsidRDefault="00C61E8E" w:rsidP="00C61E8E">
      <w:pPr>
        <w:pStyle w:val="Box"/>
      </w:pPr>
      <w:r w:rsidRPr="005E134B">
        <w:t>The doctor provides information about syphilis, its treatment and containment, in a way which Reggie finally understands.</w:t>
      </w:r>
    </w:p>
    <w:p w:rsidR="008D1DCC" w:rsidRPr="005E134B" w:rsidRDefault="008D1DCC" w:rsidP="00C61E8E"/>
    <w:p w:rsidR="00C61E8E" w:rsidRPr="005E134B" w:rsidRDefault="00C61E8E" w:rsidP="00C61E8E">
      <w:pPr>
        <w:pStyle w:val="BoxHeading"/>
        <w:rPr>
          <w:sz w:val="28"/>
          <w:szCs w:val="28"/>
        </w:rPr>
      </w:pPr>
      <w:r w:rsidRPr="003F3ECF">
        <w:t>Scenario</w:t>
      </w:r>
      <w:r w:rsidRPr="005E134B">
        <w:rPr>
          <w:sz w:val="28"/>
          <w:szCs w:val="28"/>
        </w:rPr>
        <w:t xml:space="preserve"> </w:t>
      </w:r>
      <w:r w:rsidRPr="003F3ECF">
        <w:t>2 – formal contact tracing</w:t>
      </w:r>
    </w:p>
    <w:p w:rsidR="00C61E8E" w:rsidRPr="005E134B" w:rsidRDefault="00C61E8E" w:rsidP="00C61E8E">
      <w:pPr>
        <w:pStyle w:val="Box"/>
      </w:pPr>
      <w:r w:rsidRPr="005E134B">
        <w:t>Mark has been very sexually active since joining a social media site</w:t>
      </w:r>
      <w:r>
        <w:t xml:space="preserve"> matching people with potential sexual partners</w:t>
      </w:r>
      <w:r w:rsidRPr="005E134B">
        <w:t>. He has a long</w:t>
      </w:r>
      <w:r>
        <w:t>-</w:t>
      </w:r>
      <w:r w:rsidRPr="005E134B">
        <w:t xml:space="preserve">term partner, is bisexual and does not always use a condom. </w:t>
      </w:r>
      <w:r>
        <w:t>Laboratory results have confirmed his doctor’s diagnosis</w:t>
      </w:r>
      <w:r w:rsidRPr="005E134B">
        <w:t xml:space="preserve"> </w:t>
      </w:r>
      <w:r>
        <w:t xml:space="preserve">of </w:t>
      </w:r>
      <w:r w:rsidRPr="005E134B">
        <w:t>HIV</w:t>
      </w:r>
      <w:r>
        <w:t>,</w:t>
      </w:r>
      <w:r w:rsidRPr="005E134B">
        <w:t xml:space="preserve"> and</w:t>
      </w:r>
      <w:r>
        <w:t xml:space="preserve"> despite this Mark</w:t>
      </w:r>
      <w:r w:rsidRPr="005E134B">
        <w:t xml:space="preserve"> is reluctant to tell his partner and others he has had sex with that they may have been infected.</w:t>
      </w:r>
    </w:p>
    <w:p w:rsidR="00C61E8E" w:rsidRDefault="00C61E8E" w:rsidP="00C61E8E">
      <w:pPr>
        <w:pStyle w:val="Box"/>
      </w:pPr>
      <w:r w:rsidRPr="005E134B">
        <w:t xml:space="preserve">His </w:t>
      </w:r>
      <w:r>
        <w:t xml:space="preserve">doctor </w:t>
      </w:r>
      <w:r w:rsidRPr="005E134B">
        <w:t>is</w:t>
      </w:r>
      <w:r>
        <w:t xml:space="preserve"> also </w:t>
      </w:r>
      <w:r w:rsidRPr="005E134B">
        <w:t>his partner</w:t>
      </w:r>
      <w:r>
        <w:t>’</w:t>
      </w:r>
      <w:r w:rsidRPr="005E134B">
        <w:t xml:space="preserve">s doctor, and after considerable persuasion, Mark agrees to inform her about his HIV status. </w:t>
      </w:r>
      <w:r>
        <w:t xml:space="preserve">However, the doctor doubts whether </w:t>
      </w:r>
      <w:r w:rsidRPr="005E134B">
        <w:t xml:space="preserve">this has </w:t>
      </w:r>
      <w:r>
        <w:t>actually happened. T</w:t>
      </w:r>
      <w:r w:rsidRPr="005E134B">
        <w:t xml:space="preserve">he local </w:t>
      </w:r>
      <w:r>
        <w:t xml:space="preserve">public health unit </w:t>
      </w:r>
      <w:r w:rsidRPr="005E134B">
        <w:t xml:space="preserve">finds out about </w:t>
      </w:r>
      <w:r>
        <w:t xml:space="preserve">Mark’s </w:t>
      </w:r>
      <w:r w:rsidRPr="005E134B">
        <w:t xml:space="preserve">infection risk through a phone call from an infected contact concerned that nothing is being done about the public health risk Mark poses. The </w:t>
      </w:r>
      <w:r>
        <w:t>m</w:t>
      </w:r>
      <w:r w:rsidRPr="005E134B">
        <w:t>edical officer of health nominates the local sexual health clinic (not attached to the</w:t>
      </w:r>
      <w:r>
        <w:t xml:space="preserve"> DHB</w:t>
      </w:r>
      <w:r w:rsidRPr="005E134B">
        <w:t>)</w:t>
      </w:r>
      <w:r>
        <w:rPr>
          <w:rStyle w:val="FootnoteReference"/>
        </w:rPr>
        <w:t xml:space="preserve"> </w:t>
      </w:r>
      <w:r>
        <w:t>which agrees</w:t>
      </w:r>
      <w:r w:rsidRPr="005E134B">
        <w:t xml:space="preserve"> to contact trace Mark</w:t>
      </w:r>
      <w:r>
        <w:t>’</w:t>
      </w:r>
      <w:r w:rsidRPr="005E134B">
        <w:t xml:space="preserve">s sexual contacts, including his partner. </w:t>
      </w:r>
      <w:r>
        <w:t>The medical officer of health</w:t>
      </w:r>
      <w:r w:rsidRPr="005E134B">
        <w:t xml:space="preserve"> checks on progress with the clinic and ascertains that one of the contacts live</w:t>
      </w:r>
      <w:r>
        <w:t xml:space="preserve">s outside the health district. </w:t>
      </w:r>
      <w:r w:rsidRPr="005E134B">
        <w:t xml:space="preserve">Using his powers to contact trace across health districts, </w:t>
      </w:r>
      <w:r>
        <w:t>t</w:t>
      </w:r>
      <w:r w:rsidRPr="005E134B">
        <w:t>he</w:t>
      </w:r>
      <w:r>
        <w:t xml:space="preserve"> medical officer of health</w:t>
      </w:r>
      <w:r w:rsidRPr="005E134B">
        <w:t xml:space="preserve"> informs this contact of the disease risk, and the need to be diagnosed and if necessary, treated.</w:t>
      </w:r>
    </w:p>
    <w:p w:rsidR="008D1DCC" w:rsidRDefault="008D1DCC" w:rsidP="00C61E8E"/>
    <w:p w:rsidR="008D1DCC" w:rsidRPr="00584182" w:rsidRDefault="008D1DCC" w:rsidP="00C61E8E">
      <w:pPr>
        <w:pStyle w:val="Heading2"/>
      </w:pPr>
      <w:bookmarkStart w:id="43" w:name="_Toc473538538"/>
      <w:r w:rsidRPr="00584182">
        <w:t>Contact tracing checklist</w:t>
      </w:r>
      <w:bookmarkEnd w:id="43"/>
    </w:p>
    <w:p w:rsidR="008D1DCC" w:rsidRPr="005E134B" w:rsidRDefault="00C61E8E" w:rsidP="00C61E8E">
      <w:pPr>
        <w:keepNext/>
        <w:ind w:left="567" w:hanging="567"/>
      </w:pPr>
      <w:r>
        <w:t>1</w:t>
      </w:r>
      <w:r>
        <w:tab/>
      </w:r>
      <w:r w:rsidR="008D1DCC">
        <w:t>Ensure that the entire process complies</w:t>
      </w:r>
      <w:r w:rsidR="008D1DCC" w:rsidRPr="005E134B">
        <w:t xml:space="preserve"> with the </w:t>
      </w:r>
      <w:r w:rsidR="008D1DCC" w:rsidRPr="00A871F4">
        <w:t>overarching principles</w:t>
      </w:r>
      <w:r w:rsidR="008D1DCC" w:rsidRPr="005E134B">
        <w:rPr>
          <w:i/>
        </w:rPr>
        <w:t>.</w:t>
      </w:r>
    </w:p>
    <w:p w:rsidR="008D1DCC" w:rsidRPr="005E134B" w:rsidRDefault="00C61E8E" w:rsidP="00C61E8E">
      <w:pPr>
        <w:keepNext/>
        <w:spacing w:before="150"/>
        <w:ind w:left="567" w:hanging="567"/>
      </w:pPr>
      <w:r>
        <w:t>2</w:t>
      </w:r>
      <w:r>
        <w:tab/>
      </w:r>
      <w:r w:rsidR="008D1DCC">
        <w:t>Form</w:t>
      </w:r>
      <w:r w:rsidR="008D1DCC" w:rsidRPr="005E134B">
        <w:t xml:space="preserve"> a view that contact tracing should be undertaken, </w:t>
      </w:r>
      <w:r w:rsidR="008D1DCC">
        <w:t xml:space="preserve">after considering its </w:t>
      </w:r>
      <w:r w:rsidR="008D1DCC" w:rsidRPr="005E134B">
        <w:t>purpose and whether there is a public health risk warranting it.</w:t>
      </w:r>
    </w:p>
    <w:p w:rsidR="008D1DCC" w:rsidRPr="00C61E8E" w:rsidRDefault="00C61E8E" w:rsidP="00C61E8E">
      <w:pPr>
        <w:spacing w:before="150"/>
        <w:ind w:left="567" w:hanging="567"/>
        <w:rPr>
          <w:spacing w:val="-2"/>
        </w:rPr>
      </w:pPr>
      <w:r>
        <w:t>3</w:t>
      </w:r>
      <w:r>
        <w:tab/>
      </w:r>
      <w:r w:rsidR="008D1DCC" w:rsidRPr="00C61E8E">
        <w:rPr>
          <w:spacing w:val="-2"/>
        </w:rPr>
        <w:t>Consider whether, or the extent to which, the case is able and willing to undertake their own contact tracing (mainly applicable for partners who may have been exposed to an STI).</w:t>
      </w:r>
    </w:p>
    <w:p w:rsidR="008D1DCC" w:rsidRPr="005E134B" w:rsidRDefault="00C61E8E" w:rsidP="00C61E8E">
      <w:pPr>
        <w:spacing w:before="150"/>
        <w:ind w:left="567" w:hanging="567"/>
      </w:pPr>
      <w:r>
        <w:t>4</w:t>
      </w:r>
      <w:r>
        <w:tab/>
      </w:r>
      <w:r w:rsidR="008D1DCC">
        <w:t>When the case does their own contact tracing, follow</w:t>
      </w:r>
      <w:r w:rsidR="008D1DCC" w:rsidRPr="005E134B">
        <w:t xml:space="preserve"> up within an agreed specified time on progress.</w:t>
      </w:r>
    </w:p>
    <w:p w:rsidR="008D1DCC" w:rsidRPr="005A3FF6" w:rsidRDefault="00C61E8E" w:rsidP="00C61E8E">
      <w:pPr>
        <w:spacing w:before="150"/>
        <w:ind w:left="567" w:hanging="567"/>
      </w:pPr>
      <w:r>
        <w:t>5</w:t>
      </w:r>
      <w:r>
        <w:tab/>
      </w:r>
      <w:r w:rsidR="008D1DCC" w:rsidRPr="005A3FF6">
        <w:t xml:space="preserve">If a medical officer of health or other </w:t>
      </w:r>
      <w:r w:rsidR="008D1DCC">
        <w:t xml:space="preserve">DHB </w:t>
      </w:r>
      <w:r w:rsidR="008D1DCC" w:rsidRPr="005A3FF6">
        <w:t xml:space="preserve">employee takes responsibility for contact tracing, decide whether to nominate a suitably qualified person or organisation to undertake the contact tracing </w:t>
      </w:r>
      <w:r w:rsidR="008D1DCC">
        <w:t>and seek</w:t>
      </w:r>
      <w:r w:rsidR="008D1DCC" w:rsidRPr="005A3FF6">
        <w:t xml:space="preserve"> their agreement.</w:t>
      </w:r>
    </w:p>
    <w:p w:rsidR="008D1DCC" w:rsidRDefault="00C61E8E" w:rsidP="00C61E8E">
      <w:pPr>
        <w:spacing w:before="150"/>
        <w:ind w:left="567" w:hanging="567"/>
      </w:pPr>
      <w:r>
        <w:t>6</w:t>
      </w:r>
      <w:r>
        <w:tab/>
      </w:r>
      <w:r w:rsidR="008D1DCC" w:rsidRPr="005A3FF6">
        <w:t>If a nomination is made, follow up on the contact tracer</w:t>
      </w:r>
      <w:r w:rsidR="003B22F1">
        <w:t>’</w:t>
      </w:r>
      <w:r w:rsidR="008D1DCC" w:rsidRPr="005A3FF6">
        <w:t xml:space="preserve">s </w:t>
      </w:r>
      <w:r w:rsidR="008D1DCC">
        <w:t>progress.</w:t>
      </w:r>
    </w:p>
    <w:p w:rsidR="003B22F1" w:rsidRDefault="00C61E8E" w:rsidP="00C61E8E">
      <w:pPr>
        <w:spacing w:before="150"/>
        <w:ind w:left="567" w:hanging="567"/>
      </w:pPr>
      <w:r>
        <w:t>7</w:t>
      </w:r>
      <w:r>
        <w:tab/>
      </w:r>
      <w:r w:rsidR="008D1DCC">
        <w:t>When a case does not carry out contact tracing on request, or does so inadequately:</w:t>
      </w:r>
    </w:p>
    <w:p w:rsidR="008D1DCC" w:rsidRPr="005E134B" w:rsidRDefault="00C61E8E" w:rsidP="00C61E8E">
      <w:pPr>
        <w:spacing w:before="90"/>
        <w:ind w:left="1134" w:hanging="567"/>
      </w:pPr>
      <w:r>
        <w:t>(a)</w:t>
      </w:r>
      <w:r>
        <w:tab/>
      </w:r>
      <w:r w:rsidR="008D1DCC">
        <w:t>a</w:t>
      </w:r>
      <w:r w:rsidR="008D1DCC" w:rsidRPr="005E134B">
        <w:t>scertain</w:t>
      </w:r>
      <w:r w:rsidR="008D1DCC">
        <w:t xml:space="preserve"> </w:t>
      </w:r>
      <w:r w:rsidR="008D1DCC" w:rsidRPr="005E134B">
        <w:t xml:space="preserve">the identity of each </w:t>
      </w:r>
      <w:r w:rsidR="008D1DCC">
        <w:t>contact</w:t>
      </w:r>
    </w:p>
    <w:p w:rsidR="008D1DCC" w:rsidRPr="005E134B" w:rsidRDefault="00C61E8E" w:rsidP="00C61E8E">
      <w:pPr>
        <w:spacing w:before="90"/>
        <w:ind w:left="1134" w:hanging="567"/>
      </w:pPr>
      <w:r>
        <w:t>(b)</w:t>
      </w:r>
      <w:r>
        <w:tab/>
      </w:r>
      <w:r w:rsidR="008D1DCC" w:rsidRPr="005E134B">
        <w:t>communicat</w:t>
      </w:r>
      <w:r w:rsidR="008D1DCC">
        <w:t>e</w:t>
      </w:r>
      <w:r w:rsidR="008D1DCC" w:rsidRPr="005E134B">
        <w:t xml:space="preserve"> with each contact as far as practicable and appropriate</w:t>
      </w:r>
    </w:p>
    <w:p w:rsidR="008D1DCC" w:rsidRPr="005E134B" w:rsidRDefault="00C61E8E" w:rsidP="00C61E8E">
      <w:pPr>
        <w:spacing w:before="90"/>
        <w:ind w:left="1134" w:hanging="567"/>
      </w:pPr>
      <w:r>
        <w:t>(c)</w:t>
      </w:r>
      <w:r>
        <w:tab/>
      </w:r>
      <w:r w:rsidR="008D1DCC" w:rsidRPr="005E134B">
        <w:t>ascertain the circumstances in which the disease may have been t</w:t>
      </w:r>
      <w:r w:rsidR="008D1DCC">
        <w:t>ransmitted to or by the contact</w:t>
      </w:r>
    </w:p>
    <w:p w:rsidR="008D1DCC" w:rsidRPr="005E134B" w:rsidRDefault="00C61E8E" w:rsidP="00C61E8E">
      <w:pPr>
        <w:spacing w:before="90"/>
        <w:ind w:left="1134" w:hanging="567"/>
      </w:pPr>
      <w:r>
        <w:t>(d)</w:t>
      </w:r>
      <w:r>
        <w:tab/>
      </w:r>
      <w:r w:rsidR="008D1DCC">
        <w:t>provide</w:t>
      </w:r>
      <w:r w:rsidR="008D1DCC" w:rsidRPr="005E134B">
        <w:t xml:space="preserve"> information and advice to contacts on the disease</w:t>
      </w:r>
      <w:r w:rsidR="008D1DCC">
        <w:t>;</w:t>
      </w:r>
      <w:r w:rsidR="008D1DCC" w:rsidRPr="005E134B">
        <w:t xml:space="preserve"> risks of transmission</w:t>
      </w:r>
      <w:r w:rsidR="008D1DCC">
        <w:t>;</w:t>
      </w:r>
      <w:r w:rsidR="008D1DCC" w:rsidRPr="005E134B">
        <w:t xml:space="preserve"> medical examinations</w:t>
      </w:r>
      <w:r w:rsidR="008D1DCC">
        <w:t>; and</w:t>
      </w:r>
      <w:r w:rsidR="008D1DCC" w:rsidRPr="005E134B">
        <w:t xml:space="preserve"> appropriate exclus</w:t>
      </w:r>
      <w:r w:rsidR="008D1DCC">
        <w:t>ion, treatment and prophylaxis</w:t>
      </w:r>
    </w:p>
    <w:p w:rsidR="003B22F1" w:rsidRDefault="00C61E8E" w:rsidP="00C61E8E">
      <w:pPr>
        <w:spacing w:before="90"/>
        <w:ind w:left="1134" w:hanging="567"/>
      </w:pPr>
      <w:r>
        <w:t>(e)</w:t>
      </w:r>
      <w:r>
        <w:tab/>
      </w:r>
      <w:r w:rsidR="008D1DCC">
        <w:t>obtain</w:t>
      </w:r>
      <w:r w:rsidR="008D1DCC" w:rsidRPr="005E134B">
        <w:t xml:space="preserve"> information about the contacts of </w:t>
      </w:r>
      <w:r w:rsidR="008D1DCC">
        <w:t xml:space="preserve">each </w:t>
      </w:r>
      <w:r w:rsidR="008D1DCC" w:rsidRPr="005E134B">
        <w:t>contact (</w:t>
      </w:r>
      <w:r w:rsidR="008D1DCC">
        <w:t xml:space="preserve">eg, </w:t>
      </w:r>
      <w:r w:rsidR="008D1DCC" w:rsidRPr="005E134B">
        <w:t>names, ages, sex, addresses and any other information required by regulations).</w:t>
      </w:r>
      <w:r w:rsidR="008D1DCC" w:rsidRPr="00C61E8E">
        <w:rPr>
          <w:rStyle w:val="FootnoteReference"/>
        </w:rPr>
        <w:footnoteReference w:id="63"/>
      </w:r>
    </w:p>
    <w:p w:rsidR="008D1DCC" w:rsidRPr="005E134B" w:rsidRDefault="00C61E8E" w:rsidP="00C61E8E">
      <w:pPr>
        <w:spacing w:before="150"/>
        <w:ind w:left="567" w:hanging="567"/>
      </w:pPr>
      <w:r>
        <w:t>8</w:t>
      </w:r>
      <w:r>
        <w:tab/>
      </w:r>
      <w:r w:rsidR="008D1DCC" w:rsidRPr="005E134B">
        <w:t>When the case is under 16 or</w:t>
      </w:r>
      <w:r w:rsidR="008D1DCC">
        <w:t xml:space="preserve"> lacks legal capacity, approach</w:t>
      </w:r>
      <w:r w:rsidR="008D1DCC" w:rsidRPr="005E134B">
        <w:t xml:space="preserve"> the legal representative, parent, guardian or person</w:t>
      </w:r>
      <w:r w:rsidR="008D1DCC">
        <w:t xml:space="preserve"> responsible</w:t>
      </w:r>
      <w:r w:rsidR="008D1DCC" w:rsidRPr="005E134B">
        <w:t xml:space="preserve"> for information about contacts.</w:t>
      </w:r>
    </w:p>
    <w:p w:rsidR="008D1DCC" w:rsidRPr="005E134B" w:rsidRDefault="00C61E8E" w:rsidP="00C61E8E">
      <w:pPr>
        <w:spacing w:before="150"/>
        <w:ind w:left="567" w:hanging="567"/>
      </w:pPr>
      <w:r>
        <w:t>9</w:t>
      </w:r>
      <w:r>
        <w:tab/>
      </w:r>
      <w:r w:rsidR="008D1DCC" w:rsidRPr="005E134B">
        <w:t>Where relevant and necessary, obtain information from</w:t>
      </w:r>
      <w:r w:rsidR="008D1DCC">
        <w:t xml:space="preserve"> any of</w:t>
      </w:r>
      <w:r w:rsidR="008D1DCC" w:rsidRPr="005E134B">
        <w:t>:</w:t>
      </w:r>
    </w:p>
    <w:p w:rsidR="008D1DCC" w:rsidRPr="005E134B" w:rsidRDefault="00C61E8E" w:rsidP="00C61E8E">
      <w:pPr>
        <w:spacing w:before="90"/>
        <w:ind w:left="1134" w:hanging="567"/>
      </w:pPr>
      <w:r>
        <w:t>(a)</w:t>
      </w:r>
      <w:r>
        <w:tab/>
      </w:r>
      <w:r w:rsidR="008D1DCC" w:rsidRPr="005E134B">
        <w:t>the case</w:t>
      </w:r>
      <w:r w:rsidR="003B22F1">
        <w:t>’</w:t>
      </w:r>
      <w:r w:rsidR="008D1DCC" w:rsidRPr="005E134B">
        <w:t>s employer</w:t>
      </w:r>
    </w:p>
    <w:p w:rsidR="008D1DCC" w:rsidRPr="005E134B" w:rsidRDefault="00C61E8E" w:rsidP="00C61E8E">
      <w:pPr>
        <w:spacing w:before="90"/>
        <w:ind w:left="1134" w:hanging="567"/>
      </w:pPr>
      <w:r>
        <w:t>(b)</w:t>
      </w:r>
      <w:r>
        <w:tab/>
      </w:r>
      <w:r w:rsidR="008D1DCC" w:rsidRPr="005E134B">
        <w:t>an educational institution the case attends</w:t>
      </w:r>
    </w:p>
    <w:p w:rsidR="008D1DCC" w:rsidRPr="005E134B" w:rsidRDefault="00C61E8E" w:rsidP="00C61E8E">
      <w:pPr>
        <w:spacing w:before="90"/>
        <w:ind w:left="1134" w:hanging="567"/>
      </w:pPr>
      <w:r>
        <w:t>(c)</w:t>
      </w:r>
      <w:r>
        <w:tab/>
      </w:r>
      <w:r w:rsidR="008D1DCC" w:rsidRPr="005E134B">
        <w:t>any business or other organisati</w:t>
      </w:r>
      <w:r w:rsidR="008D1DCC">
        <w:t>on that the case has dealt with</w:t>
      </w:r>
    </w:p>
    <w:p w:rsidR="008D1DCC" w:rsidRPr="005E134B" w:rsidRDefault="00C61E8E" w:rsidP="00C61E8E">
      <w:pPr>
        <w:spacing w:before="90"/>
        <w:ind w:left="1134" w:hanging="567"/>
      </w:pPr>
      <w:r>
        <w:t>(d)</w:t>
      </w:r>
      <w:r>
        <w:tab/>
      </w:r>
      <w:r w:rsidR="008D1DCC" w:rsidRPr="005E134B">
        <w:t>an event co-ordinator or other person likely to have a list of people attending an event.</w:t>
      </w:r>
    </w:p>
    <w:p w:rsidR="008D1DCC" w:rsidRPr="005E134B" w:rsidRDefault="00C61E8E" w:rsidP="00C61E8E">
      <w:pPr>
        <w:spacing w:before="150"/>
        <w:ind w:left="567" w:hanging="567"/>
      </w:pPr>
      <w:r>
        <w:t>10</w:t>
      </w:r>
      <w:r>
        <w:tab/>
      </w:r>
      <w:r w:rsidR="008D1DCC" w:rsidRPr="005E134B">
        <w:t xml:space="preserve">Comply with the duty of confidentiality </w:t>
      </w:r>
      <w:r w:rsidR="008D1DCC">
        <w:t>applying to the information obtained:</w:t>
      </w:r>
      <w:r w:rsidR="003B22F1">
        <w:t xml:space="preserve"> </w:t>
      </w:r>
      <w:r w:rsidR="008D1DCC">
        <w:t>do not use or disclose</w:t>
      </w:r>
      <w:r w:rsidR="008D1DCC" w:rsidRPr="005E134B">
        <w:t xml:space="preserve"> the information unless </w:t>
      </w:r>
      <w:r w:rsidR="008D1DCC">
        <w:t xml:space="preserve">it </w:t>
      </w:r>
      <w:r w:rsidR="008D1DCC" w:rsidRPr="005E134B">
        <w:t xml:space="preserve">is necessary for effective management of disease, and </w:t>
      </w:r>
      <w:r w:rsidR="008D1DCC">
        <w:t xml:space="preserve">do </w:t>
      </w:r>
      <w:r w:rsidR="008D1DCC" w:rsidRPr="005E134B">
        <w:t>not disclos</w:t>
      </w:r>
      <w:r w:rsidR="008D1DCC">
        <w:t>e</w:t>
      </w:r>
      <w:r w:rsidR="008D1DCC" w:rsidRPr="005E134B">
        <w:t xml:space="preserve"> the case</w:t>
      </w:r>
      <w:r w:rsidR="003B22F1">
        <w:t>’</w:t>
      </w:r>
      <w:r w:rsidR="008D1DCC" w:rsidRPr="005E134B">
        <w:t>s identity as far as practicable.</w:t>
      </w:r>
    </w:p>
    <w:p w:rsidR="00C61E8E" w:rsidRDefault="00C61E8E" w:rsidP="00C61E8E"/>
    <w:p w:rsidR="008D1DCC" w:rsidRPr="005A3FF6" w:rsidRDefault="008D1DCC" w:rsidP="00C61E8E">
      <w:pPr>
        <w:pStyle w:val="Heading3"/>
      </w:pPr>
      <w:r w:rsidRPr="005A3FF6">
        <w:t xml:space="preserve">For medical </w:t>
      </w:r>
      <w:r>
        <w:t xml:space="preserve">officers of health only (also see </w:t>
      </w:r>
      <w:r w:rsidRPr="005A3FF6">
        <w:t>chapter</w:t>
      </w:r>
      <w:r>
        <w:t>s</w:t>
      </w:r>
      <w:r w:rsidRPr="005A3FF6">
        <w:t xml:space="preserve"> </w:t>
      </w:r>
      <w:r>
        <w:t xml:space="preserve">8 and 9 </w:t>
      </w:r>
      <w:r w:rsidRPr="005A3FF6">
        <w:t>on directions</w:t>
      </w:r>
      <w:r>
        <w:t xml:space="preserve"> and court orders</w:t>
      </w:r>
      <w:r w:rsidRPr="005A3FF6">
        <w:t>)</w:t>
      </w:r>
      <w:r w:rsidRPr="00C61E8E">
        <w:rPr>
          <w:rStyle w:val="FootnoteReference"/>
          <w:b w:val="0"/>
        </w:rPr>
        <w:footnoteReference w:id="64"/>
      </w:r>
    </w:p>
    <w:p w:rsidR="008D1DCC" w:rsidRDefault="00C61E8E" w:rsidP="00C61E8E">
      <w:pPr>
        <w:spacing w:before="150"/>
        <w:ind w:left="567" w:hanging="567"/>
      </w:pPr>
      <w:r>
        <w:t>11</w:t>
      </w:r>
      <w:r>
        <w:tab/>
      </w:r>
      <w:r w:rsidR="008D1DCC" w:rsidRPr="005E134B">
        <w:t>After considering and/or applying voluntary instructions, decid</w:t>
      </w:r>
      <w:r w:rsidR="008D1DCC">
        <w:t xml:space="preserve">e whether </w:t>
      </w:r>
      <w:r w:rsidR="008D1DCC" w:rsidRPr="005E134B">
        <w:t>to impose directions on the contact</w:t>
      </w:r>
      <w:r w:rsidR="008D1DCC">
        <w:t xml:space="preserve"> (eg, </w:t>
      </w:r>
      <w:r w:rsidR="008D1DCC" w:rsidRPr="005E134B">
        <w:t>as</w:t>
      </w:r>
      <w:r w:rsidR="008D1DCC">
        <w:t xml:space="preserve"> part of </w:t>
      </w:r>
      <w:r w:rsidR="008D1DCC" w:rsidRPr="005E134B">
        <w:t xml:space="preserve">a medical examination direction, a </w:t>
      </w:r>
      <w:r w:rsidR="008D1DCC">
        <w:t xml:space="preserve">condition to use prophylaxis, or </w:t>
      </w:r>
      <w:r w:rsidR="008D1DCC" w:rsidRPr="005E134B">
        <w:t>to attend counselling or educational courses</w:t>
      </w:r>
      <w:r w:rsidR="008D1DCC">
        <w:t>)</w:t>
      </w:r>
      <w:r w:rsidR="008D1DCC" w:rsidRPr="005E134B">
        <w:t>.</w:t>
      </w:r>
    </w:p>
    <w:p w:rsidR="008D1DCC" w:rsidRPr="005E134B" w:rsidRDefault="00C61E8E" w:rsidP="00C61E8E">
      <w:pPr>
        <w:spacing w:before="150"/>
        <w:ind w:left="567" w:hanging="567"/>
      </w:pPr>
      <w:r>
        <w:t>12</w:t>
      </w:r>
      <w:r>
        <w:tab/>
      </w:r>
      <w:r w:rsidR="008D1DCC">
        <w:t xml:space="preserve">Consult with the Director of Public Health where appropriate, and always consult when the disease is an </w:t>
      </w:r>
      <w:r w:rsidR="003B22F1">
        <w:t>‘</w:t>
      </w:r>
      <w:r w:rsidR="008D1DCC">
        <w:t>other infectious disease</w:t>
      </w:r>
      <w:r w:rsidR="003B22F1">
        <w:t>’</w:t>
      </w:r>
      <w:r w:rsidR="008D1DCC">
        <w:t xml:space="preserve"> listed in Part 2 of Schedule 1 of the Health Act, before proceeding.</w:t>
      </w:r>
    </w:p>
    <w:p w:rsidR="003B22F1" w:rsidRDefault="00C61E8E" w:rsidP="00C61E8E">
      <w:pPr>
        <w:spacing w:before="150"/>
        <w:ind w:left="567" w:hanging="567"/>
      </w:pPr>
      <w:r>
        <w:t>13</w:t>
      </w:r>
      <w:r>
        <w:tab/>
      </w:r>
      <w:r w:rsidR="008D1DCC">
        <w:t xml:space="preserve">Impose </w:t>
      </w:r>
      <w:r w:rsidR="008D1DCC" w:rsidRPr="005E134B">
        <w:t xml:space="preserve">the directions by serving </w:t>
      </w:r>
      <w:r w:rsidR="008D1DCC">
        <w:t>them on the contact, and provide relevant</w:t>
      </w:r>
      <w:r w:rsidR="008D1DCC" w:rsidRPr="005E134B">
        <w:t xml:space="preserve"> information.</w:t>
      </w:r>
    </w:p>
    <w:p w:rsidR="008D1DCC" w:rsidRDefault="00C61E8E" w:rsidP="00C61E8E">
      <w:pPr>
        <w:spacing w:before="150"/>
        <w:ind w:left="567" w:hanging="567"/>
      </w:pPr>
      <w:r>
        <w:t>14</w:t>
      </w:r>
      <w:r>
        <w:tab/>
      </w:r>
      <w:r w:rsidR="008D1DCC" w:rsidRPr="005E134B">
        <w:t xml:space="preserve">If voluntary means have failed, and directions have failed or are inappropriate in </w:t>
      </w:r>
      <w:r w:rsidR="008D1DCC">
        <w:t>the particular situation, decide</w:t>
      </w:r>
      <w:r w:rsidR="008D1DCC" w:rsidRPr="005E134B">
        <w:t xml:space="preserve"> whether it is necessary to apply for an order for contacts </w:t>
      </w:r>
      <w:r w:rsidR="008D1DCC">
        <w:t xml:space="preserve">(eg, to impose requirements on the contacts </w:t>
      </w:r>
      <w:r w:rsidR="008D1DCC" w:rsidRPr="005E134B">
        <w:t xml:space="preserve">– </w:t>
      </w:r>
      <w:r w:rsidR="008D1DCC">
        <w:t xml:space="preserve">these are </w:t>
      </w:r>
      <w:r w:rsidR="008D1DCC" w:rsidRPr="005E134B">
        <w:t>listed in section 92ZA(1)(b),(c),(d),(h),(i), and (j)</w:t>
      </w:r>
      <w:r w:rsidR="008D1DCC">
        <w:t>)</w:t>
      </w:r>
      <w:r w:rsidR="008D1DCC" w:rsidRPr="005E134B">
        <w:t>.</w:t>
      </w:r>
    </w:p>
    <w:p w:rsidR="008D1DCC" w:rsidRPr="005E134B" w:rsidRDefault="00C61E8E" w:rsidP="00C61E8E">
      <w:pPr>
        <w:spacing w:before="150"/>
        <w:ind w:left="567" w:hanging="567"/>
      </w:pPr>
      <w:r>
        <w:t>15</w:t>
      </w:r>
      <w:r>
        <w:tab/>
      </w:r>
      <w:r w:rsidR="008D1DCC">
        <w:t xml:space="preserve">Consult with the Director of Public Health where appropriate, and always when the disease is an </w:t>
      </w:r>
      <w:r w:rsidR="003B22F1">
        <w:t>‘</w:t>
      </w:r>
      <w:r w:rsidR="008D1DCC">
        <w:t>other infectious disease</w:t>
      </w:r>
      <w:r w:rsidR="003B22F1">
        <w:t>’</w:t>
      </w:r>
      <w:r w:rsidR="008D1DCC">
        <w:t xml:space="preserve"> listed in Part 2 of Schedule 1of the Act before proceeding.</w:t>
      </w:r>
    </w:p>
    <w:p w:rsidR="003B22F1" w:rsidRDefault="00C61E8E" w:rsidP="00C61E8E">
      <w:pPr>
        <w:spacing w:before="150"/>
        <w:ind w:left="567" w:hanging="567"/>
      </w:pPr>
      <w:r>
        <w:t>16</w:t>
      </w:r>
      <w:r>
        <w:tab/>
      </w:r>
      <w:r w:rsidR="008D1DCC">
        <w:t xml:space="preserve">If a </w:t>
      </w:r>
      <w:r w:rsidR="008D1DCC" w:rsidRPr="005E134B">
        <w:t>case has been asked for information about contacts</w:t>
      </w:r>
      <w:r w:rsidR="008D1DCC">
        <w:t xml:space="preserve"> and has failed to provide it</w:t>
      </w:r>
      <w:r w:rsidR="008D1DCC" w:rsidRPr="005E134B">
        <w:t xml:space="preserve">, </w:t>
      </w:r>
      <w:r w:rsidR="008D1DCC">
        <w:t xml:space="preserve">consider </w:t>
      </w:r>
      <w:r w:rsidR="008D1DCC" w:rsidRPr="005E134B">
        <w:t>proceed</w:t>
      </w:r>
      <w:r w:rsidR="008D1DCC">
        <w:t>ing</w:t>
      </w:r>
      <w:r w:rsidR="008D1DCC" w:rsidRPr="005E134B">
        <w:t xml:space="preserve"> with prosecution</w:t>
      </w:r>
      <w:r w:rsidR="008D1DCC">
        <w:t xml:space="preserve"> for obstruction or for providing misleading information</w:t>
      </w:r>
      <w:r w:rsidR="008D1DCC" w:rsidRPr="005E134B">
        <w:t>.</w:t>
      </w:r>
    </w:p>
    <w:p w:rsidR="008D1DCC" w:rsidRDefault="00C61E8E" w:rsidP="00C61E8E">
      <w:pPr>
        <w:spacing w:before="150"/>
        <w:ind w:left="567" w:hanging="567"/>
      </w:pPr>
      <w:r>
        <w:t>17</w:t>
      </w:r>
      <w:r>
        <w:tab/>
      </w:r>
      <w:r w:rsidR="008D1DCC">
        <w:t>Consult with the Director of Public Health where appropriate.</w:t>
      </w:r>
    </w:p>
    <w:p w:rsidR="008D1DCC" w:rsidRPr="005E134B" w:rsidRDefault="00C61E8E" w:rsidP="00C61E8E">
      <w:pPr>
        <w:spacing w:before="150"/>
        <w:ind w:left="567" w:hanging="567"/>
      </w:pPr>
      <w:r>
        <w:t>18</w:t>
      </w:r>
      <w:r>
        <w:tab/>
      </w:r>
      <w:r w:rsidR="008D1DCC">
        <w:t>If the medical officer of health decides to proceed with prosecution, refer the matter to the Ministry of Health</w:t>
      </w:r>
      <w:r w:rsidR="003B22F1">
        <w:t>’</w:t>
      </w:r>
      <w:r w:rsidR="008D1DCC">
        <w:t>s Enforcement Unit for further consideration.</w:t>
      </w:r>
    </w:p>
    <w:p w:rsidR="008D1DCC" w:rsidRPr="00584182" w:rsidRDefault="008D1DCC" w:rsidP="00C61E8E"/>
    <w:p w:rsidR="008D1DCC" w:rsidRDefault="008D1DCC" w:rsidP="00C61E8E">
      <w:pPr>
        <w:pStyle w:val="Heading2"/>
      </w:pPr>
      <w:bookmarkStart w:id="44" w:name="_Toc473538539"/>
      <w:r>
        <w:t>C</w:t>
      </w:r>
      <w:r w:rsidRPr="00584182">
        <w:t>ontact tracing resources</w:t>
      </w:r>
      <w:r>
        <w:t>: sexually transmitted infections</w:t>
      </w:r>
      <w:bookmarkEnd w:id="4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694"/>
        <w:gridCol w:w="1701"/>
        <w:gridCol w:w="4961"/>
      </w:tblGrid>
      <w:tr w:rsidR="00E23FB9" w:rsidRPr="00C61E8E" w:rsidTr="00E23FB9">
        <w:trPr>
          <w:cantSplit/>
          <w:tblHeader/>
        </w:trPr>
        <w:tc>
          <w:tcPr>
            <w:tcW w:w="2694" w:type="dxa"/>
            <w:tcBorders>
              <w:top w:val="single" w:sz="4" w:space="0" w:color="auto"/>
              <w:bottom w:val="single" w:sz="4" w:space="0" w:color="auto"/>
            </w:tcBorders>
            <w:shd w:val="clear" w:color="auto" w:fill="auto"/>
          </w:tcPr>
          <w:p w:rsidR="008D1DCC" w:rsidRPr="00C61E8E" w:rsidRDefault="008D1DCC" w:rsidP="00C61E8E">
            <w:pPr>
              <w:pStyle w:val="TableText"/>
              <w:rPr>
                <w:b/>
              </w:rPr>
            </w:pPr>
            <w:r w:rsidRPr="00C61E8E">
              <w:rPr>
                <w:b/>
              </w:rPr>
              <w:t>Publisher and/or author</w:t>
            </w:r>
          </w:p>
        </w:tc>
        <w:tc>
          <w:tcPr>
            <w:tcW w:w="1701" w:type="dxa"/>
            <w:tcBorders>
              <w:top w:val="single" w:sz="4" w:space="0" w:color="auto"/>
              <w:bottom w:val="single" w:sz="4" w:space="0" w:color="auto"/>
            </w:tcBorders>
            <w:shd w:val="clear" w:color="auto" w:fill="auto"/>
          </w:tcPr>
          <w:p w:rsidR="008D1DCC" w:rsidRPr="00C61E8E" w:rsidRDefault="008D1DCC" w:rsidP="00E23FB9">
            <w:pPr>
              <w:pStyle w:val="TableText"/>
              <w:jc w:val="center"/>
              <w:rPr>
                <w:b/>
              </w:rPr>
            </w:pPr>
            <w:r w:rsidRPr="00C61E8E">
              <w:rPr>
                <w:b/>
              </w:rPr>
              <w:t>Year</w:t>
            </w:r>
          </w:p>
        </w:tc>
        <w:tc>
          <w:tcPr>
            <w:tcW w:w="4961" w:type="dxa"/>
            <w:tcBorders>
              <w:top w:val="single" w:sz="4" w:space="0" w:color="auto"/>
              <w:bottom w:val="single" w:sz="4" w:space="0" w:color="auto"/>
            </w:tcBorders>
            <w:shd w:val="clear" w:color="auto" w:fill="auto"/>
          </w:tcPr>
          <w:p w:rsidR="008D1DCC" w:rsidRPr="00C61E8E" w:rsidRDefault="008D1DCC" w:rsidP="00C61E8E">
            <w:pPr>
              <w:pStyle w:val="TableText"/>
              <w:rPr>
                <w:b/>
              </w:rPr>
            </w:pPr>
            <w:r w:rsidRPr="00C61E8E">
              <w:rPr>
                <w:b/>
              </w:rPr>
              <w:t>Title and general website address</w:t>
            </w:r>
          </w:p>
        </w:tc>
      </w:tr>
      <w:tr w:rsidR="008D1DCC" w:rsidRPr="009E742C" w:rsidTr="00E23FB9">
        <w:trPr>
          <w:cantSplit/>
        </w:trPr>
        <w:tc>
          <w:tcPr>
            <w:tcW w:w="2694" w:type="dxa"/>
            <w:tcBorders>
              <w:top w:val="single" w:sz="4" w:space="0" w:color="auto"/>
              <w:bottom w:val="single" w:sz="4" w:space="0" w:color="A6A6A6" w:themeColor="background1" w:themeShade="A6"/>
            </w:tcBorders>
            <w:shd w:val="clear" w:color="auto" w:fill="auto"/>
          </w:tcPr>
          <w:p w:rsidR="008D1DCC" w:rsidRPr="009E742C" w:rsidRDefault="008D1DCC" w:rsidP="00C61E8E">
            <w:pPr>
              <w:pStyle w:val="TableText"/>
            </w:pPr>
            <w:r w:rsidRPr="009E742C">
              <w:t>New Zealand Sexual Health Society</w:t>
            </w:r>
          </w:p>
        </w:tc>
        <w:tc>
          <w:tcPr>
            <w:tcW w:w="1701" w:type="dxa"/>
            <w:tcBorders>
              <w:top w:val="single" w:sz="4" w:space="0" w:color="auto"/>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2012</w:t>
            </w:r>
          </w:p>
        </w:tc>
        <w:tc>
          <w:tcPr>
            <w:tcW w:w="4961" w:type="dxa"/>
            <w:tcBorders>
              <w:top w:val="single" w:sz="4" w:space="0" w:color="auto"/>
              <w:bottom w:val="single" w:sz="4" w:space="0" w:color="A6A6A6" w:themeColor="background1" w:themeShade="A6"/>
            </w:tcBorders>
            <w:shd w:val="clear" w:color="auto" w:fill="auto"/>
          </w:tcPr>
          <w:p w:rsidR="00E23FB9" w:rsidRDefault="008D1DCC" w:rsidP="00C61E8E">
            <w:pPr>
              <w:pStyle w:val="TableText"/>
            </w:pPr>
            <w:r w:rsidRPr="00F931D8">
              <w:rPr>
                <w:i/>
              </w:rPr>
              <w:t xml:space="preserve">Partner Notification Management </w:t>
            </w:r>
            <w:r w:rsidR="00C61E8E">
              <w:rPr>
                <w:i/>
              </w:rPr>
              <w:t xml:space="preserve">– </w:t>
            </w:r>
            <w:r w:rsidRPr="00F931D8">
              <w:rPr>
                <w:i/>
              </w:rPr>
              <w:t>Summary</w:t>
            </w:r>
          </w:p>
          <w:p w:rsidR="008D1DCC" w:rsidRPr="002875B9" w:rsidRDefault="008D1DCC" w:rsidP="00C61E8E">
            <w:pPr>
              <w:pStyle w:val="TableText"/>
            </w:pPr>
            <w:r w:rsidRPr="002875B9">
              <w:t>www.nzshs.org</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pPr>
            <w:r w:rsidRPr="009E742C">
              <w:t>Australian Society for HIV Medicine</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2010</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C61E8E">
            <w:pPr>
              <w:pStyle w:val="TableText"/>
            </w:pPr>
            <w:r w:rsidRPr="009E742C">
              <w:t>Australasian Contact Tracing Manual, 4</w:t>
            </w:r>
            <w:r w:rsidRPr="009E742C">
              <w:rPr>
                <w:vertAlign w:val="superscript"/>
              </w:rPr>
              <w:t>th</w:t>
            </w:r>
            <w:r>
              <w:t xml:space="preserve"> ed</w:t>
            </w:r>
            <w:r w:rsidR="00C61E8E">
              <w:t>ition</w:t>
            </w:r>
          </w:p>
          <w:p w:rsidR="008D1DCC" w:rsidRPr="002875B9" w:rsidRDefault="008D1DCC" w:rsidP="00C61E8E">
            <w:pPr>
              <w:pStyle w:val="TableText"/>
            </w:pPr>
            <w:r w:rsidRPr="002875B9">
              <w:t>www.ashm.org.au</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rsidRPr="009E742C">
              <w:t>Ontario Ministry of Health and Long</w:t>
            </w:r>
            <w:r w:rsidR="003B22F1">
              <w:t xml:space="preserve"> – </w:t>
            </w:r>
            <w:r w:rsidRPr="009E742C">
              <w:t>Term Care</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2009</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C61E8E">
            <w:pPr>
              <w:pStyle w:val="TableText"/>
            </w:pPr>
            <w:r w:rsidRPr="002875B9">
              <w:rPr>
                <w:i/>
              </w:rPr>
              <w:t>Sexually Transmitted Infections Case Management and Contact Tracing Best Practice Recommendations</w:t>
            </w:r>
          </w:p>
          <w:p w:rsidR="008D1DCC" w:rsidRPr="002875B9" w:rsidRDefault="008D1DCC" w:rsidP="00C61E8E">
            <w:pPr>
              <w:pStyle w:val="TableText"/>
            </w:pPr>
            <w:r w:rsidRPr="002875B9">
              <w:t>www.publichealthontario.ca/en/eRepository/STIs</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rsidRPr="009E742C">
              <w:t>Public Health Agency of Canada</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2015</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C61E8E">
            <w:pPr>
              <w:pStyle w:val="TableText"/>
            </w:pPr>
            <w:r w:rsidRPr="002875B9">
              <w:rPr>
                <w:i/>
              </w:rPr>
              <w:t>Canadian Guidelines on Sexually Transmitted Infections</w:t>
            </w:r>
          </w:p>
          <w:p w:rsidR="008D1DCC" w:rsidRPr="002875B9" w:rsidRDefault="008D1DCC" w:rsidP="00C61E8E">
            <w:pPr>
              <w:pStyle w:val="TableText"/>
            </w:pPr>
            <w:r w:rsidRPr="002875B9">
              <w:t>www.phac-aspc.gc.ca</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t>Department of Health, Health Protection Agency,</w:t>
            </w:r>
            <w:r w:rsidRPr="009E742C">
              <w:t xml:space="preserve"> Chartered Ins</w:t>
            </w:r>
            <w:r>
              <w:t xml:space="preserve">titute of Environmental Health, </w:t>
            </w:r>
            <w:r w:rsidRPr="009E742C">
              <w:t>National Health Service</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2010</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C61E8E">
            <w:pPr>
              <w:pStyle w:val="TableText"/>
            </w:pPr>
            <w:r w:rsidRPr="002875B9">
              <w:rPr>
                <w:i/>
              </w:rPr>
              <w:t>Health Protection Legislation (England) Guidance 2010</w:t>
            </w:r>
          </w:p>
          <w:p w:rsidR="008D1DCC" w:rsidRPr="002875B9" w:rsidRDefault="008D1DCC" w:rsidP="00C61E8E">
            <w:pPr>
              <w:pStyle w:val="TableText"/>
            </w:pPr>
            <w:r w:rsidRPr="002875B9">
              <w:t>www.webarchive.nationalarchives.gov.uk</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rsidRPr="009E742C">
              <w:rPr>
                <w:bCs/>
              </w:rPr>
              <w:t>NSW Sexually Transmi</w:t>
            </w:r>
            <w:r w:rsidR="00E23FB9">
              <w:rPr>
                <w:bCs/>
              </w:rPr>
              <w:t>ssible Infections Programs Unit</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2013</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E23FB9">
            <w:pPr>
              <w:pStyle w:val="TableText"/>
            </w:pPr>
            <w:r w:rsidRPr="002875B9">
              <w:rPr>
                <w:i/>
              </w:rPr>
              <w:t>STI Contact Tracing Tool for General Practice</w:t>
            </w:r>
          </w:p>
          <w:p w:rsidR="008D1DCC" w:rsidRPr="009E742C" w:rsidRDefault="008D1DCC" w:rsidP="00E23FB9">
            <w:pPr>
              <w:pStyle w:val="TableText"/>
              <w:rPr>
                <w:i/>
              </w:rPr>
            </w:pPr>
            <w:r w:rsidRPr="002875B9">
              <w:t>www.stipu.nsw.gov.au</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rsidRPr="009E742C">
              <w:t>Australian Sexual Health Alliance</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2015</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3B22F1" w:rsidP="00E23FB9">
            <w:pPr>
              <w:pStyle w:val="TableText"/>
            </w:pPr>
            <w:r>
              <w:t>“</w:t>
            </w:r>
            <w:r w:rsidR="008D1DCC" w:rsidRPr="00F749D4">
              <w:t>Taking a Sexual History and Contact Tracing</w:t>
            </w:r>
            <w:r>
              <w:t>”</w:t>
            </w:r>
            <w:r w:rsidR="008D1DCC" w:rsidRPr="00AF012A">
              <w:t xml:space="preserve"> in</w:t>
            </w:r>
            <w:r w:rsidR="008D1DCC">
              <w:rPr>
                <w:i/>
              </w:rPr>
              <w:t xml:space="preserve"> Australian STI Management Guidelines for Use in Primary Care</w:t>
            </w:r>
          </w:p>
          <w:p w:rsidR="008D1DCC" w:rsidRPr="00F749D4" w:rsidRDefault="008D1DCC" w:rsidP="00E23FB9">
            <w:pPr>
              <w:pStyle w:val="TableText"/>
            </w:pPr>
            <w:r w:rsidRPr="00F749D4">
              <w:t>www.sti.guidelines.org.au</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rsidRPr="009E742C">
              <w:t xml:space="preserve">Centres for </w:t>
            </w:r>
            <w:r>
              <w:t xml:space="preserve">Disease Control and Prevention, </w:t>
            </w:r>
            <w:r w:rsidRPr="009E742C">
              <w:t>Health Resources and Services Administration, National Institu</w:t>
            </w:r>
            <w:r w:rsidR="00E23FB9">
              <w:t>tes of Health</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2014</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E23FB9">
            <w:pPr>
              <w:pStyle w:val="TableText"/>
            </w:pPr>
            <w:r w:rsidRPr="00AF012A">
              <w:rPr>
                <w:i/>
              </w:rPr>
              <w:t>Recommendations for HIV Prevention with Adults and Adolescents with HIV in the United States</w:t>
            </w:r>
            <w:r w:rsidRPr="009E742C">
              <w:t>, 2014</w:t>
            </w:r>
            <w:r w:rsidR="00E23FB9">
              <w:t>,</w:t>
            </w:r>
            <w:r w:rsidRPr="009E742C">
              <w:t xml:space="preserve"> Summary for Clinical Providers</w:t>
            </w:r>
          </w:p>
          <w:p w:rsidR="008D1DCC" w:rsidRPr="00F749D4" w:rsidRDefault="008D1DCC" w:rsidP="00E23FB9">
            <w:pPr>
              <w:pStyle w:val="TableText"/>
            </w:pPr>
            <w:r w:rsidRPr="00F749D4">
              <w:t>www.stacks.cdc.gov/view/cdc/26063</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rsidRPr="009E742C">
              <w:t>Burnet Institute</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2012</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E23FB9">
            <w:pPr>
              <w:pStyle w:val="TableText"/>
            </w:pPr>
            <w:r w:rsidRPr="00F749D4">
              <w:rPr>
                <w:i/>
              </w:rPr>
              <w:t>STI/HIV Contact Tracing within Aboriginal Communities in NSW: A Supplementary Report</w:t>
            </w:r>
          </w:p>
          <w:p w:rsidR="008D1DCC" w:rsidRPr="00F749D4" w:rsidRDefault="008D1DCC" w:rsidP="00E23FB9">
            <w:pPr>
              <w:pStyle w:val="TableText"/>
            </w:pPr>
            <w:r w:rsidRPr="00F749D4">
              <w:t>www.stipu.nsw.gov.au/wp-content/uploads</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rsidRPr="009E742C">
              <w:t>Burnet Institute</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2010</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E23FB9">
            <w:pPr>
              <w:pStyle w:val="TableText"/>
            </w:pPr>
            <w:r w:rsidRPr="00F749D4">
              <w:rPr>
                <w:i/>
              </w:rPr>
              <w:t>Partner Notification of Sexually Transmitted Infections in New South Wales: An Informed Literature Review</w:t>
            </w:r>
          </w:p>
          <w:p w:rsidR="008D1DCC" w:rsidRPr="00F749D4" w:rsidRDefault="008D1DCC" w:rsidP="00E23FB9">
            <w:pPr>
              <w:pStyle w:val="TableText"/>
            </w:pPr>
            <w:r w:rsidRPr="00F749D4">
              <w:t>www.stipu.nsw.gov.au/wp-content/uploads</w:t>
            </w:r>
          </w:p>
        </w:tc>
      </w:tr>
      <w:tr w:rsidR="008D1DCC" w:rsidRPr="009E742C" w:rsidTr="00E23FB9">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C61E8E">
            <w:pPr>
              <w:pStyle w:val="TableText"/>
            </w:pPr>
            <w:r>
              <w:t>McClean H, Radcliffe K, Sullivan A, et al.</w:t>
            </w:r>
            <w:r w:rsidR="003B22F1">
              <w:t xml:space="preserve"> </w:t>
            </w:r>
            <w:r w:rsidRPr="00F749D4">
              <w:rPr>
                <w:i/>
              </w:rPr>
              <w:t>International Journal of STD &amp; AIDS</w:t>
            </w:r>
          </w:p>
        </w:tc>
        <w:tc>
          <w:tcPr>
            <w:tcW w:w="1701" w:type="dxa"/>
            <w:tcBorders>
              <w:top w:val="single" w:sz="4" w:space="0" w:color="A6A6A6" w:themeColor="background1" w:themeShade="A6"/>
              <w:bottom w:val="single" w:sz="4" w:space="0" w:color="A6A6A6" w:themeColor="background1" w:themeShade="A6"/>
            </w:tcBorders>
            <w:shd w:val="clear" w:color="auto" w:fill="auto"/>
          </w:tcPr>
          <w:p w:rsidR="008D1DCC" w:rsidRPr="009E742C" w:rsidRDefault="008D1DCC" w:rsidP="00E23FB9">
            <w:pPr>
              <w:pStyle w:val="TableText"/>
              <w:jc w:val="center"/>
            </w:pPr>
            <w:r w:rsidRPr="009E742C">
              <w:t>2013</w:t>
            </w:r>
          </w:p>
        </w:tc>
        <w:tc>
          <w:tcPr>
            <w:tcW w:w="4961" w:type="dxa"/>
            <w:tcBorders>
              <w:top w:val="single" w:sz="4" w:space="0" w:color="A6A6A6" w:themeColor="background1" w:themeShade="A6"/>
              <w:bottom w:val="single" w:sz="4" w:space="0" w:color="A6A6A6" w:themeColor="background1" w:themeShade="A6"/>
            </w:tcBorders>
            <w:shd w:val="clear" w:color="auto" w:fill="auto"/>
          </w:tcPr>
          <w:p w:rsidR="00E23FB9" w:rsidRDefault="008D1DCC" w:rsidP="00E23FB9">
            <w:pPr>
              <w:pStyle w:val="TableText"/>
            </w:pPr>
            <w:r w:rsidRPr="00F749D4">
              <w:rPr>
                <w:i/>
              </w:rPr>
              <w:t>2012 BASHH statement on partner notification for sexually transmissible infections</w:t>
            </w:r>
          </w:p>
          <w:p w:rsidR="008D1DCC" w:rsidRPr="00F749D4" w:rsidRDefault="008D1DCC" w:rsidP="00E23FB9">
            <w:pPr>
              <w:pStyle w:val="TableText"/>
            </w:pPr>
            <w:r w:rsidRPr="00F749D4">
              <w:t>www.bashh.org/documents/2012</w:t>
            </w:r>
          </w:p>
        </w:tc>
      </w:tr>
      <w:tr w:rsidR="008D1DCC" w:rsidRPr="009E742C" w:rsidTr="00E23FB9">
        <w:trPr>
          <w:cantSplit/>
        </w:trPr>
        <w:tc>
          <w:tcPr>
            <w:tcW w:w="2694" w:type="dxa"/>
            <w:tcBorders>
              <w:top w:val="single" w:sz="4" w:space="0" w:color="A6A6A6" w:themeColor="background1" w:themeShade="A6"/>
            </w:tcBorders>
            <w:shd w:val="clear" w:color="auto" w:fill="auto"/>
          </w:tcPr>
          <w:p w:rsidR="008D1DCC" w:rsidRPr="009E742C" w:rsidRDefault="008D1DCC">
            <w:pPr>
              <w:pStyle w:val="TableText"/>
            </w:pPr>
            <w:r w:rsidRPr="00445C43">
              <w:t>Azariah S.</w:t>
            </w:r>
            <w:r w:rsidR="003B22F1">
              <w:rPr>
                <w:i/>
              </w:rPr>
              <w:t xml:space="preserve"> </w:t>
            </w:r>
            <w:r w:rsidRPr="009E742C">
              <w:rPr>
                <w:i/>
              </w:rPr>
              <w:t xml:space="preserve">New Zealand </w:t>
            </w:r>
            <w:r>
              <w:rPr>
                <w:i/>
              </w:rPr>
              <w:t>Medical</w:t>
            </w:r>
            <w:r w:rsidRPr="009E742C">
              <w:rPr>
                <w:i/>
              </w:rPr>
              <w:t xml:space="preserve"> Journal</w:t>
            </w:r>
          </w:p>
        </w:tc>
        <w:tc>
          <w:tcPr>
            <w:tcW w:w="1701" w:type="dxa"/>
            <w:tcBorders>
              <w:top w:val="single" w:sz="4" w:space="0" w:color="A6A6A6" w:themeColor="background1" w:themeShade="A6"/>
            </w:tcBorders>
            <w:shd w:val="clear" w:color="auto" w:fill="auto"/>
          </w:tcPr>
          <w:p w:rsidR="008D1DCC" w:rsidRPr="009E742C" w:rsidRDefault="008D1DCC">
            <w:pPr>
              <w:pStyle w:val="TableText"/>
              <w:jc w:val="center"/>
            </w:pPr>
            <w:r w:rsidRPr="009E742C">
              <w:t>25 May 2012, Vol</w:t>
            </w:r>
            <w:r w:rsidR="00E23FB9">
              <w:t> </w:t>
            </w:r>
            <w:r w:rsidRPr="009E742C">
              <w:t>125 No 1355, pp 62</w:t>
            </w:r>
            <w:r w:rsidR="00E23FB9">
              <w:t>–</w:t>
            </w:r>
            <w:r w:rsidRPr="009E742C">
              <w:t>70.</w:t>
            </w:r>
          </w:p>
        </w:tc>
        <w:tc>
          <w:tcPr>
            <w:tcW w:w="4961" w:type="dxa"/>
            <w:tcBorders>
              <w:top w:val="single" w:sz="4" w:space="0" w:color="A6A6A6" w:themeColor="background1" w:themeShade="A6"/>
            </w:tcBorders>
            <w:shd w:val="clear" w:color="auto" w:fill="auto"/>
          </w:tcPr>
          <w:p w:rsidR="00E23FB9" w:rsidRDefault="008D1DCC" w:rsidP="00E23FB9">
            <w:pPr>
              <w:pStyle w:val="TableText"/>
            </w:pPr>
            <w:r w:rsidRPr="009E742C">
              <w:t>Partner notification for sexually transmitted infections. Why can</w:t>
            </w:r>
            <w:r w:rsidR="003B22F1">
              <w:t>’</w:t>
            </w:r>
            <w:r w:rsidRPr="009E742C">
              <w:t>t we talk about it?</w:t>
            </w:r>
          </w:p>
          <w:p w:rsidR="008D1DCC" w:rsidRPr="009E742C" w:rsidRDefault="008D1DCC" w:rsidP="00E23FB9">
            <w:pPr>
              <w:pStyle w:val="TableText"/>
              <w:rPr>
                <w:i/>
              </w:rPr>
            </w:pPr>
            <w:r w:rsidRPr="009E742C">
              <w:rPr>
                <w:i/>
              </w:rPr>
              <w:t>www.nzma.org.nz/journal</w:t>
            </w:r>
            <w:r w:rsidRPr="00E23FB9">
              <w:rPr>
                <w:rStyle w:val="FootnoteReference"/>
              </w:rPr>
              <w:footnoteReference w:id="65"/>
            </w:r>
          </w:p>
        </w:tc>
      </w:tr>
    </w:tbl>
    <w:p w:rsidR="008D1DCC" w:rsidRDefault="008D1DCC" w:rsidP="00E23FB9"/>
    <w:p w:rsidR="008D1DCC" w:rsidRPr="00715D69" w:rsidRDefault="00E23FB9" w:rsidP="00E23FB9">
      <w:pPr>
        <w:pStyle w:val="Heading1"/>
      </w:pPr>
      <w:bookmarkStart w:id="45" w:name="_Toc473538540"/>
      <w:r>
        <w:t>7</w:t>
      </w:r>
      <w:r>
        <w:tab/>
      </w:r>
      <w:r w:rsidR="008D1DCC" w:rsidRPr="00715D69">
        <w:t>Voluntary measures</w:t>
      </w:r>
      <w:bookmarkEnd w:id="45"/>
    </w:p>
    <w:p w:rsidR="003B22F1" w:rsidRDefault="008D1DCC" w:rsidP="00E23FB9">
      <w:r w:rsidRPr="005E5A8D">
        <w:t>Wherever the public health risk can be prevented or minimised by voluntary measures</w:t>
      </w:r>
      <w:r w:rsidR="00AF012A">
        <w:t>,</w:t>
      </w:r>
      <w:r w:rsidRPr="005E5A8D">
        <w:t xml:space="preserve"> those exercising powers under Part 3A of the Health Act must give the case or contact an opportunity to cooperate. </w:t>
      </w:r>
      <w:r>
        <w:t>T</w:t>
      </w:r>
      <w:r w:rsidRPr="005E5A8D">
        <w:t>his opportunity may arise at several different points in dealings with the person, not merely on initial contact with them.</w:t>
      </w:r>
    </w:p>
    <w:p w:rsidR="00E23FB9" w:rsidRDefault="00E23FB9" w:rsidP="00E23FB9"/>
    <w:p w:rsidR="008D1DCC" w:rsidRPr="005E134B" w:rsidRDefault="008D1DCC" w:rsidP="00E23FB9">
      <w:r w:rsidRPr="005E5A8D">
        <w:t>Voluntary measures undertaken by public health practitioners might include informing the person about their</w:t>
      </w:r>
      <w:r w:rsidRPr="005E134B">
        <w:t xml:space="preserve"> options and the implications of these and creating positive incentives to comply with disease management me</w:t>
      </w:r>
      <w:r>
        <w:t>asures. Depending on the circumstances, these could involve</w:t>
      </w:r>
      <w:r w:rsidRPr="005E134B">
        <w:t>:</w:t>
      </w:r>
    </w:p>
    <w:p w:rsidR="008D1DCC" w:rsidRPr="005E134B" w:rsidRDefault="008D1DCC" w:rsidP="00E23FB9">
      <w:pPr>
        <w:pStyle w:val="Bullet"/>
      </w:pPr>
      <w:r w:rsidRPr="005E134B">
        <w:t>building rapport and understanding of special ci</w:t>
      </w:r>
      <w:r>
        <w:t>rcumstances and vulnerabilities</w:t>
      </w:r>
    </w:p>
    <w:p w:rsidR="008D1DCC" w:rsidRPr="005E134B" w:rsidRDefault="008D1DCC" w:rsidP="00E23FB9">
      <w:pPr>
        <w:pStyle w:val="Bullet"/>
      </w:pPr>
      <w:r w:rsidRPr="005E134B">
        <w:t>holding out the prospect of feeling better with treatment or once uncertainty i</w:t>
      </w:r>
      <w:r>
        <w:t>s removed following a diagnosis</w:t>
      </w:r>
    </w:p>
    <w:p w:rsidR="008D1DCC" w:rsidRPr="005E134B" w:rsidRDefault="008D1DCC" w:rsidP="00E23FB9">
      <w:pPr>
        <w:pStyle w:val="Bullet"/>
      </w:pPr>
      <w:r w:rsidRPr="005E134B">
        <w:t xml:space="preserve">explaining the adverse consequences for the individual or their </w:t>
      </w:r>
      <w:r w:rsidR="00F420AF">
        <w:t>family/</w:t>
      </w:r>
      <w:r w:rsidRPr="005E134B">
        <w:t>wh</w:t>
      </w:r>
      <w:r>
        <w:t>ānau or other associates if he or she</w:t>
      </w:r>
      <w:r w:rsidRPr="005E134B">
        <w:t xml:space="preserve"> do</w:t>
      </w:r>
      <w:r>
        <w:t>es</w:t>
      </w:r>
      <w:r w:rsidRPr="005E134B">
        <w:t xml:space="preserve"> not take action or provide information to </w:t>
      </w:r>
      <w:r>
        <w:t xml:space="preserve">help </w:t>
      </w:r>
      <w:r w:rsidRPr="005E134B">
        <w:t>manage the disease risk</w:t>
      </w:r>
    </w:p>
    <w:p w:rsidR="008D1DCC" w:rsidRPr="005E134B" w:rsidRDefault="008D1DCC" w:rsidP="00E23FB9">
      <w:pPr>
        <w:pStyle w:val="Bullet"/>
      </w:pPr>
      <w:r w:rsidRPr="005E134B">
        <w:t>emphasis</w:t>
      </w:r>
      <w:r>
        <w:t>ing the decisions over which the case or contact has</w:t>
      </w:r>
      <w:r w:rsidRPr="005E134B">
        <w:t xml:space="preserve"> control or a degree of self-autonomy, and encouraging their p</w:t>
      </w:r>
      <w:r>
        <w:t>articipation in decision-making</w:t>
      </w:r>
    </w:p>
    <w:p w:rsidR="008D1DCC" w:rsidRPr="005E134B" w:rsidRDefault="008D1DCC" w:rsidP="00E23FB9">
      <w:pPr>
        <w:pStyle w:val="Bullet"/>
      </w:pPr>
      <w:r w:rsidRPr="005E134B">
        <w:t xml:space="preserve">finding an alternative </w:t>
      </w:r>
      <w:r>
        <w:t xml:space="preserve">that </w:t>
      </w:r>
      <w:r w:rsidRPr="005E134B">
        <w:t xml:space="preserve">is acceptable to them </w:t>
      </w:r>
      <w:r>
        <w:t>(</w:t>
      </w:r>
      <w:r w:rsidRPr="005E134B">
        <w:t>eg, suggesting immunisation to avoid more intrusive public health action</w:t>
      </w:r>
      <w:r>
        <w:t>)</w:t>
      </w:r>
    </w:p>
    <w:p w:rsidR="008D1DCC" w:rsidRPr="005E134B" w:rsidRDefault="008D1DCC" w:rsidP="00E23FB9">
      <w:pPr>
        <w:pStyle w:val="Bullet"/>
      </w:pPr>
      <w:r w:rsidRPr="005E134B">
        <w:t xml:space="preserve">creating incentives to comply </w:t>
      </w:r>
      <w:r>
        <w:t>(</w:t>
      </w:r>
      <w:r w:rsidRPr="005E134B">
        <w:t>eg, emphasising that protr</w:t>
      </w:r>
      <w:r>
        <w:t>acted monitoring and increasingly</w:t>
      </w:r>
      <w:r w:rsidRPr="005E134B">
        <w:t xml:space="preserve"> intrusive </w:t>
      </w:r>
      <w:r>
        <w:t xml:space="preserve">treatment </w:t>
      </w:r>
      <w:r w:rsidRPr="005E134B">
        <w:t>will be more likely to have adverse financial implications</w:t>
      </w:r>
      <w:r>
        <w:t>)</w:t>
      </w:r>
    </w:p>
    <w:p w:rsidR="008D1DCC" w:rsidRDefault="008D1DCC" w:rsidP="00E23FB9">
      <w:pPr>
        <w:pStyle w:val="Bullet"/>
      </w:pPr>
      <w:r w:rsidRPr="00D50F76">
        <w:t>with the individual</w:t>
      </w:r>
      <w:r w:rsidR="003B22F1">
        <w:t>’</w:t>
      </w:r>
      <w:r w:rsidRPr="00D50F76">
        <w:t>s consent, bringing in family/whānau or community leaders to</w:t>
      </w:r>
      <w:r>
        <w:t xml:space="preserve"> exert a positive influence</w:t>
      </w:r>
    </w:p>
    <w:p w:rsidR="008D1DCC" w:rsidRPr="00D50F76" w:rsidRDefault="008D1DCC" w:rsidP="00E23FB9">
      <w:pPr>
        <w:pStyle w:val="Bullet"/>
      </w:pPr>
      <w:r w:rsidRPr="00D50F76">
        <w:t>in the event of non-compliance</w:t>
      </w:r>
      <w:r>
        <w:t>, mentioning the possibility of more intrusive powers</w:t>
      </w:r>
      <w:r w:rsidR="003B22F1">
        <w:t xml:space="preserve"> </w:t>
      </w:r>
      <w:r>
        <w:t>(eg, noting that if the case v</w:t>
      </w:r>
      <w:r w:rsidRPr="00D50F76">
        <w:t>oluntarily remain</w:t>
      </w:r>
      <w:r>
        <w:t>s</w:t>
      </w:r>
      <w:r w:rsidRPr="00D50F76">
        <w:t xml:space="preserve"> at home</w:t>
      </w:r>
      <w:r>
        <w:t>,</w:t>
      </w:r>
      <w:r w:rsidRPr="00D50F76">
        <w:t xml:space="preserve"> there will </w:t>
      </w:r>
      <w:r>
        <w:t xml:space="preserve">be </w:t>
      </w:r>
      <w:r w:rsidRPr="00D50F76">
        <w:t xml:space="preserve">no need to detain </w:t>
      </w:r>
      <w:r>
        <w:t xml:space="preserve">him or her </w:t>
      </w:r>
      <w:r w:rsidRPr="00D50F76">
        <w:t>in a residence under an urgent public health order</w:t>
      </w:r>
      <w:r>
        <w:t>)</w:t>
      </w:r>
      <w:r w:rsidRPr="00D50F76">
        <w:t>.</w:t>
      </w:r>
    </w:p>
    <w:p w:rsidR="00E23FB9" w:rsidRDefault="00E23FB9" w:rsidP="00E23FB9"/>
    <w:p w:rsidR="003B22F1" w:rsidRDefault="008D1DCC" w:rsidP="00E23FB9">
      <w:r>
        <w:t>In considering when voluntary measures should be attempted or persisted with, health professionals</w:t>
      </w:r>
      <w:r w:rsidRPr="005E134B">
        <w:t xml:space="preserve"> and courts </w:t>
      </w:r>
      <w:r>
        <w:t xml:space="preserve">may </w:t>
      </w:r>
      <w:r w:rsidRPr="005E134B">
        <w:t>take into account any previous opportunities to minimise the disease transmission risk</w:t>
      </w:r>
      <w:r>
        <w:t xml:space="preserve"> (eg, of their own volition, or following a request by a medical practitioner), and whether and to what extent the </w:t>
      </w:r>
      <w:r w:rsidRPr="005E134B">
        <w:t>person</w:t>
      </w:r>
      <w:r>
        <w:t xml:space="preserve"> took them up</w:t>
      </w:r>
      <w:r w:rsidRPr="005E134B">
        <w:t>.</w:t>
      </w:r>
      <w:r w:rsidRPr="00E23FB9">
        <w:rPr>
          <w:rStyle w:val="FootnoteReference"/>
        </w:rPr>
        <w:footnoteReference w:id="66"/>
      </w:r>
    </w:p>
    <w:p w:rsidR="008D1DCC" w:rsidRPr="00A651AB" w:rsidRDefault="008D1DCC" w:rsidP="00E23FB9">
      <w:pPr>
        <w:pStyle w:val="Heading1"/>
      </w:pPr>
      <w:bookmarkStart w:id="46" w:name="_Toc473538541"/>
      <w:r w:rsidRPr="00A651AB">
        <w:t>8</w:t>
      </w:r>
      <w:r w:rsidR="00E23FB9">
        <w:tab/>
      </w:r>
      <w:r w:rsidRPr="00A651AB">
        <w:t>Directions</w:t>
      </w:r>
      <w:bookmarkEnd w:id="46"/>
    </w:p>
    <w:p w:rsidR="008D1DCC" w:rsidRPr="00D50F76" w:rsidRDefault="008D1DCC" w:rsidP="00E23FB9">
      <w:pPr>
        <w:pStyle w:val="Heading2"/>
      </w:pPr>
      <w:bookmarkStart w:id="47" w:name="_Toc473538542"/>
      <w:r w:rsidRPr="00D50F76">
        <w:t>Introduction</w:t>
      </w:r>
      <w:bookmarkEnd w:id="47"/>
    </w:p>
    <w:p w:rsidR="008D1DCC" w:rsidRPr="005E134B" w:rsidRDefault="008D1DCC" w:rsidP="00E23FB9">
      <w:r>
        <w:t>A medical officer of health can impose four</w:t>
      </w:r>
      <w:r w:rsidRPr="005E134B">
        <w:t xml:space="preserve"> distinct types of directions:</w:t>
      </w:r>
    </w:p>
    <w:p w:rsidR="008D1DCC" w:rsidRPr="005E134B" w:rsidRDefault="008D1DCC" w:rsidP="00E23FB9">
      <w:pPr>
        <w:pStyle w:val="Bullet"/>
      </w:pPr>
      <w:r>
        <w:t>p</w:t>
      </w:r>
      <w:r w:rsidRPr="005E134B">
        <w:t>ublic health directions</w:t>
      </w:r>
    </w:p>
    <w:p w:rsidR="008D1DCC" w:rsidRPr="005E134B" w:rsidRDefault="008D1DCC" w:rsidP="00E23FB9">
      <w:pPr>
        <w:pStyle w:val="Bullet"/>
      </w:pPr>
      <w:r>
        <w:t>d</w:t>
      </w:r>
      <w:r w:rsidRPr="005E134B">
        <w:t>irections to contacts</w:t>
      </w:r>
    </w:p>
    <w:p w:rsidR="008D1DCC" w:rsidRPr="005E134B" w:rsidRDefault="008D1DCC" w:rsidP="00E23FB9">
      <w:pPr>
        <w:pStyle w:val="Bullet"/>
      </w:pPr>
      <w:r>
        <w:t>m</w:t>
      </w:r>
      <w:r w:rsidRPr="005E134B">
        <w:t>edical examination directions</w:t>
      </w:r>
    </w:p>
    <w:p w:rsidR="003B22F1" w:rsidRDefault="008D1DCC" w:rsidP="00E23FB9">
      <w:pPr>
        <w:pStyle w:val="Bullet"/>
      </w:pPr>
      <w:r>
        <w:t>d</w:t>
      </w:r>
      <w:r w:rsidRPr="005E134B">
        <w:t>irections to heads of educational institutions.</w:t>
      </w:r>
    </w:p>
    <w:p w:rsidR="008D1DCC" w:rsidRPr="005E134B" w:rsidRDefault="008D1DCC" w:rsidP="00E23FB9"/>
    <w:p w:rsidR="003B22F1" w:rsidRDefault="008D1DCC" w:rsidP="00E23FB9">
      <w:r>
        <w:t xml:space="preserve">This chapter describes each in turn, </w:t>
      </w:r>
      <w:r w:rsidRPr="005E134B">
        <w:t>looking at the nature of the</w:t>
      </w:r>
      <w:r>
        <w:t xml:space="preserve"> direction</w:t>
      </w:r>
      <w:r w:rsidRPr="005E134B">
        <w:t>, and</w:t>
      </w:r>
      <w:r>
        <w:t xml:space="preserve"> when and </w:t>
      </w:r>
      <w:r w:rsidRPr="005E134B">
        <w:t xml:space="preserve">how it can be imposed, and </w:t>
      </w:r>
      <w:r>
        <w:t xml:space="preserve">giving </w:t>
      </w:r>
      <w:r w:rsidRPr="005E134B">
        <w:t xml:space="preserve">a practical example of its use. </w:t>
      </w:r>
      <w:r>
        <w:t xml:space="preserve">The chapter also considers </w:t>
      </w:r>
      <w:r w:rsidRPr="005E134B">
        <w:t xml:space="preserve">processes and safeguards that apply to </w:t>
      </w:r>
      <w:r>
        <w:t xml:space="preserve">each </w:t>
      </w:r>
      <w:r w:rsidRPr="005E134B">
        <w:t>direction.</w:t>
      </w:r>
    </w:p>
    <w:p w:rsidR="008D1DCC" w:rsidRPr="005E134B" w:rsidRDefault="008D1DCC" w:rsidP="00E23FB9"/>
    <w:p w:rsidR="003B22F1" w:rsidRDefault="008D1DCC" w:rsidP="00E23FB9">
      <w:r>
        <w:t>T</w:t>
      </w:r>
      <w:r w:rsidRPr="005E134B">
        <w:t xml:space="preserve">he </w:t>
      </w:r>
      <w:r>
        <w:t>m</w:t>
      </w:r>
      <w:r w:rsidRPr="005E134B">
        <w:t xml:space="preserve">edical officer of health makes the decision that a direction should be given, although </w:t>
      </w:r>
      <w:r>
        <w:t xml:space="preserve">an </w:t>
      </w:r>
      <w:r w:rsidRPr="005E134B">
        <w:t xml:space="preserve">HPO or public health nurse </w:t>
      </w:r>
      <w:r>
        <w:t>may assist in the lead up to the</w:t>
      </w:r>
      <w:r w:rsidRPr="005E134B">
        <w:t xml:space="preserve"> decision.</w:t>
      </w:r>
      <w:r>
        <w:t xml:space="preserve"> </w:t>
      </w:r>
      <w:r w:rsidRPr="005E134B">
        <w:t>H</w:t>
      </w:r>
      <w:r>
        <w:t>ealth protection officers</w:t>
      </w:r>
      <w:r w:rsidRPr="005E134B">
        <w:t xml:space="preserve"> can serve the direction on the </w:t>
      </w:r>
      <w:r>
        <w:t>m</w:t>
      </w:r>
      <w:r w:rsidRPr="005E134B">
        <w:t>edical officer of health</w:t>
      </w:r>
      <w:r w:rsidR="003B22F1">
        <w:t>’</w:t>
      </w:r>
      <w:r w:rsidRPr="005E134B">
        <w:t xml:space="preserve">s behalf and monitor compliance, with the </w:t>
      </w:r>
      <w:r>
        <w:t>m</w:t>
      </w:r>
      <w:r w:rsidRPr="005E134B">
        <w:t>edical officer of health</w:t>
      </w:r>
      <w:r w:rsidR="003B22F1">
        <w:t>’</w:t>
      </w:r>
      <w:r>
        <w:t>s oversight</w:t>
      </w:r>
      <w:r w:rsidRPr="005E134B">
        <w:t xml:space="preserve">. All those involved with directions must comply with the </w:t>
      </w:r>
      <w:r w:rsidRPr="00A871F4">
        <w:t>overarching principles</w:t>
      </w:r>
      <w:r>
        <w:rPr>
          <w:i/>
        </w:rPr>
        <w:t xml:space="preserve"> </w:t>
      </w:r>
      <w:r w:rsidRPr="00563765">
        <w:t>(see chapter 4 of this guidance)</w:t>
      </w:r>
      <w:r w:rsidRPr="005E134B">
        <w:t>. This guidance includes template</w:t>
      </w:r>
      <w:r>
        <w:t>s for imposing</w:t>
      </w:r>
      <w:r w:rsidRPr="005E134B">
        <w:t xml:space="preserve"> directions</w:t>
      </w:r>
      <w:r>
        <w:t xml:space="preserve"> (see chapter 11). Accompanying each template </w:t>
      </w:r>
      <w:r w:rsidRPr="005E134B">
        <w:t>is information</w:t>
      </w:r>
      <w:r>
        <w:t xml:space="preserve"> that</w:t>
      </w:r>
      <w:r w:rsidRPr="005E134B">
        <w:t xml:space="preserve">, consistent with the information principle, </w:t>
      </w:r>
      <w:r>
        <w:t xml:space="preserve">those giving the directions </w:t>
      </w:r>
      <w:r w:rsidRPr="005E134B">
        <w:t xml:space="preserve">must </w:t>
      </w:r>
      <w:r>
        <w:t>convey</w:t>
      </w:r>
      <w:r w:rsidRPr="005E134B">
        <w:t xml:space="preserve"> to the person who is the subject of the direction.</w:t>
      </w:r>
      <w:r w:rsidRPr="00E23FB9">
        <w:rPr>
          <w:rStyle w:val="FootnoteReference"/>
        </w:rPr>
        <w:footnoteReference w:id="67"/>
      </w:r>
    </w:p>
    <w:p w:rsidR="008D1DCC" w:rsidRPr="005E134B" w:rsidRDefault="008D1DCC" w:rsidP="00E23FB9"/>
    <w:p w:rsidR="008D1DCC" w:rsidRDefault="008D1DCC" w:rsidP="00E23FB9">
      <w:r>
        <w:t xml:space="preserve">Those giving a direction must promptly </w:t>
      </w:r>
      <w:r w:rsidR="00AF012A">
        <w:t xml:space="preserve">inform </w:t>
      </w:r>
      <w:r>
        <w:t>the person receiving it of</w:t>
      </w:r>
      <w:r w:rsidRPr="005E134B">
        <w:t>:</w:t>
      </w:r>
    </w:p>
    <w:p w:rsidR="003B22F1" w:rsidRDefault="008D1DCC" w:rsidP="00E23FB9">
      <w:pPr>
        <w:pStyle w:val="Bullet"/>
      </w:pPr>
      <w:r w:rsidRPr="005E134B">
        <w:t>the nature of the functions, duties, or powers being exercised or performed and their implications</w:t>
      </w:r>
    </w:p>
    <w:p w:rsidR="008D1DCC" w:rsidRPr="005E134B" w:rsidRDefault="008D1DCC" w:rsidP="00E23FB9">
      <w:pPr>
        <w:pStyle w:val="Bullet"/>
      </w:pPr>
      <w:r w:rsidRPr="005E134B">
        <w:t xml:space="preserve">any </w:t>
      </w:r>
      <w:r>
        <w:t>further planned steps</w:t>
      </w:r>
    </w:p>
    <w:p w:rsidR="008D1DCC" w:rsidRPr="005E134B" w:rsidRDefault="008D1DCC" w:rsidP="00E23FB9">
      <w:pPr>
        <w:pStyle w:val="Bullet"/>
      </w:pPr>
      <w:r w:rsidRPr="005E134B">
        <w:t>the right of appeal,</w:t>
      </w:r>
      <w:r w:rsidRPr="00E23FB9">
        <w:rPr>
          <w:rStyle w:val="FootnoteReference"/>
        </w:rPr>
        <w:footnoteReference w:id="68"/>
      </w:r>
      <w:r w:rsidRPr="005E134B">
        <w:t xml:space="preserve"> and the right to apply for judicial review.</w:t>
      </w:r>
    </w:p>
    <w:p w:rsidR="008D1DCC" w:rsidRPr="005E134B" w:rsidRDefault="008D1DCC" w:rsidP="00E23FB9"/>
    <w:p w:rsidR="008D1DCC" w:rsidRDefault="008D1DCC" w:rsidP="00E23FB9">
      <w:r>
        <w:t>He or she</w:t>
      </w:r>
      <w:r w:rsidRPr="005E134B">
        <w:t xml:space="preserve"> </w:t>
      </w:r>
      <w:r w:rsidRPr="005E5A8D">
        <w:t>may</w:t>
      </w:r>
      <w:r w:rsidRPr="005E134B">
        <w:t xml:space="preserve"> additionally </w:t>
      </w:r>
      <w:r>
        <w:t xml:space="preserve">inform the person </w:t>
      </w:r>
      <w:r w:rsidRPr="005E134B">
        <w:t>of any of the following</w:t>
      </w:r>
      <w:r>
        <w:t xml:space="preserve"> matters</w:t>
      </w:r>
      <w:r w:rsidRPr="005E134B">
        <w:t xml:space="preserve"> that the </w:t>
      </w:r>
      <w:r>
        <w:t>m</w:t>
      </w:r>
      <w:r w:rsidRPr="005E134B">
        <w:t>edical officer of health thinks relevant in the circumstances:</w:t>
      </w:r>
    </w:p>
    <w:p w:rsidR="008D1DCC" w:rsidRPr="005E134B" w:rsidRDefault="008D1DCC" w:rsidP="00E23FB9">
      <w:pPr>
        <w:pStyle w:val="Bullet"/>
      </w:pPr>
      <w:r w:rsidRPr="005E134B">
        <w:t xml:space="preserve">symptoms, diagnosis and treatment of the </w:t>
      </w:r>
      <w:r>
        <w:t>infectious disease</w:t>
      </w:r>
    </w:p>
    <w:p w:rsidR="008D1DCC" w:rsidRPr="005E134B" w:rsidRDefault="008D1DCC" w:rsidP="00E23FB9">
      <w:pPr>
        <w:pStyle w:val="Bullet"/>
      </w:pPr>
      <w:r w:rsidRPr="005E134B">
        <w:t>how the risk of onset or transmission of the infe</w:t>
      </w:r>
      <w:r>
        <w:t>ctious disease may be minimised</w:t>
      </w:r>
    </w:p>
    <w:p w:rsidR="008D1DCC" w:rsidRPr="005E134B" w:rsidRDefault="008D1DCC" w:rsidP="00E23FB9">
      <w:pPr>
        <w:pStyle w:val="Bullet"/>
      </w:pPr>
      <w:r w:rsidRPr="005E134B">
        <w:t>how to seek further information or the assistance of an interprete</w:t>
      </w:r>
      <w:r>
        <w:t>r or a patient support advocate</w:t>
      </w:r>
    </w:p>
    <w:p w:rsidR="008D1DCC" w:rsidRPr="005E134B" w:rsidRDefault="008D1DCC" w:rsidP="00E23FB9">
      <w:pPr>
        <w:pStyle w:val="Bullet"/>
      </w:pPr>
      <w:r w:rsidRPr="005E134B">
        <w:t>how to seek information on accessing legal aid.</w:t>
      </w:r>
      <w:r w:rsidRPr="00E23FB9">
        <w:rPr>
          <w:rStyle w:val="FootnoteReference"/>
        </w:rPr>
        <w:footnoteReference w:id="69"/>
      </w:r>
    </w:p>
    <w:p w:rsidR="008D1DCC" w:rsidRPr="005E134B" w:rsidRDefault="008D1DCC" w:rsidP="00E23FB9"/>
    <w:p w:rsidR="008D1DCC" w:rsidRPr="005E134B" w:rsidRDefault="008D1DCC" w:rsidP="00E23FB9">
      <w:pPr>
        <w:keepLines/>
      </w:pPr>
      <w:r w:rsidRPr="005E134B">
        <w:t>Giving a direction is not a substitute for explaining its terms and checking that the</w:t>
      </w:r>
      <w:r>
        <w:t xml:space="preserve"> person receiving it understands</w:t>
      </w:r>
      <w:r w:rsidRPr="005E134B">
        <w:t xml:space="preserve"> the</w:t>
      </w:r>
      <w:r>
        <w:t xml:space="preserve"> information and implications. </w:t>
      </w:r>
      <w:r w:rsidRPr="005E134B">
        <w:t>The Health Literacy Framework and Health and Disability Services Consumers</w:t>
      </w:r>
      <w:r w:rsidR="003B22F1">
        <w:t>’</w:t>
      </w:r>
      <w:r w:rsidRPr="005E134B">
        <w:t xml:space="preserve"> Rights Code</w:t>
      </w:r>
      <w:r w:rsidRPr="00E23FB9">
        <w:rPr>
          <w:rStyle w:val="FootnoteReference"/>
        </w:rPr>
        <w:footnoteReference w:id="70"/>
      </w:r>
      <w:r w:rsidRPr="005E134B">
        <w:t xml:space="preserve"> apply</w:t>
      </w:r>
      <w:r>
        <w:t>,</w:t>
      </w:r>
      <w:r w:rsidRPr="005E134B">
        <w:t xml:space="preserve"> in addition to the </w:t>
      </w:r>
      <w:r w:rsidRPr="00A871F4">
        <w:t>overarching principles</w:t>
      </w:r>
      <w:r w:rsidRPr="005E134B">
        <w:rPr>
          <w:i/>
        </w:rPr>
        <w:t>.</w:t>
      </w:r>
    </w:p>
    <w:p w:rsidR="008D1DCC" w:rsidRPr="005E134B" w:rsidRDefault="008D1DCC" w:rsidP="00E23FB9"/>
    <w:p w:rsidR="008D1DCC" w:rsidRDefault="008D1DCC" w:rsidP="00E23FB9">
      <w:r>
        <w:t>A person giving a direction may take other</w:t>
      </w:r>
      <w:r w:rsidRPr="005E134B">
        <w:t xml:space="preserve"> actions </w:t>
      </w:r>
      <w:r>
        <w:t>alongside it</w:t>
      </w:r>
      <w:r w:rsidRPr="005E134B">
        <w:t xml:space="preserve"> – such as continuing to provide information about clinical symptoms and preventive measures to counteract the diseas</w:t>
      </w:r>
      <w:r>
        <w:t>e</w:t>
      </w:r>
      <w:r w:rsidR="003B22F1">
        <w:t>’</w:t>
      </w:r>
      <w:r>
        <w:t>s spread, and contact tracing.</w:t>
      </w:r>
    </w:p>
    <w:p w:rsidR="008D1DCC" w:rsidRPr="005E134B" w:rsidRDefault="008D1DCC" w:rsidP="00E23FB9"/>
    <w:p w:rsidR="003B22F1" w:rsidRDefault="008D1DCC" w:rsidP="00E23FB9">
      <w:r w:rsidRPr="005E134B">
        <w:t>A direction ceases to have effect when a</w:t>
      </w:r>
      <w:r>
        <w:t xml:space="preserve"> court imposes a</w:t>
      </w:r>
      <w:r w:rsidRPr="005E134B">
        <w:t xml:space="preserve"> public health order</w:t>
      </w:r>
      <w:r>
        <w:t>, wi</w:t>
      </w:r>
      <w:r w:rsidRPr="005E134B">
        <w:t>th the exception of medical examination directions.</w:t>
      </w:r>
      <w:r w:rsidRPr="00E23FB9">
        <w:rPr>
          <w:rStyle w:val="FootnoteReference"/>
        </w:rPr>
        <w:footnoteReference w:id="71"/>
      </w:r>
      <w:r>
        <w:t xml:space="preserve"> </w:t>
      </w:r>
      <w:r w:rsidRPr="005E134B">
        <w:t xml:space="preserve">Medical </w:t>
      </w:r>
      <w:r>
        <w:t>o</w:t>
      </w:r>
      <w:r w:rsidRPr="005E134B">
        <w:t xml:space="preserve">fficers of </w:t>
      </w:r>
      <w:r>
        <w:t>h</w:t>
      </w:r>
      <w:r w:rsidRPr="005E134B">
        <w:t>ealth cannot lawfully give directions while a public health order is in force.</w:t>
      </w:r>
    </w:p>
    <w:p w:rsidR="008D1DCC" w:rsidRPr="005E134B" w:rsidRDefault="008D1DCC" w:rsidP="00E23FB9"/>
    <w:p w:rsidR="003B22F1" w:rsidRDefault="008D1DCC" w:rsidP="00E23FB9">
      <w:r w:rsidRPr="005E134B">
        <w:t>A prior direction is not necessary before a</w:t>
      </w:r>
      <w:r>
        <w:t xml:space="preserve"> court imposes</w:t>
      </w:r>
      <w:r w:rsidRPr="005E134B">
        <w:t xml:space="preserve"> </w:t>
      </w:r>
      <w:r>
        <w:t xml:space="preserve">a </w:t>
      </w:r>
      <w:r w:rsidRPr="005E134B">
        <w:t>public health order.</w:t>
      </w:r>
    </w:p>
    <w:p w:rsidR="008D1DCC" w:rsidRPr="005E134B" w:rsidRDefault="008D1DCC" w:rsidP="00E23FB9"/>
    <w:p w:rsidR="003B22F1" w:rsidRDefault="008D1DCC" w:rsidP="008D1DCC">
      <w:pPr>
        <w:rPr>
          <w:rFonts w:cs="Arial"/>
          <w:szCs w:val="24"/>
        </w:rPr>
      </w:pPr>
      <w:r>
        <w:rPr>
          <w:rFonts w:cs="Arial"/>
          <w:szCs w:val="24"/>
        </w:rPr>
        <w:t>D</w:t>
      </w:r>
      <w:r w:rsidRPr="005E134B">
        <w:rPr>
          <w:rFonts w:cs="Arial"/>
          <w:szCs w:val="24"/>
        </w:rPr>
        <w:t>irections may generate a lot of anxiety for</w:t>
      </w:r>
      <w:r>
        <w:rPr>
          <w:rFonts w:cs="Arial"/>
          <w:szCs w:val="24"/>
        </w:rPr>
        <w:t xml:space="preserve"> those subject to them: their practical implications can incl</w:t>
      </w:r>
      <w:r w:rsidRPr="00E23FB9">
        <w:t>u</w:t>
      </w:r>
      <w:r>
        <w:rPr>
          <w:rFonts w:cs="Arial"/>
          <w:szCs w:val="24"/>
        </w:rPr>
        <w:t>de</w:t>
      </w:r>
      <w:r w:rsidRPr="005E134B">
        <w:rPr>
          <w:rFonts w:cs="Arial"/>
          <w:szCs w:val="24"/>
        </w:rPr>
        <w:t xml:space="preserve"> loss of income, job insecurity and possible eviction for rent</w:t>
      </w:r>
      <w:r>
        <w:rPr>
          <w:rFonts w:cs="Arial"/>
          <w:szCs w:val="24"/>
        </w:rPr>
        <w:t xml:space="preserve"> arrears – to name just a few. For this reason</w:t>
      </w:r>
      <w:r w:rsidRPr="005E134B">
        <w:rPr>
          <w:rFonts w:cs="Arial"/>
          <w:szCs w:val="24"/>
        </w:rPr>
        <w:t xml:space="preserve">, </w:t>
      </w:r>
      <w:r>
        <w:rPr>
          <w:rFonts w:cs="Arial"/>
          <w:szCs w:val="24"/>
        </w:rPr>
        <w:t>those considering giving directions should approach the task carefully, and aim to lessen rather than increase anxiety.</w:t>
      </w:r>
    </w:p>
    <w:p w:rsidR="008D1DCC" w:rsidRPr="005E134B" w:rsidRDefault="008D1DCC" w:rsidP="00E23FB9"/>
    <w:p w:rsidR="008D1DCC" w:rsidRPr="00584182" w:rsidRDefault="008D1DCC" w:rsidP="008A44A7">
      <w:pPr>
        <w:pStyle w:val="Heading2"/>
      </w:pPr>
      <w:bookmarkStart w:id="48" w:name="_Toc473538543"/>
      <w:r w:rsidRPr="00584182">
        <w:t>Public health directions</w:t>
      </w:r>
      <w:bookmarkEnd w:id="48"/>
    </w:p>
    <w:p w:rsidR="008D1DCC" w:rsidRPr="002C2D0F" w:rsidRDefault="008D1DCC" w:rsidP="008A44A7">
      <w:pPr>
        <w:pStyle w:val="Heading3"/>
      </w:pPr>
      <w:r w:rsidRPr="002C2D0F">
        <w:t>Nature of the power</w:t>
      </w:r>
    </w:p>
    <w:p w:rsidR="008D1DCC" w:rsidRPr="005E134B" w:rsidRDefault="008D1DCC" w:rsidP="00E23FB9">
      <w:r w:rsidRPr="005E134B">
        <w:t xml:space="preserve">A </w:t>
      </w:r>
      <w:r>
        <w:t>m</w:t>
      </w:r>
      <w:r w:rsidRPr="005E134B">
        <w:t>edical officer of health</w:t>
      </w:r>
      <w:r>
        <w:t xml:space="preserve"> may give </w:t>
      </w:r>
      <w:r w:rsidRPr="005E134B">
        <w:t>directions to:</w:t>
      </w:r>
    </w:p>
    <w:p w:rsidR="008D1DCC" w:rsidRPr="005E134B" w:rsidRDefault="008D1DCC" w:rsidP="008A44A7">
      <w:pPr>
        <w:spacing w:before="150"/>
        <w:ind w:left="567" w:hanging="567"/>
      </w:pPr>
      <w:r w:rsidRPr="005E134B">
        <w:t>(a)</w:t>
      </w:r>
      <w:r w:rsidRPr="005E134B">
        <w:tab/>
        <w:t>participate in any of the following that are conducted by a health provider</w:t>
      </w:r>
      <w:r w:rsidRPr="00C519A3">
        <w:rPr>
          <w:rStyle w:val="FootnoteReference"/>
        </w:rPr>
        <w:footnoteReference w:id="72"/>
      </w:r>
    </w:p>
    <w:p w:rsidR="008D1DCC" w:rsidRPr="005E134B" w:rsidRDefault="008D1DCC" w:rsidP="008A44A7">
      <w:pPr>
        <w:spacing w:before="90"/>
        <w:ind w:left="1134" w:hanging="567"/>
      </w:pPr>
      <w:r w:rsidRPr="005E134B">
        <w:t>(i)</w:t>
      </w:r>
      <w:r w:rsidRPr="005E134B">
        <w:tab/>
        <w:t>counselling</w:t>
      </w:r>
    </w:p>
    <w:p w:rsidR="008D1DCC" w:rsidRPr="005E134B" w:rsidRDefault="008D1DCC" w:rsidP="008A44A7">
      <w:pPr>
        <w:spacing w:before="90"/>
        <w:ind w:left="1134" w:hanging="567"/>
      </w:pPr>
      <w:r w:rsidRPr="005E134B">
        <w:t>(ii)</w:t>
      </w:r>
      <w:r w:rsidRPr="005E134B">
        <w:tab/>
      </w:r>
      <w:r>
        <w:t>education</w:t>
      </w:r>
    </w:p>
    <w:p w:rsidR="008D1DCC" w:rsidRPr="005E134B" w:rsidRDefault="008D1DCC" w:rsidP="008A44A7">
      <w:pPr>
        <w:spacing w:before="90"/>
        <w:ind w:left="1134" w:hanging="567"/>
      </w:pPr>
      <w:r w:rsidRPr="005E134B">
        <w:t>(iii)</w:t>
      </w:r>
      <w:r w:rsidR="00C519A3">
        <w:tab/>
      </w:r>
      <w:r w:rsidRPr="005E134B">
        <w:t>other activities related to the infectious disease</w:t>
      </w:r>
    </w:p>
    <w:p w:rsidR="003B22F1" w:rsidRDefault="008D1DCC" w:rsidP="008A44A7">
      <w:pPr>
        <w:spacing w:before="150"/>
        <w:ind w:left="567" w:hanging="567"/>
      </w:pPr>
      <w:r w:rsidRPr="005E134B">
        <w:t>(b)</w:t>
      </w:r>
      <w:r w:rsidRPr="005E134B">
        <w:tab/>
        <w:t>refrain from carrying out specified activities (for example, undertaking employment, using public transport, or travelling within and outside New Zealand) either absolutely or unless</w:t>
      </w:r>
      <w:r>
        <w:t xml:space="preserve"> stated conditions are observed</w:t>
      </w:r>
    </w:p>
    <w:p w:rsidR="008D1DCC" w:rsidRPr="005E134B" w:rsidRDefault="008D1DCC" w:rsidP="008A44A7">
      <w:pPr>
        <w:spacing w:before="150"/>
        <w:ind w:left="567" w:hanging="567"/>
      </w:pPr>
      <w:r w:rsidRPr="005E134B">
        <w:t>(c)</w:t>
      </w:r>
      <w:r w:rsidRPr="005E134B">
        <w:tab/>
        <w:t>refrain from going to specified places either absolutely or unless</w:t>
      </w:r>
      <w:r>
        <w:t xml:space="preserve"> stated conditions are observed</w:t>
      </w:r>
      <w:r w:rsidRPr="00C519A3">
        <w:rPr>
          <w:rStyle w:val="FootnoteReference"/>
        </w:rPr>
        <w:footnoteReference w:id="73"/>
      </w:r>
    </w:p>
    <w:p w:rsidR="003B22F1" w:rsidRDefault="008D1DCC" w:rsidP="008A44A7">
      <w:pPr>
        <w:spacing w:before="150"/>
        <w:ind w:left="567" w:hanging="567"/>
      </w:pPr>
      <w:r w:rsidRPr="005E134B">
        <w:t>(d)</w:t>
      </w:r>
      <w:r w:rsidRPr="005E134B">
        <w:tab/>
        <w:t xml:space="preserve">refrain from associating with specified persons </w:t>
      </w:r>
      <w:r>
        <w:t>or specified classes of persons</w:t>
      </w:r>
      <w:r w:rsidRPr="00C519A3">
        <w:rPr>
          <w:rStyle w:val="FootnoteReference"/>
        </w:rPr>
        <w:footnoteReference w:id="74"/>
      </w:r>
    </w:p>
    <w:p w:rsidR="008D1DCC" w:rsidRPr="005E134B" w:rsidRDefault="008D1DCC" w:rsidP="008A44A7">
      <w:pPr>
        <w:keepNext/>
        <w:spacing w:before="150"/>
        <w:ind w:left="567" w:hanging="567"/>
      </w:pPr>
      <w:r w:rsidRPr="005E134B">
        <w:t>(e)</w:t>
      </w:r>
      <w:r w:rsidRPr="005E134B">
        <w:tab/>
        <w:t>take specified actions to prevent or minimise the public heal</w:t>
      </w:r>
      <w:r>
        <w:t>th risk posed by the individual</w:t>
      </w:r>
    </w:p>
    <w:p w:rsidR="008D1DCC" w:rsidRPr="005E134B" w:rsidRDefault="008D1DCC" w:rsidP="008A44A7">
      <w:pPr>
        <w:spacing w:before="150"/>
        <w:ind w:left="567" w:hanging="567"/>
      </w:pPr>
      <w:r w:rsidRPr="005E134B">
        <w:t>(f)</w:t>
      </w:r>
      <w:r w:rsidRPr="005E134B">
        <w:tab/>
        <w:t>stay, at all times or at specified times, at a specified place of residence, subject to specified conditions</w:t>
      </w:r>
    </w:p>
    <w:p w:rsidR="003B22F1" w:rsidRDefault="008D1DCC" w:rsidP="008A44A7">
      <w:pPr>
        <w:spacing w:before="150"/>
        <w:ind w:left="567" w:hanging="567"/>
        <w:rPr>
          <w:rFonts w:cs="Arial"/>
          <w:szCs w:val="24"/>
        </w:rPr>
      </w:pPr>
      <w:r w:rsidRPr="005E134B">
        <w:rPr>
          <w:rFonts w:cs="Arial"/>
          <w:szCs w:val="24"/>
        </w:rPr>
        <w:t>(g)</w:t>
      </w:r>
      <w:r w:rsidRPr="005E134B">
        <w:rPr>
          <w:rFonts w:cs="Arial"/>
          <w:szCs w:val="24"/>
        </w:rPr>
        <w:tab/>
        <w:t>accept supervision by a named person or a person for the time being holding a named office, including, without limitation</w:t>
      </w:r>
      <w:r w:rsidR="008A44A7">
        <w:rPr>
          <w:rFonts w:cs="Arial"/>
          <w:szCs w:val="24"/>
        </w:rPr>
        <w:t>:</w:t>
      </w:r>
    </w:p>
    <w:p w:rsidR="008D1DCC" w:rsidRPr="005E134B" w:rsidRDefault="00C519A3" w:rsidP="008A44A7">
      <w:pPr>
        <w:spacing w:before="90"/>
        <w:ind w:left="1134" w:hanging="567"/>
      </w:pPr>
      <w:r>
        <w:t>(i)</w:t>
      </w:r>
      <w:r>
        <w:tab/>
      </w:r>
      <w:r w:rsidR="008D1DCC" w:rsidRPr="005E134B">
        <w:t>attending meetings arranged by that person</w:t>
      </w:r>
      <w:r w:rsidR="008A44A7">
        <w:t>,</w:t>
      </w:r>
      <w:r w:rsidR="008D1DCC" w:rsidRPr="005E134B">
        <w:t xml:space="preserve"> and</w:t>
      </w:r>
    </w:p>
    <w:p w:rsidR="008D1DCC" w:rsidRPr="005E134B" w:rsidRDefault="00C519A3" w:rsidP="008A44A7">
      <w:pPr>
        <w:spacing w:before="90"/>
        <w:ind w:left="1134" w:hanging="567"/>
      </w:pPr>
      <w:r>
        <w:t>(ii)</w:t>
      </w:r>
      <w:r>
        <w:tab/>
      </w:r>
      <w:r w:rsidR="008D1DCC" w:rsidRPr="005E134B">
        <w:t>providing that person with information on any action, occurrence, or plan that is relevant to the public health risk posed by the individual</w:t>
      </w:r>
    </w:p>
    <w:p w:rsidR="008D1DCC" w:rsidRPr="005E134B" w:rsidRDefault="008D1DCC" w:rsidP="008A44A7">
      <w:pPr>
        <w:spacing w:before="150"/>
        <w:ind w:left="567" w:hanging="567"/>
        <w:rPr>
          <w:rFonts w:cs="Arial"/>
          <w:szCs w:val="24"/>
        </w:rPr>
      </w:pPr>
      <w:r w:rsidRPr="005E134B">
        <w:rPr>
          <w:rFonts w:cs="Arial"/>
          <w:szCs w:val="24"/>
        </w:rPr>
        <w:t>(h)</w:t>
      </w:r>
      <w:r w:rsidRPr="005E134B">
        <w:rPr>
          <w:rFonts w:cs="Arial"/>
          <w:szCs w:val="24"/>
        </w:rPr>
        <w:tab/>
        <w:t>comply with instructions to prevent the spread of the infectious disease.</w:t>
      </w:r>
    </w:p>
    <w:p w:rsidR="008D1DCC" w:rsidRPr="005E134B" w:rsidRDefault="008D1DCC" w:rsidP="008A44A7"/>
    <w:p w:rsidR="008D1DCC" w:rsidRPr="002C2D0F" w:rsidRDefault="008D1DCC" w:rsidP="008A44A7">
      <w:pPr>
        <w:pStyle w:val="Heading3"/>
      </w:pPr>
      <w:r w:rsidRPr="002C2D0F">
        <w:t>When the direction can be imposed</w:t>
      </w:r>
    </w:p>
    <w:p w:rsidR="003B22F1" w:rsidRDefault="008D1DCC" w:rsidP="008A44A7">
      <w:r>
        <w:t>A</w:t>
      </w:r>
      <w:r w:rsidRPr="005E134B">
        <w:t xml:space="preserve"> </w:t>
      </w:r>
      <w:r>
        <w:t>m</w:t>
      </w:r>
      <w:r w:rsidRPr="005E134B">
        <w:t xml:space="preserve">edical officer of health </w:t>
      </w:r>
      <w:r>
        <w:t xml:space="preserve">can give this direction if he or she </w:t>
      </w:r>
      <w:r w:rsidRPr="005E134B">
        <w:t xml:space="preserve">believes on reasonable grounds that </w:t>
      </w:r>
      <w:r>
        <w:t xml:space="preserve">a </w:t>
      </w:r>
      <w:r w:rsidRPr="005E134B">
        <w:t>person poses a public health risk</w:t>
      </w:r>
      <w:r>
        <w:t xml:space="preserve"> (see </w:t>
      </w:r>
      <w:r w:rsidR="003B22F1">
        <w:t>‘</w:t>
      </w:r>
      <w:r>
        <w:t>The first step i</w:t>
      </w:r>
      <w:r w:rsidR="002650A0">
        <w:t>s</w:t>
      </w:r>
      <w:r>
        <w:t xml:space="preserve"> scoping the public health risk</w:t>
      </w:r>
      <w:r w:rsidR="003B22F1">
        <w:t>’</w:t>
      </w:r>
      <w:r>
        <w:t xml:space="preserve"> in chapter</w:t>
      </w:r>
      <w:r w:rsidR="008A44A7">
        <w:t> </w:t>
      </w:r>
      <w:r>
        <w:t>3 of this guidance)</w:t>
      </w:r>
      <w:r w:rsidRPr="005E134B">
        <w:t>.</w:t>
      </w:r>
    </w:p>
    <w:p w:rsidR="008A44A7" w:rsidRDefault="008A44A7" w:rsidP="008A44A7"/>
    <w:p w:rsidR="008D1DCC" w:rsidRPr="005E134B" w:rsidRDefault="008D1DCC" w:rsidP="008A44A7">
      <w:r w:rsidRPr="005E134B">
        <w:t>In the case of directions under (b) above</w:t>
      </w:r>
      <w:r>
        <w:t xml:space="preserve"> – to refrain from specified activities, a medical officer of health may inform a person occupying a position of responsibility in relation to the activity that a direction will be made.</w:t>
      </w:r>
      <w:r w:rsidRPr="008A44A7">
        <w:rPr>
          <w:rStyle w:val="FootnoteReference"/>
        </w:rPr>
        <w:footnoteReference w:id="75"/>
      </w:r>
      <w:r w:rsidRPr="005E134B">
        <w:t xml:space="preserve"> This is where the </w:t>
      </w:r>
      <w:r>
        <w:t>m</w:t>
      </w:r>
      <w:r w:rsidRPr="005E134B">
        <w:t xml:space="preserve">edical officer of health believes on reasonable </w:t>
      </w:r>
      <w:r>
        <w:t>grounds that this would help to prevent or minimise the public health risk</w:t>
      </w:r>
      <w:r w:rsidRPr="005E134B">
        <w:t>.</w:t>
      </w:r>
      <w:r w:rsidR="003B22F1">
        <w:t xml:space="preserve"> </w:t>
      </w:r>
      <w:r>
        <w:t xml:space="preserve">In making this communication, the medical officer of health may inform </w:t>
      </w:r>
      <w:r w:rsidRPr="005E134B">
        <w:t>the person about:</w:t>
      </w:r>
    </w:p>
    <w:p w:rsidR="008D1DCC" w:rsidRPr="005E134B" w:rsidRDefault="008D1DCC" w:rsidP="008A44A7">
      <w:pPr>
        <w:pStyle w:val="Bullet"/>
      </w:pPr>
      <w:r>
        <w:t>the direction</w:t>
      </w:r>
    </w:p>
    <w:p w:rsidR="003B22F1" w:rsidRDefault="008D1DCC" w:rsidP="008A44A7">
      <w:pPr>
        <w:pStyle w:val="Bullet"/>
      </w:pPr>
      <w:r w:rsidRPr="00996BCD">
        <w:t>the public health risk posed by the individual</w:t>
      </w:r>
      <w:r w:rsidR="003B22F1">
        <w:t>’</w:t>
      </w:r>
      <w:r w:rsidRPr="00996BCD">
        <w:t>s engagement in the activity</w:t>
      </w:r>
    </w:p>
    <w:p w:rsidR="008D1DCC" w:rsidRPr="005E134B" w:rsidRDefault="008D1DCC" w:rsidP="008A44A7">
      <w:pPr>
        <w:pStyle w:val="Bullet"/>
      </w:pPr>
      <w:r w:rsidRPr="005E134B">
        <w:t>ways of minimising that public health risk.</w:t>
      </w:r>
    </w:p>
    <w:p w:rsidR="008A44A7" w:rsidRDefault="008A44A7" w:rsidP="008A44A7"/>
    <w:p w:rsidR="003B22F1" w:rsidRDefault="008D1DCC" w:rsidP="008A44A7">
      <w:r w:rsidRPr="005E134B">
        <w:t>A person who occupies a position of responsibility in relation to the activity could be a natural person (</w:t>
      </w:r>
      <w:r>
        <w:t>such as a rest home manager, an employer or an event coordinator)</w:t>
      </w:r>
      <w:r w:rsidRPr="005E134B">
        <w:t xml:space="preserve"> or a legal person (</w:t>
      </w:r>
      <w:r>
        <w:t>such as an airline company)</w:t>
      </w:r>
      <w:r w:rsidRPr="005E134B">
        <w:t>.</w:t>
      </w:r>
    </w:p>
    <w:p w:rsidR="008A44A7" w:rsidRDefault="008A44A7" w:rsidP="008A44A7"/>
    <w:p w:rsidR="008D1DCC" w:rsidRDefault="008D1DCC" w:rsidP="008A44A7">
      <w:r>
        <w:t>The power to contact a person in a position of responsibility in relation to the activity is unique to directions under section 92I(4)(b).</w:t>
      </w:r>
    </w:p>
    <w:p w:rsidR="008A44A7" w:rsidRDefault="008A44A7" w:rsidP="008A44A7"/>
    <w:p w:rsidR="008D1DCC" w:rsidRDefault="008D1DCC" w:rsidP="008A44A7">
      <w:r w:rsidRPr="005E134B">
        <w:t>This feature of directions restricting activities</w:t>
      </w:r>
      <w:r>
        <w:t xml:space="preserve"> (contacting a person in a position of responsibility) </w:t>
      </w:r>
      <w:r w:rsidRPr="005E134B">
        <w:t xml:space="preserve">applies to directions </w:t>
      </w:r>
      <w:r>
        <w:t xml:space="preserve">to </w:t>
      </w:r>
      <w:r w:rsidRPr="005E134B">
        <w:t xml:space="preserve">contacts </w:t>
      </w:r>
      <w:r>
        <w:t xml:space="preserve">under section 92J(4)(b) and (7), </w:t>
      </w:r>
      <w:r w:rsidRPr="005E134B">
        <w:t>as well</w:t>
      </w:r>
      <w:r>
        <w:t xml:space="preserve"> as to public health directions to cases. However, is does not apply</w:t>
      </w:r>
      <w:r w:rsidRPr="005E134B">
        <w:t xml:space="preserve"> to medical examination directions or directions to the person in charge of an educational institution.</w:t>
      </w:r>
    </w:p>
    <w:p w:rsidR="008A44A7" w:rsidRPr="005E134B" w:rsidRDefault="008A44A7" w:rsidP="008A44A7"/>
    <w:p w:rsidR="008A44A7" w:rsidRDefault="008A44A7" w:rsidP="008A44A7">
      <w:pPr>
        <w:pStyle w:val="BoxHeading"/>
      </w:pPr>
      <w:r w:rsidRPr="003F3ECF">
        <w:t>Scenario</w:t>
      </w:r>
    </w:p>
    <w:p w:rsidR="008A44A7" w:rsidRDefault="008A44A7" w:rsidP="008A44A7">
      <w:pPr>
        <w:pStyle w:val="Box"/>
        <w:keepNext/>
      </w:pPr>
      <w:r w:rsidRPr="005E134B">
        <w:t>Marina, diagnosed overseas some years ago with untreated, latent tuberculosis, has been carpooling to work each day for about a year.</w:t>
      </w:r>
      <w:r>
        <w:t xml:space="preserve"> </w:t>
      </w:r>
      <w:r w:rsidRPr="005E134B">
        <w:t>She has been unwell in recent weeks, coughing and spluttering throughout the car rides.</w:t>
      </w:r>
    </w:p>
    <w:p w:rsidR="008A44A7" w:rsidRPr="005E134B" w:rsidRDefault="008A44A7" w:rsidP="008A44A7">
      <w:pPr>
        <w:pStyle w:val="Box"/>
        <w:keepLines/>
      </w:pPr>
      <w:r w:rsidRPr="005E134B">
        <w:t>One of the</w:t>
      </w:r>
      <w:r>
        <w:t xml:space="preserve"> people in the carpool</w:t>
      </w:r>
      <w:r w:rsidRPr="005E134B">
        <w:t xml:space="preserve">, a nurse, calls the </w:t>
      </w:r>
      <w:r>
        <w:t>m</w:t>
      </w:r>
      <w:r w:rsidRPr="005E134B">
        <w:t>edical officer of health, conveying her suspicions that Marina has tuberculosis and that the others in the car are at risk of becoming</w:t>
      </w:r>
      <w:r w:rsidR="002650A0">
        <w:t>,</w:t>
      </w:r>
      <w:r w:rsidRPr="005E134B">
        <w:t xml:space="preserve"> or may have become</w:t>
      </w:r>
      <w:r w:rsidR="002650A0">
        <w:t>,</w:t>
      </w:r>
      <w:r w:rsidRPr="005E134B">
        <w:t xml:space="preserve"> infected.</w:t>
      </w:r>
      <w:r>
        <w:t xml:space="preserve"> </w:t>
      </w:r>
      <w:r w:rsidRPr="005E134B">
        <w:t>She makes alternati</w:t>
      </w:r>
      <w:r>
        <w:t xml:space="preserve">ve arrangements to get to work. </w:t>
      </w:r>
      <w:r w:rsidRPr="005E134B">
        <w:t>Marina is waiting for test results but plans to continue carpooling and working in the interim.</w:t>
      </w:r>
      <w:r>
        <w:t xml:space="preserve"> </w:t>
      </w:r>
      <w:r w:rsidRPr="005E134B">
        <w:t>She lives alone, so does not pose an obvious public health risk to anyone at home, and enjoys the company travelling to and from work.</w:t>
      </w:r>
    </w:p>
    <w:p w:rsidR="008A44A7" w:rsidRPr="005E134B" w:rsidRDefault="008A44A7" w:rsidP="008A44A7">
      <w:pPr>
        <w:pStyle w:val="Box"/>
      </w:pPr>
      <w:r w:rsidRPr="005E134B">
        <w:t xml:space="preserve">The </w:t>
      </w:r>
      <w:r>
        <w:t>m</w:t>
      </w:r>
      <w:r w:rsidRPr="005E134B">
        <w:t>edical officer of health approaches Marina</w:t>
      </w:r>
      <w:r>
        <w:t xml:space="preserve"> and</w:t>
      </w:r>
      <w:r w:rsidRPr="005E134B">
        <w:t xml:space="preserve"> tells her of the risk to herself and to others in the car and at work if she has active tuberculosis</w:t>
      </w:r>
      <w:r>
        <w:t xml:space="preserve">. She </w:t>
      </w:r>
      <w:r w:rsidRPr="005E134B">
        <w:t xml:space="preserve">instructs her to stay at home until she has test results </w:t>
      </w:r>
      <w:r>
        <w:t xml:space="preserve">that </w:t>
      </w:r>
      <w:r w:rsidRPr="005E134B">
        <w:t>are clear.</w:t>
      </w:r>
      <w:r>
        <w:t xml:space="preserve"> </w:t>
      </w:r>
      <w:r w:rsidRPr="005E134B">
        <w:t>Marina is uncooperative.</w:t>
      </w:r>
      <w:r>
        <w:t xml:space="preserve"> She has </w:t>
      </w:r>
      <w:r w:rsidRPr="005E134B">
        <w:t xml:space="preserve">several bills to pay </w:t>
      </w:r>
      <w:r>
        <w:t xml:space="preserve">and </w:t>
      </w:r>
      <w:r w:rsidRPr="005E134B">
        <w:t xml:space="preserve">fears loss of earnings and employment </w:t>
      </w:r>
      <w:r>
        <w:t>if she stays at home, as well as the attitudes</w:t>
      </w:r>
      <w:r w:rsidRPr="005E134B">
        <w:t xml:space="preserve"> of her colleagues and friends –</w:t>
      </w:r>
      <w:r>
        <w:t xml:space="preserve"> she perceives that there is</w:t>
      </w:r>
      <w:r w:rsidRPr="005E134B">
        <w:t xml:space="preserve"> a stigma attached to having tuberculosis.</w:t>
      </w:r>
    </w:p>
    <w:p w:rsidR="008A44A7" w:rsidRPr="005E134B" w:rsidRDefault="008A44A7" w:rsidP="008A44A7">
      <w:pPr>
        <w:pStyle w:val="Box"/>
      </w:pPr>
      <w:r w:rsidRPr="005E134B">
        <w:t xml:space="preserve">After further </w:t>
      </w:r>
      <w:r>
        <w:t>discussion w</w:t>
      </w:r>
      <w:r w:rsidRPr="005E134B">
        <w:t xml:space="preserve">hich does not achieve </w:t>
      </w:r>
      <w:r>
        <w:t xml:space="preserve">Marina’s </w:t>
      </w:r>
      <w:r w:rsidRPr="005E134B">
        <w:t xml:space="preserve">ready compliance, the </w:t>
      </w:r>
      <w:r>
        <w:t>m</w:t>
      </w:r>
      <w:r w:rsidRPr="005E134B">
        <w:t xml:space="preserve">edical officer of health issues a direction under section 92I(4)(f) for Marina to stay at home until she has clear test results, and specifies a maximum time limit of </w:t>
      </w:r>
      <w:r>
        <w:t>six</w:t>
      </w:r>
      <w:r w:rsidRPr="005E134B">
        <w:t xml:space="preserve"> months, which will be reviewed regularly during that period. The </w:t>
      </w:r>
      <w:r>
        <w:t>m</w:t>
      </w:r>
      <w:r w:rsidRPr="005E134B">
        <w:t xml:space="preserve">edical officer of health explains </w:t>
      </w:r>
      <w:r>
        <w:t xml:space="preserve">to </w:t>
      </w:r>
      <w:r w:rsidRPr="005E134B">
        <w:t>Marina</w:t>
      </w:r>
      <w:r>
        <w:t xml:space="preserve"> what she</w:t>
      </w:r>
      <w:r w:rsidRPr="005E134B">
        <w:t xml:space="preserve"> can expect in terms of symptoms and treatment if she has active tuberculosis, the implications of the direction, </w:t>
      </w:r>
      <w:r>
        <w:t xml:space="preserve">the </w:t>
      </w:r>
      <w:r w:rsidRPr="005E134B">
        <w:t xml:space="preserve">next steps if she has the acute form of the disease, the implications of non-compliance with the direction, her right of appeal to the District Court, </w:t>
      </w:r>
      <w:r>
        <w:t xml:space="preserve">and </w:t>
      </w:r>
      <w:r w:rsidRPr="005E134B">
        <w:t xml:space="preserve">the </w:t>
      </w:r>
      <w:r>
        <w:t>m</w:t>
      </w:r>
      <w:r w:rsidRPr="005E134B">
        <w:t>edical officer of health</w:t>
      </w:r>
      <w:r>
        <w:t>’s obligation to review the direction</w:t>
      </w:r>
      <w:r w:rsidRPr="005E134B">
        <w:t>.</w:t>
      </w:r>
    </w:p>
    <w:p w:rsidR="008D1DCC" w:rsidRPr="005E134B" w:rsidRDefault="008D1DCC" w:rsidP="008A44A7"/>
    <w:p w:rsidR="008D1DCC" w:rsidRPr="00584182" w:rsidRDefault="008D1DCC" w:rsidP="008A44A7">
      <w:pPr>
        <w:pStyle w:val="Heading2"/>
      </w:pPr>
      <w:bookmarkStart w:id="49" w:name="_Toc473538544"/>
      <w:r w:rsidRPr="00584182">
        <w:t>Directions to contacts</w:t>
      </w:r>
      <w:bookmarkEnd w:id="49"/>
    </w:p>
    <w:p w:rsidR="008D1DCC" w:rsidRPr="002C2D0F" w:rsidRDefault="008D1DCC" w:rsidP="008A44A7">
      <w:pPr>
        <w:pStyle w:val="Heading3"/>
      </w:pPr>
      <w:r w:rsidRPr="002C2D0F">
        <w:t>Nature of the power</w:t>
      </w:r>
    </w:p>
    <w:p w:rsidR="008D1DCC" w:rsidRPr="008A44A7" w:rsidRDefault="008D1DCC" w:rsidP="008A44A7">
      <w:r w:rsidRPr="005E134B">
        <w:t xml:space="preserve">A </w:t>
      </w:r>
      <w:r>
        <w:t>m</w:t>
      </w:r>
      <w:r w:rsidRPr="005E134B">
        <w:t>edical officer of health may give a contact of a case posing a public health risk any one or more of the directions referred to</w:t>
      </w:r>
      <w:r>
        <w:t xml:space="preserve"> above</w:t>
      </w:r>
      <w:r w:rsidRPr="005E134B">
        <w:t xml:space="preserve"> in</w:t>
      </w:r>
      <w:r>
        <w:t xml:space="preserve"> paras</w:t>
      </w:r>
      <w:r w:rsidRPr="005E134B">
        <w:t xml:space="preserve"> (a) to (h) under </w:t>
      </w:r>
      <w:r w:rsidRPr="00C556E5">
        <w:t>Public health directions: Nature of the power</w:t>
      </w:r>
      <w:r w:rsidRPr="00003C7A">
        <w:t>, and authorised by section 92J(4) of the Health Act.</w:t>
      </w:r>
    </w:p>
    <w:p w:rsidR="008D1DCC" w:rsidRPr="005E134B" w:rsidRDefault="008D1DCC" w:rsidP="008A44A7"/>
    <w:p w:rsidR="003B22F1" w:rsidRDefault="008D1DCC" w:rsidP="008A44A7">
      <w:pPr>
        <w:pStyle w:val="Heading3"/>
      </w:pPr>
      <w:r w:rsidRPr="002C2D0F">
        <w:t>When the direction can be imposed</w:t>
      </w:r>
    </w:p>
    <w:p w:rsidR="008D1DCC" w:rsidRPr="005E134B" w:rsidRDefault="008D1DCC" w:rsidP="008A44A7">
      <w:r>
        <w:t>A</w:t>
      </w:r>
      <w:r w:rsidRPr="005E134B">
        <w:t xml:space="preserve"> </w:t>
      </w:r>
      <w:r>
        <w:t>m</w:t>
      </w:r>
      <w:r w:rsidRPr="005E134B">
        <w:t>edical officer of health</w:t>
      </w:r>
      <w:r>
        <w:t xml:space="preserve"> can give the direction if he or she</w:t>
      </w:r>
      <w:r w:rsidRPr="005E134B">
        <w:t xml:space="preserve"> believes on reasonable grounds </w:t>
      </w:r>
      <w:r>
        <w:t xml:space="preserve">both </w:t>
      </w:r>
      <w:r w:rsidRPr="005E134B">
        <w:t>that:</w:t>
      </w:r>
    </w:p>
    <w:p w:rsidR="003B22F1" w:rsidRDefault="008A44A7" w:rsidP="008A44A7">
      <w:pPr>
        <w:spacing w:before="120"/>
        <w:ind w:left="567" w:hanging="567"/>
      </w:pPr>
      <w:r>
        <w:t>(a)</w:t>
      </w:r>
      <w:r>
        <w:tab/>
      </w:r>
      <w:r w:rsidR="008D1DCC" w:rsidRPr="005E134B">
        <w:t>the person has been in contact with an individual who has, or may have, an infectious disease (the case)</w:t>
      </w:r>
    </w:p>
    <w:p w:rsidR="008D1DCC" w:rsidRPr="005E134B" w:rsidRDefault="008A44A7" w:rsidP="008A44A7">
      <w:pPr>
        <w:spacing w:before="120"/>
        <w:ind w:left="567" w:hanging="567"/>
      </w:pPr>
      <w:r>
        <w:t>(b)</w:t>
      </w:r>
      <w:r>
        <w:tab/>
      </w:r>
      <w:r w:rsidR="008D1DCC" w:rsidRPr="005E134B">
        <w:t>if the disease has been transmitted to the contact, he or she is likely to pose a public health risk.</w:t>
      </w:r>
    </w:p>
    <w:p w:rsidR="008D1DCC" w:rsidRPr="005E134B" w:rsidRDefault="008D1DCC" w:rsidP="008A44A7"/>
    <w:p w:rsidR="008A44A7" w:rsidRDefault="008A44A7" w:rsidP="008A44A7">
      <w:pPr>
        <w:pStyle w:val="BoxHeading"/>
      </w:pPr>
      <w:r w:rsidRPr="003F3ECF">
        <w:t>Scenario</w:t>
      </w:r>
    </w:p>
    <w:p w:rsidR="008A44A7" w:rsidRDefault="008A44A7" w:rsidP="008A44A7">
      <w:pPr>
        <w:pStyle w:val="Box"/>
        <w:keepLines/>
      </w:pPr>
      <w:r>
        <w:t>A</w:t>
      </w:r>
      <w:r w:rsidRPr="005E134B">
        <w:t xml:space="preserve"> measles outbreak </w:t>
      </w:r>
      <w:r>
        <w:t xml:space="preserve">occurs </w:t>
      </w:r>
      <w:r w:rsidRPr="005E134B">
        <w:t>in a Blenheim primary school</w:t>
      </w:r>
      <w:r>
        <w:t>, and the school has asked</w:t>
      </w:r>
      <w:r w:rsidRPr="005E134B">
        <w:t xml:space="preserve"> several students with measles to remain at home until they are no longer infectious.</w:t>
      </w:r>
      <w:r>
        <w:t xml:space="preserve"> </w:t>
      </w:r>
      <w:r w:rsidRPr="005E134B">
        <w:t>All the parents have cooperated, and the children stay home without the need for formal directions. However, there are five pupils at the school who have not been immunised against measles</w:t>
      </w:r>
      <w:r>
        <w:t>. Meanwhile</w:t>
      </w:r>
      <w:r w:rsidRPr="005E134B">
        <w:t xml:space="preserve">, the </w:t>
      </w:r>
      <w:r>
        <w:t>m</w:t>
      </w:r>
      <w:r w:rsidRPr="005E134B">
        <w:t>edical officer of health follow</w:t>
      </w:r>
      <w:r>
        <w:t>s</w:t>
      </w:r>
      <w:r w:rsidRPr="005E134B">
        <w:t xml:space="preserve"> up on the multiple measles notifications</w:t>
      </w:r>
      <w:r>
        <w:t>. He ascertains that</w:t>
      </w:r>
      <w:r w:rsidRPr="005E134B">
        <w:t xml:space="preserve"> none of the five</w:t>
      </w:r>
      <w:r>
        <w:t xml:space="preserve"> unimmunised children</w:t>
      </w:r>
      <w:r w:rsidRPr="005E134B">
        <w:t xml:space="preserve"> have apparent symptoms. Three of the five are in the same class as the infectious children and are contacts of the infected children, and the other two have had no or very minimal contact with any of the infectious children. The </w:t>
      </w:r>
      <w:r>
        <w:t>m</w:t>
      </w:r>
      <w:r w:rsidRPr="005E134B">
        <w:t>edical officer of health decides to direct the three unimmunised children (the contacts)</w:t>
      </w:r>
      <w:r>
        <w:t>,</w:t>
      </w:r>
      <w:r w:rsidRPr="005E134B">
        <w:t xml:space="preserve"> via their caregivers</w:t>
      </w:r>
      <w:r>
        <w:t>,</w:t>
      </w:r>
      <w:r w:rsidRPr="005E134B">
        <w:t xml:space="preserve"> to stay at home under adult supervision until tests show the contacts are already immune or for 18 days, and advises them to have their first MMR vaccinations immediately, followed by a second dose four weeks later. He does this in reliance on section 92J(4)(f).</w:t>
      </w:r>
    </w:p>
    <w:p w:rsidR="008A44A7" w:rsidRPr="005E134B" w:rsidRDefault="008A44A7" w:rsidP="008A44A7">
      <w:pPr>
        <w:pStyle w:val="Box"/>
      </w:pPr>
      <w:r w:rsidRPr="005E134B">
        <w:t xml:space="preserve">Alternatively, </w:t>
      </w:r>
      <w:r>
        <w:t>t</w:t>
      </w:r>
      <w:r w:rsidRPr="005E134B">
        <w:t>he</w:t>
      </w:r>
      <w:r>
        <w:t xml:space="preserve"> medical officer of health</w:t>
      </w:r>
      <w:r w:rsidRPr="005E134B">
        <w:t xml:space="preserve"> could have </w:t>
      </w:r>
      <w:r>
        <w:t>consulted the</w:t>
      </w:r>
      <w:r w:rsidRPr="005E134B">
        <w:t xml:space="preserve"> school principal, then directed </w:t>
      </w:r>
      <w:r>
        <w:t xml:space="preserve">her </w:t>
      </w:r>
      <w:r w:rsidRPr="005E134B">
        <w:t>to direct the students to stay away from school – under section 92L(2)(a)</w:t>
      </w:r>
      <w:r>
        <w:t>, which</w:t>
      </w:r>
      <w:r w:rsidRPr="005E134B">
        <w:t xml:space="preserve"> specifically deal</w:t>
      </w:r>
      <w:r>
        <w:t>s with educational institutions. H</w:t>
      </w:r>
      <w:r w:rsidRPr="005E134B">
        <w:t>e considers</w:t>
      </w:r>
      <w:r>
        <w:t xml:space="preserve"> that a direction under</w:t>
      </w:r>
      <w:r w:rsidRPr="005E134B">
        <w:t xml:space="preserve"> section 92J</w:t>
      </w:r>
      <w:r>
        <w:t>,</w:t>
      </w:r>
      <w:r w:rsidRPr="005E134B">
        <w:t xml:space="preserve"> relating to contacts, </w:t>
      </w:r>
      <w:r>
        <w:t xml:space="preserve">would be quicker to administer: </w:t>
      </w:r>
      <w:r w:rsidRPr="005E134B">
        <w:t xml:space="preserve">speed </w:t>
      </w:r>
      <w:r>
        <w:t xml:space="preserve">is </w:t>
      </w:r>
      <w:r w:rsidRPr="005E134B">
        <w:t xml:space="preserve">a crucial factor in dealing with measles. </w:t>
      </w:r>
      <w:r>
        <w:t xml:space="preserve">A direction under this section </w:t>
      </w:r>
      <w:r w:rsidRPr="005E134B">
        <w:t>enables him to direct that the children s</w:t>
      </w:r>
      <w:r>
        <w:t>tay at home (</w:t>
      </w:r>
      <w:r w:rsidRPr="005E134B">
        <w:t xml:space="preserve">with </w:t>
      </w:r>
      <w:r>
        <w:t xml:space="preserve">the further </w:t>
      </w:r>
      <w:r w:rsidRPr="005E134B">
        <w:t xml:space="preserve">conditions </w:t>
      </w:r>
      <w:r>
        <w:t xml:space="preserve">of adult </w:t>
      </w:r>
      <w:r w:rsidRPr="005E134B">
        <w:t>supervision, as distinct from merely away from school</w:t>
      </w:r>
      <w:r w:rsidR="000B6B66">
        <w:t>)</w:t>
      </w:r>
      <w:r w:rsidRPr="005E134B">
        <w:t>.</w:t>
      </w:r>
    </w:p>
    <w:p w:rsidR="008A44A7" w:rsidRDefault="008A44A7" w:rsidP="008A44A7">
      <w:pPr>
        <w:pStyle w:val="Box"/>
      </w:pPr>
      <w:r>
        <w:t>The school principal may decide to direct the three children to stay away from school, independently from the medical officer of health, un</w:t>
      </w:r>
      <w:r w:rsidRPr="005E134B">
        <w:t>der section 19(1)(b) of the Education Act 1989</w:t>
      </w:r>
      <w:r>
        <w:t>, on the basis that may have a communicable disease</w:t>
      </w:r>
      <w:r w:rsidRPr="005E134B">
        <w:t>.</w:t>
      </w:r>
    </w:p>
    <w:p w:rsidR="008D1DCC" w:rsidRPr="005E134B" w:rsidRDefault="008D1DCC" w:rsidP="008A44A7"/>
    <w:p w:rsidR="003B22F1" w:rsidRDefault="008D1DCC" w:rsidP="008A44A7">
      <w:r w:rsidRPr="005E134B">
        <w:t>Part 3A</w:t>
      </w:r>
      <w:r>
        <w:t xml:space="preserve"> provides no power to direct closure of</w:t>
      </w:r>
      <w:r w:rsidRPr="005E134B">
        <w:t xml:space="preserve"> premises or places where people congregate, other than educational institutions. If </w:t>
      </w:r>
      <w:r>
        <w:t>a m</w:t>
      </w:r>
      <w:r w:rsidRPr="005E134B">
        <w:t xml:space="preserve">edical officer of health needs to manage </w:t>
      </w:r>
      <w:r>
        <w:t xml:space="preserve">a </w:t>
      </w:r>
      <w:r w:rsidRPr="005E134B">
        <w:t>public health risk by excluding infectious people from certain occupations, public pools, campsites, concerts and other public environments, he or she can use directions to the indiv</w:t>
      </w:r>
      <w:r>
        <w:t xml:space="preserve">iduals concerned – to stay away from a certain place, or not to </w:t>
      </w:r>
      <w:r w:rsidRPr="005E134B">
        <w:t>associate with</w:t>
      </w:r>
      <w:r>
        <w:t xml:space="preserve"> certain people</w:t>
      </w:r>
      <w:r w:rsidRPr="005E134B">
        <w:t>.</w:t>
      </w:r>
      <w:r w:rsidRPr="008A44A7">
        <w:rPr>
          <w:rStyle w:val="FootnoteReference"/>
        </w:rPr>
        <w:footnoteReference w:id="76"/>
      </w:r>
    </w:p>
    <w:p w:rsidR="008A44A7" w:rsidRDefault="008A44A7" w:rsidP="008A44A7"/>
    <w:p w:rsidR="008D1DCC" w:rsidRDefault="008D1DCC" w:rsidP="008A44A7">
      <w:r w:rsidRPr="005E134B">
        <w:t xml:space="preserve">As mentioned earlier, the Ministry for Primary Industries </w:t>
      </w:r>
      <w:r>
        <w:t xml:space="preserve">(MPI) </w:t>
      </w:r>
      <w:r w:rsidRPr="005E134B">
        <w:t xml:space="preserve">has powers to </w:t>
      </w:r>
      <w:r>
        <w:t xml:space="preserve">close commercial food premises. In contrast, </w:t>
      </w:r>
      <w:r w:rsidRPr="005E134B">
        <w:t>Part 3A</w:t>
      </w:r>
      <w:r w:rsidR="003B22F1">
        <w:t>’</w:t>
      </w:r>
      <w:r w:rsidRPr="005E134B">
        <w:t xml:space="preserve">s </w:t>
      </w:r>
      <w:r>
        <w:t>m</w:t>
      </w:r>
      <w:r w:rsidRPr="005E134B">
        <w:t>edical officer of health powers focus on the risk the person poses.</w:t>
      </w:r>
    </w:p>
    <w:p w:rsidR="008A44A7" w:rsidRPr="005E134B" w:rsidRDefault="008A44A7" w:rsidP="008A44A7"/>
    <w:p w:rsidR="008D1DCC" w:rsidRPr="00584182" w:rsidRDefault="008D1DCC" w:rsidP="008A44A7">
      <w:pPr>
        <w:pStyle w:val="Heading2"/>
      </w:pPr>
      <w:bookmarkStart w:id="50" w:name="_Toc473538545"/>
      <w:r w:rsidRPr="00584182">
        <w:t>Medical examination directions</w:t>
      </w:r>
      <w:bookmarkEnd w:id="50"/>
    </w:p>
    <w:p w:rsidR="008D1DCC" w:rsidRPr="002C2D0F" w:rsidRDefault="008D1DCC" w:rsidP="008A44A7">
      <w:pPr>
        <w:pStyle w:val="Heading3"/>
      </w:pPr>
      <w:r w:rsidRPr="002C2D0F">
        <w:t>Nature of the power</w:t>
      </w:r>
    </w:p>
    <w:p w:rsidR="003B22F1" w:rsidRDefault="008D1DCC" w:rsidP="00DB5FC4">
      <w:pPr>
        <w:keepNext/>
      </w:pPr>
      <w:r w:rsidRPr="005E134B">
        <w:t xml:space="preserve">A </w:t>
      </w:r>
      <w:r>
        <w:t>m</w:t>
      </w:r>
      <w:r w:rsidRPr="005E134B">
        <w:t xml:space="preserve">edical officer of health may give a direction to </w:t>
      </w:r>
      <w:r>
        <w:t xml:space="preserve">a case to </w:t>
      </w:r>
      <w:r w:rsidRPr="005E134B">
        <w:t>undergo specified medical examinations with specified health providers within a particular time or frequency, at specified places.</w:t>
      </w:r>
    </w:p>
    <w:p w:rsidR="008D1DCC" w:rsidRPr="005E134B" w:rsidRDefault="008D1DCC" w:rsidP="00DB5FC4">
      <w:pPr>
        <w:keepNext/>
      </w:pPr>
    </w:p>
    <w:p w:rsidR="008D1DCC" w:rsidRPr="008A44A7" w:rsidRDefault="008D1DCC" w:rsidP="00DB5FC4">
      <w:pPr>
        <w:keepNext/>
      </w:pPr>
      <w:r w:rsidRPr="005E134B">
        <w:t>A medical examination direction cannot include treatment</w:t>
      </w:r>
      <w:r>
        <w:t xml:space="preserve"> (for a definition of what it does include, see the Glossary </w:t>
      </w:r>
      <w:r w:rsidRPr="00AE667B">
        <w:t xml:space="preserve">in </w:t>
      </w:r>
      <w:r>
        <w:t>chapter 12</w:t>
      </w:r>
      <w:r w:rsidRPr="00AE667B">
        <w:t xml:space="preserve"> of</w:t>
      </w:r>
      <w:r>
        <w:t xml:space="preserve"> this guidance).</w:t>
      </w:r>
    </w:p>
    <w:p w:rsidR="008D1DCC" w:rsidRPr="005E134B" w:rsidRDefault="008D1DCC" w:rsidP="00DB5FC4">
      <w:pPr>
        <w:keepNext/>
      </w:pPr>
    </w:p>
    <w:p w:rsidR="008D1DCC" w:rsidRPr="005E134B" w:rsidRDefault="008D1DCC" w:rsidP="008A44A7">
      <w:r w:rsidRPr="005E134B">
        <w:t xml:space="preserve">Any medical examination must be consistent with best practice in diagnosing the presence of, or immunity to, the infectious disease. It must be the least invasive type of examination necessary to establish whether </w:t>
      </w:r>
      <w:r>
        <w:t xml:space="preserve">a </w:t>
      </w:r>
      <w:r w:rsidRPr="005E134B">
        <w:t>person has, or is immune to, the infectious disease.</w:t>
      </w:r>
    </w:p>
    <w:p w:rsidR="008D1DCC" w:rsidRPr="005E134B" w:rsidRDefault="008D1DCC" w:rsidP="008A44A7"/>
    <w:p w:rsidR="008D1DCC" w:rsidRPr="005E134B" w:rsidRDefault="008D1DCC" w:rsidP="008A44A7">
      <w:r w:rsidRPr="005E134B">
        <w:t xml:space="preserve">Under the Code </w:t>
      </w:r>
      <w:r>
        <w:t xml:space="preserve">of Health and </w:t>
      </w:r>
      <w:r w:rsidRPr="00E17732">
        <w:t xml:space="preserve">Disability </w:t>
      </w:r>
      <w:r>
        <w:t xml:space="preserve">Services </w:t>
      </w:r>
      <w:r w:rsidRPr="00E17732">
        <w:t>Consumers</w:t>
      </w:r>
      <w:r w:rsidR="003B22F1">
        <w:t>’</w:t>
      </w:r>
      <w:r w:rsidRPr="00E17732">
        <w:t xml:space="preserve"> Rights </w:t>
      </w:r>
      <w:r>
        <w:t xml:space="preserve">1994, </w:t>
      </w:r>
      <w:r w:rsidRPr="005E134B">
        <w:t>medical practitioners must seek and obtain informed consent prior to undertaking a medical examination.</w:t>
      </w:r>
      <w:r w:rsidRPr="008A44A7">
        <w:rPr>
          <w:rStyle w:val="FootnoteReference"/>
        </w:rPr>
        <w:footnoteReference w:id="77"/>
      </w:r>
      <w:r w:rsidRPr="005E134B">
        <w:t xml:space="preserve"> This requirement continues to apply even in the context of a direction to undergo a medical examination. If </w:t>
      </w:r>
      <w:r>
        <w:t xml:space="preserve">a </w:t>
      </w:r>
      <w:r w:rsidRPr="005E134B">
        <w:t xml:space="preserve">person subject to the direction refuses to be medically examined, </w:t>
      </w:r>
      <w:r>
        <w:t xml:space="preserve">different processes apply: see </w:t>
      </w:r>
      <w:r w:rsidR="003B22F1">
        <w:t>‘</w:t>
      </w:r>
      <w:r>
        <w:t>Prosecution for non-compliance</w:t>
      </w:r>
      <w:r w:rsidR="003B22F1">
        <w:t>’</w:t>
      </w:r>
      <w:r>
        <w:t xml:space="preserve"> in this chapter, below</w:t>
      </w:r>
      <w:r w:rsidRPr="005E134B">
        <w:t>.</w:t>
      </w:r>
    </w:p>
    <w:p w:rsidR="008D1DCC" w:rsidRPr="005E134B" w:rsidRDefault="008D1DCC" w:rsidP="008A44A7"/>
    <w:p w:rsidR="003B22F1" w:rsidRDefault="008D1DCC" w:rsidP="008A44A7">
      <w:r w:rsidRPr="005E134B">
        <w:t>Until the medical examination</w:t>
      </w:r>
      <w:r>
        <w:t>/</w:t>
      </w:r>
      <w:r w:rsidRPr="005E134B">
        <w:t>s have been completed, the person can also be directed to comply with any one or more of the directions referred to in (a)</w:t>
      </w:r>
      <w:r w:rsidR="003B22F1">
        <w:t>–</w:t>
      </w:r>
      <w:r w:rsidRPr="005E134B">
        <w:t xml:space="preserve">(h) under </w:t>
      </w:r>
      <w:r w:rsidR="003B22F1">
        <w:t>‘</w:t>
      </w:r>
      <w:r w:rsidRPr="005E134B">
        <w:t>Public health directions</w:t>
      </w:r>
      <w:r w:rsidR="003B22F1">
        <w:t>’</w:t>
      </w:r>
      <w:r w:rsidRPr="005E134B">
        <w:t xml:space="preserve">, above. </w:t>
      </w:r>
      <w:r>
        <w:t>These</w:t>
      </w:r>
      <w:r w:rsidRPr="005E134B">
        <w:t xml:space="preserve"> directions </w:t>
      </w:r>
      <w:r>
        <w:t xml:space="preserve">end </w:t>
      </w:r>
      <w:r w:rsidRPr="005E134B">
        <w:t>once the medical examination/s have been completed.</w:t>
      </w:r>
    </w:p>
    <w:p w:rsidR="008D1DCC" w:rsidRPr="005E134B" w:rsidRDefault="008D1DCC" w:rsidP="008A44A7"/>
    <w:p w:rsidR="008D1DCC" w:rsidRPr="005E134B" w:rsidRDefault="008D1DCC" w:rsidP="008A44A7">
      <w:r w:rsidRPr="005E134B">
        <w:t xml:space="preserve">Medical examination directions </w:t>
      </w:r>
      <w:r>
        <w:t xml:space="preserve">themselves </w:t>
      </w:r>
      <w:r w:rsidRPr="005E134B">
        <w:t>end once the medical examinations/s specified in the direction have been completed in accordance with any specified place and health provider.</w:t>
      </w:r>
      <w:r w:rsidRPr="008A44A7">
        <w:rPr>
          <w:rStyle w:val="FootnoteReference"/>
        </w:rPr>
        <w:footnoteReference w:id="78"/>
      </w:r>
    </w:p>
    <w:p w:rsidR="008D1DCC" w:rsidRPr="005E134B" w:rsidRDefault="008D1DCC" w:rsidP="008A44A7"/>
    <w:p w:rsidR="008D1DCC" w:rsidRPr="002C2D0F" w:rsidRDefault="008D1DCC" w:rsidP="008A44A7">
      <w:pPr>
        <w:pStyle w:val="Heading3"/>
      </w:pPr>
      <w:r w:rsidRPr="002C2D0F">
        <w:t>When the direction can be imposed</w:t>
      </w:r>
    </w:p>
    <w:p w:rsidR="008D1DCC" w:rsidRDefault="008D1DCC" w:rsidP="008A44A7">
      <w:r>
        <w:t>A m</w:t>
      </w:r>
      <w:r w:rsidRPr="005E134B">
        <w:t>edical officer of health can impose a direction</w:t>
      </w:r>
      <w:r>
        <w:t xml:space="preserve"> if he or she holds a </w:t>
      </w:r>
      <w:r w:rsidRPr="005E134B">
        <w:t>belief on reasonable grounds</w:t>
      </w:r>
      <w:r>
        <w:t xml:space="preserve"> </w:t>
      </w:r>
      <w:r w:rsidRPr="005E134B">
        <w:t xml:space="preserve">that </w:t>
      </w:r>
      <w:r>
        <w:t>an individual:</w:t>
      </w:r>
    </w:p>
    <w:p w:rsidR="008D1DCC" w:rsidRPr="00E17732" w:rsidRDefault="008A44A7" w:rsidP="008A44A7">
      <w:pPr>
        <w:spacing w:before="120"/>
        <w:ind w:left="567" w:hanging="567"/>
      </w:pPr>
      <w:r>
        <w:t>(a)</w:t>
      </w:r>
      <w:r>
        <w:tab/>
      </w:r>
      <w:r w:rsidR="008D1DCC" w:rsidRPr="00E17732">
        <w:t>may have an infectious disease (</w:t>
      </w:r>
      <w:r w:rsidR="008D1DCC">
        <w:t>eg</w:t>
      </w:r>
      <w:r w:rsidR="008D1DCC" w:rsidRPr="00E17732">
        <w:t xml:space="preserve">, because he or she has been in contact with a person </w:t>
      </w:r>
      <w:r w:rsidR="008D1DCC">
        <w:t>who has an infectious disease)</w:t>
      </w:r>
    </w:p>
    <w:p w:rsidR="008D1DCC" w:rsidRDefault="008A44A7" w:rsidP="008A44A7">
      <w:pPr>
        <w:spacing w:before="120"/>
        <w:ind w:left="567" w:hanging="567"/>
      </w:pPr>
      <w:r>
        <w:t>(b)</w:t>
      </w:r>
      <w:r>
        <w:tab/>
      </w:r>
      <w:r w:rsidR="008D1DCC" w:rsidRPr="00C556E5">
        <w:t>has received a request from his or her medical practitioner or a medical officer of health to undergo a medical examination within a specified period, to confirm whether or not he or she has an infectious disease</w:t>
      </w:r>
    </w:p>
    <w:p w:rsidR="008D1DCC" w:rsidRPr="005E134B" w:rsidRDefault="008A44A7" w:rsidP="008A44A7">
      <w:pPr>
        <w:spacing w:before="120"/>
        <w:ind w:left="567" w:hanging="567"/>
      </w:pPr>
      <w:r>
        <w:t>(c)</w:t>
      </w:r>
      <w:r>
        <w:tab/>
      </w:r>
      <w:r w:rsidR="008D1DCC" w:rsidRPr="005E134B">
        <w:t>has not complied with the request for a medical examinati</w:t>
      </w:r>
      <w:r w:rsidR="008D1DCC">
        <w:t>on within the period specified</w:t>
      </w:r>
    </w:p>
    <w:p w:rsidR="008D1DCC" w:rsidRPr="005E134B" w:rsidRDefault="008A44A7" w:rsidP="008A44A7">
      <w:pPr>
        <w:spacing w:before="120"/>
        <w:ind w:left="567" w:hanging="567"/>
      </w:pPr>
      <w:r>
        <w:t>(d)</w:t>
      </w:r>
      <w:r>
        <w:tab/>
      </w:r>
      <w:r w:rsidR="008D1DCC" w:rsidRPr="005E134B">
        <w:t xml:space="preserve">if </w:t>
      </w:r>
      <w:r w:rsidR="008D1DCC">
        <w:t xml:space="preserve">he or she </w:t>
      </w:r>
      <w:r w:rsidR="008D1DCC" w:rsidRPr="005E134B">
        <w:t>has the infectious disease, poses a public health risk.</w:t>
      </w:r>
      <w:r w:rsidR="008D1DCC" w:rsidRPr="008A44A7">
        <w:rPr>
          <w:rStyle w:val="FootnoteReference"/>
        </w:rPr>
        <w:footnoteReference w:id="79"/>
      </w:r>
    </w:p>
    <w:p w:rsidR="008D1DCC" w:rsidRPr="005E134B" w:rsidRDefault="008D1DCC" w:rsidP="008A44A7"/>
    <w:p w:rsidR="008D1DCC" w:rsidRDefault="008D1DCC" w:rsidP="008A44A7">
      <w:r>
        <w:t>All of these grounds must be met.</w:t>
      </w:r>
    </w:p>
    <w:p w:rsidR="008D1DCC" w:rsidRDefault="008D1DCC" w:rsidP="008A44A7"/>
    <w:p w:rsidR="008D1DCC" w:rsidRDefault="008D1DCC" w:rsidP="008A44A7">
      <w:r>
        <w:t xml:space="preserve">Medical officers of health must forward a copy of every medical examination direction to </w:t>
      </w:r>
      <w:r w:rsidRPr="005E134B">
        <w:t>the Director of Public Health.</w:t>
      </w:r>
      <w:r w:rsidRPr="008A44A7">
        <w:rPr>
          <w:rStyle w:val="FootnoteReference"/>
        </w:rPr>
        <w:footnoteReference w:id="80"/>
      </w:r>
    </w:p>
    <w:p w:rsidR="008A44A7" w:rsidRPr="005E134B" w:rsidRDefault="008A44A7" w:rsidP="008A44A7"/>
    <w:p w:rsidR="008A44A7" w:rsidRPr="005E134B" w:rsidRDefault="008A44A7" w:rsidP="008A44A7">
      <w:pPr>
        <w:pStyle w:val="BoxHeading"/>
      </w:pPr>
      <w:r w:rsidRPr="005E134B">
        <w:t>Scenario 1</w:t>
      </w:r>
    </w:p>
    <w:p w:rsidR="008A44A7" w:rsidRDefault="008A44A7" w:rsidP="008A44A7">
      <w:pPr>
        <w:pStyle w:val="Box"/>
        <w:keepLines/>
      </w:pPr>
      <w:r w:rsidRPr="005E134B">
        <w:t xml:space="preserve">In a small community three </w:t>
      </w:r>
      <w:r>
        <w:t>people develop</w:t>
      </w:r>
      <w:r w:rsidRPr="005E134B">
        <w:t xml:space="preserve"> typhoid, a relatively un</w:t>
      </w:r>
      <w:r>
        <w:t xml:space="preserve">common disease in New Zealand. </w:t>
      </w:r>
      <w:r w:rsidRPr="005E134B">
        <w:t xml:space="preserve">On investigating, the local </w:t>
      </w:r>
      <w:r>
        <w:t>m</w:t>
      </w:r>
      <w:r w:rsidRPr="005E134B">
        <w:t>edical officer of health has reasonable grounds for believing the source of the infection is one of the food handlers employed by Eat and Go Inc. Eat and Go regularly caters church functions</w:t>
      </w:r>
      <w:r>
        <w:t>,</w:t>
      </w:r>
      <w:r w:rsidRPr="005E134B">
        <w:t xml:space="preserve"> and has an ice</w:t>
      </w:r>
      <w:r>
        <w:t xml:space="preserve"> </w:t>
      </w:r>
      <w:r w:rsidRPr="005E134B">
        <w:t xml:space="preserve">cream truck </w:t>
      </w:r>
      <w:r>
        <w:t xml:space="preserve">it </w:t>
      </w:r>
      <w:r w:rsidRPr="005E134B">
        <w:t>bring</w:t>
      </w:r>
      <w:r>
        <w:t>s</w:t>
      </w:r>
      <w:r w:rsidRPr="005E134B">
        <w:t xml:space="preserve"> to the functions. On making some inquiries of the three typhoid sufferers, the </w:t>
      </w:r>
      <w:r>
        <w:t>m</w:t>
      </w:r>
      <w:r w:rsidRPr="005E134B">
        <w:t>edical officer of health discovers that all</w:t>
      </w:r>
      <w:r>
        <w:t xml:space="preserve"> three cases</w:t>
      </w:r>
      <w:r w:rsidRPr="005E134B">
        <w:t xml:space="preserve"> remember getting an ice cream</w:t>
      </w:r>
      <w:r>
        <w:t xml:space="preserve"> from this truck. O</w:t>
      </w:r>
      <w:r w:rsidRPr="005E134B">
        <w:t xml:space="preserve">ne said she hesitated before doing </w:t>
      </w:r>
      <w:r>
        <w:t xml:space="preserve">so, </w:t>
      </w:r>
      <w:r w:rsidRPr="005E134B">
        <w:t>because the food handler had just wiped his nose with his hand before placing the ice cream on the cone with</w:t>
      </w:r>
      <w:r>
        <w:t xml:space="preserve"> a scoop and handing it to her. </w:t>
      </w:r>
      <w:r w:rsidRPr="005E134B">
        <w:t xml:space="preserve">The </w:t>
      </w:r>
      <w:r>
        <w:t>m</w:t>
      </w:r>
      <w:r w:rsidRPr="005E134B">
        <w:t>edical officer of health is uncertain which food handler did this, and</w:t>
      </w:r>
      <w:r>
        <w:t xml:space="preserve"> in any case</w:t>
      </w:r>
      <w:r w:rsidRPr="005E134B">
        <w:t xml:space="preserve"> typhoid is spread by the oral/faecal ro</w:t>
      </w:r>
      <w:r>
        <w:t>ute and not through nasal fluid</w:t>
      </w:r>
      <w:r w:rsidRPr="005E134B">
        <w:t>.</w:t>
      </w:r>
    </w:p>
    <w:p w:rsidR="008A44A7" w:rsidRPr="005E134B" w:rsidRDefault="008A44A7" w:rsidP="008A44A7">
      <w:pPr>
        <w:pStyle w:val="Box"/>
      </w:pPr>
      <w:r w:rsidRPr="005E134B">
        <w:t>A further church function is</w:t>
      </w:r>
      <w:r>
        <w:t xml:space="preserve"> planned for the coming weekend. </w:t>
      </w:r>
      <w:r w:rsidRPr="005E134B">
        <w:t>Eat and Go</w:t>
      </w:r>
      <w:r>
        <w:t xml:space="preserve"> will cater the function and bring its</w:t>
      </w:r>
      <w:r w:rsidRPr="005E134B">
        <w:t xml:space="preserve"> ice cream truck.</w:t>
      </w:r>
    </w:p>
    <w:p w:rsidR="008A44A7" w:rsidRDefault="008A44A7" w:rsidP="008A44A7">
      <w:pPr>
        <w:pStyle w:val="Box"/>
      </w:pPr>
      <w:r>
        <w:t>Because the public health unit’s representative is</w:t>
      </w:r>
      <w:r w:rsidRPr="005E134B">
        <w:t xml:space="preserve"> responsible for managing the public health risk posed by individuals who may have an infectious disease, the </w:t>
      </w:r>
      <w:r>
        <w:t xml:space="preserve">medical </w:t>
      </w:r>
      <w:r w:rsidRPr="005E134B">
        <w:t>officer of health contacts the company</w:t>
      </w:r>
      <w:r>
        <w:t>’</w:t>
      </w:r>
      <w:r w:rsidRPr="005E134B">
        <w:t>s representative to ensure all staff have been tested and given the all clear.</w:t>
      </w:r>
    </w:p>
    <w:p w:rsidR="008A44A7" w:rsidRDefault="008A44A7" w:rsidP="008A44A7">
      <w:pPr>
        <w:pStyle w:val="Box"/>
      </w:pPr>
      <w:r w:rsidRPr="005E134B">
        <w:t xml:space="preserve">The </w:t>
      </w:r>
      <w:r>
        <w:t>m</w:t>
      </w:r>
      <w:r w:rsidRPr="005E134B">
        <w:t xml:space="preserve">edical officer of health </w:t>
      </w:r>
      <w:r>
        <w:t xml:space="preserve">asks Eat and Go for </w:t>
      </w:r>
      <w:r w:rsidRPr="005E134B">
        <w:t>a list of all staff</w:t>
      </w:r>
      <w:r>
        <w:t xml:space="preserve"> </w:t>
      </w:r>
      <w:r w:rsidRPr="005E134B">
        <w:t>– five in total – and asks to test each of them immediately.</w:t>
      </w:r>
      <w:r>
        <w:t xml:space="preserve"> A</w:t>
      </w:r>
      <w:r w:rsidRPr="005E134B">
        <w:t xml:space="preserve"> couple</w:t>
      </w:r>
      <w:r>
        <w:t xml:space="preserve"> of staff members,</w:t>
      </w:r>
      <w:r w:rsidRPr="005E134B">
        <w:t xml:space="preserve"> (Bob and Jerry) balk at this</w:t>
      </w:r>
      <w:r>
        <w:t>. G</w:t>
      </w:r>
      <w:r w:rsidRPr="005E134B">
        <w:t xml:space="preserve">iven the severity of the disease (which can be fatal if not treated), </w:t>
      </w:r>
      <w:r>
        <w:t>t</w:t>
      </w:r>
      <w:r w:rsidRPr="005E134B">
        <w:t>he</w:t>
      </w:r>
      <w:r>
        <w:t xml:space="preserve"> medical officer of health</w:t>
      </w:r>
      <w:r w:rsidRPr="005E134B">
        <w:t xml:space="preserve"> backs </w:t>
      </w:r>
      <w:r>
        <w:t>up his request</w:t>
      </w:r>
      <w:r w:rsidRPr="005E134B">
        <w:t xml:space="preserve"> with a direction</w:t>
      </w:r>
      <w:r>
        <w:t xml:space="preserve"> to Bob and Jerry</w:t>
      </w:r>
      <w:r w:rsidRPr="005E134B">
        <w:t xml:space="preserve"> under section 92K(1) to be tested.</w:t>
      </w:r>
    </w:p>
    <w:p w:rsidR="008A44A7" w:rsidRPr="005E134B" w:rsidRDefault="008A44A7" w:rsidP="008A44A7">
      <w:pPr>
        <w:pStyle w:val="Box"/>
      </w:pPr>
      <w:r w:rsidRPr="005E134B">
        <w:t xml:space="preserve">The </w:t>
      </w:r>
      <w:r>
        <w:t>m</w:t>
      </w:r>
      <w:r w:rsidRPr="005E134B">
        <w:t>edical officer of health approaches a person occupying a position of responsibility at the church and asks for a list of attendees at the la</w:t>
      </w:r>
      <w:r>
        <w:t>st church function, so that they</w:t>
      </w:r>
      <w:r w:rsidRPr="005E134B">
        <w:t xml:space="preserve"> can be contact traced. He tells her about the directions</w:t>
      </w:r>
      <w:r>
        <w:t>,</w:t>
      </w:r>
      <w:r w:rsidRPr="005E134B">
        <w:t xml:space="preserve"> and of the public health risk posed by and to Eat and Go personnel if they are involved with food handling at the next function. The </w:t>
      </w:r>
      <w:r>
        <w:t>m</w:t>
      </w:r>
      <w:r w:rsidRPr="005E134B">
        <w:t xml:space="preserve">edical officer of health </w:t>
      </w:r>
      <w:r>
        <w:t xml:space="preserve">does this in the belief that the communication is necessary to </w:t>
      </w:r>
      <w:r w:rsidRPr="005E134B">
        <w:t>prevent or minimise the public health risk posed by one or both of them.</w:t>
      </w:r>
      <w:r w:rsidRPr="008A44A7">
        <w:rPr>
          <w:rStyle w:val="FootnoteReference"/>
        </w:rPr>
        <w:footnoteReference w:id="81"/>
      </w:r>
    </w:p>
    <w:p w:rsidR="008A44A7" w:rsidRDefault="008A44A7" w:rsidP="008A44A7">
      <w:pPr>
        <w:pStyle w:val="Box"/>
      </w:pPr>
      <w:r>
        <w:t xml:space="preserve">Because </w:t>
      </w:r>
      <w:r w:rsidRPr="005E134B">
        <w:t xml:space="preserve">MPI is responsible for commercial food safety and food safety premises, the </w:t>
      </w:r>
      <w:r>
        <w:t>m</w:t>
      </w:r>
      <w:r w:rsidRPr="005E134B">
        <w:t xml:space="preserve">edical officer of health informs </w:t>
      </w:r>
      <w:r>
        <w:t>MPI</w:t>
      </w:r>
      <w:r w:rsidRPr="005E134B">
        <w:t xml:space="preserve"> of the food safety risk, and MPI arranges for samples of the ice cream and cones to be tested for the bacteria </w:t>
      </w:r>
      <w:r w:rsidRPr="005E134B">
        <w:rPr>
          <w:i/>
        </w:rPr>
        <w:t>Salmonella typhi</w:t>
      </w:r>
      <w:r>
        <w:t>. MPI also reviews t</w:t>
      </w:r>
      <w:r w:rsidRPr="005E134B">
        <w:t>he food safety procedu</w:t>
      </w:r>
      <w:r>
        <w:t>res Eat and Go Inc has in place.</w:t>
      </w:r>
    </w:p>
    <w:p w:rsidR="008A44A7" w:rsidRDefault="008A44A7" w:rsidP="008A44A7">
      <w:pPr>
        <w:pStyle w:val="Box"/>
      </w:pPr>
      <w:r w:rsidRPr="005E134B">
        <w:t xml:space="preserve">The </w:t>
      </w:r>
      <w:r>
        <w:t xml:space="preserve">test </w:t>
      </w:r>
      <w:r w:rsidRPr="005E134B">
        <w:t xml:space="preserve">results show Bob </w:t>
      </w:r>
      <w:r>
        <w:t xml:space="preserve">has typhoid. </w:t>
      </w:r>
      <w:r w:rsidRPr="005E134B">
        <w:t xml:space="preserve">Bob accepts treatment voluntarily and opts to comply with the </w:t>
      </w:r>
      <w:r>
        <w:t>m</w:t>
      </w:r>
      <w:r w:rsidRPr="005E134B">
        <w:t>edical officer of health</w:t>
      </w:r>
      <w:r>
        <w:t>’</w:t>
      </w:r>
      <w:r w:rsidRPr="005E134B">
        <w:t xml:space="preserve">s request to stay away from customer service and food handling until he no longer presents a public health risk, and </w:t>
      </w:r>
      <w:r>
        <w:t>within a specified timeframe.</w:t>
      </w:r>
    </w:p>
    <w:p w:rsidR="008A44A7" w:rsidRDefault="008A44A7" w:rsidP="008A44A7"/>
    <w:p w:rsidR="008A44A7" w:rsidRPr="005E134B" w:rsidRDefault="008A44A7" w:rsidP="008A44A7">
      <w:pPr>
        <w:pStyle w:val="BoxHeading"/>
      </w:pPr>
      <w:r w:rsidRPr="005E134B">
        <w:t>Scenario 2</w:t>
      </w:r>
    </w:p>
    <w:p w:rsidR="008A44A7" w:rsidRPr="005E134B" w:rsidRDefault="008A44A7" w:rsidP="008A44A7">
      <w:pPr>
        <w:pStyle w:val="Box"/>
        <w:keepNext/>
      </w:pPr>
      <w:r>
        <w:t xml:space="preserve">Wayne is a sous </w:t>
      </w:r>
      <w:r w:rsidRPr="005E134B">
        <w:t>chef in a restaurant and is a close contact of a case who has bee</w:t>
      </w:r>
      <w:r>
        <w:t xml:space="preserve">n diagnosed with salmonellosis. </w:t>
      </w:r>
      <w:r w:rsidRPr="005E134B">
        <w:t xml:space="preserve">The </w:t>
      </w:r>
      <w:r>
        <w:t>m</w:t>
      </w:r>
      <w:r w:rsidRPr="005E134B">
        <w:t>edical officer of health determines that a medical examination is necessary to ascertain whether Wayne is a carrier and could spread the infection by contaminating the food he is handling.</w:t>
      </w:r>
    </w:p>
    <w:p w:rsidR="008A44A7" w:rsidRDefault="008A44A7" w:rsidP="00DB5FC4">
      <w:pPr>
        <w:pStyle w:val="Box"/>
        <w:keepLines/>
      </w:pPr>
      <w:r w:rsidRPr="005E134B">
        <w:t xml:space="preserve">The </w:t>
      </w:r>
      <w:r>
        <w:t>m</w:t>
      </w:r>
      <w:r w:rsidRPr="005E134B">
        <w:t>edical officer of health contacts Wayne to confirm the circumstances in which the disease may be transmitted to or by a food handler, providing information about the disease and ways to prevent its spread, and to obtain information about contacts.</w:t>
      </w:r>
      <w:r>
        <w:t xml:space="preserve"> </w:t>
      </w:r>
      <w:r w:rsidRPr="005E134B">
        <w:t>While Wayne</w:t>
      </w:r>
      <w:r>
        <w:t xml:space="preserve"> cooperates</w:t>
      </w:r>
      <w:r w:rsidRPr="005E134B">
        <w:t xml:space="preserve"> in providing information, he is reluctant to arrange a medical examination to confirm whether he has the disease. He</w:t>
      </w:r>
      <w:r>
        <w:t xml:space="preserve"> vigorously</w:t>
      </w:r>
      <w:r w:rsidRPr="005E134B">
        <w:t xml:space="preserve"> refuses the </w:t>
      </w:r>
      <w:r>
        <w:t>m</w:t>
      </w:r>
      <w:r w:rsidRPr="005E134B">
        <w:t>edical officer of health</w:t>
      </w:r>
      <w:r>
        <w:t>’s request that he do so.</w:t>
      </w:r>
    </w:p>
    <w:p w:rsidR="008A44A7" w:rsidRDefault="008A44A7" w:rsidP="008A44A7">
      <w:pPr>
        <w:pStyle w:val="Box"/>
      </w:pPr>
      <w:r w:rsidRPr="005E134B">
        <w:t xml:space="preserve">The </w:t>
      </w:r>
      <w:r>
        <w:t>m</w:t>
      </w:r>
      <w:r w:rsidRPr="005E134B">
        <w:t>edical officer of health imposes a direction under section 92K that Wayne be medically examined within three days to establish whether he has the disease. In tandem with this</w:t>
      </w:r>
      <w:r>
        <w:t>,</w:t>
      </w:r>
      <w:r w:rsidRPr="005E134B">
        <w:t xml:space="preserve"> the </w:t>
      </w:r>
      <w:r>
        <w:t>m</w:t>
      </w:r>
      <w:r w:rsidRPr="005E134B">
        <w:t>edical officer of health directs Wayne to immediately stay away from work,</w:t>
      </w:r>
      <w:r>
        <w:t xml:space="preserve"> and to remain</w:t>
      </w:r>
      <w:r w:rsidRPr="005E134B">
        <w:t xml:space="preserve"> at home for several weeks unless or until he has obtained </w:t>
      </w:r>
      <w:r>
        <w:t>an ‘</w:t>
      </w:r>
      <w:r w:rsidRPr="005E134B">
        <w:t>all clear</w:t>
      </w:r>
      <w:r>
        <w:t>’</w:t>
      </w:r>
      <w:r w:rsidRPr="005E134B">
        <w:t xml:space="preserve"> on examination. </w:t>
      </w:r>
      <w:r>
        <w:t>The fact that Wayne is a close contact of a confirmed case working in a high – risk occupation</w:t>
      </w:r>
      <w:r w:rsidR="000B6B66">
        <w:t xml:space="preserve"> justifies the direction.</w:t>
      </w:r>
    </w:p>
    <w:p w:rsidR="008A44A7" w:rsidRPr="005E134B" w:rsidRDefault="008A44A7" w:rsidP="008A44A7">
      <w:pPr>
        <w:pStyle w:val="Box"/>
      </w:pPr>
      <w:r w:rsidRPr="005E134B">
        <w:t xml:space="preserve">The </w:t>
      </w:r>
      <w:r>
        <w:t>m</w:t>
      </w:r>
      <w:r w:rsidRPr="005E134B">
        <w:t>edical officer of health approaches Wayne</w:t>
      </w:r>
      <w:r>
        <w:t>’</w:t>
      </w:r>
      <w:r w:rsidRPr="005E134B">
        <w:t>s employer for information on other contacts who may be at risk</w:t>
      </w:r>
      <w:r>
        <w:t>,</w:t>
      </w:r>
      <w:r w:rsidRPr="005E134B">
        <w:t xml:space="preserve"> using the powers in section 92ZZF of the Health Act.</w:t>
      </w:r>
      <w:r>
        <w:t xml:space="preserve"> T</w:t>
      </w:r>
      <w:r w:rsidRPr="005E134B">
        <w:t>he employer</w:t>
      </w:r>
      <w:r>
        <w:t xml:space="preserve"> is legally obliged to</w:t>
      </w:r>
      <w:r w:rsidRPr="005E134B">
        <w:t xml:space="preserve"> provide that information, and the </w:t>
      </w:r>
      <w:r>
        <w:t>m</w:t>
      </w:r>
      <w:r w:rsidRPr="005E134B">
        <w:t>edical officer of health informs him of this and that the information is necessary for the effective management of infectious diseases.</w:t>
      </w:r>
    </w:p>
    <w:p w:rsidR="008D1DCC" w:rsidRPr="005E134B" w:rsidRDefault="008D1DCC" w:rsidP="008A44A7"/>
    <w:p w:rsidR="008D1DCC" w:rsidRPr="00584182" w:rsidRDefault="008D1DCC" w:rsidP="008A44A7">
      <w:pPr>
        <w:pStyle w:val="Heading2"/>
      </w:pPr>
      <w:bookmarkStart w:id="51" w:name="_Toc473538546"/>
      <w:r w:rsidRPr="00584182">
        <w:t>Educational institution directions</w:t>
      </w:r>
      <w:bookmarkEnd w:id="51"/>
    </w:p>
    <w:p w:rsidR="008D1DCC" w:rsidRPr="002C2D0F" w:rsidRDefault="008D1DCC" w:rsidP="008A44A7">
      <w:pPr>
        <w:pStyle w:val="Heading3"/>
      </w:pPr>
      <w:r w:rsidRPr="002C2D0F">
        <w:t>Nature of the power</w:t>
      </w:r>
    </w:p>
    <w:p w:rsidR="008D1DCC" w:rsidRPr="005E134B" w:rsidRDefault="008D1DCC" w:rsidP="008A44A7">
      <w:r w:rsidRPr="005E134B">
        <w:t xml:space="preserve">When there is a public health risk from an infectious disease spreading within an educational institution, a </w:t>
      </w:r>
      <w:r>
        <w:t>m</w:t>
      </w:r>
      <w:r w:rsidRPr="005E134B">
        <w:t xml:space="preserve">edical officer of health must consult with the person in charge of the institution before giving </w:t>
      </w:r>
      <w:r>
        <w:t xml:space="preserve">them </w:t>
      </w:r>
      <w:r w:rsidRPr="005E134B">
        <w:t>a direction</w:t>
      </w:r>
      <w:r w:rsidR="000B6B66">
        <w:t xml:space="preserve">. </w:t>
      </w:r>
      <w:r w:rsidRPr="005E134B">
        <w:t>These directions may require the person in charge to:</w:t>
      </w:r>
    </w:p>
    <w:p w:rsidR="008D1DCC" w:rsidRPr="005E134B" w:rsidRDefault="008A44A7" w:rsidP="008A44A7">
      <w:pPr>
        <w:spacing w:before="120"/>
        <w:ind w:left="567" w:hanging="567"/>
      </w:pPr>
      <w:r>
        <w:t>(a)</w:t>
      </w:r>
      <w:r>
        <w:tab/>
      </w:r>
      <w:r w:rsidR="008D1DCC" w:rsidRPr="005E134B">
        <w:t xml:space="preserve">direct </w:t>
      </w:r>
      <w:r w:rsidR="000B6B66">
        <w:t xml:space="preserve">one or more people </w:t>
      </w:r>
      <w:r w:rsidR="008D1DCC" w:rsidRPr="005E134B">
        <w:t>attending the educational institution to stay away from its pr</w:t>
      </w:r>
      <w:r>
        <w:t>operty until further notice</w:t>
      </w:r>
    </w:p>
    <w:p w:rsidR="008D1DCC" w:rsidRPr="005E134B" w:rsidRDefault="008A44A7" w:rsidP="008A44A7">
      <w:pPr>
        <w:spacing w:before="120"/>
        <w:ind w:left="567" w:hanging="567"/>
      </w:pPr>
      <w:r>
        <w:t>(b)</w:t>
      </w:r>
      <w:r>
        <w:tab/>
      </w:r>
      <w:r w:rsidR="008D1DCC" w:rsidRPr="005E134B">
        <w:t>c</w:t>
      </w:r>
      <w:r w:rsidR="008D1DCC">
        <w:t>lose part of the institution</w:t>
      </w:r>
    </w:p>
    <w:p w:rsidR="008D1DCC" w:rsidRPr="005E134B" w:rsidRDefault="008A44A7" w:rsidP="008A44A7">
      <w:pPr>
        <w:spacing w:before="120"/>
        <w:ind w:left="567" w:hanging="567"/>
      </w:pPr>
      <w:r>
        <w:t>(c)</w:t>
      </w:r>
      <w:r>
        <w:tab/>
      </w:r>
      <w:r w:rsidR="008D1DCC" w:rsidRPr="005E134B">
        <w:t>close the entire institution.</w:t>
      </w:r>
    </w:p>
    <w:p w:rsidR="008D1DCC" w:rsidRPr="005E134B" w:rsidRDefault="008D1DCC" w:rsidP="008A44A7"/>
    <w:p w:rsidR="003B22F1" w:rsidRDefault="008D1DCC" w:rsidP="008A44A7">
      <w:r w:rsidRPr="005E134B">
        <w:t xml:space="preserve">The </w:t>
      </w:r>
      <w:r>
        <w:t xml:space="preserve">legislative </w:t>
      </w:r>
      <w:r w:rsidRPr="005E134B">
        <w:t xml:space="preserve">term </w:t>
      </w:r>
      <w:r w:rsidR="003B22F1">
        <w:t>‘</w:t>
      </w:r>
      <w:r w:rsidRPr="005E134B">
        <w:t>educational institution</w:t>
      </w:r>
      <w:r w:rsidR="003B22F1">
        <w:t>’</w:t>
      </w:r>
      <w:r w:rsidRPr="005E134B">
        <w:t xml:space="preserve"> is </w:t>
      </w:r>
      <w:r>
        <w:t>defined more broadly</w:t>
      </w:r>
      <w:r w:rsidRPr="005E134B">
        <w:t xml:space="preserve"> than just schools or early childhood education and care centres. It includes </w:t>
      </w:r>
      <w:r w:rsidR="003B22F1">
        <w:t>‘</w:t>
      </w:r>
      <w:r w:rsidRPr="005E134B">
        <w:t xml:space="preserve">any place where people gather for the purpose of education or training. This could </w:t>
      </w:r>
      <w:r>
        <w:t xml:space="preserve">include </w:t>
      </w:r>
      <w:r w:rsidRPr="005E134B">
        <w:t xml:space="preserve">a </w:t>
      </w:r>
      <w:r>
        <w:t>marae that holds an</w:t>
      </w:r>
      <w:r w:rsidRPr="005E134B">
        <w:t xml:space="preserve"> educational course, for example.</w:t>
      </w:r>
      <w:r w:rsidRPr="008A44A7">
        <w:rPr>
          <w:rStyle w:val="FootnoteReference"/>
        </w:rPr>
        <w:footnoteReference w:id="82"/>
      </w:r>
    </w:p>
    <w:p w:rsidR="008D1DCC" w:rsidRPr="005E134B" w:rsidRDefault="008D1DCC" w:rsidP="008A44A7"/>
    <w:p w:rsidR="008D1DCC" w:rsidRPr="002C2D0F" w:rsidRDefault="008D1DCC" w:rsidP="008A44A7">
      <w:pPr>
        <w:pStyle w:val="Heading3"/>
      </w:pPr>
      <w:r w:rsidRPr="002C2D0F">
        <w:t>When the direction can be imposed</w:t>
      </w:r>
    </w:p>
    <w:p w:rsidR="008D1DCC" w:rsidRPr="005E134B" w:rsidRDefault="008D1DCC" w:rsidP="008A44A7">
      <w:pPr>
        <w:keepNext/>
      </w:pPr>
      <w:r>
        <w:t>To give an educational institution direction, a m</w:t>
      </w:r>
      <w:r w:rsidRPr="005E134B">
        <w:t>edical officer of health must have reasonable grounds to believe that:</w:t>
      </w:r>
    </w:p>
    <w:p w:rsidR="008D1DCC" w:rsidRDefault="008A44A7" w:rsidP="001B6FA5">
      <w:pPr>
        <w:spacing w:before="90"/>
        <w:ind w:left="567" w:hanging="567"/>
      </w:pPr>
      <w:r>
        <w:t>(a)</w:t>
      </w:r>
      <w:r>
        <w:tab/>
      </w:r>
      <w:r w:rsidR="008D1DCC" w:rsidRPr="00C556E5">
        <w:t xml:space="preserve">one or more persons attending an educational institution has, or may have, an </w:t>
      </w:r>
      <w:r w:rsidR="008D1DCC">
        <w:t>infectious disease</w:t>
      </w:r>
    </w:p>
    <w:p w:rsidR="003B22F1" w:rsidRPr="006F3C4E" w:rsidRDefault="008A44A7" w:rsidP="001B6FA5">
      <w:pPr>
        <w:spacing w:before="90"/>
        <w:ind w:left="567" w:hanging="567"/>
        <w:rPr>
          <w:spacing w:val="-2"/>
        </w:rPr>
      </w:pPr>
      <w:r>
        <w:t>(b)</w:t>
      </w:r>
      <w:r>
        <w:tab/>
      </w:r>
      <w:r w:rsidR="008D1DCC" w:rsidRPr="009569C6">
        <w:t xml:space="preserve">there is a substantial risk that the disease will be transmitted to other people attending the </w:t>
      </w:r>
      <w:r w:rsidR="008D1DCC" w:rsidRPr="006F3C4E">
        <w:rPr>
          <w:spacing w:val="-2"/>
        </w:rPr>
        <w:t>institution, having regard to its nature and the relevant circumstances of the particular case</w:t>
      </w:r>
    </w:p>
    <w:p w:rsidR="008D1DCC" w:rsidRPr="00BB771C" w:rsidRDefault="008A44A7" w:rsidP="001B6FA5">
      <w:pPr>
        <w:spacing w:before="90"/>
        <w:ind w:left="567" w:hanging="567"/>
      </w:pPr>
      <w:r>
        <w:t>(c)</w:t>
      </w:r>
      <w:r>
        <w:tab/>
      </w:r>
      <w:r w:rsidR="008D1DCC" w:rsidRPr="009569C6">
        <w:t>the risk of the disease being transmitted to other people cannot be adequately managed solely by giving directions to the individual with the disease.</w:t>
      </w:r>
      <w:r w:rsidR="008D1DCC" w:rsidRPr="008A44A7">
        <w:rPr>
          <w:rStyle w:val="FootnoteReference"/>
        </w:rPr>
        <w:footnoteReference w:id="83"/>
      </w:r>
    </w:p>
    <w:p w:rsidR="008D1DCC" w:rsidRDefault="008D1DCC" w:rsidP="008A44A7"/>
    <w:p w:rsidR="008D1DCC" w:rsidRPr="00BB771C" w:rsidRDefault="008D1DCC" w:rsidP="008A44A7">
      <w:r w:rsidRPr="00BB771C">
        <w:t>All of these grounds must be met.</w:t>
      </w:r>
    </w:p>
    <w:p w:rsidR="008D1DCC" w:rsidRDefault="008D1DCC" w:rsidP="008A44A7"/>
    <w:p w:rsidR="008D1DCC" w:rsidRPr="006F3C4E" w:rsidRDefault="008D1DCC" w:rsidP="008A44A7">
      <w:pPr>
        <w:rPr>
          <w:spacing w:val="-2"/>
        </w:rPr>
      </w:pPr>
      <w:r w:rsidRPr="006F3C4E">
        <w:rPr>
          <w:spacing w:val="-2"/>
        </w:rPr>
        <w:t>The CD Manual lists indicative incubation and isolation periods for notifiable infectious diseases,</w:t>
      </w:r>
      <w:r>
        <w:t xml:space="preserve"> </w:t>
      </w:r>
      <w:r w:rsidRPr="006F3C4E">
        <w:rPr>
          <w:spacing w:val="-2"/>
        </w:rPr>
        <w:t>which is particularly relevant to infectious students staying away from educational institutions.</w:t>
      </w:r>
      <w:r w:rsidRPr="001B6FA5">
        <w:rPr>
          <w:rStyle w:val="FootnoteReference"/>
        </w:rPr>
        <w:footnoteReference w:id="84"/>
      </w:r>
    </w:p>
    <w:p w:rsidR="008A44A7" w:rsidRPr="005E134B" w:rsidRDefault="008A44A7" w:rsidP="008A44A7"/>
    <w:p w:rsidR="008A44A7" w:rsidRDefault="008A44A7" w:rsidP="001B6FA5">
      <w:pPr>
        <w:pStyle w:val="BoxHeading"/>
        <w:pBdr>
          <w:bottom w:val="single" w:sz="4" w:space="9" w:color="auto"/>
        </w:pBdr>
      </w:pPr>
      <w:r w:rsidRPr="00A651AB">
        <w:t>Scenario</w:t>
      </w:r>
    </w:p>
    <w:p w:rsidR="008A44A7" w:rsidRDefault="008A44A7" w:rsidP="001B6FA5">
      <w:pPr>
        <w:pStyle w:val="Box"/>
        <w:pBdr>
          <w:bottom w:val="single" w:sz="4" w:space="9" w:color="auto"/>
        </w:pBdr>
      </w:pPr>
      <w:r w:rsidRPr="005E134B">
        <w:t xml:space="preserve">Mandy </w:t>
      </w:r>
      <w:r>
        <w:t xml:space="preserve">is the head of </w:t>
      </w:r>
      <w:r w:rsidRPr="005E134B">
        <w:t>an early childhood education and care centre in Miramar, and for a month norovirus has been circulating around th</w:t>
      </w:r>
      <w:r>
        <w:t xml:space="preserve">e centre’s staff and children. </w:t>
      </w:r>
      <w:r w:rsidRPr="005E134B">
        <w:t>A couple of the children</w:t>
      </w:r>
      <w:r>
        <w:t>’</w:t>
      </w:r>
      <w:r w:rsidRPr="005E134B">
        <w:t>s medical practitioners have notified the outbreak</w:t>
      </w:r>
      <w:r>
        <w:t xml:space="preserve"> – </w:t>
      </w:r>
      <w:r w:rsidRPr="005E134B">
        <w:t xml:space="preserve">acute gastroenteritis </w:t>
      </w:r>
      <w:r>
        <w:t>–</w:t>
      </w:r>
      <w:r w:rsidRPr="005E134B">
        <w:t xml:space="preserve"> to both the </w:t>
      </w:r>
      <w:r>
        <w:t>m</w:t>
      </w:r>
      <w:r w:rsidRPr="005E134B">
        <w:t xml:space="preserve">edical officer of health and the local authority, and </w:t>
      </w:r>
      <w:r>
        <w:t xml:space="preserve">authorities have taken </w:t>
      </w:r>
      <w:r w:rsidRPr="005E134B">
        <w:t>ongoing measures to a</w:t>
      </w:r>
      <w:r>
        <w:t xml:space="preserve">ddress the public health risk. </w:t>
      </w:r>
      <w:r w:rsidRPr="005E134B">
        <w:t xml:space="preserve">At various times, these </w:t>
      </w:r>
      <w:r>
        <w:t>measures have included water testing, stool sampling</w:t>
      </w:r>
      <w:r w:rsidRPr="005E134B">
        <w:t xml:space="preserve"> and surface swabs at the </w:t>
      </w:r>
      <w:r>
        <w:t xml:space="preserve">centre </w:t>
      </w:r>
      <w:r w:rsidRPr="005E134B">
        <w:t>and among at</w:t>
      </w:r>
      <w:r>
        <w:t>tendees. The centre has counselled p</w:t>
      </w:r>
      <w:r w:rsidRPr="005E134B">
        <w:t>arents and children on hand hygiene, and the importance of keeping children home until 48 hours after their last epi</w:t>
      </w:r>
      <w:r>
        <w:t xml:space="preserve">sode or vomiting or diarrhoea. </w:t>
      </w:r>
      <w:r w:rsidRPr="005E134B">
        <w:t>The centre</w:t>
      </w:r>
      <w:r>
        <w:t xml:space="preserve"> has removed its</w:t>
      </w:r>
      <w:r w:rsidRPr="005E134B">
        <w:t xml:space="preserve"> carpet,</w:t>
      </w:r>
      <w:r>
        <w:t xml:space="preserve"> disinfected its</w:t>
      </w:r>
      <w:r w:rsidRPr="005E134B">
        <w:t xml:space="preserve"> door handles and </w:t>
      </w:r>
      <w:r>
        <w:t xml:space="preserve">installed </w:t>
      </w:r>
      <w:r w:rsidRPr="005E134B">
        <w:t>hand saniti</w:t>
      </w:r>
      <w:r>
        <w:t>s</w:t>
      </w:r>
      <w:r w:rsidRPr="005E134B">
        <w:t>er</w:t>
      </w:r>
      <w:r w:rsidR="003C1A68">
        <w:t>s</w:t>
      </w:r>
      <w:r w:rsidRPr="005E134B">
        <w:t xml:space="preserve"> at the gates and inside the building.</w:t>
      </w:r>
    </w:p>
    <w:p w:rsidR="008A44A7" w:rsidRDefault="008A44A7" w:rsidP="001B6FA5">
      <w:pPr>
        <w:pStyle w:val="Box"/>
        <w:pBdr>
          <w:bottom w:val="single" w:sz="4" w:space="9" w:color="auto"/>
        </w:pBdr>
      </w:pPr>
      <w:r w:rsidRPr="005E134B">
        <w:t>Despite these mea</w:t>
      </w:r>
      <w:r>
        <w:t xml:space="preserve">sures, cases keep on irrupting. </w:t>
      </w:r>
      <w:r w:rsidRPr="005E134B">
        <w:t>Mandy and the other staff become exhausted, particularly because of the need to backfill for staff asked to stay away for at least 48 hours after they are symptom</w:t>
      </w:r>
      <w:r>
        <w:t>-</w:t>
      </w:r>
      <w:r w:rsidRPr="005E134B">
        <w:t>free.</w:t>
      </w:r>
    </w:p>
    <w:p w:rsidR="008A44A7" w:rsidRPr="005E134B" w:rsidRDefault="008A44A7" w:rsidP="001B6FA5">
      <w:pPr>
        <w:pStyle w:val="Box"/>
        <w:pBdr>
          <w:bottom w:val="single" w:sz="4" w:space="9" w:color="auto"/>
        </w:pBdr>
      </w:pPr>
      <w:r w:rsidRPr="005E134B">
        <w:t>Given this situation</w:t>
      </w:r>
      <w:r>
        <w:t>,</w:t>
      </w:r>
      <w:r w:rsidRPr="005E134B">
        <w:t xml:space="preserve"> the </w:t>
      </w:r>
      <w:r>
        <w:t>m</w:t>
      </w:r>
      <w:r w:rsidRPr="005E134B">
        <w:t>edical officer of health, Eric</w:t>
      </w:r>
      <w:r>
        <w:t>a</w:t>
      </w:r>
      <w:r w:rsidRPr="005E134B">
        <w:t>, decides to direct te</w:t>
      </w:r>
      <w:r>
        <w:t xml:space="preserve">mporary closure of the centre. </w:t>
      </w:r>
      <w:r w:rsidRPr="005E134B">
        <w:t>There is some resistance to this among the parents, a</w:t>
      </w:r>
      <w:r>
        <w:t xml:space="preserve">nd a couple of the paid staff. </w:t>
      </w:r>
      <w:r w:rsidRPr="005E134B">
        <w:t>Mandy, however, is relieved, and agrees to</w:t>
      </w:r>
      <w:r>
        <w:t xml:space="preserve"> the direction</w:t>
      </w:r>
      <w:r w:rsidRPr="005E134B">
        <w:t>. She is pleased to receive a formal direction putting the c</w:t>
      </w:r>
      <w:r>
        <w:t xml:space="preserve">ourse of action beyond dispute. Erica </w:t>
      </w:r>
      <w:r w:rsidRPr="005E134B">
        <w:t>gives h</w:t>
      </w:r>
      <w:r>
        <w:t>er</w:t>
      </w:r>
      <w:r w:rsidRPr="005E134B">
        <w:t xml:space="preserve"> direction under section 92L(2)(c) on the basis that there is a continuing and substantial risk that the infectious disease will be transmitted to other people attending t</w:t>
      </w:r>
      <w:r>
        <w:t>he centre if it does not close; t</w:t>
      </w:r>
      <w:r w:rsidRPr="005E134B">
        <w:t>hat risk cannot be adequately managed by directing particular staff, children or parents to stay away fro</w:t>
      </w:r>
      <w:r>
        <w:t xml:space="preserve">m the centre. </w:t>
      </w:r>
      <w:r w:rsidRPr="005E134B">
        <w:t>Eric</w:t>
      </w:r>
      <w:r>
        <w:t>a</w:t>
      </w:r>
      <w:r w:rsidRPr="005E134B">
        <w:t xml:space="preserve"> works with the local EHO to </w:t>
      </w:r>
      <w:r>
        <w:t xml:space="preserve">make sure </w:t>
      </w:r>
      <w:r w:rsidRPr="005E134B">
        <w:t xml:space="preserve">the premises </w:t>
      </w:r>
      <w:r>
        <w:t xml:space="preserve">are </w:t>
      </w:r>
      <w:r w:rsidRPr="005E134B">
        <w:t>completely disinfected while</w:t>
      </w:r>
      <w:r>
        <w:t xml:space="preserve"> they are</w:t>
      </w:r>
      <w:r w:rsidRPr="005E134B">
        <w:t xml:space="preserve"> closed.</w:t>
      </w:r>
    </w:p>
    <w:p w:rsidR="008A44A7" w:rsidRDefault="008A44A7" w:rsidP="001B6FA5">
      <w:pPr>
        <w:pStyle w:val="Box"/>
        <w:pBdr>
          <w:bottom w:val="single" w:sz="4" w:space="9" w:color="auto"/>
        </w:pBdr>
      </w:pPr>
      <w:r w:rsidRPr="005E134B">
        <w:t>Eric sends a copy of the direction to the Director of Public Health on behalf of the Director-General</w:t>
      </w:r>
      <w:r>
        <w:t xml:space="preserve"> of Health under section 92L(4). The Director-General has decided that </w:t>
      </w:r>
      <w:r w:rsidRPr="005E134B">
        <w:t>all copies of any direction to close or partially close an educational institution should be forwarded to the Director.</w:t>
      </w:r>
    </w:p>
    <w:p w:rsidR="008A44A7" w:rsidRPr="005E134B" w:rsidRDefault="008A44A7" w:rsidP="008A44A7">
      <w:pPr>
        <w:rPr>
          <w:highlight w:val="yellow"/>
        </w:rPr>
      </w:pPr>
    </w:p>
    <w:p w:rsidR="008D1DCC" w:rsidRPr="00584182" w:rsidRDefault="008D1DCC" w:rsidP="008A44A7">
      <w:pPr>
        <w:pStyle w:val="Heading2"/>
      </w:pPr>
      <w:bookmarkStart w:id="52" w:name="_Toc473538547"/>
      <w:r w:rsidRPr="00584182">
        <w:t>How directions can be imposed</w:t>
      </w:r>
      <w:bookmarkEnd w:id="52"/>
    </w:p>
    <w:p w:rsidR="008D1DCC" w:rsidRPr="002C2D0F" w:rsidRDefault="008D1DCC" w:rsidP="008A44A7">
      <w:pPr>
        <w:pStyle w:val="Heading3"/>
      </w:pPr>
      <w:r w:rsidRPr="002C2D0F">
        <w:t>Service of directions and notices</w:t>
      </w:r>
    </w:p>
    <w:p w:rsidR="008D1DCC" w:rsidRDefault="008D1DCC" w:rsidP="008A44A7">
      <w:r w:rsidRPr="005E134B">
        <w:t xml:space="preserve">The principle </w:t>
      </w:r>
      <w:r w:rsidR="003B22F1">
        <w:t>‘</w:t>
      </w:r>
      <w:r>
        <w:t>Individual to be informed</w:t>
      </w:r>
      <w:r w:rsidR="003B22F1">
        <w:t>’</w:t>
      </w:r>
      <w:r>
        <w:t>, one of the ov</w:t>
      </w:r>
      <w:r w:rsidRPr="00A871F4">
        <w:t>erarching principles</w:t>
      </w:r>
      <w:r>
        <w:t xml:space="preserve"> (see chapter 4), alongside</w:t>
      </w:r>
      <w:r w:rsidRPr="005E134B">
        <w:t xml:space="preserve"> the HIND Regulations 2016, impose</w:t>
      </w:r>
      <w:r>
        <w:t>s</w:t>
      </w:r>
      <w:r w:rsidRPr="005E134B">
        <w:t xml:space="preserve"> a number of information requirements on public health practitioners serving directions. These include</w:t>
      </w:r>
      <w:r>
        <w:t xml:space="preserve"> the requirement</w:t>
      </w:r>
      <w:r w:rsidRPr="005E134B">
        <w:t xml:space="preserve"> to inform the </w:t>
      </w:r>
      <w:r>
        <w:t xml:space="preserve">individual </w:t>
      </w:r>
      <w:r w:rsidRPr="005E134B">
        <w:t>of clinical matters to do with the disease, of the nature of the direction and its implications, of potential next steps, and of safeguards such as review and appeal.</w:t>
      </w:r>
    </w:p>
    <w:p w:rsidR="008A44A7" w:rsidRPr="005E134B" w:rsidRDefault="008A44A7" w:rsidP="008A44A7"/>
    <w:p w:rsidR="003B22F1" w:rsidRDefault="008D1DCC" w:rsidP="008A44A7">
      <w:r w:rsidRPr="005E134B">
        <w:t>A direction must be in writing and must be served on the individual it concerns.</w:t>
      </w:r>
      <w:r w:rsidRPr="008A44A7">
        <w:rPr>
          <w:rStyle w:val="FootnoteReference"/>
        </w:rPr>
        <w:footnoteReference w:id="85"/>
      </w:r>
      <w:r w:rsidR="003B22F1">
        <w:t xml:space="preserve"> </w:t>
      </w:r>
      <w:r w:rsidRPr="005E134B">
        <w:t xml:space="preserve">Preferably, this will be in person, although when this is not reasonably practicable, </w:t>
      </w:r>
      <w:r>
        <w:t xml:space="preserve">those serving a direction can take </w:t>
      </w:r>
      <w:r w:rsidRPr="005E134B">
        <w:t xml:space="preserve">alternative steps to bring </w:t>
      </w:r>
      <w:r>
        <w:t xml:space="preserve">it </w:t>
      </w:r>
      <w:r w:rsidRPr="005E134B">
        <w:t>to the person</w:t>
      </w:r>
      <w:r w:rsidR="003B22F1">
        <w:t>’</w:t>
      </w:r>
      <w:r w:rsidRPr="005E134B">
        <w:t>s attention as soon as possible.</w:t>
      </w:r>
      <w:r w:rsidRPr="008A44A7">
        <w:rPr>
          <w:rStyle w:val="FootnoteReference"/>
        </w:rPr>
        <w:footnoteReference w:id="86"/>
      </w:r>
    </w:p>
    <w:p w:rsidR="008A44A7" w:rsidRDefault="008A44A7" w:rsidP="008A44A7"/>
    <w:p w:rsidR="008D1DCC" w:rsidRPr="005E134B" w:rsidRDefault="008D1DCC" w:rsidP="008A44A7">
      <w:r w:rsidRPr="005E134B">
        <w:t>Alternative steps include using electronic methods and leaving the direction at the</w:t>
      </w:r>
      <w:r>
        <w:t xml:space="preserve"> individual</w:t>
      </w:r>
      <w:r w:rsidR="003B22F1">
        <w:t>’</w:t>
      </w:r>
      <w:r>
        <w:t>s</w:t>
      </w:r>
      <w:r w:rsidRPr="005E134B">
        <w:t xml:space="preserve"> place of employment or last known address. </w:t>
      </w:r>
      <w:r>
        <w:t>I</w:t>
      </w:r>
      <w:r w:rsidR="00C008B4">
        <w:t>f a direction is served by such</w:t>
      </w:r>
      <w:r w:rsidRPr="005E134B">
        <w:t xml:space="preserve"> means, </w:t>
      </w:r>
      <w:r>
        <w:t xml:space="preserve">the person serving it must </w:t>
      </w:r>
      <w:r w:rsidR="00C008B4">
        <w:t xml:space="preserve">confirm it has been received. </w:t>
      </w:r>
      <w:r w:rsidRPr="005E134B">
        <w:t>The same service requirements apply to notices that a direction has been varied, extended or cancelled.</w:t>
      </w:r>
    </w:p>
    <w:p w:rsidR="008A44A7" w:rsidRDefault="008A44A7" w:rsidP="008A44A7"/>
    <w:p w:rsidR="008D1DCC" w:rsidRDefault="008D1DCC" w:rsidP="008A44A7">
      <w:r w:rsidRPr="005E134B">
        <w:t>If the person suspected of having an infectious disease is under 16 or lacks legal capacity, the</w:t>
      </w:r>
      <w:r>
        <w:t xml:space="preserve"> medical officer of health or HPO must serve the </w:t>
      </w:r>
      <w:r w:rsidRPr="005E134B">
        <w:t>direction on the p</w:t>
      </w:r>
      <w:r>
        <w:t>arent, guardian or other responsible person</w:t>
      </w:r>
      <w:r w:rsidRPr="005E134B">
        <w:t>.</w:t>
      </w:r>
      <w:r w:rsidRPr="008A44A7">
        <w:rPr>
          <w:rStyle w:val="FootnoteReference"/>
        </w:rPr>
        <w:footnoteReference w:id="87"/>
      </w:r>
    </w:p>
    <w:p w:rsidR="008A44A7" w:rsidRPr="005E134B" w:rsidRDefault="008A44A7" w:rsidP="008A44A7"/>
    <w:p w:rsidR="008D1DCC" w:rsidRPr="002C2D0F" w:rsidRDefault="008D1DCC" w:rsidP="008A44A7">
      <w:pPr>
        <w:pStyle w:val="Heading3"/>
      </w:pPr>
      <w:r w:rsidRPr="002C2D0F">
        <w:t>Duration</w:t>
      </w:r>
    </w:p>
    <w:p w:rsidR="003B22F1" w:rsidRDefault="008D1DCC" w:rsidP="008A44A7">
      <w:r w:rsidRPr="005E134B">
        <w:t>A direction must specify the duration for which it is in force</w:t>
      </w:r>
      <w:r>
        <w:t>. E</w:t>
      </w:r>
      <w:r w:rsidRPr="005E134B">
        <w:t>xcept for medical examination directions,</w:t>
      </w:r>
      <w:r>
        <w:t xml:space="preserve"> this </w:t>
      </w:r>
      <w:r w:rsidRPr="005E134B">
        <w:t xml:space="preserve">can be </w:t>
      </w:r>
      <w:r>
        <w:t>no longer than six</w:t>
      </w:r>
      <w:r w:rsidRPr="005E134B">
        <w:t xml:space="preserve"> months (unless extended by a subsequent notice). In the vast majority of cases, the duration is likely be no more than a few days or weeks, although for some serious enteric diseases</w:t>
      </w:r>
      <w:r>
        <w:t xml:space="preserve"> (eg, VTEC or typhoid), </w:t>
      </w:r>
      <w:r w:rsidRPr="005E134B">
        <w:t xml:space="preserve">where proof of clearance is required, </w:t>
      </w:r>
      <w:r>
        <w:t>a direction may last into months</w:t>
      </w:r>
      <w:r w:rsidRPr="005E134B">
        <w:t>.</w:t>
      </w:r>
    </w:p>
    <w:p w:rsidR="008A44A7" w:rsidRDefault="008A44A7" w:rsidP="006F3C4E"/>
    <w:p w:rsidR="008D1DCC" w:rsidRPr="002C2D0F" w:rsidRDefault="008D1DCC" w:rsidP="006F3C4E">
      <w:pPr>
        <w:pStyle w:val="Heading3"/>
      </w:pPr>
      <w:r w:rsidRPr="002C2D0F">
        <w:t>Force and compulsory treatment</w:t>
      </w:r>
    </w:p>
    <w:p w:rsidR="008D1DCC" w:rsidRDefault="008D1DCC" w:rsidP="006F3C4E">
      <w:r>
        <w:t xml:space="preserve">Medical officers of health exercising powers under Part 3A of the Health Act cannot use force </w:t>
      </w:r>
      <w:r w:rsidRPr="005E134B">
        <w:t xml:space="preserve">to make people comply with directions, and directions cannot require </w:t>
      </w:r>
      <w:r>
        <w:t xml:space="preserve">people </w:t>
      </w:r>
      <w:r w:rsidRPr="005E134B">
        <w:t>to submit to compulsory treatment.</w:t>
      </w:r>
      <w:r w:rsidRPr="006F3C4E">
        <w:rPr>
          <w:rStyle w:val="FootnoteReference"/>
        </w:rPr>
        <w:footnoteReference w:id="88"/>
      </w:r>
      <w:r w:rsidRPr="005E134B">
        <w:t xml:space="preserve"> </w:t>
      </w:r>
      <w:r>
        <w:t xml:space="preserve">Instead, a medical officer of health must apply to the District </w:t>
      </w:r>
      <w:r w:rsidR="009850B1">
        <w:t>C</w:t>
      </w:r>
      <w:r>
        <w:t xml:space="preserve">ourt for a public health order with a compulsory treatment component. Even then, the individual who is the subject of the order </w:t>
      </w:r>
      <w:r w:rsidRPr="005E134B">
        <w:t>may withhold consent, incurring the risk of prosecution for the offence of either failing to comply with a court order or obstruction.</w:t>
      </w:r>
      <w:r w:rsidRPr="0010024D">
        <w:rPr>
          <w:rStyle w:val="FootnoteReference"/>
        </w:rPr>
        <w:footnoteReference w:id="89"/>
      </w:r>
    </w:p>
    <w:p w:rsidR="006F3C4E" w:rsidRPr="005E134B" w:rsidRDefault="006F3C4E" w:rsidP="006F3C4E"/>
    <w:p w:rsidR="008D1DCC" w:rsidRPr="002C2D0F" w:rsidRDefault="008D1DCC" w:rsidP="0010024D">
      <w:pPr>
        <w:pStyle w:val="Heading3"/>
      </w:pPr>
      <w:r>
        <w:t>Requirements to report</w:t>
      </w:r>
      <w:r w:rsidRPr="002C2D0F">
        <w:t xml:space="preserve"> to the Director-General</w:t>
      </w:r>
    </w:p>
    <w:p w:rsidR="003B22F1" w:rsidRDefault="008D1DCC" w:rsidP="0010024D">
      <w:pPr>
        <w:keepNext/>
      </w:pPr>
      <w:r w:rsidRPr="005E134B">
        <w:t>The Director of Public Health, as the Director-General</w:t>
      </w:r>
      <w:r w:rsidR="003B22F1">
        <w:t>’</w:t>
      </w:r>
      <w:r w:rsidRPr="005E134B">
        <w:t xml:space="preserve">s delegate, can require copies of any directions imposed by a </w:t>
      </w:r>
      <w:r>
        <w:t>m</w:t>
      </w:r>
      <w:r w:rsidRPr="005E134B">
        <w:t>edical officer of health.</w:t>
      </w:r>
    </w:p>
    <w:p w:rsidR="0010024D" w:rsidRDefault="0010024D" w:rsidP="0010024D">
      <w:pPr>
        <w:keepNext/>
      </w:pPr>
    </w:p>
    <w:p w:rsidR="008D1DCC" w:rsidRPr="005E134B" w:rsidRDefault="008D1DCC" w:rsidP="0010024D">
      <w:r w:rsidRPr="005E134B">
        <w:t xml:space="preserve">From time to time, the Director may require a </w:t>
      </w:r>
      <w:r>
        <w:t>m</w:t>
      </w:r>
      <w:r w:rsidRPr="005E134B">
        <w:t>edical officer of health to provide a report on any directions given under Part 3A.</w:t>
      </w:r>
      <w:r w:rsidRPr="0010024D">
        <w:rPr>
          <w:rStyle w:val="FootnoteReference"/>
        </w:rPr>
        <w:footnoteReference w:id="90"/>
      </w:r>
    </w:p>
    <w:p w:rsidR="0010024D" w:rsidRDefault="0010024D" w:rsidP="0010024D"/>
    <w:p w:rsidR="003B22F1" w:rsidRDefault="008D1DCC" w:rsidP="0010024D">
      <w:r w:rsidRPr="005E134B">
        <w:t>In order to impose a public health direction on a case, or on a contact, that relates to an infectious but non</w:t>
      </w:r>
      <w:r w:rsidR="00F420AF">
        <w:t>-</w:t>
      </w:r>
      <w:r w:rsidRPr="005E134B">
        <w:t xml:space="preserve">notifiable disease (such as chlamydia, herpes, or influenza), the </w:t>
      </w:r>
      <w:r>
        <w:t>m</w:t>
      </w:r>
      <w:r w:rsidRPr="005E134B">
        <w:t>edical officer of health must first get the Director</w:t>
      </w:r>
      <w:r w:rsidR="003B22F1">
        <w:t>’</w:t>
      </w:r>
      <w:r w:rsidRPr="005E134B">
        <w:t>s approval.</w:t>
      </w:r>
      <w:r w:rsidRPr="0010024D">
        <w:rPr>
          <w:rStyle w:val="FootnoteReference"/>
        </w:rPr>
        <w:footnoteReference w:id="91"/>
      </w:r>
    </w:p>
    <w:p w:rsidR="0010024D" w:rsidRDefault="0010024D" w:rsidP="0010024D"/>
    <w:p w:rsidR="008D1DCC" w:rsidRPr="00715D69" w:rsidRDefault="008D1DCC" w:rsidP="0010024D">
      <w:pPr>
        <w:pStyle w:val="Heading2"/>
      </w:pPr>
      <w:bookmarkStart w:id="53" w:name="_Toc473538548"/>
      <w:r w:rsidRPr="00715D69">
        <w:t>Reviews</w:t>
      </w:r>
      <w:bookmarkEnd w:id="53"/>
    </w:p>
    <w:p w:rsidR="003B22F1" w:rsidRDefault="008D1DCC" w:rsidP="0010024D">
      <w:r w:rsidRPr="005E134B">
        <w:t>Medical</w:t>
      </w:r>
      <w:r>
        <w:t xml:space="preserve"> officers of h</w:t>
      </w:r>
      <w:r w:rsidRPr="005E134B">
        <w:t>ealth must regularly review directions imposed in the public health districts in which they operate.</w:t>
      </w:r>
      <w:r w:rsidRPr="0010024D">
        <w:rPr>
          <w:rStyle w:val="FootnoteReference"/>
        </w:rPr>
        <w:footnoteReference w:id="92"/>
      </w:r>
      <w:r w:rsidRPr="005E134B">
        <w:t xml:space="preserve"> If they consider a person subject to a direction no longer poses a public health risk, the</w:t>
      </w:r>
      <w:r>
        <w:t>y must cancel the direction by serving a notice on him or her</w:t>
      </w:r>
      <w:r w:rsidRPr="005E134B">
        <w:t>.</w:t>
      </w:r>
    </w:p>
    <w:p w:rsidR="0010024D" w:rsidRDefault="0010024D" w:rsidP="0010024D"/>
    <w:p w:rsidR="008D1DCC" w:rsidRPr="005E134B" w:rsidRDefault="008D1DCC" w:rsidP="0010024D">
      <w:r w:rsidRPr="005E134B">
        <w:t xml:space="preserve">The Director of Public Health may ask </w:t>
      </w:r>
      <w:r>
        <w:t>a m</w:t>
      </w:r>
      <w:r w:rsidRPr="005E134B">
        <w:t>edical officer of health to provide advice on why a direction needs to continue in effect.</w:t>
      </w:r>
    </w:p>
    <w:p w:rsidR="0010024D" w:rsidRDefault="0010024D" w:rsidP="0010024D"/>
    <w:p w:rsidR="003B22F1" w:rsidRDefault="008D1DCC" w:rsidP="0010024D">
      <w:r>
        <w:t>Medical officers of health should keep w</w:t>
      </w:r>
      <w:r w:rsidRPr="005E134B">
        <w:t>ritten documentation on the review</w:t>
      </w:r>
      <w:r>
        <w:t>s of directions and conclusions reached, in the event that</w:t>
      </w:r>
      <w:r w:rsidRPr="005E134B">
        <w:t xml:space="preserve"> the Director of Public Health wishes to follow up, or the case or contact files an appeal.</w:t>
      </w:r>
    </w:p>
    <w:p w:rsidR="0010024D" w:rsidRDefault="0010024D" w:rsidP="0010024D"/>
    <w:p w:rsidR="003B22F1" w:rsidRDefault="008D1DCC" w:rsidP="0010024D">
      <w:r w:rsidRPr="005E134B">
        <w:t xml:space="preserve">If </w:t>
      </w:r>
      <w:r>
        <w:t>a m</w:t>
      </w:r>
      <w:r w:rsidRPr="005E134B">
        <w:t xml:space="preserve">edical officer of health considers that the conditions for a direction continuing in force are satisfied but that the direction should be varied or extended, </w:t>
      </w:r>
      <w:r>
        <w:t xml:space="preserve">he or she must serve </w:t>
      </w:r>
      <w:r w:rsidRPr="005E134B">
        <w:t xml:space="preserve">notice of this </w:t>
      </w:r>
      <w:r>
        <w:t xml:space="preserve">decision within </w:t>
      </w:r>
      <w:r w:rsidRPr="005E134B">
        <w:t>a reasonable time before the direction expires.</w:t>
      </w:r>
      <w:r w:rsidRPr="0010024D">
        <w:rPr>
          <w:rStyle w:val="FootnoteReference"/>
        </w:rPr>
        <w:footnoteReference w:id="93"/>
      </w:r>
      <w:r>
        <w:t xml:space="preserve"> </w:t>
      </w:r>
      <w:r w:rsidRPr="005E134B">
        <w:t xml:space="preserve">The timing should enable the person concerned to </w:t>
      </w:r>
      <w:r>
        <w:t xml:space="preserve">receive </w:t>
      </w:r>
      <w:r w:rsidRPr="005E134B">
        <w:t>the extension notice and become aware of its implications before expiry of the original direction.</w:t>
      </w:r>
      <w:r w:rsidRPr="0010024D">
        <w:rPr>
          <w:rStyle w:val="FootnoteReference"/>
        </w:rPr>
        <w:footnoteReference w:id="94"/>
      </w:r>
    </w:p>
    <w:p w:rsidR="0010024D" w:rsidRDefault="0010024D" w:rsidP="0010024D"/>
    <w:p w:rsidR="008D1DCC" w:rsidRPr="005E134B" w:rsidRDefault="008D1DCC" w:rsidP="0010024D">
      <w:r>
        <w:t>T</w:t>
      </w:r>
      <w:r w:rsidRPr="005E134B">
        <w:t>emplates</w:t>
      </w:r>
      <w:r>
        <w:t xml:space="preserve"> for notices of </w:t>
      </w:r>
      <w:r w:rsidRPr="005E134B">
        <w:t xml:space="preserve">cancellation, extension and variation of directions </w:t>
      </w:r>
      <w:r>
        <w:t xml:space="preserve">appear in chapter </w:t>
      </w:r>
      <w:r w:rsidRPr="005E134B">
        <w:t>1</w:t>
      </w:r>
      <w:r>
        <w:t>1</w:t>
      </w:r>
      <w:r w:rsidRPr="005E134B">
        <w:t xml:space="preserve"> of this guidance.</w:t>
      </w:r>
    </w:p>
    <w:p w:rsidR="0010024D" w:rsidRDefault="0010024D" w:rsidP="0010024D"/>
    <w:p w:rsidR="008D1DCC" w:rsidRDefault="008D1DCC" w:rsidP="0010024D">
      <w:r>
        <w:t>Medical officers of health may give r</w:t>
      </w:r>
      <w:r w:rsidRPr="005E134B">
        <w:t xml:space="preserve">epeated directions </w:t>
      </w:r>
      <w:r>
        <w:t xml:space="preserve">to one </w:t>
      </w:r>
      <w:r w:rsidRPr="005E134B">
        <w:t xml:space="preserve">person, provided the </w:t>
      </w:r>
      <w:r>
        <w:t xml:space="preserve">directions meet the relevant </w:t>
      </w:r>
      <w:r w:rsidRPr="005E134B">
        <w:t>criteria for imposing them each time.</w:t>
      </w:r>
      <w:r w:rsidRPr="0010024D">
        <w:rPr>
          <w:rStyle w:val="FootnoteReference"/>
        </w:rPr>
        <w:footnoteReference w:id="95"/>
      </w:r>
    </w:p>
    <w:p w:rsidR="0010024D" w:rsidRPr="005E134B" w:rsidRDefault="0010024D" w:rsidP="0010024D"/>
    <w:p w:rsidR="008D1DCC" w:rsidRPr="00715D69" w:rsidRDefault="008D1DCC" w:rsidP="0010024D">
      <w:pPr>
        <w:pStyle w:val="Heading2"/>
      </w:pPr>
      <w:bookmarkStart w:id="54" w:name="_Toc473538549"/>
      <w:r w:rsidRPr="00715D69">
        <w:t>Appeals</w:t>
      </w:r>
      <w:bookmarkEnd w:id="54"/>
    </w:p>
    <w:p w:rsidR="003B22F1" w:rsidRDefault="008D1DCC" w:rsidP="0010024D">
      <w:pPr>
        <w:keepNext/>
      </w:pPr>
      <w:r>
        <w:t xml:space="preserve">A person </w:t>
      </w:r>
      <w:r w:rsidRPr="005E134B">
        <w:t>subject to a direction can appeal to the District Court against it or any part of it.</w:t>
      </w:r>
      <w:r w:rsidRPr="0010024D">
        <w:rPr>
          <w:rStyle w:val="FootnoteReference"/>
        </w:rPr>
        <w:footnoteReference w:id="96"/>
      </w:r>
      <w:r>
        <w:t xml:space="preserve"> </w:t>
      </w:r>
      <w:r w:rsidRPr="005E134B">
        <w:t>There is also a right of appeal against extensions and variations.</w:t>
      </w:r>
    </w:p>
    <w:p w:rsidR="0010024D" w:rsidRDefault="0010024D" w:rsidP="0010024D">
      <w:pPr>
        <w:keepNext/>
      </w:pPr>
    </w:p>
    <w:p w:rsidR="008D1DCC" w:rsidRDefault="008D1DCC" w:rsidP="0010024D">
      <w:r>
        <w:t>In this case, t</w:t>
      </w:r>
      <w:r w:rsidRPr="005E134B">
        <w:t xml:space="preserve">he </w:t>
      </w:r>
      <w:r>
        <w:t>appellant will serve a notice of appeal on the m</w:t>
      </w:r>
      <w:r w:rsidRPr="005E134B">
        <w:t>edical officer of health under Part</w:t>
      </w:r>
      <w:r w:rsidR="0010024D">
        <w:t> </w:t>
      </w:r>
      <w:r w:rsidRPr="005E134B">
        <w:t>18 of the District Court Rules 2014, normall</w:t>
      </w:r>
      <w:r>
        <w:t xml:space="preserve">y within 20 working days of receipt of the direction or notice of extension or variation </w:t>
      </w:r>
      <w:r w:rsidRPr="005E134B">
        <w:t>being appealed against.</w:t>
      </w:r>
      <w:r w:rsidRPr="0010024D">
        <w:rPr>
          <w:rStyle w:val="FootnoteReference"/>
        </w:rPr>
        <w:footnoteReference w:id="97"/>
      </w:r>
      <w:r>
        <w:t xml:space="preserve"> </w:t>
      </w:r>
      <w:r w:rsidRPr="005E134B">
        <w:t xml:space="preserve">Medical </w:t>
      </w:r>
      <w:r>
        <w:t>officers of h</w:t>
      </w:r>
      <w:r w:rsidRPr="005E134B">
        <w:t>ealth should seek legal advice on preparing any case for opposing the appeal, and as a matter of best practice should consult with the Director of Public Health.</w:t>
      </w:r>
    </w:p>
    <w:p w:rsidR="0010024D" w:rsidRPr="005E134B" w:rsidRDefault="0010024D" w:rsidP="0010024D"/>
    <w:p w:rsidR="008D1DCC" w:rsidRPr="005E134B" w:rsidRDefault="008D1DCC" w:rsidP="0010024D">
      <w:r w:rsidRPr="005E134B">
        <w:t xml:space="preserve">The notice of appeal will be filed in the District Court nearest to where the </w:t>
      </w:r>
      <w:r>
        <w:t xml:space="preserve">direction, variation or extension being </w:t>
      </w:r>
      <w:r w:rsidRPr="005E134B">
        <w:t>appealed against was made</w:t>
      </w:r>
      <w:r>
        <w:t xml:space="preserve"> or</w:t>
      </w:r>
      <w:r w:rsidRPr="005E134B">
        <w:t xml:space="preserve"> served, unless the parties agree on another court location or the court orders otherwise.</w:t>
      </w:r>
      <w:r w:rsidRPr="0010024D">
        <w:rPr>
          <w:rStyle w:val="FootnoteReference"/>
        </w:rPr>
        <w:footnoteReference w:id="98"/>
      </w:r>
    </w:p>
    <w:p w:rsidR="0010024D" w:rsidRDefault="0010024D" w:rsidP="0010024D"/>
    <w:p w:rsidR="008D1DCC" w:rsidRPr="005E134B" w:rsidRDefault="008D1DCC" w:rsidP="0010024D">
      <w:r w:rsidRPr="005E134B">
        <w:t xml:space="preserve">Filing an appeal does not change the binding nature of the direction, variation or extension being appealed against, unless the </w:t>
      </w:r>
      <w:r>
        <w:t xml:space="preserve">court orders otherwise. </w:t>
      </w:r>
      <w:r w:rsidRPr="005E134B">
        <w:t>In most cases</w:t>
      </w:r>
      <w:r>
        <w:t xml:space="preserve">, a successful appeal </w:t>
      </w:r>
      <w:r w:rsidRPr="005E134B">
        <w:t>mean</w:t>
      </w:r>
      <w:r>
        <w:t>s</w:t>
      </w:r>
      <w:r w:rsidRPr="005E134B">
        <w:t xml:space="preserve"> the court has decid</w:t>
      </w:r>
      <w:r>
        <w:t>ed the direction should cease. H</w:t>
      </w:r>
      <w:r w:rsidRPr="005E134B">
        <w:t>owever, if the</w:t>
      </w:r>
      <w:r>
        <w:t xml:space="preserve"> successful appeal wa</w:t>
      </w:r>
      <w:r w:rsidRPr="005E134B">
        <w:t>s only against variation of a particular condition or extension of the original duration of the direction, then the remainder of the direction will continue in force, un</w:t>
      </w:r>
      <w:r>
        <w:t>til its original end date</w:t>
      </w:r>
      <w:r w:rsidRPr="005E134B">
        <w:t>.</w:t>
      </w:r>
    </w:p>
    <w:p w:rsidR="0010024D" w:rsidRDefault="0010024D" w:rsidP="0010024D"/>
    <w:p w:rsidR="003B22F1" w:rsidRDefault="008D1DCC" w:rsidP="0010024D">
      <w:r w:rsidRPr="005E134B">
        <w:t>Throughout the period between receipt of a notice of appeal and determination of the appeal by the court, the person</w:t>
      </w:r>
      <w:r>
        <w:t xml:space="preserve"> concerned</w:t>
      </w:r>
      <w:r w:rsidRPr="005E134B">
        <w:t xml:space="preserve"> may become less cooperative. </w:t>
      </w:r>
      <w:r>
        <w:t>M</w:t>
      </w:r>
      <w:r w:rsidRPr="005E134B">
        <w:t xml:space="preserve">edical </w:t>
      </w:r>
      <w:r>
        <w:t>o</w:t>
      </w:r>
      <w:r w:rsidRPr="005E134B">
        <w:t xml:space="preserve">fficers of </w:t>
      </w:r>
      <w:r>
        <w:t>h</w:t>
      </w:r>
      <w:r w:rsidRPr="005E134B">
        <w:t xml:space="preserve">ealth and other public health practitioners </w:t>
      </w:r>
      <w:r>
        <w:t xml:space="preserve">should be particularly careful within this period to </w:t>
      </w:r>
      <w:r w:rsidRPr="005E134B">
        <w:t>document instances of non-compliance</w:t>
      </w:r>
      <w:r>
        <w:t xml:space="preserve"> or changes in circumstances, in case they are relevant on </w:t>
      </w:r>
      <w:r w:rsidRPr="005E134B">
        <w:t>appeal</w:t>
      </w:r>
      <w:r>
        <w:t>.</w:t>
      </w:r>
      <w:r w:rsidRPr="005E134B">
        <w:t xml:space="preserve"> Documenting these instances will assist the court</w:t>
      </w:r>
      <w:r w:rsidR="003B22F1">
        <w:t>’</w:t>
      </w:r>
      <w:r w:rsidRPr="005E134B">
        <w:t>s consideration of what further or different measures it might impose in place of the direction, variatio</w:t>
      </w:r>
      <w:r>
        <w:t>n or extension being contended</w:t>
      </w:r>
      <w:r w:rsidRPr="005E134B">
        <w:t>.</w:t>
      </w:r>
    </w:p>
    <w:p w:rsidR="0010024D" w:rsidRDefault="0010024D" w:rsidP="0010024D"/>
    <w:p w:rsidR="008D1DCC" w:rsidRPr="005E134B" w:rsidRDefault="008D1DCC" w:rsidP="0010024D">
      <w:r>
        <w:t>While an appeal is under way,</w:t>
      </w:r>
      <w:r w:rsidRPr="005E134B">
        <w:t xml:space="preserve"> it may seem hopeless to try to reach agreement or </w:t>
      </w:r>
      <w:r>
        <w:t xml:space="preserve">to seek </w:t>
      </w:r>
      <w:r w:rsidRPr="005E134B">
        <w:t>the person</w:t>
      </w:r>
      <w:r w:rsidR="003B22F1">
        <w:t>’</w:t>
      </w:r>
      <w:r w:rsidRPr="005E134B">
        <w:t xml:space="preserve">s cooperation at this stage. However, </w:t>
      </w:r>
      <w:r>
        <w:t xml:space="preserve">medical officers of health should continue to attempt </w:t>
      </w:r>
      <w:r w:rsidRPr="005E134B">
        <w:t>some of the voluntary me</w:t>
      </w:r>
      <w:r>
        <w:t>asures mentioned earlier</w:t>
      </w:r>
      <w:r w:rsidRPr="005E134B">
        <w:t>, taking care no</w:t>
      </w:r>
      <w:r>
        <w:t xml:space="preserve">t to prejudice the forthcoming decision on appeal. This could </w:t>
      </w:r>
      <w:r w:rsidRPr="005E134B">
        <w:t>prevent the cost and delay of further court proceedings.</w:t>
      </w:r>
    </w:p>
    <w:p w:rsidR="0010024D" w:rsidRDefault="0010024D" w:rsidP="0010024D"/>
    <w:p w:rsidR="003B22F1" w:rsidRDefault="008D1DCC" w:rsidP="0010024D">
      <w:r w:rsidRPr="005E134B">
        <w:t>Further rights of appeal</w:t>
      </w:r>
      <w:r>
        <w:t>, to the High Court,</w:t>
      </w:r>
      <w:r w:rsidRPr="005E134B">
        <w:t xml:space="preserve"> apply if the individual </w:t>
      </w:r>
      <w:r>
        <w:t xml:space="preserve">concerned </w:t>
      </w:r>
      <w:r w:rsidRPr="005E134B">
        <w:t xml:space="preserve">or the </w:t>
      </w:r>
      <w:r>
        <w:t>m</w:t>
      </w:r>
      <w:r w:rsidRPr="005E134B">
        <w:t>edical officer of health is dissatisfied with the District Court</w:t>
      </w:r>
      <w:r w:rsidR="003B22F1">
        <w:t>’</w:t>
      </w:r>
      <w:r w:rsidRPr="005E134B">
        <w:t xml:space="preserve">s decision. Again, </w:t>
      </w:r>
      <w:r>
        <w:t>m</w:t>
      </w:r>
      <w:r w:rsidRPr="005E134B">
        <w:t xml:space="preserve">edical </w:t>
      </w:r>
      <w:r>
        <w:t>o</w:t>
      </w:r>
      <w:r w:rsidRPr="005E134B">
        <w:t xml:space="preserve">fficers of </w:t>
      </w:r>
      <w:r>
        <w:t>h</w:t>
      </w:r>
      <w:r w:rsidRPr="005E134B">
        <w:t>ealth should seek legal advice and consult with the Director of Public Health</w:t>
      </w:r>
      <w:r>
        <w:t xml:space="preserve"> in this instance</w:t>
      </w:r>
      <w:r w:rsidRPr="005E134B">
        <w:t>.</w:t>
      </w:r>
      <w:r>
        <w:t xml:space="preserve"> </w:t>
      </w:r>
      <w:r w:rsidRPr="005E134B">
        <w:t>They must forward a copy of any notice of appeal filed in the High Court to the Director.</w:t>
      </w:r>
      <w:r w:rsidRPr="0010024D">
        <w:rPr>
          <w:rStyle w:val="FootnoteReference"/>
        </w:rPr>
        <w:footnoteReference w:id="99"/>
      </w:r>
    </w:p>
    <w:p w:rsidR="0010024D" w:rsidRDefault="0010024D" w:rsidP="0010024D"/>
    <w:p w:rsidR="003B22F1" w:rsidRDefault="008D1DCC" w:rsidP="0010024D">
      <w:pPr>
        <w:pStyle w:val="Heading2"/>
      </w:pPr>
      <w:bookmarkStart w:id="55" w:name="_Toc473538550"/>
      <w:r w:rsidRPr="00584182">
        <w:t>Prosecution for non-compliance</w:t>
      </w:r>
      <w:bookmarkEnd w:id="55"/>
    </w:p>
    <w:p w:rsidR="008D1DCC" w:rsidRPr="005E134B" w:rsidRDefault="008D1DCC" w:rsidP="0010024D">
      <w:pPr>
        <w:keepNext/>
      </w:pPr>
      <w:r w:rsidRPr="005E134B">
        <w:t xml:space="preserve">As force cannot be used to enforce a direction, one consequence of non-compliance may be for the </w:t>
      </w:r>
      <w:r>
        <w:t>m</w:t>
      </w:r>
      <w:r w:rsidRPr="005E134B">
        <w:t xml:space="preserve">edical officer of health to consider applying for a court order to achieve the desired public health outcome. A further consequence may be prosecution for the offence of failing to comply with a direction given by the </w:t>
      </w:r>
      <w:r>
        <w:t>m</w:t>
      </w:r>
      <w:r w:rsidRPr="005E134B">
        <w:t>edical officer of health under Part 3A.</w:t>
      </w:r>
      <w:r w:rsidRPr="0010024D">
        <w:rPr>
          <w:rStyle w:val="FootnoteReference"/>
        </w:rPr>
        <w:footnoteReference w:id="100"/>
      </w:r>
    </w:p>
    <w:p w:rsidR="0010024D" w:rsidRDefault="0010024D" w:rsidP="0010024D">
      <w:pPr>
        <w:keepNext/>
      </w:pPr>
    </w:p>
    <w:p w:rsidR="008D1DCC" w:rsidRDefault="008D1DCC" w:rsidP="0010024D">
      <w:r w:rsidRPr="005E134B">
        <w:t xml:space="preserve">Prosecution should </w:t>
      </w:r>
      <w:r>
        <w:t>normally be a last resort.</w:t>
      </w:r>
    </w:p>
    <w:p w:rsidR="0010024D" w:rsidRDefault="0010024D" w:rsidP="0010024D"/>
    <w:p w:rsidR="008D1DCC" w:rsidRPr="005E134B" w:rsidRDefault="008D1DCC" w:rsidP="0010024D">
      <w:r w:rsidRPr="005E134B">
        <w:t xml:space="preserve">In considering prosecution, </w:t>
      </w:r>
      <w:r>
        <w:t>m</w:t>
      </w:r>
      <w:r w:rsidRPr="005E134B">
        <w:t xml:space="preserve">edical </w:t>
      </w:r>
      <w:r>
        <w:t>o</w:t>
      </w:r>
      <w:r w:rsidRPr="005E134B">
        <w:t xml:space="preserve">fficers of </w:t>
      </w:r>
      <w:r>
        <w:t xml:space="preserve">health should be aware that a person may be non-compliant with a direction or order out of fear, language difficulties or ignorance, rather than because they are </w:t>
      </w:r>
      <w:r w:rsidRPr="005E134B">
        <w:t>wilful or reckless.</w:t>
      </w:r>
      <w:r>
        <w:t xml:space="preserve"> </w:t>
      </w:r>
      <w:r w:rsidRPr="005E134B">
        <w:t xml:space="preserve">In those circumstances, </w:t>
      </w:r>
      <w:r>
        <w:t xml:space="preserve">better or fuller communication </w:t>
      </w:r>
      <w:r w:rsidRPr="005E134B">
        <w:t xml:space="preserve">would usually be a </w:t>
      </w:r>
      <w:r>
        <w:t xml:space="preserve">more constructive </w:t>
      </w:r>
      <w:r w:rsidRPr="005E134B">
        <w:t>response than prosecution.</w:t>
      </w:r>
    </w:p>
    <w:p w:rsidR="0010024D" w:rsidRDefault="0010024D" w:rsidP="0010024D"/>
    <w:p w:rsidR="003B22F1" w:rsidRDefault="008D1DCC" w:rsidP="0010024D">
      <w:r w:rsidRPr="0010024D">
        <w:rPr>
          <w:spacing w:val="-2"/>
        </w:rPr>
        <w:t>The overarching principles (see chapter 4) require medical officers of health and others to choose</w:t>
      </w:r>
      <w:r w:rsidRPr="005E134B">
        <w:t xml:space="preserve"> </w:t>
      </w:r>
      <w:r w:rsidRPr="0010024D">
        <w:rPr>
          <w:spacing w:val="-2"/>
        </w:rPr>
        <w:t>the least restrictive and proportionate measures likely to address the public health risk a particular</w:t>
      </w:r>
      <w:r>
        <w:t xml:space="preserve"> </w:t>
      </w:r>
      <w:r w:rsidRPr="005E134B">
        <w:t>person poses. Sometimes the mere mention of prosecution may be sufficient to get cooperation.</w:t>
      </w:r>
    </w:p>
    <w:p w:rsidR="0010024D" w:rsidRDefault="0010024D" w:rsidP="0010024D"/>
    <w:p w:rsidR="003B22F1" w:rsidRDefault="008D1DCC" w:rsidP="0010024D">
      <w:r w:rsidRPr="005E134B">
        <w:t xml:space="preserve">An individual who without reasonable excuse fails to comply with directions commits an offence </w:t>
      </w:r>
      <w:r>
        <w:t xml:space="preserve">that </w:t>
      </w:r>
      <w:r w:rsidRPr="005E134B">
        <w:t xml:space="preserve">on conviction carries a fine not exceeding $2,000. Whether </w:t>
      </w:r>
      <w:r>
        <w:t xml:space="preserve">a person has </w:t>
      </w:r>
      <w:r w:rsidR="003B22F1">
        <w:t>‘</w:t>
      </w:r>
      <w:r w:rsidRPr="005E134B">
        <w:t>reasonable excuse</w:t>
      </w:r>
      <w:r w:rsidR="003B22F1">
        <w:t>’</w:t>
      </w:r>
      <w:r w:rsidRPr="005E134B">
        <w:t xml:space="preserve"> depends on what a reasonable person would</w:t>
      </w:r>
      <w:r>
        <w:t xml:space="preserve"> do in the same circumstances. </w:t>
      </w:r>
      <w:r w:rsidRPr="005E134B">
        <w:t>For example,</w:t>
      </w:r>
      <w:r>
        <w:t xml:space="preserve"> an officer should not consider prosecution when an accident prevents a person attending a medical examination on a particular day.</w:t>
      </w:r>
    </w:p>
    <w:p w:rsidR="0010024D" w:rsidRDefault="0010024D" w:rsidP="0010024D"/>
    <w:p w:rsidR="008D1DCC" w:rsidRPr="005E134B" w:rsidRDefault="008D1DCC" w:rsidP="0010024D">
      <w:r w:rsidRPr="005E134B">
        <w:t xml:space="preserve">There is no offence of obstruction of compliance with directions in Part 3A, such as when an adult of full age and capacity refuses to answer the </w:t>
      </w:r>
      <w:r>
        <w:t>m</w:t>
      </w:r>
      <w:r w:rsidRPr="005E134B">
        <w:t>edical officer of health</w:t>
      </w:r>
      <w:r w:rsidR="003B22F1">
        <w:t>’</w:t>
      </w:r>
      <w:r w:rsidRPr="005E134B">
        <w:t>s questions. There is a general offence of obstructing an officer, however.</w:t>
      </w:r>
      <w:r w:rsidRPr="0010024D">
        <w:rPr>
          <w:rStyle w:val="FootnoteReference"/>
        </w:rPr>
        <w:footnoteReference w:id="101"/>
      </w:r>
    </w:p>
    <w:p w:rsidR="0010024D" w:rsidRDefault="0010024D" w:rsidP="0010024D"/>
    <w:p w:rsidR="008D1DCC" w:rsidRPr="005E134B" w:rsidRDefault="008D1DCC" w:rsidP="0010024D">
      <w:r>
        <w:t>W</w:t>
      </w:r>
      <w:r w:rsidRPr="005E134B">
        <w:t>hen the direction applies to a person under 16 or lacking le</w:t>
      </w:r>
      <w:r>
        <w:t>gal capacity, the person responsible for them</w:t>
      </w:r>
      <w:r w:rsidRPr="005E134B">
        <w:t xml:space="preserve"> will be committing an offence if </w:t>
      </w:r>
      <w:r>
        <w:t xml:space="preserve">he or she </w:t>
      </w:r>
      <w:r w:rsidRPr="005E134B">
        <w:t>intentionally obstruc</w:t>
      </w:r>
      <w:r>
        <w:t>ts</w:t>
      </w:r>
      <w:r w:rsidRPr="005E134B">
        <w:t xml:space="preserve"> compliance.</w:t>
      </w:r>
      <w:r w:rsidRPr="0010024D">
        <w:rPr>
          <w:rStyle w:val="FootnoteReference"/>
        </w:rPr>
        <w:footnoteReference w:id="102"/>
      </w:r>
      <w:r w:rsidRPr="005E134B">
        <w:t xml:space="preserve"> For example, prosecution may be warranted when a parent is dishonest with </w:t>
      </w:r>
      <w:r>
        <w:t>a m</w:t>
      </w:r>
      <w:r w:rsidRPr="005E134B">
        <w:t>edical officer of health about whether their child has been tested</w:t>
      </w:r>
      <w:r>
        <w:t>,</w:t>
      </w:r>
      <w:r w:rsidRPr="005E134B">
        <w:t xml:space="preserve"> or about the results of the test.</w:t>
      </w:r>
    </w:p>
    <w:p w:rsidR="0010024D" w:rsidRDefault="0010024D" w:rsidP="0010024D"/>
    <w:p w:rsidR="003B22F1" w:rsidRDefault="008D1DCC" w:rsidP="0010024D">
      <w:r w:rsidRPr="005E134B">
        <w:t xml:space="preserve">This offence carries a maximum penalty on conviction of $2,000. The burden of proving the individual has acted intentionally will rest with the prosecution, and the standard of proof is </w:t>
      </w:r>
      <w:r w:rsidR="003B22F1">
        <w:t>‘</w:t>
      </w:r>
      <w:r w:rsidRPr="005E134B">
        <w:t>beyond reasonable doubt</w:t>
      </w:r>
      <w:r w:rsidR="003B22F1">
        <w:t>’</w:t>
      </w:r>
      <w:r w:rsidRPr="005E134B">
        <w:t xml:space="preserve">. </w:t>
      </w:r>
      <w:r>
        <w:t>A m</w:t>
      </w:r>
      <w:r w:rsidRPr="005E134B">
        <w:t>edical officer of health</w:t>
      </w:r>
      <w:r>
        <w:t xml:space="preserve"> who</w:t>
      </w:r>
      <w:r w:rsidRPr="005E134B">
        <w:t xml:space="preserve"> decides to proceed with prosecution</w:t>
      </w:r>
      <w:r>
        <w:t xml:space="preserve"> in this circumstance should seek</w:t>
      </w:r>
      <w:r w:rsidRPr="005E134B">
        <w:t xml:space="preserve"> l</w:t>
      </w:r>
      <w:r>
        <w:t>egal advice.</w:t>
      </w:r>
    </w:p>
    <w:p w:rsidR="0010024D" w:rsidRDefault="0010024D" w:rsidP="0010024D"/>
    <w:p w:rsidR="008D1DCC" w:rsidRPr="005E134B" w:rsidRDefault="008D1DCC" w:rsidP="0010024D">
      <w:r w:rsidRPr="005E134B">
        <w:t>The Ministry of Health</w:t>
      </w:r>
      <w:r w:rsidR="003B22F1">
        <w:t>’</w:t>
      </w:r>
      <w:r w:rsidRPr="005E134B">
        <w:t>s Prosecution Policy (</w:t>
      </w:r>
      <w:r>
        <w:t xml:space="preserve">see </w:t>
      </w:r>
      <w:r w:rsidRPr="005E134B">
        <w:t xml:space="preserve">Appendix 3) </w:t>
      </w:r>
      <w:r>
        <w:t xml:space="preserve">envisages </w:t>
      </w:r>
      <w:r w:rsidRPr="005E134B">
        <w:t>that potential prosecutions come through the Ministry</w:t>
      </w:r>
      <w:r w:rsidR="003B22F1">
        <w:t>’</w:t>
      </w:r>
      <w:r w:rsidRPr="005E134B">
        <w:t>s Enforcement Unit</w:t>
      </w:r>
      <w:r>
        <w:t xml:space="preserve">, </w:t>
      </w:r>
      <w:r w:rsidRPr="005E134B">
        <w:t xml:space="preserve">to ensure that any prosecution action is cost-effective, consistent, and fairly managed, </w:t>
      </w:r>
      <w:r>
        <w:t xml:space="preserve">and </w:t>
      </w:r>
      <w:r w:rsidRPr="005E134B">
        <w:t>giv</w:t>
      </w:r>
      <w:r>
        <w:t>es</w:t>
      </w:r>
      <w:r w:rsidRPr="005E134B">
        <w:t xml:space="preserve"> due consideration to each case on its own merits.</w:t>
      </w:r>
    </w:p>
    <w:p w:rsidR="0010024D" w:rsidRDefault="0010024D" w:rsidP="0010024D"/>
    <w:p w:rsidR="008D1DCC" w:rsidRDefault="008D1DCC" w:rsidP="0010024D">
      <w:r w:rsidRPr="005E134B">
        <w:t xml:space="preserve">In some circumstances, such as when </w:t>
      </w:r>
      <w:r>
        <w:t xml:space="preserve">a </w:t>
      </w:r>
      <w:r w:rsidRPr="005E134B">
        <w:t>potentially infected person or their caregiver becomes violent or deliberately engages in high</w:t>
      </w:r>
      <w:r>
        <w:t>-</w:t>
      </w:r>
      <w:r w:rsidRPr="005E134B">
        <w:t xml:space="preserve">risk activities likely to spread the disease, prosecution under the Crimes Act 1961 </w:t>
      </w:r>
      <w:r>
        <w:t xml:space="preserve">is an option. </w:t>
      </w:r>
      <w:r w:rsidRPr="005E134B">
        <w:t xml:space="preserve">In </w:t>
      </w:r>
      <w:r>
        <w:t xml:space="preserve">such </w:t>
      </w:r>
      <w:r w:rsidRPr="005E134B">
        <w:t xml:space="preserve">cases, </w:t>
      </w:r>
      <w:r>
        <w:t>medical officers of health should obtain</w:t>
      </w:r>
      <w:r w:rsidRPr="005E134B">
        <w:t xml:space="preserve"> legal advice</w:t>
      </w:r>
      <w:r>
        <w:t xml:space="preserve"> and, where appropriate, refer t</w:t>
      </w:r>
      <w:r w:rsidRPr="005E134B">
        <w:t>he matter to the Police.</w:t>
      </w:r>
    </w:p>
    <w:p w:rsidR="0010024D" w:rsidRPr="005E134B" w:rsidRDefault="0010024D" w:rsidP="0010024D"/>
    <w:p w:rsidR="008D1DCC" w:rsidRPr="00584182" w:rsidRDefault="008D1DCC" w:rsidP="0010024D">
      <w:pPr>
        <w:pStyle w:val="Heading2"/>
      </w:pPr>
      <w:bookmarkStart w:id="56" w:name="_Toc473538551"/>
      <w:r w:rsidRPr="00584182">
        <w:t>Confidentiality requirements</w:t>
      </w:r>
      <w:bookmarkEnd w:id="56"/>
    </w:p>
    <w:p w:rsidR="003B22F1" w:rsidRDefault="008D1DCC" w:rsidP="0010024D">
      <w:r>
        <w:t>A medical officer of health or anyone else may not use or disclose personal information</w:t>
      </w:r>
      <w:r w:rsidRPr="005E134B">
        <w:t xml:space="preserve"> provided or obtained under a direction except for the effective mana</w:t>
      </w:r>
      <w:r>
        <w:t xml:space="preserve">gement of infectious diseases. </w:t>
      </w:r>
      <w:r w:rsidRPr="005E134B">
        <w:t>This does not prevent the person</w:t>
      </w:r>
      <w:r>
        <w:t xml:space="preserve"> concerned</w:t>
      </w:r>
      <w:r w:rsidRPr="005E134B">
        <w:t xml:space="preserve"> </w:t>
      </w:r>
      <w:r>
        <w:t xml:space="preserve">from using or disclosing that information. </w:t>
      </w:r>
      <w:r w:rsidRPr="005E134B">
        <w:t>Nor does it prevent o</w:t>
      </w:r>
      <w:r>
        <w:t xml:space="preserve">ther uses or disclosures of it </w:t>
      </w:r>
      <w:r w:rsidRPr="005E134B">
        <w:t>when this is authorised under another Act.</w:t>
      </w:r>
      <w:r w:rsidRPr="0010024D">
        <w:rPr>
          <w:rStyle w:val="FootnoteReference"/>
        </w:rPr>
        <w:footnoteReference w:id="103"/>
      </w:r>
    </w:p>
    <w:p w:rsidR="0010024D" w:rsidRDefault="0010024D" w:rsidP="0010024D"/>
    <w:p w:rsidR="003B22F1" w:rsidRDefault="008D1DCC" w:rsidP="0010024D">
      <w:r>
        <w:t>When an individual is reluctant to provide the in</w:t>
      </w:r>
      <w:r w:rsidRPr="005E134B">
        <w:t>formation</w:t>
      </w:r>
      <w:r>
        <w:t>, or a medical officer of health must give a direction in order to elicit it, the officer should tell the individual that the information</w:t>
      </w:r>
      <w:r w:rsidRPr="005E134B">
        <w:t xml:space="preserve"> is necessary for the effective management of</w:t>
      </w:r>
      <w:r>
        <w:t xml:space="preserve"> infectious diseases, and that they</w:t>
      </w:r>
      <w:r w:rsidRPr="005E134B">
        <w:t xml:space="preserve"> will not use or disclose</w:t>
      </w:r>
      <w:r>
        <w:t xml:space="preserve"> the information</w:t>
      </w:r>
      <w:r w:rsidRPr="005E134B">
        <w:t xml:space="preserve"> other than for that purpose (or another purpose authorised under an Act).</w:t>
      </w:r>
      <w:r w:rsidRPr="0010024D">
        <w:rPr>
          <w:rStyle w:val="FootnoteReference"/>
        </w:rPr>
        <w:footnoteReference w:id="104"/>
      </w:r>
      <w:r>
        <w:t xml:space="preserve"> </w:t>
      </w:r>
      <w:r w:rsidRPr="005E134B">
        <w:t>Additionally, the</w:t>
      </w:r>
      <w:r>
        <w:t xml:space="preserve"> medical officer of health</w:t>
      </w:r>
      <w:r w:rsidR="009850B1">
        <w:t xml:space="preserve"> must </w:t>
      </w:r>
      <w:r w:rsidRPr="005E134B">
        <w:t>t</w:t>
      </w:r>
      <w:r>
        <w:t xml:space="preserve">ell the individual that they retain </w:t>
      </w:r>
      <w:r w:rsidRPr="005E134B">
        <w:t>any existing rights to access information about themselves or to disclose it to others.</w:t>
      </w:r>
    </w:p>
    <w:p w:rsidR="0010024D" w:rsidRDefault="0010024D" w:rsidP="0010024D"/>
    <w:p w:rsidR="003B22F1" w:rsidRDefault="008D1DCC" w:rsidP="0010024D">
      <w:r w:rsidRPr="005E134B">
        <w:t xml:space="preserve">These requirements also apply when the </w:t>
      </w:r>
      <w:r>
        <w:t>m</w:t>
      </w:r>
      <w:r w:rsidRPr="005E134B">
        <w:t>edical officer of health seeks or obtains information from a person occupyi</w:t>
      </w:r>
      <w:r>
        <w:t xml:space="preserve">ng a position of responsibility, </w:t>
      </w:r>
      <w:r w:rsidRPr="005E134B">
        <w:t>or a contact.</w:t>
      </w:r>
      <w:r w:rsidRPr="0010024D">
        <w:rPr>
          <w:rStyle w:val="FootnoteReference"/>
        </w:rPr>
        <w:footnoteReference w:id="105"/>
      </w:r>
    </w:p>
    <w:p w:rsidR="0010024D" w:rsidRDefault="0010024D" w:rsidP="0010024D"/>
    <w:p w:rsidR="008D1DCC" w:rsidRDefault="008D1DCC" w:rsidP="0010024D">
      <w:r w:rsidRPr="005E134B">
        <w:t xml:space="preserve">If </w:t>
      </w:r>
      <w:r>
        <w:t xml:space="preserve">a </w:t>
      </w:r>
      <w:r w:rsidRPr="005E134B">
        <w:t>person still refuses to supply the information</w:t>
      </w:r>
      <w:r>
        <w:t xml:space="preserve"> sought</w:t>
      </w:r>
      <w:r w:rsidRPr="005E134B">
        <w:t xml:space="preserve">, the </w:t>
      </w:r>
      <w:r>
        <w:t>m</w:t>
      </w:r>
      <w:r w:rsidRPr="005E134B">
        <w:t>edical officer of health can inform them they may be prosecuted for obstruction.</w:t>
      </w:r>
    </w:p>
    <w:p w:rsidR="0010024D" w:rsidRPr="005E134B" w:rsidRDefault="0010024D" w:rsidP="0010024D"/>
    <w:p w:rsidR="008D1DCC" w:rsidRPr="00A651AB" w:rsidRDefault="008D1DCC" w:rsidP="0010024D">
      <w:pPr>
        <w:pStyle w:val="Heading1"/>
      </w:pPr>
      <w:bookmarkStart w:id="57" w:name="_Toc473538552"/>
      <w:r w:rsidRPr="00A651AB">
        <w:t>9</w:t>
      </w:r>
      <w:r w:rsidR="0010024D">
        <w:tab/>
      </w:r>
      <w:r w:rsidRPr="00A651AB">
        <w:t>Court orders</w:t>
      </w:r>
      <w:bookmarkEnd w:id="57"/>
    </w:p>
    <w:p w:rsidR="008D1DCC" w:rsidRDefault="008D1DCC" w:rsidP="005270CC">
      <w:r w:rsidRPr="009A1AB4">
        <w:t xml:space="preserve">When </w:t>
      </w:r>
      <w:r>
        <w:t xml:space="preserve">a person does not comply with a direction, or their compliance seems unlikely, a medical officer of health should consider applying to the District Court for an order if this is likely to be the least restrictive and proportionate alternative to address the </w:t>
      </w:r>
      <w:r w:rsidR="003B22F1">
        <w:t>‘</w:t>
      </w:r>
      <w:r>
        <w:t>public health risk</w:t>
      </w:r>
      <w:r w:rsidR="003B22F1">
        <w:t>’</w:t>
      </w:r>
      <w:r>
        <w:t xml:space="preserve"> the person poses.</w:t>
      </w:r>
      <w:r w:rsidRPr="005270CC">
        <w:rPr>
          <w:rStyle w:val="FootnoteReference"/>
        </w:rPr>
        <w:footnoteReference w:id="106"/>
      </w:r>
    </w:p>
    <w:p w:rsidR="008D1DCC" w:rsidRPr="009A1AB4" w:rsidRDefault="008D1DCC" w:rsidP="005270CC"/>
    <w:p w:rsidR="008D1DCC" w:rsidRPr="00584182" w:rsidRDefault="008D1DCC" w:rsidP="005270CC">
      <w:pPr>
        <w:pStyle w:val="Heading2"/>
      </w:pPr>
      <w:bookmarkStart w:id="58" w:name="_Toc473538553"/>
      <w:r w:rsidRPr="00584182">
        <w:t>Types of court order</w:t>
      </w:r>
      <w:bookmarkEnd w:id="58"/>
    </w:p>
    <w:p w:rsidR="008D1DCC" w:rsidRPr="005E134B" w:rsidRDefault="008D1DCC" w:rsidP="005270CC">
      <w:r w:rsidRPr="005E134B">
        <w:t>Part 3A of the Health Act authorises the following types of court order:</w:t>
      </w:r>
    </w:p>
    <w:p w:rsidR="008D1DCC" w:rsidRPr="005E134B" w:rsidRDefault="008D1DCC" w:rsidP="005270CC">
      <w:pPr>
        <w:pStyle w:val="Bullet"/>
      </w:pPr>
      <w:r w:rsidRPr="005E134B">
        <w:t>public health orders (including orders contingent on medical examinations e</w:t>
      </w:r>
      <w:r>
        <w:t>stablishing infectious disease)</w:t>
      </w:r>
    </w:p>
    <w:p w:rsidR="008D1DCC" w:rsidRPr="005E134B" w:rsidRDefault="008D1DCC" w:rsidP="005270CC">
      <w:pPr>
        <w:pStyle w:val="Bullet"/>
      </w:pPr>
      <w:r w:rsidRPr="005E134B">
        <w:t>medical</w:t>
      </w:r>
      <w:r>
        <w:t xml:space="preserve"> examination orders</w:t>
      </w:r>
    </w:p>
    <w:p w:rsidR="008D1DCC" w:rsidRPr="005E134B" w:rsidRDefault="008D1DCC" w:rsidP="005270CC">
      <w:pPr>
        <w:pStyle w:val="Bullet"/>
      </w:pPr>
      <w:r w:rsidRPr="005E134B">
        <w:t>orders for contacts.</w:t>
      </w:r>
    </w:p>
    <w:p w:rsidR="008D1DCC" w:rsidRPr="005E134B" w:rsidRDefault="008D1DCC" w:rsidP="005270CC"/>
    <w:p w:rsidR="005270CC" w:rsidRDefault="008D1DCC" w:rsidP="005270CC">
      <w:pPr>
        <w:pStyle w:val="Heading2"/>
      </w:pPr>
      <w:bookmarkStart w:id="59" w:name="_Toc473538554"/>
      <w:r w:rsidRPr="00584182">
        <w:t>Differences of scope between orders and directions</w:t>
      </w:r>
      <w:bookmarkEnd w:id="59"/>
    </w:p>
    <w:p w:rsidR="008D1DCC" w:rsidRPr="005E134B" w:rsidRDefault="008D1DCC" w:rsidP="005270CC">
      <w:r w:rsidRPr="005E134B">
        <w:t>Some key differences between a public health order and a public health direction are as follows:</w:t>
      </w:r>
    </w:p>
    <w:p w:rsidR="003B22F1" w:rsidRDefault="008D1DCC" w:rsidP="005270CC">
      <w:pPr>
        <w:pStyle w:val="Bullet"/>
      </w:pPr>
      <w:r w:rsidRPr="005E134B">
        <w:t>Orders can require people to obtain treatment from specified health providers.</w:t>
      </w:r>
      <w:r w:rsidR="003B22F1">
        <w:t xml:space="preserve"> </w:t>
      </w:r>
      <w:r w:rsidRPr="005E134B">
        <w:t>This is on the condition that the court is satisfied that, short of detaining the person indefinitely, treatment is the only effective means of managing the public health risk.</w:t>
      </w:r>
    </w:p>
    <w:p w:rsidR="003B22F1" w:rsidRDefault="008D1DCC" w:rsidP="005270CC">
      <w:pPr>
        <w:pStyle w:val="Bullet"/>
      </w:pPr>
      <w:r w:rsidRPr="005E134B">
        <w:t xml:space="preserve">There is a specific statutory obligation to consult with the individual and, at the </w:t>
      </w:r>
      <w:r>
        <w:t>m</w:t>
      </w:r>
      <w:r w:rsidRPr="005E134B">
        <w:t>edical officer of health</w:t>
      </w:r>
      <w:r w:rsidR="003B22F1">
        <w:t>’</w:t>
      </w:r>
      <w:r w:rsidRPr="005E134B">
        <w:t>s discretion, their family or whānau when the officer is considering applying for a court order.</w:t>
      </w:r>
      <w:r w:rsidRPr="005270CC">
        <w:rPr>
          <w:rStyle w:val="FootnoteReference"/>
        </w:rPr>
        <w:footnoteReference w:id="107"/>
      </w:r>
    </w:p>
    <w:p w:rsidR="003B22F1" w:rsidRDefault="008D1DCC" w:rsidP="005270CC">
      <w:pPr>
        <w:pStyle w:val="Bullet"/>
      </w:pPr>
      <w:r w:rsidRPr="009A1AB4">
        <w:t>The legislation expressly provides that a person</w:t>
      </w:r>
      <w:r w:rsidR="003B22F1">
        <w:t>’</w:t>
      </w:r>
      <w:r w:rsidRPr="009A1AB4">
        <w:t>s compliance with an order can be subject to public health surveillance by a named person, office holder or organisation, once the person</w:t>
      </w:r>
      <w:r w:rsidR="003B22F1">
        <w:t>’</w:t>
      </w:r>
      <w:r w:rsidRPr="009A1AB4">
        <w:t>s views have been taken into account.</w:t>
      </w:r>
      <w:r w:rsidR="003B22F1">
        <w:t xml:space="preserve"> </w:t>
      </w:r>
      <w:r w:rsidRPr="009A1AB4">
        <w:t>Surveillance can be carried out with or without the aid of electronic communication devices</w:t>
      </w:r>
      <w:r>
        <w:t xml:space="preserve"> (eg, </w:t>
      </w:r>
      <w:r w:rsidR="003C1A68">
        <w:t>S</w:t>
      </w:r>
      <w:r>
        <w:t xml:space="preserve">kype, cell phone contact, email). </w:t>
      </w:r>
      <w:r w:rsidRPr="009A1AB4">
        <w:t>This can provide more focused surveillance to ensure the person complies with the order.</w:t>
      </w:r>
    </w:p>
    <w:p w:rsidR="008D1DCC" w:rsidRPr="005E134B" w:rsidRDefault="008D1DCC" w:rsidP="005270CC">
      <w:pPr>
        <w:pStyle w:val="Bullet"/>
      </w:pPr>
      <w:r w:rsidRPr="005E134B">
        <w:t xml:space="preserve">Under an order, </w:t>
      </w:r>
      <w:r>
        <w:t xml:space="preserve">a </w:t>
      </w:r>
      <w:r w:rsidRPr="005E134B">
        <w:t xml:space="preserve">person can be detained at a hospital or other suitable place or in specified parts of the hospital or place, and the </w:t>
      </w:r>
      <w:r>
        <w:t xml:space="preserve">DHB </w:t>
      </w:r>
      <w:r w:rsidRPr="005E134B">
        <w:t>must permit them to be detained there.</w:t>
      </w:r>
      <w:r w:rsidRPr="005270CC">
        <w:rPr>
          <w:rStyle w:val="FootnoteReference"/>
        </w:rPr>
        <w:footnoteReference w:id="108"/>
      </w:r>
      <w:r w:rsidRPr="005E134B">
        <w:t xml:space="preserve"> Under a direction, </w:t>
      </w:r>
      <w:r>
        <w:t xml:space="preserve">a person </w:t>
      </w:r>
      <w:r w:rsidRPr="005E134B">
        <w:t xml:space="preserve">can be directed to stay at </w:t>
      </w:r>
      <w:r>
        <w:t>a specified place of residence, which</w:t>
      </w:r>
      <w:r w:rsidRPr="005E134B">
        <w:t xml:space="preserve"> does not involve the same level of oversight as detention at a hospital under an order.</w:t>
      </w:r>
    </w:p>
    <w:p w:rsidR="008D1DCC" w:rsidRPr="005E134B" w:rsidRDefault="008D1DCC" w:rsidP="005270CC">
      <w:pPr>
        <w:pStyle w:val="Bullet"/>
      </w:pPr>
      <w:r w:rsidRPr="005E134B">
        <w:t xml:space="preserve">Except for </w:t>
      </w:r>
      <w:r>
        <w:t xml:space="preserve">an instruction to undergo </w:t>
      </w:r>
      <w:r w:rsidRPr="005E134B">
        <w:t>medical treatment, where necessary, reasonable force can be used to enforce an order, but not to enforce a direction.</w:t>
      </w:r>
    </w:p>
    <w:p w:rsidR="008D1DCC" w:rsidRPr="005E134B" w:rsidRDefault="008D1DCC" w:rsidP="005270CC"/>
    <w:p w:rsidR="008D1DCC" w:rsidRPr="005E134B" w:rsidRDefault="008D1DCC" w:rsidP="005270CC">
      <w:r>
        <w:t xml:space="preserve">Mention of the possibility of an </w:t>
      </w:r>
      <w:r w:rsidRPr="005E134B">
        <w:t>order may b</w:t>
      </w:r>
      <w:r>
        <w:t>e enough to encourage an individual to comply.</w:t>
      </w:r>
    </w:p>
    <w:p w:rsidR="005270CC" w:rsidRDefault="005270CC" w:rsidP="005270CC"/>
    <w:p w:rsidR="003B22F1" w:rsidRDefault="008D1DCC" w:rsidP="005270CC">
      <w:r>
        <w:t>A court order may be appropriate when it seems clear to a medical officer of health that a particular person lacks respect for administrative directions compared to orders imposed by a judge in court.</w:t>
      </w:r>
    </w:p>
    <w:p w:rsidR="008D1DCC" w:rsidRPr="005E134B" w:rsidRDefault="008D1DCC" w:rsidP="005270CC"/>
    <w:p w:rsidR="008D1DCC" w:rsidRPr="005E134B" w:rsidRDefault="008D1DCC" w:rsidP="005270CC">
      <w:r w:rsidRPr="005E134B">
        <w:t>Additionally, an application for a court order may be appropriate when a direction would not address the particular intervention n</w:t>
      </w:r>
      <w:r>
        <w:t>eeded (eg</w:t>
      </w:r>
      <w:r w:rsidRPr="005E134B">
        <w:t>, an order for treatment by a specified health provider).</w:t>
      </w:r>
    </w:p>
    <w:p w:rsidR="008D1DCC" w:rsidRDefault="008D1DCC" w:rsidP="005270CC"/>
    <w:p w:rsidR="008D1DCC" w:rsidRPr="00F07988" w:rsidRDefault="008D1DCC" w:rsidP="005270CC">
      <w:pPr>
        <w:pStyle w:val="Heading2"/>
      </w:pPr>
      <w:bookmarkStart w:id="60" w:name="_Toc473538555"/>
      <w:r w:rsidRPr="00F07988">
        <w:t xml:space="preserve">Consulting with </w:t>
      </w:r>
      <w:r>
        <w:t xml:space="preserve">the person and </w:t>
      </w:r>
      <w:r w:rsidRPr="00F07988">
        <w:t>family</w:t>
      </w:r>
      <w:r>
        <w:t>/w</w:t>
      </w:r>
      <w:r w:rsidRPr="00F07988">
        <w:t>hānau</w:t>
      </w:r>
      <w:bookmarkEnd w:id="60"/>
    </w:p>
    <w:p w:rsidR="008D1DCC" w:rsidRPr="005E134B" w:rsidRDefault="008D1DCC" w:rsidP="005270CC">
      <w:r>
        <w:t>B</w:t>
      </w:r>
      <w:r w:rsidRPr="005E134B">
        <w:t>efore applying for a court order</w:t>
      </w:r>
      <w:r>
        <w:t>, a</w:t>
      </w:r>
      <w:r w:rsidRPr="005E134B">
        <w:t xml:space="preserve"> </w:t>
      </w:r>
      <w:r>
        <w:t>m</w:t>
      </w:r>
      <w:r w:rsidRPr="005E134B">
        <w:t>edical officer of health must, wherever practicable, consult the person, and at the officer</w:t>
      </w:r>
      <w:r w:rsidR="003B22F1">
        <w:t>’</w:t>
      </w:r>
      <w:r w:rsidRPr="005E134B">
        <w:t>s discretion, their family or whānau</w:t>
      </w:r>
      <w:r>
        <w:t>,</w:t>
      </w:r>
      <w:r w:rsidRPr="005270CC">
        <w:rPr>
          <w:rStyle w:val="FootnoteReference"/>
        </w:rPr>
        <w:footnoteReference w:id="109"/>
      </w:r>
      <w:r w:rsidRPr="005E134B">
        <w:t xml:space="preserve"> to:</w:t>
      </w:r>
    </w:p>
    <w:p w:rsidR="008D1DCC" w:rsidRPr="005E134B" w:rsidRDefault="008D1DCC" w:rsidP="005270CC">
      <w:pPr>
        <w:pStyle w:val="Bullet"/>
      </w:pPr>
      <w:r w:rsidRPr="005E134B">
        <w:t>ensure the person is fully aware of the public health risk and clinical implications</w:t>
      </w:r>
      <w:r>
        <w:t xml:space="preserve"> of his or her situation</w:t>
      </w:r>
    </w:p>
    <w:p w:rsidR="008D1DCC" w:rsidRPr="005E134B" w:rsidRDefault="008D1DCC" w:rsidP="005270CC">
      <w:pPr>
        <w:pStyle w:val="Bullet"/>
      </w:pPr>
      <w:r>
        <w:t xml:space="preserve">find out whether the person might </w:t>
      </w:r>
      <w:r w:rsidRPr="005E134B">
        <w:t xml:space="preserve">comply voluntarily </w:t>
      </w:r>
      <w:r>
        <w:t xml:space="preserve">with the assistance of </w:t>
      </w:r>
      <w:r w:rsidRPr="005E134B">
        <w:t>family</w:t>
      </w:r>
      <w:r>
        <w:t>/whānau members</w:t>
      </w:r>
    </w:p>
    <w:p w:rsidR="003B22F1" w:rsidRDefault="008D1DCC" w:rsidP="005270CC">
      <w:pPr>
        <w:pStyle w:val="Bullet"/>
      </w:pPr>
      <w:r w:rsidRPr="005E134B">
        <w:t xml:space="preserve">gauge </w:t>
      </w:r>
      <w:r>
        <w:t>the person</w:t>
      </w:r>
      <w:r w:rsidR="003B22F1">
        <w:t>’</w:t>
      </w:r>
      <w:r>
        <w:t xml:space="preserve">s </w:t>
      </w:r>
      <w:r w:rsidRPr="005E134B">
        <w:t>needs and preferences, without prejudicing the protection of public health</w:t>
      </w:r>
      <w:r w:rsidR="003B22F1">
        <w:t xml:space="preserve"> – </w:t>
      </w:r>
      <w:r w:rsidRPr="005E134B">
        <w:t>which is the paramount consideration.</w:t>
      </w:r>
      <w:r w:rsidRPr="005270CC">
        <w:rPr>
          <w:rStyle w:val="FootnoteReference"/>
        </w:rPr>
        <w:footnoteReference w:id="110"/>
      </w:r>
    </w:p>
    <w:p w:rsidR="005270CC" w:rsidRDefault="005270CC" w:rsidP="005270CC"/>
    <w:p w:rsidR="003B22F1" w:rsidRDefault="008D1DCC" w:rsidP="005270CC">
      <w:r>
        <w:t>A m</w:t>
      </w:r>
      <w:r w:rsidRPr="005E134B">
        <w:t xml:space="preserve">edical officer of health </w:t>
      </w:r>
      <w:r>
        <w:t xml:space="preserve">may </w:t>
      </w:r>
      <w:r w:rsidRPr="005E134B">
        <w:t>organise a case conference, which can be conducted by telephone or video link to consult with the individual and family</w:t>
      </w:r>
      <w:r>
        <w:t>/whānau</w:t>
      </w:r>
      <w:r w:rsidRPr="005E134B">
        <w:t>.</w:t>
      </w:r>
      <w:r w:rsidRPr="005270CC">
        <w:rPr>
          <w:rStyle w:val="FootnoteReference"/>
        </w:rPr>
        <w:footnoteReference w:id="111"/>
      </w:r>
    </w:p>
    <w:p w:rsidR="005270CC" w:rsidRDefault="005270CC" w:rsidP="005270CC"/>
    <w:p w:rsidR="003B22F1" w:rsidRDefault="008D1DCC" w:rsidP="005270CC">
      <w:r>
        <w:t xml:space="preserve">In consulting, medical officers of health must balance the tension between </w:t>
      </w:r>
      <w:r w:rsidRPr="005E134B">
        <w:t>protecting the privacy of the person,</w:t>
      </w:r>
      <w:r>
        <w:t xml:space="preserve"> </w:t>
      </w:r>
      <w:r w:rsidRPr="005E134B">
        <w:t xml:space="preserve">and particularly his or her health information </w:t>
      </w:r>
      <w:r>
        <w:t>(</w:t>
      </w:r>
      <w:r w:rsidRPr="005E134B">
        <w:t xml:space="preserve">on the one </w:t>
      </w:r>
      <w:r>
        <w:t>hand)</w:t>
      </w:r>
      <w:r w:rsidRPr="005E134B">
        <w:t xml:space="preserve"> and taking steps to </w:t>
      </w:r>
      <w:r>
        <w:t>safeguard public health (on the other).</w:t>
      </w:r>
      <w:r w:rsidR="003B22F1">
        <w:t xml:space="preserve"> </w:t>
      </w:r>
      <w:r w:rsidRPr="005E134B">
        <w:t xml:space="preserve">Always at the forefront of the </w:t>
      </w:r>
      <w:r>
        <w:t>m</w:t>
      </w:r>
      <w:r w:rsidRPr="005E134B">
        <w:t>edical officer of health</w:t>
      </w:r>
      <w:r w:rsidR="003B22F1">
        <w:t>’</w:t>
      </w:r>
      <w:r w:rsidRPr="005E134B">
        <w:t>s intervention should be what is necessary to effectively manage the disease risk the person presents in the particular circumstances.</w:t>
      </w:r>
    </w:p>
    <w:p w:rsidR="005270CC" w:rsidRDefault="005270CC" w:rsidP="005270CC"/>
    <w:p w:rsidR="003B22F1" w:rsidRDefault="008D1DCC" w:rsidP="005270CC">
      <w:r>
        <w:t>Medical officer</w:t>
      </w:r>
      <w:r w:rsidR="00CB6D65">
        <w:t>s</w:t>
      </w:r>
      <w:r>
        <w:t xml:space="preserve"> of health and others handling information should only disclose information to people other than the person concerned</w:t>
      </w:r>
      <w:r w:rsidR="00CB6D65">
        <w:t xml:space="preserve"> when necessary to effectively manage the disease risk</w:t>
      </w:r>
      <w:r>
        <w:t xml:space="preserve">, and preferably with their consent. </w:t>
      </w:r>
    </w:p>
    <w:p w:rsidR="005270CC" w:rsidRDefault="005270CC" w:rsidP="005270CC"/>
    <w:p w:rsidR="008D1DCC" w:rsidRDefault="008D1DCC" w:rsidP="005270CC">
      <w:r w:rsidRPr="005E134B">
        <w:t>For examples of when a case conference may be useful, refer to the scenario</w:t>
      </w:r>
      <w:r>
        <w:t>s below</w:t>
      </w:r>
      <w:r w:rsidRPr="005E134B">
        <w:t xml:space="preserve"> about </w:t>
      </w:r>
      <w:r>
        <w:t xml:space="preserve">Marvin and </w:t>
      </w:r>
      <w:r w:rsidRPr="00BB771C">
        <w:t xml:space="preserve">HIV (on page </w:t>
      </w:r>
      <w:r w:rsidR="005270CC">
        <w:fldChar w:fldCharType="begin"/>
      </w:r>
      <w:r w:rsidR="005270CC">
        <w:instrText xml:space="preserve"> PAGEREF Marvin_scenario \h </w:instrText>
      </w:r>
      <w:r w:rsidR="005270CC">
        <w:fldChar w:fldCharType="separate"/>
      </w:r>
      <w:r w:rsidR="00377224">
        <w:rPr>
          <w:noProof/>
        </w:rPr>
        <w:t>48</w:t>
      </w:r>
      <w:r w:rsidR="005270CC">
        <w:fldChar w:fldCharType="end"/>
      </w:r>
      <w:r w:rsidRPr="005270CC">
        <w:t>)</w:t>
      </w:r>
      <w:r>
        <w:t xml:space="preserve"> and </w:t>
      </w:r>
      <w:r w:rsidRPr="005E134B">
        <w:t>Amelika and rubella</w:t>
      </w:r>
      <w:r>
        <w:t xml:space="preserve"> (</w:t>
      </w:r>
      <w:r w:rsidRPr="00BB771C">
        <w:t>on page</w:t>
      </w:r>
      <w:r>
        <w:t xml:space="preserve"> </w:t>
      </w:r>
      <w:r w:rsidR="005270CC">
        <w:fldChar w:fldCharType="begin"/>
      </w:r>
      <w:r w:rsidR="005270CC">
        <w:instrText xml:space="preserve"> PAGEREF Amelika_scenario \h </w:instrText>
      </w:r>
      <w:r w:rsidR="005270CC">
        <w:fldChar w:fldCharType="separate"/>
      </w:r>
      <w:r w:rsidR="00377224">
        <w:rPr>
          <w:noProof/>
        </w:rPr>
        <w:t>50</w:t>
      </w:r>
      <w:r w:rsidR="005270CC">
        <w:fldChar w:fldCharType="end"/>
      </w:r>
      <w:r>
        <w:t>).</w:t>
      </w:r>
    </w:p>
    <w:p w:rsidR="005270CC" w:rsidRDefault="005270CC" w:rsidP="005270CC"/>
    <w:p w:rsidR="003B22F1" w:rsidRDefault="008D1DCC" w:rsidP="005270CC">
      <w:r w:rsidRPr="005E134B">
        <w:t>When consulting with whānau or convening a case conference would put effective disease management at risk, jeopardise the safety of the person concerned, or be counterproductive, then</w:t>
      </w:r>
      <w:r>
        <w:t xml:space="preserve"> the medical officer of health should not persist</w:t>
      </w:r>
      <w:r w:rsidRPr="005E134B">
        <w:t xml:space="preserve">. There is no express legislative requirement </w:t>
      </w:r>
      <w:r>
        <w:t>for an officer to seek a</w:t>
      </w:r>
      <w:r w:rsidRPr="005E134B">
        <w:t xml:space="preserve"> person</w:t>
      </w:r>
      <w:r w:rsidR="003B22F1">
        <w:t>’</w:t>
      </w:r>
      <w:r w:rsidRPr="005E134B">
        <w:t xml:space="preserve">s consent to convene a case conference, although </w:t>
      </w:r>
      <w:r>
        <w:t>(</w:t>
      </w:r>
      <w:r w:rsidRPr="005E134B">
        <w:t>depending on the circumstances</w:t>
      </w:r>
      <w:r>
        <w:t>) conferences</w:t>
      </w:r>
      <w:r w:rsidRPr="005E134B">
        <w:t xml:space="preserve"> may be of limited use</w:t>
      </w:r>
      <w:r w:rsidR="00061C40">
        <w:t xml:space="preserve"> without consent</w:t>
      </w:r>
      <w:r w:rsidRPr="005E134B">
        <w:t>.</w:t>
      </w:r>
    </w:p>
    <w:p w:rsidR="005270CC" w:rsidRDefault="005270CC" w:rsidP="005270CC"/>
    <w:p w:rsidR="008D1DCC" w:rsidRPr="005E134B" w:rsidRDefault="008D1DCC" w:rsidP="00193BE1">
      <w:pPr>
        <w:keepLines/>
      </w:pPr>
      <w:r>
        <w:t>As m</w:t>
      </w:r>
      <w:r w:rsidRPr="005E134B">
        <w:t>edical officer</w:t>
      </w:r>
      <w:r>
        <w:t>s</w:t>
      </w:r>
      <w:r w:rsidRPr="005E134B">
        <w:t xml:space="preserve"> of health </w:t>
      </w:r>
      <w:r>
        <w:t>conduct case conferences and proceed to apply to the court for orders, they should keep</w:t>
      </w:r>
      <w:r w:rsidRPr="005E134B">
        <w:t xml:space="preserve"> the lines of communication open with the person</w:t>
      </w:r>
      <w:r>
        <w:t xml:space="preserve"> concerned</w:t>
      </w:r>
      <w:r w:rsidRPr="005E134B">
        <w:t>,</w:t>
      </w:r>
      <w:r>
        <w:t xml:space="preserve"> informing them of next steps. </w:t>
      </w:r>
      <w:r w:rsidRPr="005E134B">
        <w:t xml:space="preserve">In practice, this means that </w:t>
      </w:r>
      <w:r>
        <w:t xml:space="preserve">medical officers of health </w:t>
      </w:r>
      <w:r w:rsidRPr="005E134B">
        <w:t xml:space="preserve">should </w:t>
      </w:r>
      <w:r>
        <w:t xml:space="preserve">tell people </w:t>
      </w:r>
      <w:r w:rsidRPr="005E134B">
        <w:t xml:space="preserve">about the possibility of </w:t>
      </w:r>
      <w:r>
        <w:t>an application f</w:t>
      </w:r>
      <w:r w:rsidRPr="005E134B">
        <w:t>or a court order, the nature of the order and its implications for the</w:t>
      </w:r>
      <w:r>
        <w:t xml:space="preserve"> person</w:t>
      </w:r>
      <w:r w:rsidRPr="005E134B">
        <w:t>.</w:t>
      </w:r>
      <w:r w:rsidRPr="005270CC">
        <w:rPr>
          <w:rStyle w:val="FootnoteReference"/>
        </w:rPr>
        <w:footnoteReference w:id="112"/>
      </w:r>
      <w:r>
        <w:t xml:space="preserve"> </w:t>
      </w:r>
      <w:r w:rsidRPr="005E134B">
        <w:t xml:space="preserve">The templates </w:t>
      </w:r>
      <w:r>
        <w:t xml:space="preserve">in chapter 11 </w:t>
      </w:r>
      <w:r w:rsidRPr="005E134B">
        <w:t xml:space="preserve">provide information it may be timely to convey, such as when </w:t>
      </w:r>
      <w:r>
        <w:t xml:space="preserve">a medical officer is considering applying </w:t>
      </w:r>
      <w:r w:rsidRPr="005E134B">
        <w:t>for a court order.</w:t>
      </w:r>
    </w:p>
    <w:p w:rsidR="005270CC" w:rsidRDefault="005270CC" w:rsidP="005270CC"/>
    <w:p w:rsidR="003B22F1" w:rsidRPr="00193BE1" w:rsidRDefault="008D1DCC" w:rsidP="00193BE1">
      <w:r w:rsidRPr="00193BE1">
        <w:t>When a medical officer of health files an application for an order in the District Court, he or she must serve the application on the individual concerned under Part 6 of the District Court Rules 2014.</w:t>
      </w:r>
    </w:p>
    <w:p w:rsidR="005270CC" w:rsidRDefault="005270CC" w:rsidP="005270CC"/>
    <w:p w:rsidR="003B22F1" w:rsidRPr="00193BE1" w:rsidRDefault="008D1DCC" w:rsidP="005270CC">
      <w:pPr>
        <w:rPr>
          <w:spacing w:val="-2"/>
        </w:rPr>
      </w:pPr>
      <w:r w:rsidRPr="00193BE1">
        <w:rPr>
          <w:spacing w:val="-2"/>
        </w:rPr>
        <w:t>Each type of order is described below, looking at the nature of the order, when and how it can be imposed, and a practical example showing how it can be used. The remainder of the chapter considers the processes, safeguards and confidentiality requirements applying to the three orders.</w:t>
      </w:r>
    </w:p>
    <w:p w:rsidR="008D1DCC" w:rsidRPr="005E134B" w:rsidRDefault="008D1DCC" w:rsidP="005270CC"/>
    <w:p w:rsidR="008D1DCC" w:rsidRPr="00584182" w:rsidRDefault="008D1DCC" w:rsidP="005270CC">
      <w:pPr>
        <w:pStyle w:val="Heading2"/>
      </w:pPr>
      <w:bookmarkStart w:id="61" w:name="_Toc473538556"/>
      <w:r w:rsidRPr="00584182">
        <w:t>Time limits</w:t>
      </w:r>
      <w:bookmarkEnd w:id="61"/>
    </w:p>
    <w:p w:rsidR="003B22F1" w:rsidRDefault="008D1DCC" w:rsidP="005270CC">
      <w:r>
        <w:t xml:space="preserve">Like </w:t>
      </w:r>
      <w:r w:rsidRPr="005E134B">
        <w:t>directions, court order</w:t>
      </w:r>
      <w:r>
        <w:t xml:space="preserve">s must state their duration, and have a maximum </w:t>
      </w:r>
      <w:r w:rsidRPr="005E134B">
        <w:t>duration</w:t>
      </w:r>
      <w:r>
        <w:t xml:space="preserve"> of six months</w:t>
      </w:r>
      <w:r w:rsidRPr="005E134B">
        <w:t xml:space="preserve">. </w:t>
      </w:r>
      <w:r>
        <w:t>I</w:t>
      </w:r>
      <w:r w:rsidRPr="005E134B">
        <w:t>n most cases th</w:t>
      </w:r>
      <w:r>
        <w:t>e duration</w:t>
      </w:r>
      <w:r w:rsidRPr="005E134B">
        <w:t xml:space="preserve"> will be considerably less than </w:t>
      </w:r>
      <w:r>
        <w:t>six</w:t>
      </w:r>
      <w:r w:rsidRPr="005E134B">
        <w:t xml:space="preserve"> months.</w:t>
      </w:r>
      <w:r w:rsidR="003B22F1">
        <w:t xml:space="preserve"> </w:t>
      </w:r>
      <w:r>
        <w:t>The legislation imposes this</w:t>
      </w:r>
      <w:r w:rsidRPr="005E134B">
        <w:t xml:space="preserve"> outer limit </w:t>
      </w:r>
      <w:r>
        <w:t>to take account of the various infectious diseases and behaviours shown by cases and contact. For example, a six-month</w:t>
      </w:r>
      <w:r w:rsidR="003B22F1">
        <w:t xml:space="preserve"> </w:t>
      </w:r>
      <w:r w:rsidRPr="005E134B">
        <w:t>public health order will not be appropriate for measles,</w:t>
      </w:r>
      <w:r>
        <w:t xml:space="preserve"> although </w:t>
      </w:r>
      <w:r w:rsidRPr="005E134B">
        <w:t xml:space="preserve">it could be </w:t>
      </w:r>
      <w:r>
        <w:t>if a</w:t>
      </w:r>
      <w:r w:rsidRPr="005E134B">
        <w:t xml:space="preserve"> person has active tuberculosis, and has n</w:t>
      </w:r>
      <w:r>
        <w:t>ot been taking their mediation</w:t>
      </w:r>
      <w:r w:rsidRPr="005E134B">
        <w:t>.</w:t>
      </w:r>
    </w:p>
    <w:p w:rsidR="008D1DCC" w:rsidRPr="005E134B" w:rsidRDefault="008D1DCC" w:rsidP="005270CC"/>
    <w:p w:rsidR="008D1DCC" w:rsidRPr="00584182" w:rsidRDefault="008D1DCC" w:rsidP="005270CC">
      <w:pPr>
        <w:pStyle w:val="Heading2"/>
      </w:pPr>
      <w:bookmarkStart w:id="62" w:name="_Toc473538557"/>
      <w:r w:rsidRPr="00584182">
        <w:t>Informing the individual</w:t>
      </w:r>
      <w:bookmarkEnd w:id="62"/>
    </w:p>
    <w:p w:rsidR="008D1DCC" w:rsidRPr="005E134B" w:rsidRDefault="008D1DCC" w:rsidP="005270CC">
      <w:r w:rsidRPr="005E134B">
        <w:t xml:space="preserve">As with directions and urgent public health orders, when a court order commences, the </w:t>
      </w:r>
      <w:r>
        <w:t>m</w:t>
      </w:r>
      <w:r w:rsidRPr="005E134B">
        <w:t>edical officer of health has obligations to promptly inform the person concerned of several matters</w:t>
      </w:r>
      <w:r>
        <w:t>,</w:t>
      </w:r>
      <w:r w:rsidRPr="005270CC">
        <w:rPr>
          <w:rStyle w:val="FootnoteReference"/>
        </w:rPr>
        <w:footnoteReference w:id="113"/>
      </w:r>
      <w:r>
        <w:t xml:space="preserve"> including</w:t>
      </w:r>
      <w:r w:rsidRPr="005E134B">
        <w:t>:</w:t>
      </w:r>
    </w:p>
    <w:p w:rsidR="008D1DCC" w:rsidRPr="005E134B" w:rsidRDefault="008D1DCC" w:rsidP="005270CC">
      <w:pPr>
        <w:pStyle w:val="Bullet"/>
      </w:pPr>
      <w:r w:rsidRPr="005E134B">
        <w:t>the nature of the order and its implications</w:t>
      </w:r>
      <w:r>
        <w:t xml:space="preserve"> for the person</w:t>
      </w:r>
    </w:p>
    <w:p w:rsidR="008D1DCC" w:rsidRPr="005E134B" w:rsidRDefault="008D1DCC" w:rsidP="005270CC">
      <w:pPr>
        <w:pStyle w:val="Bullet"/>
      </w:pPr>
      <w:r w:rsidRPr="005E134B">
        <w:t>any steps planned to be taken in respect</w:t>
      </w:r>
      <w:r>
        <w:t xml:space="preserve"> of the person</w:t>
      </w:r>
    </w:p>
    <w:p w:rsidR="003B22F1" w:rsidRDefault="008D1DCC" w:rsidP="005270CC">
      <w:pPr>
        <w:pStyle w:val="Bullet"/>
      </w:pPr>
      <w:r w:rsidRPr="005E134B">
        <w:t>the right to appeal</w:t>
      </w:r>
      <w:r w:rsidRPr="005270CC">
        <w:rPr>
          <w:rStyle w:val="FootnoteReference"/>
        </w:rPr>
        <w:footnoteReference w:id="114"/>
      </w:r>
    </w:p>
    <w:p w:rsidR="008D1DCC" w:rsidRPr="005E134B" w:rsidRDefault="008D1DCC" w:rsidP="005270CC">
      <w:pPr>
        <w:pStyle w:val="Bullet"/>
      </w:pPr>
      <w:r w:rsidRPr="005E134B">
        <w:t xml:space="preserve">the following general information that the </w:t>
      </w:r>
      <w:r>
        <w:t>m</w:t>
      </w:r>
      <w:r w:rsidRPr="005E134B">
        <w:t>edical officer of health thinks relevant:</w:t>
      </w:r>
    </w:p>
    <w:p w:rsidR="003B22F1" w:rsidRDefault="008D1DCC" w:rsidP="005270CC">
      <w:pPr>
        <w:pStyle w:val="Dash"/>
      </w:pPr>
      <w:r w:rsidRPr="005E134B">
        <w:t>symptoms, diagnosis, and treatment of the relevant infectious disease</w:t>
      </w:r>
    </w:p>
    <w:p w:rsidR="008D1DCC" w:rsidRPr="005E134B" w:rsidRDefault="008D1DCC" w:rsidP="005270CC">
      <w:pPr>
        <w:pStyle w:val="Dash"/>
      </w:pPr>
      <w:r w:rsidRPr="005E134B">
        <w:t>how the risk of onset or transmission of the relevant infe</w:t>
      </w:r>
      <w:r>
        <w:t>ctious disease may be minimised</w:t>
      </w:r>
    </w:p>
    <w:p w:rsidR="003B22F1" w:rsidRDefault="008D1DCC" w:rsidP="005270CC">
      <w:pPr>
        <w:pStyle w:val="Bullet"/>
      </w:pPr>
      <w:r w:rsidRPr="005E134B">
        <w:t>how to seek further information or the assistance of an interpreter or a patien</w:t>
      </w:r>
      <w:r>
        <w:t>t support advocate, if relevant</w:t>
      </w:r>
    </w:p>
    <w:p w:rsidR="008D1DCC" w:rsidRPr="005E134B" w:rsidRDefault="008D1DCC" w:rsidP="005270CC">
      <w:pPr>
        <w:pStyle w:val="Bullet"/>
      </w:pPr>
      <w:r w:rsidRPr="005E134B">
        <w:t>how to seek information on accessing legal aid.</w:t>
      </w:r>
      <w:r w:rsidRPr="005270CC">
        <w:rPr>
          <w:rStyle w:val="FootnoteReference"/>
        </w:rPr>
        <w:footnoteReference w:id="115"/>
      </w:r>
    </w:p>
    <w:p w:rsidR="008D1DCC" w:rsidRPr="005E134B" w:rsidRDefault="008D1DCC" w:rsidP="005270CC"/>
    <w:p w:rsidR="008D1DCC" w:rsidRPr="005E134B" w:rsidRDefault="008D1DCC" w:rsidP="005270CC">
      <w:r>
        <w:t xml:space="preserve">Chapter 11 of this guidance includes an </w:t>
      </w:r>
      <w:r w:rsidRPr="005E134B">
        <w:t xml:space="preserve">information sheet </w:t>
      </w:r>
      <w:r>
        <w:t xml:space="preserve">that medical officers of health can </w:t>
      </w:r>
      <w:r w:rsidRPr="005E134B">
        <w:t>adapt</w:t>
      </w:r>
      <w:r>
        <w:t xml:space="preserve"> for use regarding</w:t>
      </w:r>
      <w:r w:rsidRPr="005E134B">
        <w:t xml:space="preserve"> the three kinds of court orders.</w:t>
      </w:r>
    </w:p>
    <w:p w:rsidR="008D1DCC" w:rsidRDefault="008D1DCC" w:rsidP="005270CC"/>
    <w:p w:rsidR="008D1DCC" w:rsidRPr="00584182" w:rsidRDefault="008D1DCC" w:rsidP="005270CC">
      <w:pPr>
        <w:pStyle w:val="Heading2"/>
      </w:pPr>
      <w:bookmarkStart w:id="63" w:name="_Toc473538558"/>
      <w:r w:rsidRPr="00584182">
        <w:t>Public health orders</w:t>
      </w:r>
      <w:bookmarkEnd w:id="63"/>
    </w:p>
    <w:p w:rsidR="008D1DCC" w:rsidRPr="002C2D0F" w:rsidRDefault="008D1DCC" w:rsidP="005270CC">
      <w:pPr>
        <w:pStyle w:val="Heading3"/>
      </w:pPr>
      <w:r w:rsidRPr="002C2D0F">
        <w:t>Nature of the order</w:t>
      </w:r>
    </w:p>
    <w:p w:rsidR="008D1DCC" w:rsidRPr="005E134B" w:rsidRDefault="008D1DCC" w:rsidP="005270CC">
      <w:r>
        <w:t>Before issuing a public health order with o</w:t>
      </w:r>
      <w:r w:rsidRPr="005E134B">
        <w:t>ne o</w:t>
      </w:r>
      <w:r>
        <w:t>r</w:t>
      </w:r>
      <w:r w:rsidRPr="005E134B">
        <w:t xml:space="preserve"> more</w:t>
      </w:r>
      <w:r>
        <w:t xml:space="preserve"> of the following</w:t>
      </w:r>
      <w:r w:rsidRPr="005E134B">
        <w:t xml:space="preserve"> requirements</w:t>
      </w:r>
      <w:r>
        <w:t>, the court must</w:t>
      </w:r>
      <w:r w:rsidRPr="005E134B">
        <w:t xml:space="preserve"> </w:t>
      </w:r>
      <w:r>
        <w:t xml:space="preserve">be satisfied the requirements are </w:t>
      </w:r>
      <w:r w:rsidRPr="005E134B">
        <w:t xml:space="preserve">necessary to prevent or minimise the public health risk posed by the person </w:t>
      </w:r>
      <w:r>
        <w:t>who is the subject of the order:</w:t>
      </w:r>
    </w:p>
    <w:p w:rsidR="008D1DCC" w:rsidRPr="005E134B" w:rsidRDefault="005270CC" w:rsidP="00193BE1">
      <w:pPr>
        <w:spacing w:before="140"/>
        <w:ind w:left="567" w:hanging="567"/>
      </w:pPr>
      <w:r>
        <w:t>(a)</w:t>
      </w:r>
      <w:r>
        <w:tab/>
      </w:r>
      <w:r w:rsidR="008D1DCC" w:rsidRPr="005E134B">
        <w:t>to be detained, at all times or at specified times, in a hospital or other suitable place or in specified</w:t>
      </w:r>
      <w:r w:rsidR="008D1DCC">
        <w:t xml:space="preserve"> parts of the hospital or place</w:t>
      </w:r>
    </w:p>
    <w:p w:rsidR="008D1DCC" w:rsidRPr="005E134B" w:rsidRDefault="005270CC" w:rsidP="00193BE1">
      <w:pPr>
        <w:spacing w:before="140"/>
        <w:ind w:left="567" w:hanging="567"/>
      </w:pPr>
      <w:r>
        <w:t>(b)</w:t>
      </w:r>
      <w:r>
        <w:tab/>
      </w:r>
      <w:r w:rsidR="008D1DCC" w:rsidRPr="005E134B">
        <w:t>to stay, at all times or at specified times, at</w:t>
      </w:r>
      <w:r w:rsidR="008D1DCC">
        <w:t xml:space="preserve"> a specified place of residence</w:t>
      </w:r>
    </w:p>
    <w:p w:rsidR="008D1DCC" w:rsidRPr="005E134B" w:rsidRDefault="005270CC" w:rsidP="00193BE1">
      <w:pPr>
        <w:spacing w:before="140"/>
        <w:ind w:left="567" w:hanging="567"/>
      </w:pPr>
      <w:r>
        <w:t>(c)</w:t>
      </w:r>
      <w:r>
        <w:tab/>
      </w:r>
      <w:r w:rsidR="008D1DCC" w:rsidRPr="005E134B">
        <w:t>to refrain from carrying out specified activities (for example, undertaking employment, using public transport, or travelling within or outside New</w:t>
      </w:r>
      <w:r w:rsidR="003B22F1">
        <w:t xml:space="preserve"> </w:t>
      </w:r>
      <w:r w:rsidR="008D1DCC" w:rsidRPr="005E134B">
        <w:t>Zealand) either absolutely or unless stated conditions are observed</w:t>
      </w:r>
    </w:p>
    <w:p w:rsidR="008D1DCC" w:rsidRPr="005E134B" w:rsidRDefault="005270CC" w:rsidP="00193BE1">
      <w:pPr>
        <w:spacing w:before="140"/>
        <w:ind w:left="567" w:hanging="567"/>
      </w:pPr>
      <w:r>
        <w:t>(d)</w:t>
      </w:r>
      <w:r>
        <w:tab/>
      </w:r>
      <w:r w:rsidR="008D1DCC" w:rsidRPr="005E134B">
        <w:t>to be supervised by a named person or by a person for the time being holding a named office, including, without limitation</w:t>
      </w:r>
      <w:r>
        <w:t>:</w:t>
      </w:r>
    </w:p>
    <w:p w:rsidR="008D1DCC" w:rsidRPr="005E134B" w:rsidRDefault="005270CC" w:rsidP="005270CC">
      <w:pPr>
        <w:spacing w:before="90"/>
        <w:ind w:left="1134" w:hanging="567"/>
      </w:pPr>
      <w:r>
        <w:t>(i)</w:t>
      </w:r>
      <w:r>
        <w:tab/>
      </w:r>
      <w:r w:rsidR="008D1DCC" w:rsidRPr="005E134B">
        <w:t>attending meetings arranged by that person</w:t>
      </w:r>
      <w:r>
        <w:t>,</w:t>
      </w:r>
      <w:r w:rsidR="008D1DCC" w:rsidRPr="005E134B">
        <w:t xml:space="preserve"> and</w:t>
      </w:r>
    </w:p>
    <w:p w:rsidR="008D1DCC" w:rsidRPr="005E134B" w:rsidRDefault="005270CC" w:rsidP="005270CC">
      <w:pPr>
        <w:spacing w:before="90"/>
        <w:ind w:left="1134" w:hanging="567"/>
      </w:pPr>
      <w:r>
        <w:t>(ii)</w:t>
      </w:r>
      <w:r>
        <w:tab/>
      </w:r>
      <w:r w:rsidR="008D1DCC" w:rsidRPr="005E134B">
        <w:t>providing that person with information on any action, occurrence, or plan that is relevant to the public health risk posed by the individual</w:t>
      </w:r>
    </w:p>
    <w:p w:rsidR="008D1DCC" w:rsidRPr="00193BE1" w:rsidRDefault="005270CC" w:rsidP="00193BE1">
      <w:pPr>
        <w:spacing w:before="140"/>
        <w:ind w:left="567" w:hanging="567"/>
        <w:rPr>
          <w:spacing w:val="-2"/>
        </w:rPr>
      </w:pPr>
      <w:r>
        <w:t>(e)</w:t>
      </w:r>
      <w:r>
        <w:tab/>
      </w:r>
      <w:r w:rsidR="008D1DCC" w:rsidRPr="00193BE1">
        <w:rPr>
          <w:spacing w:val="-2"/>
        </w:rPr>
        <w:t>after the views of the individual have been taken into account, to be subject to public health surveillance, with or without aid of electronic communication devices, by a named person or by a person for the time being holding a named office or by a named organisation</w:t>
      </w:r>
    </w:p>
    <w:p w:rsidR="008D1DCC" w:rsidRPr="005E134B" w:rsidRDefault="005270CC" w:rsidP="00193BE1">
      <w:pPr>
        <w:spacing w:before="140"/>
        <w:ind w:left="567" w:hanging="567"/>
      </w:pPr>
      <w:r>
        <w:t>(f)</w:t>
      </w:r>
      <w:r>
        <w:tab/>
      </w:r>
      <w:r w:rsidR="008D1DCC" w:rsidRPr="005E134B">
        <w:t>to be treated for the infectious disease</w:t>
      </w:r>
      <w:r w:rsidR="008D1DCC">
        <w:t xml:space="preserve"> by a specified health provider</w:t>
      </w:r>
    </w:p>
    <w:p w:rsidR="008D1DCC" w:rsidRPr="005E134B" w:rsidRDefault="005270CC" w:rsidP="00193BE1">
      <w:pPr>
        <w:spacing w:before="140"/>
        <w:ind w:left="567" w:hanging="567"/>
      </w:pPr>
      <w:r>
        <w:t>(g)</w:t>
      </w:r>
      <w:r>
        <w:tab/>
      </w:r>
      <w:r w:rsidR="008D1DCC" w:rsidRPr="005E134B">
        <w:t>to participate in any of the following that are conducted by a health provider:</w:t>
      </w:r>
    </w:p>
    <w:p w:rsidR="008D1DCC" w:rsidRPr="005E134B" w:rsidRDefault="008D1DCC" w:rsidP="005270CC">
      <w:pPr>
        <w:spacing w:before="90"/>
        <w:ind w:left="1134" w:hanging="567"/>
      </w:pPr>
      <w:r w:rsidRPr="005E134B">
        <w:t>(i)</w:t>
      </w:r>
      <w:r w:rsidRPr="005E134B">
        <w:tab/>
        <w:t>counselling</w:t>
      </w:r>
    </w:p>
    <w:p w:rsidR="008D1DCC" w:rsidRPr="005E134B" w:rsidRDefault="008D1DCC" w:rsidP="005270CC">
      <w:pPr>
        <w:spacing w:before="90"/>
        <w:ind w:left="1134" w:hanging="567"/>
      </w:pPr>
      <w:r>
        <w:t>(ii)</w:t>
      </w:r>
      <w:r>
        <w:tab/>
        <w:t>education</w:t>
      </w:r>
    </w:p>
    <w:p w:rsidR="008D1DCC" w:rsidRPr="005E134B" w:rsidRDefault="005270CC" w:rsidP="005270CC">
      <w:pPr>
        <w:spacing w:before="90"/>
        <w:ind w:left="1134" w:hanging="567"/>
      </w:pPr>
      <w:r>
        <w:t>(iii)</w:t>
      </w:r>
      <w:r>
        <w:tab/>
      </w:r>
      <w:r w:rsidR="008D1DCC" w:rsidRPr="005E134B">
        <w:t>other activities related to that infectious disease</w:t>
      </w:r>
    </w:p>
    <w:p w:rsidR="008D1DCC" w:rsidRPr="005E134B" w:rsidRDefault="005270CC" w:rsidP="00193BE1">
      <w:pPr>
        <w:spacing w:before="140"/>
        <w:ind w:left="567" w:hanging="567"/>
      </w:pPr>
      <w:r>
        <w:t>(h)</w:t>
      </w:r>
      <w:r>
        <w:tab/>
      </w:r>
      <w:r w:rsidR="008D1DCC" w:rsidRPr="005E134B">
        <w:t>to refrain from going to specified places either absolutely or unless</w:t>
      </w:r>
      <w:r w:rsidR="008D1DCC">
        <w:t xml:space="preserve"> stated conditions are observed</w:t>
      </w:r>
    </w:p>
    <w:p w:rsidR="008D1DCC" w:rsidRPr="005E134B" w:rsidRDefault="005270CC" w:rsidP="00193BE1">
      <w:pPr>
        <w:spacing w:before="140"/>
        <w:ind w:left="567" w:hanging="567"/>
      </w:pPr>
      <w:r>
        <w:t>(i)</w:t>
      </w:r>
      <w:r>
        <w:tab/>
      </w:r>
      <w:r w:rsidR="008D1DCC" w:rsidRPr="005E134B">
        <w:t xml:space="preserve">to refrain from associating with specified persons </w:t>
      </w:r>
      <w:r w:rsidR="008D1DCC">
        <w:t>or specified classes of persons</w:t>
      </w:r>
    </w:p>
    <w:p w:rsidR="008D1DCC" w:rsidRPr="00193BE1" w:rsidRDefault="005270CC" w:rsidP="00193BE1">
      <w:pPr>
        <w:spacing w:before="140"/>
        <w:ind w:left="567" w:right="-284" w:hanging="567"/>
        <w:rPr>
          <w:spacing w:val="-2"/>
        </w:rPr>
      </w:pPr>
      <w:r>
        <w:t>(j)</w:t>
      </w:r>
      <w:r>
        <w:tab/>
      </w:r>
      <w:r w:rsidR="008D1DCC" w:rsidRPr="00193BE1">
        <w:rPr>
          <w:spacing w:val="-2"/>
        </w:rPr>
        <w:t>to take specified actions to prevent or minimise the public health risk posed by the individual.</w:t>
      </w:r>
    </w:p>
    <w:p w:rsidR="008D1DCC" w:rsidRPr="005E134B" w:rsidRDefault="008D1DCC" w:rsidP="005270CC"/>
    <w:p w:rsidR="008D1DCC" w:rsidRPr="002C2D0F" w:rsidRDefault="008D1DCC" w:rsidP="005270CC">
      <w:pPr>
        <w:pStyle w:val="Heading3"/>
      </w:pPr>
      <w:r w:rsidRPr="002C2D0F">
        <w:t>When the order can be imposed</w:t>
      </w:r>
    </w:p>
    <w:p w:rsidR="003B22F1" w:rsidRDefault="008D1DCC" w:rsidP="005270CC">
      <w:r w:rsidRPr="005E134B">
        <w:t xml:space="preserve">Applications for </w:t>
      </w:r>
      <w:r>
        <w:t xml:space="preserve">court </w:t>
      </w:r>
      <w:r w:rsidRPr="005E134B">
        <w:t>orders</w:t>
      </w:r>
      <w:r>
        <w:t xml:space="preserve"> generally, as distinct from directions or urgent public health orders,</w:t>
      </w:r>
      <w:r w:rsidRPr="005E134B">
        <w:t xml:space="preserve"> will usually be more appropriate when </w:t>
      </w:r>
      <w:r>
        <w:t xml:space="preserve">the </w:t>
      </w:r>
      <w:r w:rsidRPr="005E134B">
        <w:t>incubation period for the disease is not of very short duration</w:t>
      </w:r>
      <w:r>
        <w:t xml:space="preserve">. This is because </w:t>
      </w:r>
      <w:r w:rsidRPr="005E134B">
        <w:t>orders involve an application to the court and a court hearing</w:t>
      </w:r>
      <w:r>
        <w:t xml:space="preserve"> and will normally involve a more lengthy process than imposing an administrative direction or an urgent public health order. </w:t>
      </w:r>
      <w:r w:rsidRPr="005E134B">
        <w:t xml:space="preserve">A Family Court Judge in the District Court will likely preside, with both parties to the matter present or represented by </w:t>
      </w:r>
      <w:r>
        <w:t>counsel. T</w:t>
      </w:r>
      <w:r w:rsidRPr="005E134B">
        <w:t>his takes more time than imposing an administrative direction or urgent public health order.</w:t>
      </w:r>
    </w:p>
    <w:p w:rsidR="005270CC" w:rsidRDefault="005270CC" w:rsidP="005270CC"/>
    <w:p w:rsidR="008D1DCC" w:rsidRPr="005E134B" w:rsidRDefault="008D1DCC" w:rsidP="00193BE1">
      <w:r>
        <w:t xml:space="preserve">Waiting for </w:t>
      </w:r>
      <w:r w:rsidRPr="005E134B">
        <w:t>a court fixture</w:t>
      </w:r>
      <w:r>
        <w:t xml:space="preserve"> to be set down </w:t>
      </w:r>
      <w:r w:rsidRPr="005E134B">
        <w:t xml:space="preserve">is not the only </w:t>
      </w:r>
      <w:r>
        <w:t xml:space="preserve">potential </w:t>
      </w:r>
      <w:r w:rsidRPr="005E134B">
        <w:t>delay, although</w:t>
      </w:r>
      <w:r>
        <w:t xml:space="preserve"> it is of real concern. </w:t>
      </w:r>
      <w:r w:rsidRPr="005E134B">
        <w:t xml:space="preserve">There is a considerable amount of case preparation involved to ensure that the evidence presented </w:t>
      </w:r>
      <w:r>
        <w:t xml:space="preserve">meets </w:t>
      </w:r>
      <w:r w:rsidRPr="005E134B">
        <w:t xml:space="preserve">court standards. Therefore, the scenarios </w:t>
      </w:r>
      <w:r>
        <w:t xml:space="preserve">below </w:t>
      </w:r>
      <w:r w:rsidRPr="005E134B">
        <w:t>should not be read as necessarily recommending applying for orders in the situations described. Instead, they are there to illustrate the powers and processes</w:t>
      </w:r>
      <w:r>
        <w:t xml:space="preserve"> involved</w:t>
      </w:r>
      <w:r w:rsidRPr="005E134B">
        <w:t>.</w:t>
      </w:r>
    </w:p>
    <w:p w:rsidR="005270CC" w:rsidRDefault="005270CC" w:rsidP="005270CC"/>
    <w:p w:rsidR="003B22F1" w:rsidRDefault="008D1DCC" w:rsidP="005270CC">
      <w:r w:rsidRPr="005E134B">
        <w:t xml:space="preserve">On receiving </w:t>
      </w:r>
      <w:r>
        <w:t xml:space="preserve">and considering </w:t>
      </w:r>
      <w:r w:rsidRPr="005E134B">
        <w:t xml:space="preserve">the </w:t>
      </w:r>
      <w:r>
        <w:t>m</w:t>
      </w:r>
      <w:r w:rsidRPr="005E134B">
        <w:t>edical officer of health</w:t>
      </w:r>
      <w:r w:rsidR="003B22F1">
        <w:t>’</w:t>
      </w:r>
      <w:r w:rsidRPr="005E134B">
        <w:t>s application</w:t>
      </w:r>
      <w:r>
        <w:t xml:space="preserve"> and representations by or on behalf of the parties</w:t>
      </w:r>
      <w:r w:rsidRPr="005E134B">
        <w:t>, the District Court may make a public health order if satisfied the person who is the subject of the application poses a public health risk.</w:t>
      </w:r>
    </w:p>
    <w:p w:rsidR="005270CC" w:rsidRDefault="005270CC" w:rsidP="005270CC"/>
    <w:p w:rsidR="008D1DCC" w:rsidRPr="005E134B" w:rsidRDefault="008D1DCC" w:rsidP="005270CC">
      <w:r w:rsidRPr="005E134B">
        <w:t>As mentioned earlier, the District Court may take into account any matter it considers relevant in assessing whether there is a public health risk, including:</w:t>
      </w:r>
      <w:r w:rsidRPr="005270CC">
        <w:rPr>
          <w:rStyle w:val="FootnoteReference"/>
        </w:rPr>
        <w:footnoteReference w:id="116"/>
      </w:r>
    </w:p>
    <w:p w:rsidR="008D1DCC" w:rsidRPr="005E134B" w:rsidRDefault="008D1DCC" w:rsidP="005270CC">
      <w:pPr>
        <w:pStyle w:val="Bullet"/>
      </w:pPr>
      <w:r w:rsidRPr="005E134B">
        <w:t>the infectious disease the</w:t>
      </w:r>
      <w:r>
        <w:t xml:space="preserve"> person has or may have</w:t>
      </w:r>
    </w:p>
    <w:p w:rsidR="008D1DCC" w:rsidRPr="005E134B" w:rsidRDefault="008D1DCC" w:rsidP="005270CC">
      <w:pPr>
        <w:pStyle w:val="Bullet"/>
      </w:pPr>
      <w:r>
        <w:t>whether</w:t>
      </w:r>
      <w:r w:rsidRPr="005E134B">
        <w:t xml:space="preserve"> there was any opportunity to minimise the transmission risk,</w:t>
      </w:r>
      <w:r>
        <w:t xml:space="preserve"> and</w:t>
      </w:r>
      <w:r w:rsidRPr="005E134B">
        <w:t xml:space="preserve"> whether and to </w:t>
      </w:r>
      <w:r>
        <w:t>what extent the person has done so</w:t>
      </w:r>
    </w:p>
    <w:p w:rsidR="008D1DCC" w:rsidRPr="005E134B" w:rsidRDefault="008D1DCC" w:rsidP="005270CC">
      <w:pPr>
        <w:pStyle w:val="Bullet"/>
      </w:pPr>
      <w:r w:rsidRPr="005E134B">
        <w:t xml:space="preserve">the extent to which the </w:t>
      </w:r>
      <w:r>
        <w:t xml:space="preserve">person </w:t>
      </w:r>
      <w:r w:rsidRPr="005E134B">
        <w:t>has complied with any directions or requests from specified health practitioners to prevent or minimise the risk.</w:t>
      </w:r>
    </w:p>
    <w:p w:rsidR="005270CC" w:rsidRDefault="005270CC" w:rsidP="005270CC"/>
    <w:p w:rsidR="008D1DCC" w:rsidRDefault="008D1DCC" w:rsidP="005270CC">
      <w:r w:rsidRPr="005E134B">
        <w:t>Directions need not have been given before the court imposes an order.</w:t>
      </w:r>
    </w:p>
    <w:p w:rsidR="005270CC" w:rsidRPr="005E134B" w:rsidRDefault="005270CC" w:rsidP="005270CC"/>
    <w:p w:rsidR="005270CC" w:rsidRDefault="005270CC" w:rsidP="005270CC">
      <w:pPr>
        <w:pStyle w:val="BoxHeading"/>
      </w:pPr>
      <w:bookmarkStart w:id="64" w:name="DLM7036118"/>
      <w:bookmarkStart w:id="65" w:name="Marvin_scenario"/>
      <w:bookmarkEnd w:id="64"/>
      <w:bookmarkEnd w:id="65"/>
      <w:r w:rsidRPr="00A651AB">
        <w:t>Scenario</w:t>
      </w:r>
    </w:p>
    <w:p w:rsidR="009E1FDE" w:rsidRDefault="00712478" w:rsidP="005270CC">
      <w:pPr>
        <w:pStyle w:val="BoxHeading"/>
        <w:rPr>
          <w:b w:val="0"/>
          <w:sz w:val="22"/>
          <w:szCs w:val="22"/>
        </w:rPr>
      </w:pPr>
      <w:r w:rsidRPr="00712478">
        <w:rPr>
          <w:b w:val="0"/>
          <w:sz w:val="22"/>
          <w:szCs w:val="22"/>
        </w:rPr>
        <w:t>Marvin, a gym trainer who has not been in New Zealand long, has been confirmed as having HIV,</w:t>
      </w:r>
      <w:r w:rsidRPr="00712478">
        <w:rPr>
          <w:b w:val="0"/>
          <w:bCs/>
          <w:sz w:val="22"/>
          <w:szCs w:val="22"/>
        </w:rPr>
        <w:t xml:space="preserve"> with a detectable viral load and significant infection risk</w:t>
      </w:r>
      <w:r w:rsidRPr="00712478">
        <w:rPr>
          <w:b w:val="0"/>
          <w:sz w:val="22"/>
          <w:szCs w:val="22"/>
        </w:rPr>
        <w:t xml:space="preserve">. He travels between Auckland and Wellington for work. A concerned ex-partner has made several phone calls to health authorities to inform them that Marvin has been engaging sporadically in unprotected sex with </w:t>
      </w:r>
      <w:r w:rsidRPr="00712478">
        <w:rPr>
          <w:b w:val="0"/>
          <w:bCs/>
          <w:sz w:val="22"/>
          <w:szCs w:val="22"/>
        </w:rPr>
        <w:t>multiple</w:t>
      </w:r>
      <w:r w:rsidRPr="00712478">
        <w:rPr>
          <w:b w:val="0"/>
          <w:sz w:val="22"/>
          <w:szCs w:val="22"/>
        </w:rPr>
        <w:t xml:space="preserve">, casual partners while in Wellington. Marvin’s doctor has been slow to pick up on Marvin’s high-risk sexual behaviour, and has not contact traced his partners, </w:t>
      </w:r>
      <w:r w:rsidRPr="00712478">
        <w:rPr>
          <w:b w:val="0"/>
          <w:bCs/>
          <w:sz w:val="22"/>
          <w:szCs w:val="22"/>
        </w:rPr>
        <w:t>some of whom do not know of his disease status</w:t>
      </w:r>
      <w:r w:rsidRPr="00712478">
        <w:rPr>
          <w:b w:val="0"/>
          <w:sz w:val="22"/>
          <w:szCs w:val="22"/>
        </w:rPr>
        <w:t>. Following up on the earlier notification of Marvin’s HIV status, the medical officer of health in Auckland, asks the doctor for identifying information about Marvin necessary to manage the public health risk Marvin poses, under the exception in section 74(3B) of the Health Act. She also elicits information about Marvin’s viral load, CD4 count, treatm</w:t>
      </w:r>
      <w:r w:rsidR="009E1FDE">
        <w:rPr>
          <w:b w:val="0"/>
          <w:sz w:val="22"/>
          <w:szCs w:val="22"/>
        </w:rPr>
        <w:t xml:space="preserve">ent compliance and behaviour. </w:t>
      </w:r>
    </w:p>
    <w:p w:rsidR="009E1FDE" w:rsidRDefault="00712478" w:rsidP="005270CC">
      <w:pPr>
        <w:pStyle w:val="BoxHeading"/>
        <w:rPr>
          <w:b w:val="0"/>
          <w:sz w:val="22"/>
          <w:szCs w:val="22"/>
        </w:rPr>
      </w:pPr>
      <w:r w:rsidRPr="00712478">
        <w:rPr>
          <w:b w:val="0"/>
          <w:sz w:val="22"/>
          <w:szCs w:val="22"/>
        </w:rPr>
        <w:t>The medical officer of health then consults with Marvin who is showing some signs of being in denial about the high-risk nature of his behaviour, and is concerned about his partner finding out</w:t>
      </w:r>
      <w:r>
        <w:rPr>
          <w:b w:val="0"/>
          <w:sz w:val="22"/>
          <w:szCs w:val="22"/>
        </w:rPr>
        <w:t xml:space="preserve">. </w:t>
      </w:r>
      <w:r w:rsidRPr="00712478">
        <w:rPr>
          <w:b w:val="0"/>
          <w:sz w:val="22"/>
          <w:szCs w:val="22"/>
        </w:rPr>
        <w:t xml:space="preserve">After further discussion about the clinical risks and the easy preventive measures he could take, he vacillates between remorse </w:t>
      </w:r>
      <w:r w:rsidRPr="00712478">
        <w:rPr>
          <w:b w:val="0"/>
          <w:bCs/>
          <w:sz w:val="22"/>
          <w:szCs w:val="22"/>
        </w:rPr>
        <w:t>at putting others at serious risk on the one hand, and disregarding the infection risk on the other</w:t>
      </w:r>
      <w:r w:rsidRPr="00712478">
        <w:rPr>
          <w:b w:val="0"/>
          <w:sz w:val="22"/>
          <w:szCs w:val="22"/>
        </w:rPr>
        <w:t xml:space="preserve">.  Marvin does not speak English well, and struggles particularly on the more technical points of disease risk and </w:t>
      </w:r>
      <w:r w:rsidRPr="00712478">
        <w:rPr>
          <w:b w:val="0"/>
          <w:bCs/>
          <w:sz w:val="22"/>
          <w:szCs w:val="22"/>
        </w:rPr>
        <w:t xml:space="preserve">prevention </w:t>
      </w:r>
      <w:r w:rsidRPr="00712478">
        <w:rPr>
          <w:b w:val="0"/>
          <w:sz w:val="22"/>
          <w:szCs w:val="22"/>
        </w:rPr>
        <w:t>that the medical office</w:t>
      </w:r>
      <w:r w:rsidR="009E1FDE">
        <w:rPr>
          <w:b w:val="0"/>
          <w:sz w:val="22"/>
          <w:szCs w:val="22"/>
        </w:rPr>
        <w:t xml:space="preserve">r of health tries to explain. </w:t>
      </w:r>
    </w:p>
    <w:p w:rsidR="009E1FDE" w:rsidRDefault="00712478" w:rsidP="005270CC">
      <w:pPr>
        <w:pStyle w:val="BoxHeading"/>
        <w:rPr>
          <w:b w:val="0"/>
          <w:sz w:val="22"/>
          <w:szCs w:val="22"/>
        </w:rPr>
      </w:pPr>
      <w:r w:rsidRPr="00712478">
        <w:rPr>
          <w:b w:val="0"/>
          <w:sz w:val="22"/>
          <w:szCs w:val="22"/>
        </w:rPr>
        <w:t>With an interpreter’s help, the medical officer of health impresses on Marvin the risks that his partner, who is aware of his HIV status although not his infidelity, faces if either</w:t>
      </w:r>
      <w:r w:rsidR="009E1FDE">
        <w:rPr>
          <w:b w:val="0"/>
          <w:sz w:val="22"/>
          <w:szCs w:val="22"/>
        </w:rPr>
        <w:t xml:space="preserve"> of them has unprotected sex. </w:t>
      </w:r>
    </w:p>
    <w:p w:rsidR="009E1FDE" w:rsidRDefault="00712478" w:rsidP="005270CC">
      <w:pPr>
        <w:pStyle w:val="BoxHeading"/>
        <w:rPr>
          <w:b w:val="0"/>
          <w:sz w:val="22"/>
          <w:szCs w:val="22"/>
        </w:rPr>
      </w:pPr>
      <w:r w:rsidRPr="00712478">
        <w:rPr>
          <w:b w:val="0"/>
          <w:sz w:val="22"/>
          <w:szCs w:val="22"/>
        </w:rPr>
        <w:t xml:space="preserve">Having achieved some but not sufficient traction with Marvin through voluntary means, such as giving him educational pamphlets about HIV and suggesting partner counselling for </w:t>
      </w:r>
      <w:r w:rsidRPr="00712478">
        <w:rPr>
          <w:b w:val="0"/>
          <w:bCs/>
          <w:sz w:val="22"/>
          <w:szCs w:val="22"/>
        </w:rPr>
        <w:t>people living with HIV</w:t>
      </w:r>
      <w:r w:rsidRPr="00712478">
        <w:rPr>
          <w:b w:val="0"/>
          <w:sz w:val="22"/>
          <w:szCs w:val="22"/>
        </w:rPr>
        <w:t>, the medical officer of health forms the view that an administrative direction is unlikely to be effective in preventing the pub</w:t>
      </w:r>
      <w:r w:rsidR="009E1FDE">
        <w:rPr>
          <w:b w:val="0"/>
          <w:sz w:val="22"/>
          <w:szCs w:val="22"/>
        </w:rPr>
        <w:t xml:space="preserve">lic health risk Marvin poses. </w:t>
      </w:r>
    </w:p>
    <w:p w:rsidR="009E1FDE" w:rsidRDefault="00712478" w:rsidP="005270CC">
      <w:pPr>
        <w:pStyle w:val="BoxHeading"/>
        <w:rPr>
          <w:b w:val="0"/>
          <w:sz w:val="22"/>
          <w:szCs w:val="22"/>
        </w:rPr>
      </w:pPr>
      <w:r w:rsidRPr="00712478">
        <w:rPr>
          <w:b w:val="0"/>
          <w:sz w:val="22"/>
          <w:szCs w:val="22"/>
        </w:rPr>
        <w:t>Still concerned about the risk to Marvin’s partner, the medical officer of health exercises her responsibility under section 92ZO to consult wherever practicable before applying to the District Court. She checks with Marvin and obtains his reluctant agreement to a conference, setting out the broad parameters of the information she plans to disclose about Marvin’s condition at the conference. Despite this, the conference is tense. Marvin storms out of it, leaving his partner bewildered and angry, although better informed of the risks Marvin’s behav</w:t>
      </w:r>
      <w:r w:rsidR="009E1FDE">
        <w:rPr>
          <w:b w:val="0"/>
          <w:sz w:val="22"/>
          <w:szCs w:val="22"/>
        </w:rPr>
        <w:t xml:space="preserve">iour poses to him. </w:t>
      </w:r>
    </w:p>
    <w:p w:rsidR="009E1FDE" w:rsidRDefault="00712478" w:rsidP="005270CC">
      <w:pPr>
        <w:pStyle w:val="BoxHeading"/>
        <w:rPr>
          <w:b w:val="0"/>
          <w:sz w:val="22"/>
          <w:szCs w:val="22"/>
        </w:rPr>
      </w:pPr>
      <w:r w:rsidRPr="00712478">
        <w:rPr>
          <w:b w:val="0"/>
          <w:sz w:val="22"/>
          <w:szCs w:val="22"/>
        </w:rPr>
        <w:t>After consulting again with Marvin with an interpreter’s help, the medical officer of health seeks legal advice from the local DHB’s legal section and reluctantly applies to the District Court for a public health order. The court considers the application and representations on behalf of the parties, and grants the order. It h</w:t>
      </w:r>
      <w:r w:rsidR="009E1FDE">
        <w:rPr>
          <w:b w:val="0"/>
          <w:sz w:val="22"/>
          <w:szCs w:val="22"/>
        </w:rPr>
        <w:t>as the following components:</w:t>
      </w:r>
    </w:p>
    <w:p w:rsidR="009E1FDE" w:rsidRPr="009E1FDE" w:rsidRDefault="009E1FDE" w:rsidP="009E1FDE">
      <w:pPr>
        <w:pStyle w:val="BoxBullet"/>
      </w:pPr>
      <w:r>
        <w:t>a</w:t>
      </w:r>
      <w:r w:rsidR="00712478" w:rsidRPr="009E1FDE">
        <w:t xml:space="preserve"> requirement that Marvin has only protected sex under sect</w:t>
      </w:r>
      <w:r>
        <w:t>ion 92ZA(1)(j) using condoms</w:t>
      </w:r>
    </w:p>
    <w:p w:rsidR="009E1FDE" w:rsidRPr="009E1FDE" w:rsidRDefault="009E1FDE" w:rsidP="009E1FDE">
      <w:pPr>
        <w:pStyle w:val="BoxBullet"/>
      </w:pPr>
      <w:r>
        <w:t>a</w:t>
      </w:r>
      <w:r w:rsidR="00712478" w:rsidRPr="009E1FDE">
        <w:t xml:space="preserve"> requirement that Marvin attend an </w:t>
      </w:r>
      <w:r w:rsidR="00712478" w:rsidRPr="009E1FDE">
        <w:rPr>
          <w:bCs/>
        </w:rPr>
        <w:t>HIV e</w:t>
      </w:r>
      <w:r w:rsidR="00712478" w:rsidRPr="009E1FDE">
        <w:t xml:space="preserve">ducation course </w:t>
      </w:r>
      <w:r w:rsidRPr="009E1FDE">
        <w:t xml:space="preserve">under section 92ZA(1)(g)(ii). </w:t>
      </w:r>
    </w:p>
    <w:p w:rsidR="009E1FDE" w:rsidRDefault="00712478" w:rsidP="005270CC">
      <w:pPr>
        <w:pStyle w:val="BoxHeading"/>
        <w:rPr>
          <w:b w:val="0"/>
          <w:sz w:val="22"/>
          <w:szCs w:val="22"/>
        </w:rPr>
      </w:pPr>
      <w:r w:rsidRPr="00712478">
        <w:rPr>
          <w:b w:val="0"/>
          <w:sz w:val="22"/>
          <w:szCs w:val="22"/>
        </w:rPr>
        <w:t>After seeking Marvin’s views, the medical officer of health monitors his compliance with the conditions of the order with public health surveillance, using text messages, phone calls, and Skype to follow up with Marvin as authori</w:t>
      </w:r>
      <w:r w:rsidR="009E1FDE">
        <w:rPr>
          <w:b w:val="0"/>
          <w:sz w:val="22"/>
          <w:szCs w:val="22"/>
        </w:rPr>
        <w:t xml:space="preserve">sed under section 92ZA(1)(e). </w:t>
      </w:r>
    </w:p>
    <w:p w:rsidR="009E1FDE" w:rsidRDefault="00712478" w:rsidP="005270CC">
      <w:pPr>
        <w:pStyle w:val="BoxHeading"/>
        <w:rPr>
          <w:b w:val="0"/>
          <w:sz w:val="22"/>
          <w:szCs w:val="22"/>
        </w:rPr>
      </w:pPr>
      <w:r w:rsidRPr="00712478">
        <w:rPr>
          <w:b w:val="0"/>
          <w:sz w:val="22"/>
          <w:szCs w:val="22"/>
        </w:rPr>
        <w:t xml:space="preserve">The medical officer of health tells Marvin that, should he breach any of the terms of the court order, he may be prosecuted </w:t>
      </w:r>
      <w:r w:rsidRPr="00712478">
        <w:rPr>
          <w:b w:val="0"/>
          <w:bCs/>
          <w:sz w:val="22"/>
          <w:szCs w:val="22"/>
        </w:rPr>
        <w:t>under the Health Ac</w:t>
      </w:r>
      <w:r w:rsidRPr="00712478">
        <w:rPr>
          <w:b w:val="0"/>
          <w:sz w:val="22"/>
          <w:szCs w:val="22"/>
        </w:rPr>
        <w:t>t for the offence of intentionally failing to comply w</w:t>
      </w:r>
      <w:r w:rsidRPr="00712478">
        <w:rPr>
          <w:b w:val="0"/>
          <w:bCs/>
          <w:sz w:val="22"/>
          <w:szCs w:val="22"/>
        </w:rPr>
        <w:t>ith the court order,</w:t>
      </w:r>
      <w:r w:rsidRPr="00712478">
        <w:rPr>
          <w:b w:val="0"/>
          <w:sz w:val="22"/>
          <w:szCs w:val="22"/>
        </w:rPr>
        <w:t xml:space="preserve"> which carries a max</w:t>
      </w:r>
      <w:r w:rsidR="009E1FDE">
        <w:rPr>
          <w:b w:val="0"/>
          <w:sz w:val="22"/>
          <w:szCs w:val="22"/>
        </w:rPr>
        <w:t xml:space="preserve">imum penalty of imprisonment. </w:t>
      </w:r>
    </w:p>
    <w:p w:rsidR="00712478" w:rsidRPr="009E1FDE" w:rsidRDefault="00712478" w:rsidP="009E1FDE">
      <w:pPr>
        <w:pStyle w:val="BoxHeading"/>
        <w:rPr>
          <w:b w:val="0"/>
          <w:sz w:val="22"/>
          <w:szCs w:val="22"/>
        </w:rPr>
      </w:pPr>
      <w:r w:rsidRPr="00712478">
        <w:rPr>
          <w:b w:val="0"/>
          <w:sz w:val="22"/>
          <w:szCs w:val="22"/>
        </w:rPr>
        <w:t>The medical officer of health sends a copy of the application (and a brief report on its outcome) to the Director of Public Health, and notifies the medical officer of health in Wellington for assistance with contact tracing Wellington partners.  </w:t>
      </w:r>
    </w:p>
    <w:p w:rsidR="008D1DCC" w:rsidRDefault="008D1DCC" w:rsidP="005270CC"/>
    <w:p w:rsidR="008D1DCC" w:rsidRPr="00584182" w:rsidRDefault="008D1DCC" w:rsidP="005270CC">
      <w:pPr>
        <w:pStyle w:val="Heading2"/>
      </w:pPr>
      <w:bookmarkStart w:id="66" w:name="_Toc473538559"/>
      <w:r w:rsidRPr="00584182">
        <w:t>Medical examination orders</w:t>
      </w:r>
      <w:bookmarkEnd w:id="66"/>
    </w:p>
    <w:p w:rsidR="008D1DCC" w:rsidRPr="002C2D0F" w:rsidRDefault="008D1DCC" w:rsidP="005270CC">
      <w:pPr>
        <w:pStyle w:val="Heading3"/>
      </w:pPr>
      <w:r w:rsidRPr="002C2D0F">
        <w:t>Nature of the order</w:t>
      </w:r>
    </w:p>
    <w:p w:rsidR="003B22F1" w:rsidRDefault="008D1DCC" w:rsidP="005270CC">
      <w:r w:rsidRPr="005E134B">
        <w:t xml:space="preserve">The court can direct </w:t>
      </w:r>
      <w:r>
        <w:t xml:space="preserve">a </w:t>
      </w:r>
      <w:r w:rsidRPr="005E134B">
        <w:t xml:space="preserve">person who is the subject of </w:t>
      </w:r>
      <w:r>
        <w:t xml:space="preserve">a medical examination </w:t>
      </w:r>
      <w:r w:rsidRPr="005E134B">
        <w:t xml:space="preserve">order to undergo one or more medical examinations if it considers this necessary to prevent or minimise the public health risk </w:t>
      </w:r>
      <w:r>
        <w:t xml:space="preserve">that person </w:t>
      </w:r>
      <w:r w:rsidRPr="005E134B">
        <w:t>poses.</w:t>
      </w:r>
      <w:r w:rsidRPr="005270CC">
        <w:rPr>
          <w:rStyle w:val="FootnoteReference"/>
        </w:rPr>
        <w:footnoteReference w:id="117"/>
      </w:r>
      <w:r>
        <w:t xml:space="preserve"> </w:t>
      </w:r>
      <w:r w:rsidRPr="005E134B">
        <w:t xml:space="preserve">Examinations can be diagnostic tests or other types of examination conducted by a specified health provider </w:t>
      </w:r>
      <w:r>
        <w:t xml:space="preserve">at specified times and places. </w:t>
      </w:r>
      <w:r w:rsidRPr="005E134B">
        <w:t xml:space="preserve">The examination ordered must be consistent with current best practice in diagnosing the presence of, or immunity to, </w:t>
      </w:r>
      <w:r>
        <w:t xml:space="preserve">a suspected infectious disease. </w:t>
      </w:r>
      <w:r w:rsidRPr="005E134B">
        <w:t>It must also be the least invasive type of examination necessary to establish whether the person has, or is immune to, the infectious disease. An order lapses once examinations have been completed and diagnoses made.</w:t>
      </w:r>
      <w:r w:rsidRPr="005270CC">
        <w:rPr>
          <w:rStyle w:val="FootnoteReference"/>
        </w:rPr>
        <w:footnoteReference w:id="118"/>
      </w:r>
    </w:p>
    <w:p w:rsidR="008D1DCC" w:rsidRPr="005E134B" w:rsidRDefault="008D1DCC" w:rsidP="005270CC"/>
    <w:p w:rsidR="008D1DCC" w:rsidRPr="0021341E" w:rsidRDefault="008D1DCC" w:rsidP="0021341E">
      <w:pPr>
        <w:pStyle w:val="Heading3"/>
      </w:pPr>
      <w:r w:rsidRPr="0021341E">
        <w:t>When the order can be imposed</w:t>
      </w:r>
    </w:p>
    <w:p w:rsidR="008D1DCC" w:rsidRPr="0021341E" w:rsidRDefault="008D1DCC" w:rsidP="0021341E">
      <w:pPr>
        <w:keepNext/>
      </w:pPr>
      <w:r w:rsidRPr="0021341E">
        <w:t>Before imposing a medical examination order, the court must be satisfied that:</w:t>
      </w:r>
    </w:p>
    <w:p w:rsidR="008D1DCC" w:rsidRPr="0021341E" w:rsidRDefault="005270CC" w:rsidP="0021341E">
      <w:pPr>
        <w:spacing w:before="120"/>
        <w:ind w:left="567" w:hanging="567"/>
      </w:pPr>
      <w:r w:rsidRPr="0021341E">
        <w:t>(a)</w:t>
      </w:r>
      <w:r w:rsidRPr="0021341E">
        <w:tab/>
      </w:r>
      <w:r w:rsidR="008D1DCC" w:rsidRPr="0021341E">
        <w:t>the person concerned may have an infectious disease</w:t>
      </w:r>
    </w:p>
    <w:p w:rsidR="008D1DCC" w:rsidRPr="0021341E" w:rsidRDefault="005270CC" w:rsidP="0021341E">
      <w:pPr>
        <w:spacing w:before="120"/>
        <w:ind w:left="567" w:hanging="567"/>
      </w:pPr>
      <w:r w:rsidRPr="0021341E">
        <w:t>(b)</w:t>
      </w:r>
      <w:r w:rsidRPr="0021341E">
        <w:tab/>
      </w:r>
      <w:r w:rsidR="008D1DCC" w:rsidRPr="0021341E">
        <w:t>a medical practitioner or a medical officer of health has asked him or her to undergo a medical examination or examination to establish whether the disease is present within a specified period</w:t>
      </w:r>
      <w:r w:rsidRPr="0021341E">
        <w:t>,</w:t>
      </w:r>
      <w:r w:rsidR="008D1DCC" w:rsidRPr="0021341E">
        <w:t xml:space="preserve"> and</w:t>
      </w:r>
    </w:p>
    <w:p w:rsidR="008D1DCC" w:rsidRPr="0021341E" w:rsidRDefault="005270CC" w:rsidP="0021341E">
      <w:pPr>
        <w:spacing w:before="120"/>
        <w:ind w:left="567" w:hanging="567"/>
      </w:pPr>
      <w:r w:rsidRPr="0021341E">
        <w:t>(c)</w:t>
      </w:r>
      <w:r w:rsidRPr="0021341E">
        <w:tab/>
      </w:r>
      <w:r w:rsidR="008D1DCC" w:rsidRPr="0021341E">
        <w:t>the person has not complied.</w:t>
      </w:r>
      <w:r w:rsidR="008D1DCC" w:rsidRPr="0021341E">
        <w:rPr>
          <w:rStyle w:val="FootnoteReference"/>
        </w:rPr>
        <w:footnoteReference w:id="119"/>
      </w:r>
    </w:p>
    <w:p w:rsidR="005270CC" w:rsidRPr="0021341E" w:rsidRDefault="005270CC" w:rsidP="0021341E"/>
    <w:p w:rsidR="008D1DCC" w:rsidRPr="0021341E" w:rsidRDefault="008D1DCC" w:rsidP="0021341E">
      <w:r w:rsidRPr="0021341E">
        <w:t>A medical officer of health should not apply for a medical examination order if there is a less restrictive alternative available that is likely to be effective in minimising or preventing the public health risk the person poses.</w:t>
      </w:r>
    </w:p>
    <w:p w:rsidR="005270CC" w:rsidRPr="0021341E" w:rsidRDefault="005270CC" w:rsidP="0021341E"/>
    <w:p w:rsidR="005270CC" w:rsidRPr="0021341E" w:rsidRDefault="005270CC" w:rsidP="0021341E">
      <w:pPr>
        <w:pStyle w:val="BoxHeading"/>
        <w:ind w:right="0"/>
      </w:pPr>
      <w:bookmarkStart w:id="67" w:name="Amelika_scenario"/>
      <w:bookmarkEnd w:id="67"/>
      <w:r w:rsidRPr="0021341E">
        <w:t>Scenario</w:t>
      </w:r>
    </w:p>
    <w:p w:rsidR="005270CC" w:rsidRPr="0021341E" w:rsidRDefault="005270CC" w:rsidP="0021341E">
      <w:pPr>
        <w:pStyle w:val="Box"/>
        <w:ind w:right="0"/>
      </w:pPr>
      <w:r w:rsidRPr="0021341E">
        <w:t>There is a high probability that Amelika, who is in the first trimester of pregnancy, has rubella. She has not been vaccinated, and presents with a rash and swollen lymph glands. Her doctor has asked her to undergo laboratory tests but she has not complied, and in the meantime has been attending yoga classes with other pregnant women. Amelika’s doctor impresses on her the need for testing, and tells her very firmly not to attend any more classes or to mix with other pregnant women. He is vigilant in quickly monitoring the situation, and in notifying, and following up with, the medical officer of health.</w:t>
      </w:r>
    </w:p>
    <w:p w:rsidR="005270CC" w:rsidRPr="0021341E" w:rsidRDefault="005270CC" w:rsidP="0021341E">
      <w:pPr>
        <w:pStyle w:val="Box"/>
        <w:ind w:right="0"/>
      </w:pPr>
      <w:r w:rsidRPr="0021341E">
        <w:t>On receiving notification from the doctor of his view that there is a high probability that Amelika has rubella, the medical officer of health discusses next steps with him and decides, given the risk of transmission, to direct Amelika to get tested and refrain from attending any more pregnancy yoga classes.</w:t>
      </w:r>
    </w:p>
    <w:p w:rsidR="005270CC" w:rsidRPr="0021341E" w:rsidRDefault="005270CC" w:rsidP="0021341E">
      <w:pPr>
        <w:pStyle w:val="Box"/>
        <w:ind w:right="0"/>
      </w:pPr>
      <w:r w:rsidRPr="0021341E">
        <w:t>The medical officer of health seeks information from Amelika about her contacts. Enlisting the aid of local Tongan community leaders, he arranges vaccinations for unvaccinated babies and women of child bearing age, in Amelika’s community.</w:t>
      </w:r>
    </w:p>
    <w:p w:rsidR="005270CC" w:rsidRPr="0021341E" w:rsidRDefault="005270CC" w:rsidP="0021341E">
      <w:pPr>
        <w:pStyle w:val="Box"/>
        <w:ind w:right="0"/>
      </w:pPr>
      <w:r w:rsidRPr="0021341E">
        <w:t>Although Amelika is reluctant to stay away from family members who are also pregnant, and keen to continue the pregnancy yoga class leading up to birth, Amelika complies with the direction to stay away. However, she refuses to get tested. The medical of</w:t>
      </w:r>
      <w:r w:rsidR="00952A6E">
        <w:t>ficer of health moves swiftly. She</w:t>
      </w:r>
      <w:r w:rsidRPr="0021341E">
        <w:t xml:space="preserve"> considers applying for a court order for diagnosis and treatment at the local hospital, in isolation, under sections 92ZH(2) and 92ZA(1)(a) and (f). At the same time, </w:t>
      </w:r>
      <w:r w:rsidR="00952A6E">
        <w:t>s</w:t>
      </w:r>
      <w:r w:rsidRPr="0021341E">
        <w:t>he convenes a case conference with Amelika and her family under section 92ZP, with her consent.</w:t>
      </w:r>
    </w:p>
    <w:p w:rsidR="005270CC" w:rsidRPr="0021341E" w:rsidRDefault="005270CC" w:rsidP="0021341E">
      <w:pPr>
        <w:pStyle w:val="Box"/>
        <w:ind w:right="0"/>
      </w:pPr>
      <w:r w:rsidRPr="0021341E">
        <w:t>With the doctor’ s assistance, the medical officer of health uses the opportunity of the conference to discuss special arrangements for Amelika giving birth, because of the chance that she may give birth to a bay with congenital rubella syndrome – that is, to a potentially infectious baby. Amelika initially says she wants to have a home birth, which potentially would put the baby and at least one other pregnant, unvaccinated, close family member at risk.</w:t>
      </w:r>
    </w:p>
    <w:p w:rsidR="005270CC" w:rsidRPr="0021341E" w:rsidRDefault="005270CC" w:rsidP="0021341E">
      <w:pPr>
        <w:pStyle w:val="Box"/>
        <w:keepNext/>
        <w:ind w:right="0"/>
      </w:pPr>
      <w:r w:rsidRPr="0021341E">
        <w:t>The case conference is sufficient to impress the potential seriousness of the situation on Amelika and her family, and she agrees to be tested and hospitalised if need be. The results confirm she has rubella. The medical officer of health proceeds with the application for court orders in case Amelika changes her mind about treatment.</w:t>
      </w:r>
    </w:p>
    <w:p w:rsidR="005270CC" w:rsidRPr="0021341E" w:rsidRDefault="005270CC" w:rsidP="0021341E">
      <w:pPr>
        <w:pStyle w:val="Box"/>
        <w:ind w:right="0"/>
      </w:pPr>
      <w:r w:rsidRPr="0021341E">
        <w:t>The medical officer of health monitors the situation from time to time, including the baby’s birth and after birth care.</w:t>
      </w:r>
    </w:p>
    <w:p w:rsidR="005270CC" w:rsidRPr="0021341E" w:rsidRDefault="005270CC" w:rsidP="0021341E"/>
    <w:p w:rsidR="009E1FDE" w:rsidRDefault="009E1FDE">
      <w:pPr>
        <w:spacing w:line="240" w:lineRule="auto"/>
        <w:rPr>
          <w:b/>
          <w:sz w:val="40"/>
        </w:rPr>
      </w:pPr>
      <w:bookmarkStart w:id="68" w:name="_Toc473538560"/>
      <w:r>
        <w:br w:type="page"/>
      </w:r>
    </w:p>
    <w:p w:rsidR="008D1DCC" w:rsidRPr="0021341E" w:rsidRDefault="008D1DCC" w:rsidP="0021341E">
      <w:pPr>
        <w:pStyle w:val="Heading2"/>
      </w:pPr>
      <w:r w:rsidRPr="0021341E">
        <w:t>Orders for contacts</w:t>
      </w:r>
      <w:bookmarkEnd w:id="68"/>
    </w:p>
    <w:p w:rsidR="008D1DCC" w:rsidRPr="0021341E" w:rsidRDefault="008D1DCC" w:rsidP="0021341E">
      <w:pPr>
        <w:pStyle w:val="Heading3"/>
      </w:pPr>
      <w:r w:rsidRPr="0021341E">
        <w:t>Nature of the order</w:t>
      </w:r>
    </w:p>
    <w:p w:rsidR="008D1DCC" w:rsidRPr="0021341E" w:rsidRDefault="008D1DCC" w:rsidP="0021341E">
      <w:r w:rsidRPr="0021341E">
        <w:t>The contents of an order for contacts are the same as parts of a public health order.</w:t>
      </w:r>
      <w:r w:rsidR="003B22F1" w:rsidRPr="0021341E">
        <w:t xml:space="preserve"> </w:t>
      </w:r>
      <w:r w:rsidRPr="0021341E">
        <w:t>The court may impose the order subject to any conditions or restrictions that it considers appropriate.</w:t>
      </w:r>
      <w:r w:rsidR="003B22F1" w:rsidRPr="0021341E">
        <w:t xml:space="preserve"> </w:t>
      </w:r>
      <w:r w:rsidRPr="0021341E">
        <w:t>An order for contacts may order a contact:</w:t>
      </w:r>
    </w:p>
    <w:p w:rsidR="008D1DCC" w:rsidRPr="0021341E" w:rsidRDefault="00E15AC0" w:rsidP="0021341E">
      <w:pPr>
        <w:spacing w:before="120"/>
        <w:ind w:left="567" w:hanging="567"/>
      </w:pPr>
      <w:r w:rsidRPr="0021341E">
        <w:t>(a)</w:t>
      </w:r>
      <w:r w:rsidRPr="0021341E">
        <w:tab/>
      </w:r>
      <w:r w:rsidR="008D1DCC" w:rsidRPr="0021341E">
        <w:t>to stay, at all times or at specified times, at a specified place of residence</w:t>
      </w:r>
    </w:p>
    <w:p w:rsidR="008D1DCC" w:rsidRPr="0021341E" w:rsidRDefault="00E15AC0" w:rsidP="0021341E">
      <w:pPr>
        <w:spacing w:before="120"/>
        <w:ind w:left="567" w:hanging="567"/>
      </w:pPr>
      <w:r w:rsidRPr="0021341E">
        <w:t>(b)</w:t>
      </w:r>
      <w:r w:rsidRPr="0021341E">
        <w:tab/>
      </w:r>
      <w:r w:rsidR="008D1DCC" w:rsidRPr="0021341E">
        <w:t>to refrain from carrying out specified activities (eg, undertaking employment, using public transport, or travelling within and outside New Zealand) either absolutely or unless stated conditions are observed</w:t>
      </w:r>
    </w:p>
    <w:p w:rsidR="008D1DCC" w:rsidRPr="0021341E" w:rsidRDefault="00E15AC0" w:rsidP="0021341E">
      <w:pPr>
        <w:spacing w:before="120"/>
        <w:ind w:left="567" w:hanging="567"/>
      </w:pPr>
      <w:r w:rsidRPr="0021341E">
        <w:t>(c)</w:t>
      </w:r>
      <w:r w:rsidRPr="0021341E">
        <w:tab/>
      </w:r>
      <w:r w:rsidR="008D1DCC" w:rsidRPr="0021341E">
        <w:t>to be supervised by a named person or by a person for the time being holding a named office, including, without limitation:</w:t>
      </w:r>
    </w:p>
    <w:p w:rsidR="008D1DCC" w:rsidRPr="0021341E" w:rsidRDefault="00E15AC0" w:rsidP="0021341E">
      <w:pPr>
        <w:spacing w:before="60"/>
        <w:ind w:left="1134" w:hanging="567"/>
      </w:pPr>
      <w:r w:rsidRPr="0021341E">
        <w:t>(i)</w:t>
      </w:r>
      <w:r w:rsidRPr="0021341E">
        <w:tab/>
      </w:r>
      <w:r w:rsidR="008D1DCC" w:rsidRPr="0021341E">
        <w:t>attending meetings arranged by that person</w:t>
      </w:r>
      <w:r w:rsidR="0021341E" w:rsidRPr="0021341E">
        <w:t>,</w:t>
      </w:r>
      <w:r w:rsidR="008D1DCC" w:rsidRPr="0021341E">
        <w:t xml:space="preserve"> and</w:t>
      </w:r>
    </w:p>
    <w:p w:rsidR="008D1DCC" w:rsidRPr="0021341E" w:rsidRDefault="00E15AC0" w:rsidP="0021341E">
      <w:pPr>
        <w:spacing w:before="60"/>
        <w:ind w:left="1134" w:hanging="567"/>
      </w:pPr>
      <w:r w:rsidRPr="0021341E">
        <w:t>(ii)</w:t>
      </w:r>
      <w:r w:rsidRPr="0021341E">
        <w:tab/>
      </w:r>
      <w:r w:rsidR="008D1DCC" w:rsidRPr="0021341E">
        <w:t>providing that person with information on any action, occurrence or plan that is relevant to the public health risk posed by the individual</w:t>
      </w:r>
    </w:p>
    <w:p w:rsidR="008D1DCC" w:rsidRPr="0021341E" w:rsidRDefault="00E15AC0" w:rsidP="0021341E">
      <w:pPr>
        <w:spacing w:before="120"/>
        <w:ind w:left="567" w:hanging="567"/>
      </w:pPr>
      <w:r w:rsidRPr="0021341E">
        <w:t>(d)</w:t>
      </w:r>
      <w:r w:rsidRPr="0021341E">
        <w:tab/>
      </w:r>
      <w:r w:rsidR="008D1DCC" w:rsidRPr="0021341E">
        <w:t>to refrain from going to specified places either absolutely or unless stated conditions are observed</w:t>
      </w:r>
    </w:p>
    <w:p w:rsidR="008D1DCC" w:rsidRPr="0021341E" w:rsidRDefault="00E15AC0" w:rsidP="0021341E">
      <w:pPr>
        <w:spacing w:before="120"/>
        <w:ind w:left="567" w:hanging="567"/>
      </w:pPr>
      <w:r w:rsidRPr="0021341E">
        <w:t>(e)</w:t>
      </w:r>
      <w:r w:rsidRPr="0021341E">
        <w:tab/>
      </w:r>
      <w:r w:rsidR="008D1DCC" w:rsidRPr="0021341E">
        <w:t>to refrain from associating with a specified persons or specified classes of persons</w:t>
      </w:r>
    </w:p>
    <w:p w:rsidR="008D1DCC" w:rsidRPr="0021341E" w:rsidRDefault="00E15AC0" w:rsidP="0021341E">
      <w:pPr>
        <w:spacing w:before="120"/>
        <w:ind w:left="567" w:hanging="567"/>
      </w:pPr>
      <w:r w:rsidRPr="0021341E">
        <w:t>(f)</w:t>
      </w:r>
      <w:r w:rsidRPr="0021341E">
        <w:tab/>
      </w:r>
      <w:r w:rsidR="008D1DCC" w:rsidRPr="0021341E">
        <w:t>to take specified actions to prevent or minimise the public health risk posed by the individual.</w:t>
      </w:r>
      <w:r w:rsidR="008D1DCC" w:rsidRPr="0021341E">
        <w:rPr>
          <w:rStyle w:val="FootnoteReference"/>
        </w:rPr>
        <w:footnoteReference w:id="120"/>
      </w:r>
    </w:p>
    <w:p w:rsidR="008D1DCC" w:rsidRPr="0021341E" w:rsidRDefault="008D1DCC" w:rsidP="0021341E"/>
    <w:p w:rsidR="008D1DCC" w:rsidRPr="0021341E" w:rsidRDefault="008D1DCC" w:rsidP="0021341E">
      <w:pPr>
        <w:pStyle w:val="Heading3"/>
      </w:pPr>
      <w:r w:rsidRPr="0021341E">
        <w:t>When the order can be imposed</w:t>
      </w:r>
    </w:p>
    <w:p w:rsidR="008D1DCC" w:rsidRPr="0021341E" w:rsidRDefault="008D1DCC" w:rsidP="0021341E">
      <w:r w:rsidRPr="0021341E">
        <w:t>The court may impose an order for contacts if satisfied the subject of the order has been in contact with a case who has, or may have an infectious disease, and that, if the disease has been transmitted to the contact, they are likely to pose a public health risk.</w:t>
      </w:r>
    </w:p>
    <w:p w:rsidR="00E15AC0" w:rsidRPr="0021341E" w:rsidRDefault="00E15AC0" w:rsidP="0021341E"/>
    <w:p w:rsidR="00E15AC0" w:rsidRPr="0021341E" w:rsidRDefault="00E15AC0" w:rsidP="0021341E">
      <w:pPr>
        <w:pStyle w:val="BoxHeading"/>
        <w:ind w:right="0"/>
      </w:pPr>
      <w:r w:rsidRPr="0021341E">
        <w:t>Scenario</w:t>
      </w:r>
    </w:p>
    <w:p w:rsidR="00E15AC0" w:rsidRPr="0021341E" w:rsidRDefault="00E15AC0" w:rsidP="0021341E">
      <w:pPr>
        <w:pStyle w:val="Box"/>
        <w:ind w:right="0"/>
      </w:pPr>
      <w:r w:rsidRPr="0021341E">
        <w:t>Aisha’s and Dinesh’s child, Sunita, has respiratory diphtheria. This is rare in New Zealand. It can cause cardiac failure, respiratory difficulties, delayed nerve complications and other symptoms.</w:t>
      </w:r>
    </w:p>
    <w:p w:rsidR="00E15AC0" w:rsidRPr="0021341E" w:rsidRDefault="00E15AC0" w:rsidP="0021341E">
      <w:pPr>
        <w:pStyle w:val="Box"/>
        <w:ind w:right="0"/>
      </w:pPr>
      <w:r w:rsidRPr="0021341E">
        <w:t>Sunita is treated by her doctor as an emergency case, and is soon hospitalised due to some signs of respiratory symptoms. The doctor quickly notifies the medical officer of health of the disease.</w:t>
      </w:r>
    </w:p>
    <w:p w:rsidR="00E15AC0" w:rsidRPr="0021341E" w:rsidRDefault="00E15AC0" w:rsidP="0021341E">
      <w:pPr>
        <w:pStyle w:val="Box"/>
        <w:ind w:right="0"/>
      </w:pPr>
      <w:r w:rsidRPr="0021341E">
        <w:t>Diphtheria can be spread by respiratory droplets or direct contact. The medical officer of health enquires into the situation at home. The household includes Dinesh’s mother and two other children under 10. None of the household members has been immunised. Aisha works at the local early childhood centre. The doctor has informed the medical officer of health that she has insisted that everyone in the household gets tested for diphtheria, and that they stay away from work and school until tests confirm they do not have the disease. The parents are reluctant to comply, believing that Sunita contracted the disease overseas and that due to a lack of symptoms they are not at serious risk. Dinesh is particularly resistant to staying away from work. The medical officer of health convenes an urgent case conference (under section 92ZJ) with the adult family members and their doctor to work out what is feasible to address the risk.</w:t>
      </w:r>
    </w:p>
    <w:p w:rsidR="00E15AC0" w:rsidRPr="0021341E" w:rsidRDefault="00E15AC0" w:rsidP="0021341E">
      <w:pPr>
        <w:pStyle w:val="Box"/>
        <w:ind w:right="0"/>
      </w:pPr>
      <w:r w:rsidRPr="0021341E">
        <w:t>The medical officer of health imposes an urgent public health order that the family remain at home for 72 hours – an administrative order under section 92ZF. In the interim he applies to the District Court for an order for contacts, requiring the family to remain at home until they have been tested by their doctor or by him and found not to have the disease. At the same time, the medical officer of health applies for an examination order for family members to be swabbed under section 92ZH(1), and to be treated under section 92ZA(1)(f)</w:t>
      </w:r>
      <w:r w:rsidRPr="0021341E">
        <w:rPr>
          <w:i/>
        </w:rPr>
        <w:t xml:space="preserve"> –</w:t>
      </w:r>
      <w:r w:rsidRPr="0021341E">
        <w:t xml:space="preserve"> in which case they will be managed as cases rather than as contacts. (Treatment is given to all the contacts of diphtheria cases, and includes antibiotics and vaccine.)</w:t>
      </w:r>
    </w:p>
    <w:p w:rsidR="00E15AC0" w:rsidRPr="0021341E" w:rsidRDefault="00E15AC0" w:rsidP="0021341E">
      <w:pPr>
        <w:pStyle w:val="Box"/>
        <w:ind w:right="0"/>
      </w:pPr>
      <w:r w:rsidRPr="0021341E">
        <w:t>Because of the possibility of court delays, the medical officer of health knows that there is a chance no order will have been granted within the 72-hour period. However, he counts on the fact that the family has a healthy respect for the judicial system, and he considers that the fact of the application may well have the desired result.</w:t>
      </w:r>
    </w:p>
    <w:p w:rsidR="00E15AC0" w:rsidRPr="0021341E" w:rsidRDefault="00E15AC0" w:rsidP="0021341E">
      <w:pPr>
        <w:pStyle w:val="Box"/>
        <w:ind w:right="0"/>
      </w:pPr>
      <w:r w:rsidRPr="0021341E">
        <w:t xml:space="preserve">The medical officer of health backs up these actions by impressing on Aisha and Dinesh their duty </w:t>
      </w:r>
      <w:r w:rsidR="00FA380B">
        <w:t xml:space="preserve">of care </w:t>
      </w:r>
      <w:r w:rsidRPr="0021341E">
        <w:t>under section 92X to ensure the children are tested and treated (eg, with preventive vaccination). He tells them that as caregivers they can be prosecuted under section 92Z</w:t>
      </w:r>
      <w:r w:rsidR="00FA380B">
        <w:t>X</w:t>
      </w:r>
      <w:r w:rsidRPr="0021341E">
        <w:t xml:space="preserve"> for failing to comply with the order he has imposed.</w:t>
      </w:r>
    </w:p>
    <w:p w:rsidR="00E15AC0" w:rsidRPr="0021341E" w:rsidRDefault="00E15AC0" w:rsidP="0021341E">
      <w:pPr>
        <w:pStyle w:val="Box"/>
        <w:ind w:right="0"/>
      </w:pPr>
      <w:r w:rsidRPr="0021341E">
        <w:t>The medical officer of health also contacts the principal of the children’s school and the head of the early childhood centre, notifying them of the situation and of the risks for close contacts, and asks them watch for any other children who may have contracted the disease. The principal and the head willingly agree to instruct Aisha and the children to stay away from their respective premises until the risk has passed, without the need for a formal direction from the medical officer of health to them under section 92L.</w:t>
      </w:r>
    </w:p>
    <w:p w:rsidR="008D1DCC" w:rsidRPr="0021341E" w:rsidRDefault="008D1DCC" w:rsidP="0021341E"/>
    <w:p w:rsidR="008D1DCC" w:rsidRPr="0021341E" w:rsidRDefault="008D1DCC" w:rsidP="0021341E">
      <w:pPr>
        <w:pStyle w:val="Heading2"/>
      </w:pPr>
      <w:bookmarkStart w:id="69" w:name="_Toc473538561"/>
      <w:r w:rsidRPr="0021341E">
        <w:t>How to apply for orders</w:t>
      </w:r>
      <w:bookmarkEnd w:id="69"/>
    </w:p>
    <w:p w:rsidR="00E15AC0" w:rsidRDefault="008D1DCC" w:rsidP="0021341E">
      <w:r w:rsidRPr="0021341E">
        <w:t>What follows is a short description of how to apply for a court order. Applicants for orders – medical officers of health – should consult with a lawyer early on in the process</w:t>
      </w:r>
      <w:r w:rsidR="006E5243">
        <w:t>.</w:t>
      </w:r>
    </w:p>
    <w:p w:rsidR="006E5243" w:rsidRPr="0021341E" w:rsidRDefault="006E5243" w:rsidP="0021341E"/>
    <w:p w:rsidR="003B22F1" w:rsidRPr="0021341E" w:rsidRDefault="008D1DCC" w:rsidP="0021341E">
      <w:r w:rsidRPr="0021341E">
        <w:t>Applicants apply by originating application under Part 20</w:t>
      </w:r>
      <w:r w:rsidR="00593841">
        <w:t>,</w:t>
      </w:r>
      <w:r w:rsidRPr="0021341E">
        <w:t xml:space="preserve"> Subpart 2 of the District Court Rules 2014.</w:t>
      </w:r>
      <w:r w:rsidRPr="0021341E">
        <w:rPr>
          <w:rStyle w:val="FootnoteReference"/>
        </w:rPr>
        <w:footnoteReference w:id="121"/>
      </w:r>
      <w:r w:rsidRPr="0021341E">
        <w:t xml:space="preserve"> Originating applications tell the court and the person who is the subject of it about the order being sought.</w:t>
      </w:r>
    </w:p>
    <w:p w:rsidR="00E15AC0" w:rsidRPr="0021341E" w:rsidRDefault="00E15AC0" w:rsidP="0021341E"/>
    <w:p w:rsidR="008D1DCC" w:rsidRPr="0021341E" w:rsidRDefault="008D1DCC" w:rsidP="0021341E">
      <w:r w:rsidRPr="0021341E">
        <w:t>The originating application should be accompanied by an affidavit in support, which sets out the factual grounds relied on in support of the application. The affidavit must be affirmed or sworn before a Justice of the Peace, court registrar or solicitor of the High Court of New Zealand.</w:t>
      </w:r>
    </w:p>
    <w:p w:rsidR="00E15AC0" w:rsidRPr="0021341E" w:rsidRDefault="00E15AC0" w:rsidP="0021341E"/>
    <w:p w:rsidR="008D1DCC" w:rsidRPr="0021341E" w:rsidRDefault="008D1DCC" w:rsidP="0021341E">
      <w:r w:rsidRPr="0021341E">
        <w:t>In some cases (eg, where the parties can agree a statement of facts, or the court agrees to hear the evidence orally), the District Court may dispose of the need for the affidavit.</w:t>
      </w:r>
    </w:p>
    <w:p w:rsidR="00E15AC0" w:rsidRPr="0021341E" w:rsidRDefault="00E15AC0" w:rsidP="0021341E"/>
    <w:p w:rsidR="003B22F1" w:rsidRPr="0021341E" w:rsidRDefault="008D1DCC" w:rsidP="0021341E">
      <w:r w:rsidRPr="0021341E">
        <w:t>This guidance provides templates for the originating application and accompanying affidavit (see chapter 11).</w:t>
      </w:r>
      <w:r w:rsidR="003B22F1" w:rsidRPr="0021341E">
        <w:t xml:space="preserve"> </w:t>
      </w:r>
      <w:r w:rsidRPr="0021341E">
        <w:t>A Family Court Judge may in practice be hearing the application in the District Court.</w:t>
      </w:r>
      <w:r w:rsidRPr="0021341E">
        <w:rPr>
          <w:rStyle w:val="FootnoteReference"/>
        </w:rPr>
        <w:footnoteReference w:id="122"/>
      </w:r>
      <w:r w:rsidRPr="0021341E">
        <w:t xml:space="preserve"> In addition, applicants should contact the District Court registrar to discuss forms and process requirements prior to filing and service of the application. There are also websites which provide useful court-related information to help with familiarisation in this regard.</w:t>
      </w:r>
      <w:r w:rsidRPr="0021341E">
        <w:rPr>
          <w:rStyle w:val="FootnoteReference"/>
        </w:rPr>
        <w:footnoteReference w:id="123"/>
      </w:r>
    </w:p>
    <w:p w:rsidR="00E15AC0" w:rsidRPr="0021341E" w:rsidRDefault="00E15AC0" w:rsidP="0021341E"/>
    <w:p w:rsidR="008D1DCC" w:rsidRPr="0021341E" w:rsidRDefault="008D1DCC" w:rsidP="0021341E">
      <w:r w:rsidRPr="0021341E">
        <w:t>Applicants may apply for further orders to vary, extend or cancel an existing order.</w:t>
      </w:r>
      <w:r w:rsidR="003B22F1" w:rsidRPr="0021341E">
        <w:t xml:space="preserve"> </w:t>
      </w:r>
      <w:r w:rsidRPr="0021341E">
        <w:t>Several templates have been included in the case of cancellation, because there is a wider choice of processes available for cancellation under Part 3A of the Act (see chapter 11 of this guidance).</w:t>
      </w:r>
    </w:p>
    <w:p w:rsidR="00E15AC0" w:rsidRPr="0021341E" w:rsidRDefault="00E15AC0" w:rsidP="0021341E"/>
    <w:p w:rsidR="008D1DCC" w:rsidRPr="0021341E" w:rsidRDefault="008D1DCC" w:rsidP="0021341E">
      <w:r w:rsidRPr="0021341E">
        <w:t>Applicants for court orders must send a copy of all applications to the Director-General</w:t>
      </w:r>
      <w:r w:rsidR="003B22F1" w:rsidRPr="0021341E">
        <w:t>’</w:t>
      </w:r>
      <w:r w:rsidRPr="0021341E">
        <w:t>s delegate, the Director of Public Health.</w:t>
      </w:r>
      <w:r w:rsidRPr="0021341E">
        <w:rPr>
          <w:rStyle w:val="FootnoteReference"/>
        </w:rPr>
        <w:footnoteReference w:id="124"/>
      </w:r>
    </w:p>
    <w:p w:rsidR="00E15AC0" w:rsidRPr="0021341E" w:rsidRDefault="00E15AC0" w:rsidP="0021341E"/>
    <w:p w:rsidR="003B22F1" w:rsidRPr="0021341E" w:rsidRDefault="008D1DCC" w:rsidP="0021341E">
      <w:r w:rsidRPr="0021341E">
        <w:t>When the infectious disease is not a notifiable one, the medical officer of health should get the prior approval of the Director of Public Health before proceeding with an application for an order.</w:t>
      </w:r>
      <w:r w:rsidRPr="0021341E">
        <w:rPr>
          <w:rStyle w:val="FootnoteReference"/>
        </w:rPr>
        <w:footnoteReference w:id="125"/>
      </w:r>
    </w:p>
    <w:p w:rsidR="00E15AC0" w:rsidRPr="0021341E" w:rsidRDefault="00E15AC0" w:rsidP="0021341E"/>
    <w:p w:rsidR="008D1DCC" w:rsidRPr="0021341E" w:rsidRDefault="008D1DCC" w:rsidP="0021341E">
      <w:pPr>
        <w:pStyle w:val="Heading2"/>
      </w:pPr>
      <w:bookmarkStart w:id="70" w:name="_Toc473538562"/>
      <w:r w:rsidRPr="0021341E">
        <w:t>Effect of orders on directions</w:t>
      </w:r>
      <w:bookmarkEnd w:id="70"/>
    </w:p>
    <w:p w:rsidR="003B22F1" w:rsidRPr="0021341E" w:rsidRDefault="008D1DCC" w:rsidP="0021341E">
      <w:r w:rsidRPr="0021341E">
        <w:t>A public health order has the effect of immediately cancelling an existing direction, excluding a medical examination direction, whether or not the direction and order relate to the same specific requirements.</w:t>
      </w:r>
      <w:r w:rsidRPr="0021341E">
        <w:rPr>
          <w:rStyle w:val="FootnoteReference"/>
        </w:rPr>
        <w:footnoteReference w:id="126"/>
      </w:r>
    </w:p>
    <w:p w:rsidR="00E15AC0" w:rsidRPr="0021341E" w:rsidRDefault="00E15AC0" w:rsidP="0021341E"/>
    <w:p w:rsidR="003B22F1" w:rsidRPr="0021341E" w:rsidRDefault="008D1DCC" w:rsidP="0021341E">
      <w:r w:rsidRPr="0021341E">
        <w:t>Medical officers of health cannot give directions of any kind under Part 3A while a person is subject to a public health order.</w:t>
      </w:r>
      <w:r w:rsidRPr="0021341E">
        <w:rPr>
          <w:rStyle w:val="FootnoteReference"/>
        </w:rPr>
        <w:footnoteReference w:id="127"/>
      </w:r>
      <w:r w:rsidRPr="0021341E">
        <w:t xml:space="preserve"> This does not distinguish between measures for different infectious diseases (eg, a direction regarding tuberculosis infection risk, and a court order regarding HIV infection-risk).</w:t>
      </w:r>
    </w:p>
    <w:p w:rsidR="00E15AC0" w:rsidRPr="0021341E" w:rsidRDefault="00E15AC0" w:rsidP="0021341E"/>
    <w:p w:rsidR="008D1DCC" w:rsidRPr="0021341E" w:rsidRDefault="008D1DCC" w:rsidP="0021341E">
      <w:r w:rsidRPr="0021341E">
        <w:t>Medical officers of health wishing to apply for a court order should endeavour to ensure that all necessary aspects of any earlier direction are included in the application for the order.</w:t>
      </w:r>
    </w:p>
    <w:p w:rsidR="00E15AC0" w:rsidRPr="0021341E" w:rsidRDefault="00E15AC0" w:rsidP="0021341E"/>
    <w:p w:rsidR="003B22F1" w:rsidRPr="0021341E" w:rsidRDefault="008D1DCC" w:rsidP="0021341E">
      <w:r w:rsidRPr="0021341E">
        <w:t>Court orders are subject to the same time limits as directions – six months at most, and they must state the period for which the requirements must be complied with.</w:t>
      </w:r>
    </w:p>
    <w:p w:rsidR="00E15AC0" w:rsidRPr="0021341E" w:rsidRDefault="00E15AC0" w:rsidP="0021341E"/>
    <w:p w:rsidR="003B22F1" w:rsidRPr="0021341E" w:rsidRDefault="008D1DCC" w:rsidP="0021341E">
      <w:r w:rsidRPr="0021341E">
        <w:t>Technically, medical officers of health can impose public health directions on a person after the court has imposed an order for contacts or examination order, as distinct from a public health order.</w:t>
      </w:r>
      <w:r w:rsidRPr="0021341E">
        <w:rPr>
          <w:rStyle w:val="FootnoteReference"/>
        </w:rPr>
        <w:footnoteReference w:id="128"/>
      </w:r>
      <w:r w:rsidRPr="0021341E">
        <w:t xml:space="preserve"> However, they should not do so lightly:</w:t>
      </w:r>
      <w:r w:rsidR="003B22F1" w:rsidRPr="0021341E">
        <w:t xml:space="preserve"> </w:t>
      </w:r>
      <w:r w:rsidRPr="0021341E">
        <w:t>There is some overlap between the contents of a public health order and the other orders, and the court has already considered the public health risk.</w:t>
      </w:r>
      <w:r w:rsidRPr="0021341E">
        <w:rPr>
          <w:rStyle w:val="FootnoteReference"/>
        </w:rPr>
        <w:footnoteReference w:id="129"/>
      </w:r>
    </w:p>
    <w:p w:rsidR="00E15AC0" w:rsidRPr="0021341E" w:rsidRDefault="00E15AC0" w:rsidP="0021341E"/>
    <w:p w:rsidR="003B22F1" w:rsidRPr="0021341E" w:rsidRDefault="008D1DCC" w:rsidP="0021341E">
      <w:pPr>
        <w:pStyle w:val="Heading2"/>
      </w:pPr>
      <w:bookmarkStart w:id="71" w:name="_Toc473538563"/>
      <w:r w:rsidRPr="0021341E">
        <w:t>Reviews</w:t>
      </w:r>
      <w:bookmarkEnd w:id="71"/>
    </w:p>
    <w:p w:rsidR="008D1DCC" w:rsidRPr="0021341E" w:rsidRDefault="008D1DCC" w:rsidP="0021341E">
      <w:r w:rsidRPr="0021341E">
        <w:t>Medical officers of health must regularly review all court orders in place within their districts, considering whether they are still necessary, and must apply to the court to cancel orders if they are not.</w:t>
      </w:r>
      <w:r w:rsidRPr="0021341E">
        <w:rPr>
          <w:rStyle w:val="FootnoteReference"/>
        </w:rPr>
        <w:footnoteReference w:id="130"/>
      </w:r>
      <w:r w:rsidRPr="0021341E">
        <w:t xml:space="preserve"> If the Director of Public Health directs them to do so, they must provide advice on why a particular order is still necessary.</w:t>
      </w:r>
      <w:r w:rsidRPr="0021341E">
        <w:rPr>
          <w:rStyle w:val="FootnoteReference"/>
        </w:rPr>
        <w:footnoteReference w:id="131"/>
      </w:r>
      <w:r w:rsidRPr="0021341E">
        <w:t xml:space="preserve"> In practice, medical officers of health will be assisted by other public health unit staff in conducting reviews.</w:t>
      </w:r>
    </w:p>
    <w:p w:rsidR="00E15AC0" w:rsidRPr="0021341E" w:rsidRDefault="00E15AC0" w:rsidP="0021341E"/>
    <w:p w:rsidR="003B22F1" w:rsidRPr="0021341E" w:rsidRDefault="008D1DCC" w:rsidP="0021341E">
      <w:r w:rsidRPr="0021341E">
        <w:t xml:space="preserve">The obligation to regularly review court orders does </w:t>
      </w:r>
      <w:r w:rsidR="006E5243">
        <w:t xml:space="preserve">not </w:t>
      </w:r>
      <w:r w:rsidRPr="0021341E">
        <w:t>specify a particular timeframe between reviews. However, given that orders have a maximum duration of six months, and that many will be shorter in duration, reviews should be relatively frequent within the life of the order. The principle that measures should apply no longer than necessary to prevent or minimise the public health risk is particularly relevant. The situation giving rise to the order may have changed in a way which impacts on the continued relevance of the order or parts of it.</w:t>
      </w:r>
    </w:p>
    <w:p w:rsidR="00E15AC0" w:rsidRPr="0021341E" w:rsidRDefault="00E15AC0" w:rsidP="0021341E"/>
    <w:p w:rsidR="003B22F1" w:rsidRPr="0021341E" w:rsidRDefault="008D1DCC" w:rsidP="0021341E">
      <w:r w:rsidRPr="0021341E">
        <w:t xml:space="preserve">The decision about whether an order is still fit for purpose should be informed by the definition of </w:t>
      </w:r>
      <w:r w:rsidR="003B22F1" w:rsidRPr="0021341E">
        <w:t>‘</w:t>
      </w:r>
      <w:r w:rsidRPr="0021341E">
        <w:t>public health risk</w:t>
      </w:r>
      <w:r w:rsidR="003B22F1" w:rsidRPr="0021341E">
        <w:t>’</w:t>
      </w:r>
      <w:r w:rsidRPr="0021341E">
        <w:t>, the circumstances of the person who is the subject of it, the overarching principles (see chapter 4)</w:t>
      </w:r>
      <w:r w:rsidRPr="0021341E">
        <w:rPr>
          <w:i/>
        </w:rPr>
        <w:t>,</w:t>
      </w:r>
      <w:r w:rsidRPr="0021341E">
        <w:t xml:space="preserve"> and the wider context of other public health risks in the district.</w:t>
      </w:r>
    </w:p>
    <w:p w:rsidR="00E15AC0" w:rsidRPr="0021341E" w:rsidRDefault="00E15AC0" w:rsidP="0021341E"/>
    <w:p w:rsidR="008D1DCC" w:rsidRPr="0021341E" w:rsidRDefault="008D1DCC" w:rsidP="0021341E">
      <w:r w:rsidRPr="0021341E">
        <w:t>Public health practitioners should carefully document reviews and their outcome, bearing in mind the possibility of an appeal against an order or an application for judicial review.</w:t>
      </w:r>
    </w:p>
    <w:p w:rsidR="00E15AC0" w:rsidRPr="0021341E" w:rsidRDefault="00E15AC0" w:rsidP="0021341E"/>
    <w:p w:rsidR="008D1DCC" w:rsidRPr="0021341E" w:rsidRDefault="008D1DCC" w:rsidP="0021341E">
      <w:pPr>
        <w:pStyle w:val="Heading2"/>
      </w:pPr>
      <w:bookmarkStart w:id="72" w:name="_Toc473538564"/>
      <w:r w:rsidRPr="0021341E">
        <w:t>Variation, extension and cancellation of orders</w:t>
      </w:r>
      <w:bookmarkEnd w:id="72"/>
    </w:p>
    <w:p w:rsidR="003B22F1" w:rsidRPr="0021341E" w:rsidRDefault="008D1DCC" w:rsidP="0021341E">
      <w:r w:rsidRPr="0021341E">
        <w:t>A court can extend, vary or cancel a public health order prior to its expiry.</w:t>
      </w:r>
      <w:r w:rsidRPr="0021341E">
        <w:rPr>
          <w:rStyle w:val="FootnoteReference"/>
        </w:rPr>
        <w:footnoteReference w:id="132"/>
      </w:r>
    </w:p>
    <w:p w:rsidR="00E15AC0" w:rsidRPr="0021341E" w:rsidRDefault="00E15AC0" w:rsidP="0021341E"/>
    <w:p w:rsidR="008D1DCC" w:rsidRPr="0021341E" w:rsidRDefault="008D1DCC" w:rsidP="0021341E">
      <w:r w:rsidRPr="0021341E">
        <w:t>It cannot extend medical examination orders and orders for contacts, although can vary or cancel them.</w:t>
      </w:r>
      <w:r w:rsidRPr="0021341E">
        <w:rPr>
          <w:rStyle w:val="FootnoteReference"/>
        </w:rPr>
        <w:footnoteReference w:id="133"/>
      </w:r>
    </w:p>
    <w:p w:rsidR="00E15AC0" w:rsidRPr="0021341E" w:rsidRDefault="00E15AC0" w:rsidP="0021341E"/>
    <w:p w:rsidR="003B22F1" w:rsidRPr="0021341E" w:rsidRDefault="008D1DCC" w:rsidP="0021341E">
      <w:r w:rsidRPr="0021341E">
        <w:t>A medical officer of health applying to a court to vary, extend or cancel an order must do so a reasonable time before the order</w:t>
      </w:r>
      <w:r w:rsidR="003B22F1" w:rsidRPr="0021341E">
        <w:t>’</w:t>
      </w:r>
      <w:r w:rsidRPr="0021341E">
        <w:t>s expiry date, taking account of court processes and scheduling.</w:t>
      </w:r>
    </w:p>
    <w:p w:rsidR="00E15AC0" w:rsidRPr="0021341E" w:rsidRDefault="00E15AC0" w:rsidP="0021341E"/>
    <w:p w:rsidR="008D1DCC" w:rsidRPr="0021341E" w:rsidRDefault="008D1DCC" w:rsidP="0021341E">
      <w:pPr>
        <w:keepLines/>
      </w:pPr>
      <w:r w:rsidRPr="0021341E">
        <w:t>If an officer makes an application to vary or extend an order too close to the order</w:t>
      </w:r>
      <w:r w:rsidR="003B22F1" w:rsidRPr="0021341E">
        <w:t>’</w:t>
      </w:r>
      <w:r w:rsidRPr="0021341E">
        <w:t>s expiry date, the risk is that the order lapses by the time the court decides the application. Conversely, if the officer applies to extend an order too early in its life, the chances of success are doubtful: the court will take account of the fact that much of the order is yet to run.</w:t>
      </w:r>
    </w:p>
    <w:p w:rsidR="00E15AC0" w:rsidRPr="0021341E" w:rsidRDefault="00E15AC0" w:rsidP="0021341E"/>
    <w:p w:rsidR="008D1DCC" w:rsidRPr="0021341E" w:rsidRDefault="008D1DCC" w:rsidP="0021341E">
      <w:r w:rsidRPr="0021341E">
        <w:t>The same process of using an originating application and affidavit in support or agreed statement of facts applies for applications to vary or extend orders. Medical officers of health can adapt the template originating applications and affidavits in chapter 11 of this guidance.</w:t>
      </w:r>
    </w:p>
    <w:p w:rsidR="00E15AC0" w:rsidRPr="0021341E" w:rsidRDefault="00E15AC0" w:rsidP="0021341E"/>
    <w:p w:rsidR="008D1DCC" w:rsidRPr="0021341E" w:rsidRDefault="008D1DCC" w:rsidP="0021341E">
      <w:r w:rsidRPr="0021341E">
        <w:t>Medical officers of health must ensure a copy of every application to vary an order is sent to the Director of Public Health. As a matter of good practice, they should undertake prior consultation with the DHB</w:t>
      </w:r>
      <w:r w:rsidR="003B22F1" w:rsidRPr="0021341E">
        <w:t>’</w:t>
      </w:r>
      <w:r w:rsidRPr="0021341E">
        <w:t>s legal section and then the Director, particularly for comparatively long or multiple extensions.</w:t>
      </w:r>
      <w:r w:rsidRPr="0021341E">
        <w:rPr>
          <w:rStyle w:val="FootnoteReference"/>
        </w:rPr>
        <w:footnoteReference w:id="134"/>
      </w:r>
    </w:p>
    <w:p w:rsidR="00E15AC0" w:rsidRPr="0021341E" w:rsidRDefault="00E15AC0" w:rsidP="0021341E"/>
    <w:p w:rsidR="008D1DCC" w:rsidRPr="0021341E" w:rsidRDefault="008D1DCC" w:rsidP="0021341E">
      <w:r w:rsidRPr="0021341E">
        <w:t>Medical officers of health should specify the duration of a proposed extension to an order in the application; extensions should be no longer than is necessary to remove or minimise the public health risk. The maximum duration of an extension is six months.</w:t>
      </w:r>
    </w:p>
    <w:p w:rsidR="00E15AC0" w:rsidRPr="0021341E" w:rsidRDefault="00E15AC0" w:rsidP="0021341E"/>
    <w:p w:rsidR="008D1DCC" w:rsidRPr="0021341E" w:rsidRDefault="008D1DCC" w:rsidP="0021341E">
      <w:pPr>
        <w:pStyle w:val="Heading3"/>
      </w:pPr>
      <w:r w:rsidRPr="0021341E">
        <w:t>More about cancellation</w:t>
      </w:r>
    </w:p>
    <w:p w:rsidR="008D1DCC" w:rsidRPr="0021341E" w:rsidRDefault="008D1DCC" w:rsidP="0021341E">
      <w:r w:rsidRPr="0021341E">
        <w:t>When an original court order expressly allows for cancellation by certificate, and the medical officer of health wishes to bring the order to an end, he or she can do so by certifying that it is no longer necessary to manage the public health risk posed by the person concerned. Chapter 11 contains a template for the certificates. A medical officer of health could use this when, for example, circumstances have changed since the order was imposed</w:t>
      </w:r>
      <w:r w:rsidR="006E5243">
        <w:t>,</w:t>
      </w:r>
      <w:r w:rsidRPr="0021341E">
        <w:t xml:space="preserve"> making the public health risk negligible or the order overly onerous.</w:t>
      </w:r>
    </w:p>
    <w:p w:rsidR="0021341E" w:rsidRPr="0021341E" w:rsidRDefault="0021341E" w:rsidP="0021341E"/>
    <w:p w:rsidR="003B22F1" w:rsidRPr="0021341E" w:rsidRDefault="008D1DCC" w:rsidP="0021341E">
      <w:r w:rsidRPr="0021341E">
        <w:t>The medical officer of health arranges filing of the certificate of cancellation with the District Court registrar – normally nearest to the public health district, and should also arrange service on the person concerned.</w:t>
      </w:r>
      <w:r w:rsidRPr="0021341E">
        <w:rPr>
          <w:rStyle w:val="FootnoteReference"/>
        </w:rPr>
        <w:footnoteReference w:id="135"/>
      </w:r>
    </w:p>
    <w:p w:rsidR="0021341E" w:rsidRPr="0021341E" w:rsidRDefault="0021341E" w:rsidP="0021341E"/>
    <w:p w:rsidR="008D1DCC" w:rsidRPr="0021341E" w:rsidRDefault="008D1DCC" w:rsidP="0021341E">
      <w:r w:rsidRPr="0021341E">
        <w:t>If the registrar is satisfied that the medical officer of health has given an appropriate certification, the registrar must cancel the order and it ceases to have effect on cancellation.</w:t>
      </w:r>
    </w:p>
    <w:p w:rsidR="0021341E" w:rsidRPr="0021341E" w:rsidRDefault="0021341E" w:rsidP="0021341E"/>
    <w:p w:rsidR="003B22F1" w:rsidRPr="0021341E" w:rsidRDefault="008D1DCC" w:rsidP="0021341E">
      <w:r w:rsidRPr="0021341E">
        <w:t xml:space="preserve">When an order does not expressly authorise cancellation by certificate, the medical officer of health can request that the court deal with an application </w:t>
      </w:r>
      <w:r w:rsidR="003B22F1" w:rsidRPr="0021341E">
        <w:t>‘</w:t>
      </w:r>
      <w:r w:rsidRPr="0021341E">
        <w:t>on the papers</w:t>
      </w:r>
      <w:r w:rsidR="003B22F1" w:rsidRPr="0021341E">
        <w:t>’</w:t>
      </w:r>
      <w:r w:rsidRPr="0021341E">
        <w:t xml:space="preserve"> if both parties agree. This means that parties make their submissions and give evidence in writing rather than at a hearing.</w:t>
      </w:r>
      <w:r w:rsidRPr="0021341E">
        <w:rPr>
          <w:rStyle w:val="FootnoteReference"/>
        </w:rPr>
        <w:footnoteReference w:id="136"/>
      </w:r>
      <w:r w:rsidRPr="0021341E">
        <w:t xml:space="preserve"> There is a template for filing with the registrar for this purpose: see chapter 11.</w:t>
      </w:r>
    </w:p>
    <w:p w:rsidR="0021341E" w:rsidRPr="0021341E" w:rsidRDefault="0021341E" w:rsidP="0021341E"/>
    <w:p w:rsidR="003B22F1" w:rsidRPr="0021341E" w:rsidRDefault="008D1DCC" w:rsidP="0021341E">
      <w:r w:rsidRPr="0021341E">
        <w:t>Once the court, and the individual concerned, receive an application for cancellation, the order is suspended until the court decides the matter.</w:t>
      </w:r>
      <w:r w:rsidRPr="0021341E">
        <w:rPr>
          <w:rStyle w:val="FootnoteReference"/>
        </w:rPr>
        <w:footnoteReference w:id="137"/>
      </w:r>
    </w:p>
    <w:p w:rsidR="0021341E" w:rsidRPr="0021341E" w:rsidRDefault="0021341E" w:rsidP="0021341E"/>
    <w:p w:rsidR="003B22F1" w:rsidRPr="0021341E" w:rsidRDefault="008D1DCC" w:rsidP="0021341E">
      <w:r w:rsidRPr="0021341E">
        <w:t>In the case of examination orders, once the person has been examined, the best course in terms of cancellation may simply be to let the order lapse.</w:t>
      </w:r>
      <w:r w:rsidRPr="0021341E">
        <w:rPr>
          <w:rStyle w:val="FootnoteReference"/>
        </w:rPr>
        <w:footnoteReference w:id="138"/>
      </w:r>
    </w:p>
    <w:p w:rsidR="0021341E" w:rsidRPr="0021341E" w:rsidRDefault="0021341E" w:rsidP="0021341E"/>
    <w:p w:rsidR="008D1DCC" w:rsidRPr="0021341E" w:rsidRDefault="008D1DCC" w:rsidP="0021341E">
      <w:r w:rsidRPr="0021341E">
        <w:t>Medical officers of health must send the Director of Public Health a copy of any application to cancel.</w:t>
      </w:r>
      <w:r w:rsidRPr="0021341E">
        <w:rPr>
          <w:rStyle w:val="FootnoteReference"/>
        </w:rPr>
        <w:footnoteReference w:id="139"/>
      </w:r>
    </w:p>
    <w:p w:rsidR="0021341E" w:rsidRPr="0021341E" w:rsidRDefault="0021341E" w:rsidP="0021341E"/>
    <w:p w:rsidR="008D1DCC" w:rsidRPr="00584182" w:rsidRDefault="008D1DCC" w:rsidP="0021341E">
      <w:pPr>
        <w:pStyle w:val="Heading2"/>
      </w:pPr>
      <w:bookmarkStart w:id="73" w:name="_Toc473538565"/>
      <w:r w:rsidRPr="00584182">
        <w:t>Appeals</w:t>
      </w:r>
      <w:r>
        <w:t xml:space="preserve"> against court orders</w:t>
      </w:r>
      <w:bookmarkEnd w:id="73"/>
    </w:p>
    <w:p w:rsidR="008D1DCC" w:rsidRPr="002C2D0F" w:rsidRDefault="008D1DCC" w:rsidP="0021341E">
      <w:pPr>
        <w:pStyle w:val="Heading3"/>
      </w:pPr>
      <w:r>
        <w:t>R</w:t>
      </w:r>
      <w:r w:rsidRPr="002C2D0F">
        <w:t>ights</w:t>
      </w:r>
      <w:r>
        <w:t xml:space="preserve"> to appeal</w:t>
      </w:r>
    </w:p>
    <w:p w:rsidR="003B22F1" w:rsidRDefault="008D1DCC" w:rsidP="0021341E">
      <w:r w:rsidRPr="005E134B">
        <w:t>Both parties</w:t>
      </w:r>
      <w:r>
        <w:t xml:space="preserve"> (the medical officer of health and the individual subject to an order)</w:t>
      </w:r>
      <w:r w:rsidRPr="005E134B">
        <w:t xml:space="preserve"> have a right of appeal to the High Court against t</w:t>
      </w:r>
      <w:r>
        <w:t>he District Court</w:t>
      </w:r>
      <w:r w:rsidR="003B22F1">
        <w:t>’</w:t>
      </w:r>
      <w:r>
        <w:t xml:space="preserve">s decisions. </w:t>
      </w:r>
      <w:r w:rsidRPr="005E134B">
        <w:t>This includes</w:t>
      </w:r>
      <w:r>
        <w:t xml:space="preserve"> a right to appeal </w:t>
      </w:r>
      <w:r w:rsidRPr="005E134B">
        <w:t>against decisions on applications to cancel, vary or extend orders.</w:t>
      </w:r>
      <w:r w:rsidRPr="0021341E">
        <w:rPr>
          <w:rStyle w:val="FootnoteReference"/>
        </w:rPr>
        <w:footnoteReference w:id="140"/>
      </w:r>
    </w:p>
    <w:p w:rsidR="008D1DCC" w:rsidRPr="005E134B" w:rsidRDefault="008D1DCC" w:rsidP="0021341E"/>
    <w:p w:rsidR="003B22F1" w:rsidRDefault="008D1DCC" w:rsidP="0021341E">
      <w:r w:rsidRPr="005E134B">
        <w:t xml:space="preserve">The parties </w:t>
      </w:r>
      <w:r>
        <w:t xml:space="preserve">also </w:t>
      </w:r>
      <w:r w:rsidRPr="005E134B">
        <w:t>have a right of appeal to the Court of Appeal on questions of law, with the leave of the court.</w:t>
      </w:r>
    </w:p>
    <w:p w:rsidR="008D1DCC" w:rsidRPr="005E134B" w:rsidRDefault="008D1DCC" w:rsidP="0021341E"/>
    <w:p w:rsidR="008D1DCC" w:rsidRPr="005E134B" w:rsidRDefault="008D1DCC" w:rsidP="0021341E">
      <w:r w:rsidRPr="005E134B">
        <w:t xml:space="preserve">Both </w:t>
      </w:r>
      <w:r>
        <w:t xml:space="preserve">these </w:t>
      </w:r>
      <w:r w:rsidRPr="005E134B">
        <w:t xml:space="preserve">appeal rights are subject to the </w:t>
      </w:r>
      <w:r>
        <w:t>rules of the appropriate court. Courts must hear appeals as s</w:t>
      </w:r>
      <w:r w:rsidRPr="005E134B">
        <w:t>oon as practicable.</w:t>
      </w:r>
    </w:p>
    <w:p w:rsidR="008D1DCC" w:rsidRPr="005E134B" w:rsidRDefault="008D1DCC" w:rsidP="0021341E"/>
    <w:p w:rsidR="008D1DCC" w:rsidRPr="005E134B" w:rsidRDefault="008D1DCC" w:rsidP="0021341E">
      <w:r w:rsidRPr="0021341E">
        <w:rPr>
          <w:spacing w:val="-2"/>
        </w:rPr>
        <w:t xml:space="preserve">Appeals do not automatically suspend the decision appealed against. However, in some instances </w:t>
      </w:r>
      <w:r>
        <w:t>t</w:t>
      </w:r>
      <w:r w:rsidRPr="005E134B">
        <w:t xml:space="preserve">he court may decide to </w:t>
      </w:r>
      <w:r w:rsidR="003B22F1">
        <w:t>‘</w:t>
      </w:r>
      <w:r w:rsidRPr="005E134B">
        <w:t>stay the proceedings</w:t>
      </w:r>
      <w:r w:rsidR="003B22F1">
        <w:t xml:space="preserve">’ – </w:t>
      </w:r>
      <w:r w:rsidRPr="005E134B">
        <w:t xml:space="preserve">suspending </w:t>
      </w:r>
      <w:r>
        <w:t xml:space="preserve">an </w:t>
      </w:r>
      <w:r w:rsidRPr="005E134B">
        <w:t xml:space="preserve">order or part of </w:t>
      </w:r>
      <w:r>
        <w:t xml:space="preserve">an </w:t>
      </w:r>
      <w:r w:rsidRPr="005E134B">
        <w:t>order.</w:t>
      </w:r>
      <w:r w:rsidRPr="0021341E">
        <w:rPr>
          <w:rStyle w:val="FootnoteReference"/>
        </w:rPr>
        <w:footnoteReference w:id="141"/>
      </w:r>
    </w:p>
    <w:p w:rsidR="008D1DCC" w:rsidRPr="005E134B" w:rsidRDefault="008D1DCC" w:rsidP="0021341E"/>
    <w:p w:rsidR="008D1DCC" w:rsidRPr="005E134B" w:rsidRDefault="008D1DCC" w:rsidP="0021341E">
      <w:r>
        <w:t>Before lodging an appeal, m</w:t>
      </w:r>
      <w:r w:rsidRPr="005E134B">
        <w:t xml:space="preserve">edical </w:t>
      </w:r>
      <w:r>
        <w:t>officers of h</w:t>
      </w:r>
      <w:r w:rsidRPr="005E134B">
        <w:t xml:space="preserve">ealth </w:t>
      </w:r>
      <w:r>
        <w:t xml:space="preserve">should seek legal advice and, </w:t>
      </w:r>
      <w:r w:rsidRPr="005E134B">
        <w:t>as a matter of best practice,</w:t>
      </w:r>
      <w:r>
        <w:t xml:space="preserve"> consult</w:t>
      </w:r>
      <w:r w:rsidRPr="005E134B">
        <w:t xml:space="preserve"> with the Director of P</w:t>
      </w:r>
      <w:r>
        <w:t xml:space="preserve">ublic Health. In addition, they </w:t>
      </w:r>
      <w:r w:rsidRPr="005E134B">
        <w:t>must send a copy of the notice of appeal to the</w:t>
      </w:r>
      <w:r>
        <w:t xml:space="preserve"> </w:t>
      </w:r>
      <w:r w:rsidRPr="005E134B">
        <w:t>Director of Public Health</w:t>
      </w:r>
      <w:r>
        <w:t xml:space="preserve"> – as the Director-General</w:t>
      </w:r>
      <w:r w:rsidR="003B22F1">
        <w:t>’</w:t>
      </w:r>
      <w:r>
        <w:t>s delegate</w:t>
      </w:r>
      <w:r w:rsidRPr="005E134B">
        <w:t>.</w:t>
      </w:r>
      <w:r w:rsidRPr="0021341E">
        <w:rPr>
          <w:rStyle w:val="FootnoteReference"/>
        </w:rPr>
        <w:footnoteReference w:id="142"/>
      </w:r>
    </w:p>
    <w:p w:rsidR="0021341E" w:rsidRDefault="0021341E" w:rsidP="0021341E"/>
    <w:p w:rsidR="008D1DCC" w:rsidRPr="005E134B" w:rsidRDefault="008D1DCC" w:rsidP="0021341E">
      <w:r w:rsidRPr="005E134B">
        <w:t xml:space="preserve">The circumstances </w:t>
      </w:r>
      <w:r>
        <w:t xml:space="preserve">in which </w:t>
      </w:r>
      <w:r w:rsidRPr="005E134B">
        <w:t xml:space="preserve">a </w:t>
      </w:r>
      <w:r>
        <w:t>m</w:t>
      </w:r>
      <w:r w:rsidRPr="005E134B">
        <w:t xml:space="preserve">edical officer of health may wish to appeal against </w:t>
      </w:r>
      <w:r>
        <w:t>the</w:t>
      </w:r>
      <w:r w:rsidRPr="005E134B">
        <w:t xml:space="preserve"> District Court decision granting an application for an order include:</w:t>
      </w:r>
    </w:p>
    <w:p w:rsidR="008D1DCC" w:rsidRPr="005E134B" w:rsidRDefault="008D1DCC" w:rsidP="0021341E">
      <w:pPr>
        <w:pStyle w:val="Bullet"/>
      </w:pPr>
      <w:r>
        <w:t xml:space="preserve">when the officer considers </w:t>
      </w:r>
      <w:r w:rsidRPr="005E134B">
        <w:t>its d</w:t>
      </w:r>
      <w:r>
        <w:t>uration is too short</w:t>
      </w:r>
    </w:p>
    <w:p w:rsidR="008D1DCC" w:rsidRPr="005E134B" w:rsidRDefault="008D1DCC" w:rsidP="0021341E">
      <w:pPr>
        <w:pStyle w:val="Bullet"/>
      </w:pPr>
      <w:r>
        <w:t>when the order</w:t>
      </w:r>
      <w:r w:rsidRPr="005E134B">
        <w:t xml:space="preserve"> omits certain requirements that the officer considers should be included to effectively manage the public health risk</w:t>
      </w:r>
    </w:p>
    <w:p w:rsidR="008D1DCC" w:rsidRPr="005E134B" w:rsidRDefault="00615B72" w:rsidP="0021341E">
      <w:pPr>
        <w:pStyle w:val="Bullet"/>
      </w:pPr>
      <w:r>
        <w:t xml:space="preserve">when </w:t>
      </w:r>
      <w:r w:rsidR="008D1DCC">
        <w:t>the</w:t>
      </w:r>
      <w:r w:rsidR="008D1DCC" w:rsidRPr="005E134B">
        <w:t xml:space="preserve"> decision</w:t>
      </w:r>
      <w:r w:rsidR="008D1DCC">
        <w:t xml:space="preserve"> sets a legal precede</w:t>
      </w:r>
      <w:r>
        <w:t xml:space="preserve">nt that may be concerning in terms of effective </w:t>
      </w:r>
      <w:r w:rsidR="008D1DCC" w:rsidRPr="005E134B">
        <w:t>public health surveillance or public health action.</w:t>
      </w:r>
    </w:p>
    <w:p w:rsidR="0021341E" w:rsidRDefault="0021341E" w:rsidP="0021341E"/>
    <w:p w:rsidR="003B22F1" w:rsidRDefault="008D1DCC" w:rsidP="0021341E">
      <w:r w:rsidRPr="005E134B">
        <w:t>As a general rule, the higher the court in which the order is heard on appeal, the more costl</w:t>
      </w:r>
      <w:r>
        <w:t xml:space="preserve">y and serious the proceedings. Medical officers of health should carefully consider the situation before embarking </w:t>
      </w:r>
      <w:r w:rsidRPr="005E134B">
        <w:t xml:space="preserve">on any appeals, especially </w:t>
      </w:r>
      <w:r>
        <w:t xml:space="preserve">ones </w:t>
      </w:r>
      <w:r w:rsidRPr="005E134B">
        <w:t xml:space="preserve">to the High Court </w:t>
      </w:r>
      <w:r>
        <w:t xml:space="preserve">or </w:t>
      </w:r>
      <w:r w:rsidRPr="005E134B">
        <w:t>Court of Appeal.</w:t>
      </w:r>
    </w:p>
    <w:p w:rsidR="0021341E" w:rsidRDefault="0021341E" w:rsidP="0021341E"/>
    <w:p w:rsidR="003B22F1" w:rsidRDefault="008D1DCC" w:rsidP="0021341E">
      <w:pPr>
        <w:pStyle w:val="Heading3"/>
      </w:pPr>
      <w:r w:rsidRPr="002C2D0F">
        <w:t>Appeals to the High Court</w:t>
      </w:r>
    </w:p>
    <w:p w:rsidR="003B22F1" w:rsidRDefault="008D1DCC" w:rsidP="0021341E">
      <w:r>
        <w:t xml:space="preserve">An </w:t>
      </w:r>
      <w:r w:rsidRPr="005E134B">
        <w:t>appeal</w:t>
      </w:r>
      <w:r>
        <w:t xml:space="preserve"> to the High Court </w:t>
      </w:r>
      <w:r w:rsidRPr="005E134B">
        <w:t>must be filed with the court and served on the other party within 20</w:t>
      </w:r>
      <w:r w:rsidR="0021341E">
        <w:t> </w:t>
      </w:r>
      <w:r w:rsidRPr="005E134B">
        <w:t>working days of the decision being appealed against</w:t>
      </w:r>
      <w:r w:rsidRPr="0021341E">
        <w:rPr>
          <w:rStyle w:val="FootnoteReference"/>
        </w:rPr>
        <w:footnoteReference w:id="143"/>
      </w:r>
      <w:r w:rsidRPr="005E134B">
        <w:t xml:space="preserve"> or within such other period as the court specifies </w:t>
      </w:r>
      <w:r>
        <w:t xml:space="preserve">(where </w:t>
      </w:r>
      <w:r w:rsidRPr="005E134B">
        <w:t>a party seek</w:t>
      </w:r>
      <w:r>
        <w:t>s</w:t>
      </w:r>
      <w:r w:rsidRPr="005E134B">
        <w:t xml:space="preserve"> an extension</w:t>
      </w:r>
      <w:r>
        <w:t>)</w:t>
      </w:r>
      <w:r w:rsidRPr="005E134B">
        <w:t>.</w:t>
      </w:r>
      <w:r w:rsidRPr="0021341E">
        <w:rPr>
          <w:rStyle w:val="FootnoteReference"/>
        </w:rPr>
        <w:footnoteReference w:id="144"/>
      </w:r>
      <w:r>
        <w:t xml:space="preserve"> An appellant (ie, the person bringing the appeal) should normally file an appeal in the court </w:t>
      </w:r>
      <w:r w:rsidRPr="005E134B">
        <w:t>nearest to the place where the decision being appealed against took place.</w:t>
      </w:r>
    </w:p>
    <w:p w:rsidR="0021341E" w:rsidRDefault="0021341E" w:rsidP="0021341E"/>
    <w:p w:rsidR="008D1DCC" w:rsidRPr="005E134B" w:rsidRDefault="008D1DCC" w:rsidP="0021341E">
      <w:r w:rsidRPr="005E134B">
        <w:t>Unless the court otherwise directs, a notice of appeal must:</w:t>
      </w:r>
    </w:p>
    <w:p w:rsidR="008D1DCC" w:rsidRPr="005E134B" w:rsidRDefault="008D1DCC" w:rsidP="0021341E">
      <w:pPr>
        <w:pStyle w:val="Bullet"/>
        <w:rPr>
          <w:lang w:eastAsia="en-NZ"/>
        </w:rPr>
      </w:pPr>
      <w:r w:rsidRPr="005E134B">
        <w:rPr>
          <w:lang w:eastAsia="en-NZ"/>
        </w:rPr>
        <w:t xml:space="preserve">have a heading stating the full name and </w:t>
      </w:r>
      <w:r>
        <w:rPr>
          <w:lang w:eastAsia="en-NZ"/>
        </w:rPr>
        <w:t xml:space="preserve">giving a </w:t>
      </w:r>
      <w:r w:rsidRPr="005E134B">
        <w:rPr>
          <w:lang w:eastAsia="en-NZ"/>
        </w:rPr>
        <w:t xml:space="preserve">description of each party and referring to the Health Act 1956 – </w:t>
      </w:r>
      <w:r>
        <w:rPr>
          <w:lang w:eastAsia="en-NZ"/>
        </w:rPr>
        <w:t xml:space="preserve">as </w:t>
      </w:r>
      <w:r w:rsidRPr="005E134B">
        <w:rPr>
          <w:lang w:eastAsia="en-NZ"/>
        </w:rPr>
        <w:t>the enactment un</w:t>
      </w:r>
      <w:r>
        <w:rPr>
          <w:lang w:eastAsia="en-NZ"/>
        </w:rPr>
        <w:t>der which the appeal is brought</w:t>
      </w:r>
      <w:r w:rsidRPr="0021341E">
        <w:rPr>
          <w:rStyle w:val="FootnoteReference"/>
        </w:rPr>
        <w:footnoteReference w:id="145"/>
      </w:r>
    </w:p>
    <w:p w:rsidR="003B22F1" w:rsidRDefault="008D1DCC" w:rsidP="0021341E">
      <w:pPr>
        <w:pStyle w:val="Bullet"/>
        <w:rPr>
          <w:lang w:eastAsia="en-NZ"/>
        </w:rPr>
      </w:pPr>
      <w:r w:rsidRPr="005E134B">
        <w:rPr>
          <w:lang w:eastAsia="en-NZ"/>
        </w:rPr>
        <w:t>specify the decision or part of the decision appealed against</w:t>
      </w:r>
    </w:p>
    <w:p w:rsidR="003B22F1" w:rsidRDefault="008D1DCC" w:rsidP="0021341E">
      <w:pPr>
        <w:pStyle w:val="Bullet"/>
        <w:rPr>
          <w:lang w:eastAsia="en-NZ"/>
        </w:rPr>
      </w:pPr>
      <w:r w:rsidRPr="005E134B">
        <w:rPr>
          <w:lang w:eastAsia="en-NZ"/>
        </w:rPr>
        <w:t>specify the grounds of the appeal in sufficient detail to fully inform the court, the other parties to the appeal, and the decision-maker of the issues in the appeal</w:t>
      </w:r>
    </w:p>
    <w:p w:rsidR="008D1DCC" w:rsidRPr="005E134B" w:rsidRDefault="008D1DCC" w:rsidP="0021341E">
      <w:pPr>
        <w:pStyle w:val="Bullet"/>
        <w:rPr>
          <w:lang w:eastAsia="en-NZ"/>
        </w:rPr>
      </w:pPr>
      <w:r w:rsidRPr="005E134B">
        <w:rPr>
          <w:lang w:eastAsia="en-NZ"/>
        </w:rPr>
        <w:t>specify</w:t>
      </w:r>
      <w:r>
        <w:rPr>
          <w:lang w:eastAsia="en-NZ"/>
        </w:rPr>
        <w:t xml:space="preserve"> the remedy sought (eg, c</w:t>
      </w:r>
      <w:r w:rsidRPr="005E134B">
        <w:rPr>
          <w:lang w:eastAsia="en-NZ"/>
        </w:rPr>
        <w:t>ancellation of an order,</w:t>
      </w:r>
      <w:r>
        <w:rPr>
          <w:lang w:eastAsia="en-NZ"/>
        </w:rPr>
        <w:t xml:space="preserve"> </w:t>
      </w:r>
      <w:r w:rsidRPr="005E134B">
        <w:rPr>
          <w:lang w:eastAsia="en-NZ"/>
        </w:rPr>
        <w:t>variation of its duration or one of its terms).</w:t>
      </w:r>
      <w:r w:rsidRPr="0021341E">
        <w:rPr>
          <w:rStyle w:val="FootnoteReference"/>
        </w:rPr>
        <w:footnoteReference w:id="146"/>
      </w:r>
    </w:p>
    <w:p w:rsidR="0021341E" w:rsidRDefault="0021341E" w:rsidP="0021341E"/>
    <w:p w:rsidR="008D1DCC" w:rsidRPr="005E134B" w:rsidRDefault="008D1DCC" w:rsidP="0021341E">
      <w:r w:rsidRPr="005E134B">
        <w:t>A</w:t>
      </w:r>
      <w:r>
        <w:t>ppellants should attach a</w:t>
      </w:r>
      <w:r w:rsidRPr="005E134B">
        <w:t xml:space="preserve"> copy of the decision appealed against to the application, and failing that should file</w:t>
      </w:r>
      <w:r>
        <w:t xml:space="preserve"> one</w:t>
      </w:r>
      <w:r w:rsidRPr="005E134B">
        <w:t xml:space="preserve"> with the court as soon as it becomes available.</w:t>
      </w:r>
    </w:p>
    <w:p w:rsidR="0021341E" w:rsidRDefault="0021341E" w:rsidP="0021341E"/>
    <w:p w:rsidR="008D1DCC" w:rsidRPr="005E134B" w:rsidRDefault="008D1DCC" w:rsidP="0021341E">
      <w:r w:rsidRPr="005E134B">
        <w:t xml:space="preserve">The </w:t>
      </w:r>
      <w:r>
        <w:t>appeal is by way of a rehearing, taking account of the record of evidence in the District Court, rather than a completely fresh hearing of evidence. T</w:t>
      </w:r>
      <w:r w:rsidRPr="005E134B">
        <w:t>he High Court</w:t>
      </w:r>
      <w:r w:rsidR="003B22F1">
        <w:t>’</w:t>
      </w:r>
      <w:r w:rsidRPr="005E134B">
        <w:t>s decision is final as to the facts decided by the c</w:t>
      </w:r>
      <w:r>
        <w:t>ourt.</w:t>
      </w:r>
    </w:p>
    <w:p w:rsidR="0021341E" w:rsidRDefault="0021341E" w:rsidP="0021341E"/>
    <w:p w:rsidR="008D1DCC" w:rsidRDefault="008D1DCC" w:rsidP="0021341E">
      <w:r>
        <w:t>On the applicant</w:t>
      </w:r>
      <w:r w:rsidR="003B22F1">
        <w:t>’</w:t>
      </w:r>
      <w:r>
        <w:t xml:space="preserve">s </w:t>
      </w:r>
      <w:r w:rsidRPr="005E134B">
        <w:t>without</w:t>
      </w:r>
      <w:r>
        <w:t>-n</w:t>
      </w:r>
      <w:r w:rsidRPr="005E134B">
        <w:t>otice</w:t>
      </w:r>
      <w:r>
        <w:t>-</w:t>
      </w:r>
      <w:r w:rsidRPr="005E134B">
        <w:t xml:space="preserve">application </w:t>
      </w:r>
      <w:r>
        <w:t xml:space="preserve">(ie, an urgent application) the </w:t>
      </w:r>
      <w:r w:rsidRPr="005E134B">
        <w:t xml:space="preserve">District Court may order that he or she does not need to give the </w:t>
      </w:r>
      <w:r>
        <w:t>r</w:t>
      </w:r>
      <w:r w:rsidRPr="005E134B">
        <w:t>egistrar of the High Court security for costs.</w:t>
      </w:r>
      <w:r w:rsidRPr="0021341E">
        <w:rPr>
          <w:rStyle w:val="FootnoteReference"/>
        </w:rPr>
        <w:footnoteReference w:id="147"/>
      </w:r>
      <w:r>
        <w:t xml:space="preserve"> </w:t>
      </w:r>
      <w:r w:rsidRPr="005E134B">
        <w:t>Security for costs is a payment of money to ensure that</w:t>
      </w:r>
      <w:r>
        <w:t>,</w:t>
      </w:r>
      <w:r w:rsidRPr="005E134B">
        <w:t xml:space="preserve"> if a person is unsuccessful, </w:t>
      </w:r>
      <w:r>
        <w:t xml:space="preserve">they will be able to pay costs. </w:t>
      </w:r>
      <w:r w:rsidRPr="005E134B">
        <w:t>The security for costs is kept in a trust account until the final outcome of the proceeding.</w:t>
      </w:r>
    </w:p>
    <w:p w:rsidR="0021341E" w:rsidRPr="005E134B" w:rsidRDefault="0021341E" w:rsidP="0021341E"/>
    <w:p w:rsidR="003B22F1" w:rsidRDefault="008D1DCC" w:rsidP="0021341E">
      <w:pPr>
        <w:pStyle w:val="Heading3"/>
      </w:pPr>
      <w:r w:rsidRPr="002C2D0F">
        <w:t>Appeals to the Court of Appeal</w:t>
      </w:r>
    </w:p>
    <w:p w:rsidR="003B22F1" w:rsidRDefault="008D1DCC" w:rsidP="0021341E">
      <w:r>
        <w:t xml:space="preserve">Parties can only appeal against a High Court </w:t>
      </w:r>
      <w:r w:rsidRPr="005E134B">
        <w:t>decision with the Court of Appeal</w:t>
      </w:r>
      <w:r w:rsidR="003B22F1">
        <w:t>’</w:t>
      </w:r>
      <w:r w:rsidRPr="005E134B">
        <w:t xml:space="preserve">s leave. </w:t>
      </w:r>
      <w:r>
        <w:t xml:space="preserve">Such appeals </w:t>
      </w:r>
      <w:r w:rsidRPr="005E134B">
        <w:t>are limited to questions of law – applying legal principles to interpret the law</w:t>
      </w:r>
      <w:r>
        <w:t xml:space="preserve"> </w:t>
      </w:r>
      <w:r w:rsidRPr="005E134B">
        <w:t>–</w:t>
      </w:r>
      <w:r>
        <w:t xml:space="preserve"> </w:t>
      </w:r>
      <w:r w:rsidRPr="005E134B">
        <w:t>as distinct from hearing disputes about</w:t>
      </w:r>
      <w:r>
        <w:t xml:space="preserve"> questions of</w:t>
      </w:r>
      <w:r w:rsidRPr="005E134B">
        <w:t xml:space="preserve"> fact.</w:t>
      </w:r>
    </w:p>
    <w:p w:rsidR="0021341E" w:rsidRDefault="0021341E" w:rsidP="0021341E"/>
    <w:p w:rsidR="003B22F1" w:rsidRDefault="008D1DCC" w:rsidP="0021341E">
      <w:r>
        <w:t xml:space="preserve">Applicants must file an application for </w:t>
      </w:r>
      <w:r w:rsidRPr="005E134B">
        <w:t xml:space="preserve">leave to appeal in the Registry of the Court of Appeal in Wellington, within </w:t>
      </w:r>
      <w:r>
        <w:t xml:space="preserve">a </w:t>
      </w:r>
      <w:r w:rsidRPr="005E134B">
        <w:t>period specified by the court or within 20 working days of the leave decision.</w:t>
      </w:r>
      <w:r w:rsidRPr="0021341E">
        <w:rPr>
          <w:rStyle w:val="FootnoteReference"/>
        </w:rPr>
        <w:footnoteReference w:id="148"/>
      </w:r>
      <w:r w:rsidR="0021341E">
        <w:t xml:space="preserve"> </w:t>
      </w:r>
      <w:r>
        <w:t>They must use the</w:t>
      </w:r>
      <w:r w:rsidRPr="005E134B">
        <w:t xml:space="preserve"> prescribed notice of appeal which must </w:t>
      </w:r>
      <w:r>
        <w:t xml:space="preserve">be filed on the other </w:t>
      </w:r>
      <w:r w:rsidRPr="005E134B">
        <w:t>party who is the subject of the appeal.</w:t>
      </w:r>
    </w:p>
    <w:p w:rsidR="0021341E" w:rsidRDefault="0021341E" w:rsidP="0021341E"/>
    <w:p w:rsidR="008D1DCC" w:rsidRDefault="008D1DCC" w:rsidP="0021341E">
      <w:r w:rsidRPr="005E134B">
        <w:t>The Court of Appeal</w:t>
      </w:r>
      <w:r w:rsidR="003B22F1">
        <w:t>’</w:t>
      </w:r>
      <w:r w:rsidRPr="005E134B">
        <w:t>s decision is final.</w:t>
      </w:r>
      <w:r w:rsidRPr="0021341E">
        <w:rPr>
          <w:rStyle w:val="FootnoteReference"/>
        </w:rPr>
        <w:footnoteReference w:id="149"/>
      </w:r>
    </w:p>
    <w:p w:rsidR="008D1DCC" w:rsidRDefault="008D1DCC" w:rsidP="0021341E"/>
    <w:p w:rsidR="003B22F1" w:rsidRDefault="008D1DCC" w:rsidP="0021341E">
      <w:pPr>
        <w:pStyle w:val="Heading2"/>
      </w:pPr>
      <w:bookmarkStart w:id="74" w:name="_Toc473538566"/>
      <w:r w:rsidRPr="00584182">
        <w:t>Prosecution for non-compliance</w:t>
      </w:r>
      <w:bookmarkEnd w:id="74"/>
    </w:p>
    <w:p w:rsidR="008D1DCC" w:rsidRPr="005E134B" w:rsidRDefault="008D1DCC" w:rsidP="0021341E">
      <w:r w:rsidRPr="005E134B">
        <w:t xml:space="preserve">If the behaviour of </w:t>
      </w:r>
      <w:r>
        <w:t xml:space="preserve">a </w:t>
      </w:r>
      <w:r w:rsidRPr="005E134B">
        <w:t>person who is s</w:t>
      </w:r>
      <w:r>
        <w:t xml:space="preserve">ubject to an </w:t>
      </w:r>
      <w:r w:rsidRPr="005E134B">
        <w:t xml:space="preserve">order warrants it, and taking account of the public health risk, </w:t>
      </w:r>
      <w:r>
        <w:t>a m</w:t>
      </w:r>
      <w:r w:rsidRPr="005E134B">
        <w:t>edical officer of health may consider prosecution for the offence of without reasonable excuse, intentionally fa</w:t>
      </w:r>
      <w:r>
        <w:t>iling to comply with an order.</w:t>
      </w:r>
      <w:r w:rsidRPr="0021341E">
        <w:rPr>
          <w:rStyle w:val="FootnoteReference"/>
        </w:rPr>
        <w:footnoteReference w:id="150"/>
      </w:r>
      <w:r>
        <w:t xml:space="preserve"> </w:t>
      </w:r>
      <w:r w:rsidRPr="005E134B">
        <w:t xml:space="preserve">On conviction, the </w:t>
      </w:r>
      <w:r>
        <w:t xml:space="preserve">person </w:t>
      </w:r>
      <w:r w:rsidRPr="005E134B">
        <w:t xml:space="preserve">may be subject to a maximum penalty of </w:t>
      </w:r>
      <w:r>
        <w:t xml:space="preserve">six </w:t>
      </w:r>
      <w:r w:rsidRPr="005E134B">
        <w:t>months imprisonment or a fine of up to $2,000.</w:t>
      </w:r>
    </w:p>
    <w:p w:rsidR="0021341E" w:rsidRDefault="0021341E" w:rsidP="0021341E"/>
    <w:p w:rsidR="003B22F1" w:rsidRDefault="008D1DCC" w:rsidP="0021341E">
      <w:r w:rsidRPr="005E134B">
        <w:t>The overall onus of proving the elements of the offence rests with the prosecution, and they must show both intention and lack of reasonable excuse as well as failure to comply.</w:t>
      </w:r>
    </w:p>
    <w:p w:rsidR="0021341E" w:rsidRDefault="0021341E" w:rsidP="0021341E"/>
    <w:p w:rsidR="003B22F1" w:rsidRDefault="008D1DCC" w:rsidP="0021341E">
      <w:r w:rsidRPr="005E134B">
        <w:t xml:space="preserve">In this context, </w:t>
      </w:r>
      <w:r w:rsidR="003B22F1">
        <w:t>‘</w:t>
      </w:r>
      <w:r w:rsidRPr="005E134B">
        <w:t>intention</w:t>
      </w:r>
      <w:r w:rsidR="003B22F1">
        <w:t>’</w:t>
      </w:r>
      <w:r>
        <w:t xml:space="preserve"> refers to a person foreseeing</w:t>
      </w:r>
      <w:r w:rsidRPr="005E134B">
        <w:t xml:space="preserve"> a consequence th</w:t>
      </w:r>
      <w:r>
        <w:t xml:space="preserve">ey intend will happen and want </w:t>
      </w:r>
      <w:r w:rsidRPr="005E134B">
        <w:t>to happen –</w:t>
      </w:r>
      <w:r>
        <w:t xml:space="preserve"> when that consequence</w:t>
      </w:r>
      <w:r w:rsidR="000A7518">
        <w:t xml:space="preserve"> is</w:t>
      </w:r>
      <w:r>
        <w:t xml:space="preserve"> </w:t>
      </w:r>
      <w:r w:rsidR="000A7518">
        <w:t xml:space="preserve">deliberately not compliant </w:t>
      </w:r>
      <w:r w:rsidRPr="005E134B">
        <w:t>with the conditions of the order.</w:t>
      </w:r>
    </w:p>
    <w:p w:rsidR="0021341E" w:rsidRDefault="0021341E" w:rsidP="0021341E"/>
    <w:p w:rsidR="008D1DCC" w:rsidRPr="005E134B" w:rsidRDefault="008D1DCC" w:rsidP="0021341E">
      <w:r>
        <w:t xml:space="preserve">What is a </w:t>
      </w:r>
      <w:r w:rsidR="003B22F1">
        <w:t>‘</w:t>
      </w:r>
      <w:r w:rsidRPr="005E134B">
        <w:t>reasonable excuse</w:t>
      </w:r>
      <w:r w:rsidR="003B22F1">
        <w:t>’</w:t>
      </w:r>
      <w:r w:rsidRPr="005E134B">
        <w:t xml:space="preserve"> depends on what a reasonable person would do in the circumstances</w:t>
      </w:r>
      <w:r>
        <w:t xml:space="preserve"> (eg, a </w:t>
      </w:r>
      <w:r w:rsidR="003B22F1">
        <w:t>‘</w:t>
      </w:r>
      <w:r>
        <w:t>reasonable excuse</w:t>
      </w:r>
      <w:r w:rsidR="003B22F1">
        <w:t>’</w:t>
      </w:r>
      <w:r>
        <w:t xml:space="preserve"> might be an accident preventing attendance at an examination).</w:t>
      </w:r>
    </w:p>
    <w:p w:rsidR="0021341E" w:rsidRDefault="0021341E" w:rsidP="0021341E"/>
    <w:p w:rsidR="003B22F1" w:rsidRDefault="008D1DCC" w:rsidP="0021341E">
      <w:r w:rsidRPr="005E134B">
        <w:t xml:space="preserve">When the person who is the subject of the order is under 16 or lacks legal capacity, their caregiver may be prosecuted if they intentionally obstruct compliance with </w:t>
      </w:r>
      <w:r>
        <w:t xml:space="preserve">an </w:t>
      </w:r>
      <w:r w:rsidRPr="005E134B">
        <w:t>order.</w:t>
      </w:r>
      <w:r w:rsidRPr="0021341E">
        <w:rPr>
          <w:rStyle w:val="FootnoteReference"/>
        </w:rPr>
        <w:footnoteReference w:id="151"/>
      </w:r>
      <w:r>
        <w:t xml:space="preserve"> </w:t>
      </w:r>
      <w:r w:rsidRPr="005E134B">
        <w:t xml:space="preserve">This measure </w:t>
      </w:r>
      <w:r>
        <w:t>protects</w:t>
      </w:r>
      <w:r w:rsidRPr="005E134B">
        <w:t xml:space="preserve"> the vulnerable and the</w:t>
      </w:r>
      <w:r>
        <w:t xml:space="preserve"> wider </w:t>
      </w:r>
      <w:r w:rsidRPr="005E134B">
        <w:t>community.</w:t>
      </w:r>
    </w:p>
    <w:p w:rsidR="0021341E" w:rsidRDefault="0021341E" w:rsidP="0021341E"/>
    <w:p w:rsidR="008D1DCC" w:rsidRPr="005E134B" w:rsidRDefault="008D1DCC" w:rsidP="0021341E">
      <w:r w:rsidRPr="005E134B">
        <w:t xml:space="preserve">Intentional obstruction could take many forms, </w:t>
      </w:r>
      <w:r>
        <w:t>including lyi</w:t>
      </w:r>
      <w:r w:rsidRPr="005E134B">
        <w:t>ng about test results</w:t>
      </w:r>
      <w:r>
        <w:t xml:space="preserve">, </w:t>
      </w:r>
      <w:r w:rsidRPr="005E134B">
        <w:t xml:space="preserve">preventing </w:t>
      </w:r>
      <w:r>
        <w:t xml:space="preserve">a vulnerable person </w:t>
      </w:r>
      <w:r w:rsidRPr="005E134B">
        <w:t xml:space="preserve">from getting medical treatment, confiscating their medication, or encouraging them to breach specific conditions of </w:t>
      </w:r>
      <w:r>
        <w:t xml:space="preserve">the order. </w:t>
      </w:r>
      <w:r w:rsidRPr="005E134B">
        <w:t>On conviction, the caregiver may be subject to a fine not exceeding $2,000.</w:t>
      </w:r>
    </w:p>
    <w:p w:rsidR="0021341E" w:rsidRDefault="0021341E" w:rsidP="0021341E"/>
    <w:p w:rsidR="008D1DCC" w:rsidRDefault="008D1DCC" w:rsidP="0021341E">
      <w:r w:rsidRPr="005E134B">
        <w:t xml:space="preserve">These offence provisions can apply to non-compliance with either </w:t>
      </w:r>
      <w:r>
        <w:t>c</w:t>
      </w:r>
      <w:r w:rsidRPr="005E134B">
        <w:t>ourt</w:t>
      </w:r>
      <w:r>
        <w:t>-</w:t>
      </w:r>
      <w:r w:rsidRPr="005E134B">
        <w:t xml:space="preserve">imposed orders or administratively imposed urgent public health orders </w:t>
      </w:r>
      <w:r>
        <w:t xml:space="preserve">(see chapter 10) </w:t>
      </w:r>
      <w:r w:rsidRPr="005E134B">
        <w:t>under Part 3A of the Act.</w:t>
      </w:r>
    </w:p>
    <w:p w:rsidR="0021341E" w:rsidRPr="005E134B" w:rsidRDefault="0021341E" w:rsidP="0021341E"/>
    <w:p w:rsidR="008D1DCC" w:rsidRPr="005E134B" w:rsidRDefault="008D1DCC" w:rsidP="0021341E">
      <w:r>
        <w:t>Medical officers of health should pursue th</w:t>
      </w:r>
      <w:r w:rsidRPr="005E134B">
        <w:t>e option of prosecution rarely.</w:t>
      </w:r>
      <w:r>
        <w:t xml:space="preserve"> In making this decision they should consider, among other things, whether there is </w:t>
      </w:r>
      <w:r w:rsidRPr="005E134B">
        <w:t xml:space="preserve">credible evidence </w:t>
      </w:r>
      <w:r>
        <w:t xml:space="preserve">that </w:t>
      </w:r>
      <w:r w:rsidRPr="005E134B">
        <w:t>an impartial judge or jury could reasonably be expected to find convincing beyond reasonable doubt.</w:t>
      </w:r>
    </w:p>
    <w:p w:rsidR="0021341E" w:rsidRDefault="0021341E" w:rsidP="0021341E"/>
    <w:p w:rsidR="008D1DCC" w:rsidRDefault="008D1DCC" w:rsidP="0021341E">
      <w:r w:rsidRPr="005E134B">
        <w:t>The Ministry of Healt</w:t>
      </w:r>
      <w:r>
        <w:t>h</w:t>
      </w:r>
      <w:r w:rsidR="003B22F1">
        <w:t>’</w:t>
      </w:r>
      <w:r>
        <w:t xml:space="preserve">s Prosecution Policy (see chapter 12) envisages </w:t>
      </w:r>
      <w:r w:rsidRPr="005E134B">
        <w:t>that potential prosecutions come through the Ministry</w:t>
      </w:r>
      <w:r w:rsidR="003B22F1">
        <w:t>’</w:t>
      </w:r>
      <w:r w:rsidRPr="005E134B">
        <w:t xml:space="preserve">s Enforcement Unit to ensure that any prosecution action is cost-effective, </w:t>
      </w:r>
      <w:r>
        <w:t>consistent, and fairly managed, and gives</w:t>
      </w:r>
      <w:r w:rsidRPr="005E134B">
        <w:t xml:space="preserve"> due consideration to each case on its own merits.</w:t>
      </w:r>
    </w:p>
    <w:p w:rsidR="008D1DCC" w:rsidRPr="005E134B" w:rsidRDefault="008D1DCC" w:rsidP="0021341E"/>
    <w:p w:rsidR="003B22F1" w:rsidRDefault="008D1DCC" w:rsidP="0021341E">
      <w:pPr>
        <w:pStyle w:val="Heading2"/>
      </w:pPr>
      <w:bookmarkStart w:id="75" w:name="_Toc473538567"/>
      <w:r w:rsidRPr="00584182">
        <w:t>Use of force</w:t>
      </w:r>
      <w:bookmarkEnd w:id="75"/>
    </w:p>
    <w:p w:rsidR="003B22F1" w:rsidRDefault="008D1DCC" w:rsidP="0021341E">
      <w:r>
        <w:t xml:space="preserve">In contrast to </w:t>
      </w:r>
      <w:r w:rsidRPr="005E134B">
        <w:t xml:space="preserve">directions, the </w:t>
      </w:r>
      <w:r>
        <w:t>m</w:t>
      </w:r>
      <w:r w:rsidRPr="005E134B">
        <w:t>edical officer of health can resort to force to ensure compliance with court orders when the force is reasonable in the circumstances.</w:t>
      </w:r>
      <w:r w:rsidRPr="00B33AED">
        <w:rPr>
          <w:rStyle w:val="FootnoteReference"/>
        </w:rPr>
        <w:footnoteReference w:id="152"/>
      </w:r>
      <w:r>
        <w:t xml:space="preserve"> However, f</w:t>
      </w:r>
      <w:r w:rsidRPr="005E134B">
        <w:t xml:space="preserve">orce may </w:t>
      </w:r>
      <w:r w:rsidR="00110523">
        <w:t xml:space="preserve">not </w:t>
      </w:r>
      <w:r w:rsidRPr="005E134B">
        <w:t>be used to require a person to accept medical treatment.</w:t>
      </w:r>
      <w:r w:rsidR="003B22F1">
        <w:t xml:space="preserve"> </w:t>
      </w:r>
      <w:r w:rsidRPr="005E134B">
        <w:t>This prohibition includes using force to ensure compliance with a public health order with a treatment condition.</w:t>
      </w:r>
      <w:r w:rsidRPr="00B33AED">
        <w:rPr>
          <w:rStyle w:val="FootnoteReference"/>
        </w:rPr>
        <w:footnoteReference w:id="153"/>
      </w:r>
      <w:r w:rsidRPr="005E134B">
        <w:t xml:space="preserve"> In requiring a person to comply with other types of court orders, </w:t>
      </w:r>
      <w:r>
        <w:t>a m</w:t>
      </w:r>
      <w:r w:rsidRPr="005E134B">
        <w:t>edical officer of health may be assiste</w:t>
      </w:r>
      <w:r>
        <w:t xml:space="preserve">d by any number of </w:t>
      </w:r>
      <w:r w:rsidR="00B33AED">
        <w:t>‘</w:t>
      </w:r>
      <w:r>
        <w:t>assistants</w:t>
      </w:r>
      <w:r w:rsidR="00B33AED">
        <w:t>’</w:t>
      </w:r>
      <w:r>
        <w:t xml:space="preserve"> – which the legislation states includes constables.</w:t>
      </w:r>
    </w:p>
    <w:p w:rsidR="00B33AED" w:rsidRDefault="00B33AED" w:rsidP="00B33AED"/>
    <w:p w:rsidR="003B22F1" w:rsidRDefault="008D1DCC" w:rsidP="00B33AED">
      <w:r w:rsidRPr="005E134B">
        <w:t xml:space="preserve">Several of the </w:t>
      </w:r>
      <w:r w:rsidRPr="00A871F4">
        <w:t>overarching principles</w:t>
      </w:r>
      <w:r w:rsidRPr="005E134B">
        <w:t xml:space="preserve"> </w:t>
      </w:r>
      <w:r>
        <w:t xml:space="preserve">(see chapter 4) </w:t>
      </w:r>
      <w:r w:rsidRPr="005E134B">
        <w:t>will be relevant to</w:t>
      </w:r>
      <w:r>
        <w:t xml:space="preserve"> a medical officer of health</w:t>
      </w:r>
      <w:r w:rsidR="003B22F1">
        <w:t>’</w:t>
      </w:r>
      <w:r>
        <w:t>s decision about whether to</w:t>
      </w:r>
      <w:r w:rsidRPr="005E134B">
        <w:t xml:space="preserve"> apply force, although there may be very little time </w:t>
      </w:r>
      <w:r w:rsidR="000A7518">
        <w:t xml:space="preserve">to </w:t>
      </w:r>
      <w:r w:rsidRPr="005E134B">
        <w:t>give</w:t>
      </w:r>
      <w:r>
        <w:t xml:space="preserve"> detailed consideration to these in a</w:t>
      </w:r>
      <w:r w:rsidRPr="005E134B">
        <w:t xml:space="preserve"> situation of urgency.</w:t>
      </w:r>
    </w:p>
    <w:p w:rsidR="00B33AED" w:rsidRDefault="00B33AED" w:rsidP="00B33AED"/>
    <w:p w:rsidR="008D1DCC" w:rsidRDefault="008D1DCC" w:rsidP="00B33AED">
      <w:r w:rsidRPr="005E134B">
        <w:t xml:space="preserve">When a </w:t>
      </w:r>
      <w:r>
        <w:t>m</w:t>
      </w:r>
      <w:r w:rsidRPr="005E134B">
        <w:t xml:space="preserve">edical officer of health uses force, </w:t>
      </w:r>
      <w:r>
        <w:t xml:space="preserve">he or she </w:t>
      </w:r>
      <w:r w:rsidRPr="005E134B">
        <w:t xml:space="preserve">must </w:t>
      </w:r>
      <w:r>
        <w:t xml:space="preserve">promptly report this to </w:t>
      </w:r>
      <w:r w:rsidRPr="005E134B">
        <w:t>the Director of Public Health.</w:t>
      </w:r>
    </w:p>
    <w:p w:rsidR="00B33AED" w:rsidRPr="005E134B" w:rsidRDefault="00B33AED" w:rsidP="00B33AED"/>
    <w:p w:rsidR="008D1DCC" w:rsidRPr="00584182" w:rsidRDefault="008D1DCC" w:rsidP="00B33AED">
      <w:pPr>
        <w:pStyle w:val="Heading2"/>
      </w:pPr>
      <w:bookmarkStart w:id="76" w:name="_Toc473538568"/>
      <w:r w:rsidRPr="00584182">
        <w:t>Confidentiality requirements</w:t>
      </w:r>
      <w:bookmarkEnd w:id="76"/>
    </w:p>
    <w:p w:rsidR="008D1DCC" w:rsidRPr="005E134B" w:rsidRDefault="008D1DCC" w:rsidP="00B33AED">
      <w:r>
        <w:t>No person may use or disclose in</w:t>
      </w:r>
      <w:r w:rsidRPr="005E134B">
        <w:t>formation provided or obtained under a court order under Part</w:t>
      </w:r>
      <w:r w:rsidR="00B33AED">
        <w:t> </w:t>
      </w:r>
      <w:r w:rsidRPr="005E134B">
        <w:t>3A of the Health Act except for the effective managem</w:t>
      </w:r>
      <w:r>
        <w:t>ent of infectious diseases. Th</w:t>
      </w:r>
      <w:r w:rsidRPr="005E134B">
        <w:t xml:space="preserve">e exceptions </w:t>
      </w:r>
      <w:r>
        <w:t xml:space="preserve">to this are </w:t>
      </w:r>
      <w:r w:rsidRPr="005E134B">
        <w:t xml:space="preserve">that the person the information is about can use or disclose it, </w:t>
      </w:r>
      <w:r>
        <w:t xml:space="preserve">along with </w:t>
      </w:r>
      <w:r w:rsidRPr="005E134B">
        <w:t>anyone else who is permitted to do so under an Act.</w:t>
      </w:r>
      <w:r w:rsidRPr="00B33AED">
        <w:rPr>
          <w:rStyle w:val="FootnoteReference"/>
        </w:rPr>
        <w:footnoteReference w:id="154"/>
      </w:r>
    </w:p>
    <w:p w:rsidR="008D1DCC" w:rsidRPr="005E134B" w:rsidRDefault="008D1DCC" w:rsidP="00B33AED"/>
    <w:p w:rsidR="008D1DCC" w:rsidRPr="005E134B" w:rsidRDefault="008D1DCC" w:rsidP="00B33AED">
      <w:r w:rsidRPr="005E134B">
        <w:t>As with appeals against directions, when a matter relating to a court order proceeds to court,</w:t>
      </w:r>
      <w:r w:rsidRPr="005E134B">
        <w:rPr>
          <w:i/>
        </w:rPr>
        <w:t xml:space="preserve"> </w:t>
      </w:r>
      <w:r>
        <w:t>unless the j</w:t>
      </w:r>
      <w:r w:rsidRPr="005E134B">
        <w:t>udge directs otherwise, only the following people may be present at the court hearing:</w:t>
      </w:r>
    </w:p>
    <w:p w:rsidR="008D1DCC" w:rsidRPr="005E134B" w:rsidRDefault="008D1DCC" w:rsidP="00B33AED">
      <w:pPr>
        <w:pStyle w:val="Bullet"/>
      </w:pPr>
      <w:r w:rsidRPr="005E134B">
        <w:t xml:space="preserve">the </w:t>
      </w:r>
      <w:r>
        <w:t>judge</w:t>
      </w:r>
    </w:p>
    <w:p w:rsidR="008D1DCC" w:rsidRPr="005E134B" w:rsidRDefault="008D1DCC" w:rsidP="00B33AED">
      <w:pPr>
        <w:pStyle w:val="Bullet"/>
      </w:pPr>
      <w:r>
        <w:t>officers of the court</w:t>
      </w:r>
    </w:p>
    <w:p w:rsidR="008D1DCC" w:rsidRPr="005E134B" w:rsidRDefault="008D1DCC" w:rsidP="00B33AED">
      <w:pPr>
        <w:pStyle w:val="Bullet"/>
      </w:pPr>
      <w:r w:rsidRPr="005E134B">
        <w:t xml:space="preserve">the parties and their </w:t>
      </w:r>
      <w:r>
        <w:t>lawyers</w:t>
      </w:r>
    </w:p>
    <w:p w:rsidR="008D1DCC" w:rsidRPr="005E134B" w:rsidRDefault="008D1DCC" w:rsidP="00B33AED">
      <w:pPr>
        <w:pStyle w:val="Bullet"/>
      </w:pPr>
      <w:r w:rsidRPr="005E134B">
        <w:t>any other person nominated by the individual who is the subject of the</w:t>
      </w:r>
      <w:r w:rsidR="003B22F1">
        <w:t xml:space="preserve"> </w:t>
      </w:r>
      <w:r w:rsidRPr="005E134B">
        <w:t>hearing</w:t>
      </w:r>
    </w:p>
    <w:p w:rsidR="008D1DCC" w:rsidRDefault="008D1DCC" w:rsidP="00B33AED">
      <w:pPr>
        <w:pStyle w:val="Bullet"/>
      </w:pPr>
      <w:r w:rsidRPr="007E5853">
        <w:t>witnesses</w:t>
      </w:r>
    </w:p>
    <w:p w:rsidR="008D1DCC" w:rsidRPr="007E5853" w:rsidRDefault="008D1DCC" w:rsidP="00B33AED">
      <w:pPr>
        <w:pStyle w:val="Bullet"/>
      </w:pPr>
      <w:r>
        <w:t>any other person the j</w:t>
      </w:r>
      <w:r w:rsidRPr="007E5853">
        <w:t>udge permits to be present.</w:t>
      </w:r>
      <w:r w:rsidRPr="00B33AED">
        <w:rPr>
          <w:rStyle w:val="FootnoteReference"/>
        </w:rPr>
        <w:footnoteReference w:id="155"/>
      </w:r>
    </w:p>
    <w:p w:rsidR="008D1DCC" w:rsidRPr="005E134B" w:rsidRDefault="008D1DCC" w:rsidP="00B33AED"/>
    <w:p w:rsidR="008D1DCC" w:rsidRPr="005E134B" w:rsidRDefault="008D1DCC" w:rsidP="00B33AED">
      <w:r w:rsidRPr="005E134B">
        <w:t xml:space="preserve">The </w:t>
      </w:r>
      <w:r>
        <w:t>j</w:t>
      </w:r>
      <w:r w:rsidRPr="005E134B">
        <w:t xml:space="preserve">udge may by order restrict or prohibit </w:t>
      </w:r>
      <w:r>
        <w:t xml:space="preserve">the </w:t>
      </w:r>
      <w:r w:rsidRPr="005E134B">
        <w:t>public availability of the court record and judgment.</w:t>
      </w:r>
    </w:p>
    <w:p w:rsidR="008D1DCC" w:rsidRDefault="008D1DCC" w:rsidP="00B33AED"/>
    <w:p w:rsidR="008D1DCC" w:rsidRPr="00715D69" w:rsidRDefault="008D1DCC" w:rsidP="00B33AED">
      <w:pPr>
        <w:pStyle w:val="Heading1"/>
      </w:pPr>
      <w:bookmarkStart w:id="77" w:name="_Toc473538569"/>
      <w:r w:rsidRPr="00715D69">
        <w:t>10</w:t>
      </w:r>
      <w:r w:rsidR="00B33AED">
        <w:tab/>
      </w:r>
      <w:r w:rsidRPr="00715D69">
        <w:t>Urgent public health orders</w:t>
      </w:r>
      <w:bookmarkEnd w:id="77"/>
    </w:p>
    <w:p w:rsidR="008D1DCC" w:rsidRPr="00584182" w:rsidRDefault="008D1DCC" w:rsidP="006A1A99">
      <w:pPr>
        <w:pStyle w:val="Heading2"/>
      </w:pPr>
      <w:bookmarkStart w:id="78" w:name="_Toc473538570"/>
      <w:r w:rsidRPr="00584182">
        <w:t>Nature of the order</w:t>
      </w:r>
      <w:bookmarkEnd w:id="78"/>
    </w:p>
    <w:p w:rsidR="008D1DCC" w:rsidRPr="005E134B" w:rsidRDefault="008D1DCC" w:rsidP="006A1A99">
      <w:r w:rsidRPr="005E134B">
        <w:t>An</w:t>
      </w:r>
      <w:r>
        <w:t xml:space="preserve"> urgent public health order is an</w:t>
      </w:r>
      <w:r w:rsidRPr="005E134B">
        <w:t xml:space="preserve"> administrative order imposed by a </w:t>
      </w:r>
      <w:r>
        <w:t>m</w:t>
      </w:r>
      <w:r w:rsidRPr="005E134B">
        <w:t>edical officer of health</w:t>
      </w:r>
      <w:r>
        <w:t xml:space="preserve">. Its purpose </w:t>
      </w:r>
      <w:r w:rsidRPr="005E134B">
        <w:t xml:space="preserve">is solely to detain </w:t>
      </w:r>
      <w:r>
        <w:t xml:space="preserve">the person it is given to </w:t>
      </w:r>
      <w:r w:rsidRPr="005E134B">
        <w:t>at a specified premises</w:t>
      </w:r>
      <w:r w:rsidR="000A7518">
        <w:t>,</w:t>
      </w:r>
      <w:r w:rsidRPr="005E134B">
        <w:t xml:space="preserve"> or a part of the premises</w:t>
      </w:r>
      <w:r w:rsidR="000A7518">
        <w:t>,</w:t>
      </w:r>
      <w:r w:rsidRPr="005E134B">
        <w:t xml:space="preserve"> for 72 hours.</w:t>
      </w:r>
      <w:r w:rsidRPr="006A1A99">
        <w:rPr>
          <w:rStyle w:val="FootnoteReference"/>
        </w:rPr>
        <w:footnoteReference w:id="156"/>
      </w:r>
    </w:p>
    <w:p w:rsidR="008D1DCC" w:rsidRPr="00584182" w:rsidRDefault="008D1DCC" w:rsidP="006A1A99"/>
    <w:p w:rsidR="008D1DCC" w:rsidRPr="00584182" w:rsidRDefault="008D1DCC" w:rsidP="006A1A99">
      <w:pPr>
        <w:pStyle w:val="Heading2"/>
      </w:pPr>
      <w:bookmarkStart w:id="79" w:name="_Toc473538571"/>
      <w:r w:rsidRPr="00584182">
        <w:t>When the order can be imposed</w:t>
      </w:r>
      <w:bookmarkEnd w:id="79"/>
    </w:p>
    <w:p w:rsidR="008D1DCC" w:rsidRPr="005E134B" w:rsidRDefault="008D1DCC" w:rsidP="006A1A99">
      <w:r>
        <w:t>A medical officer of health can give an urgent public health order when all of the following conditions are met:</w:t>
      </w:r>
    </w:p>
    <w:p w:rsidR="008D1DCC" w:rsidRPr="005E134B" w:rsidRDefault="006A1A99" w:rsidP="006A1A99">
      <w:pPr>
        <w:spacing w:before="120"/>
        <w:ind w:left="567" w:hanging="567"/>
      </w:pPr>
      <w:r>
        <w:t>(a)</w:t>
      </w:r>
      <w:r>
        <w:tab/>
      </w:r>
      <w:r w:rsidR="008D1DCC">
        <w:t xml:space="preserve">an </w:t>
      </w:r>
      <w:r w:rsidR="008D1DCC" w:rsidRPr="005E134B">
        <w:t>indivi</w:t>
      </w:r>
      <w:r w:rsidR="008D1DCC">
        <w:t>dual poses a public health risk</w:t>
      </w:r>
    </w:p>
    <w:p w:rsidR="008D1DCC" w:rsidRPr="005E134B" w:rsidRDefault="006A1A99" w:rsidP="006A1A99">
      <w:pPr>
        <w:spacing w:before="120"/>
        <w:ind w:left="567" w:hanging="567"/>
      </w:pPr>
      <w:r>
        <w:t>(b)</w:t>
      </w:r>
      <w:r>
        <w:tab/>
      </w:r>
      <w:r w:rsidR="008D1DCC" w:rsidRPr="005E134B">
        <w:t xml:space="preserve">the </w:t>
      </w:r>
      <w:r w:rsidR="008D1DCC">
        <w:t>m</w:t>
      </w:r>
      <w:r w:rsidR="008D1DCC" w:rsidRPr="005E134B">
        <w:t>edical officer of health cannot adequately manage th</w:t>
      </w:r>
      <w:r w:rsidR="008D1DCC">
        <w:t>at</w:t>
      </w:r>
      <w:r w:rsidR="008D1DCC" w:rsidRPr="005E134B">
        <w:t xml:space="preserve"> risk by giving a direction</w:t>
      </w:r>
    </w:p>
    <w:p w:rsidR="008D1DCC" w:rsidRPr="005E134B" w:rsidRDefault="006A1A99" w:rsidP="006A1A99">
      <w:pPr>
        <w:spacing w:before="120"/>
        <w:ind w:left="567" w:hanging="567"/>
      </w:pPr>
      <w:r>
        <w:t>(c)</w:t>
      </w:r>
      <w:r>
        <w:tab/>
      </w:r>
      <w:r w:rsidR="008D1DCC" w:rsidRPr="005E134B">
        <w:t xml:space="preserve">the </w:t>
      </w:r>
      <w:r w:rsidR="008D1DCC">
        <w:t>m</w:t>
      </w:r>
      <w:r w:rsidR="008D1DCC" w:rsidRPr="005E134B">
        <w:t>edical officer of health needs to take urgent action</w:t>
      </w:r>
      <w:r w:rsidR="008D1DCC">
        <w:t xml:space="preserve"> to address the risk</w:t>
      </w:r>
    </w:p>
    <w:p w:rsidR="008D1DCC" w:rsidRPr="005E134B" w:rsidRDefault="006A1A99" w:rsidP="006A1A99">
      <w:pPr>
        <w:spacing w:before="120"/>
        <w:ind w:left="567" w:hanging="567"/>
      </w:pPr>
      <w:r>
        <w:t>(d)</w:t>
      </w:r>
      <w:r>
        <w:tab/>
      </w:r>
      <w:r w:rsidR="008D1DCC" w:rsidRPr="005E134B">
        <w:t xml:space="preserve">it is not practicable for </w:t>
      </w:r>
      <w:r w:rsidR="008D1DCC">
        <w:t xml:space="preserve">the </w:t>
      </w:r>
      <w:r w:rsidR="008D1DCC" w:rsidRPr="005E134B">
        <w:t>District Court to decide an application for a public health order.</w:t>
      </w:r>
    </w:p>
    <w:p w:rsidR="008D1DCC" w:rsidRDefault="008D1DCC" w:rsidP="006A1A99"/>
    <w:p w:rsidR="008D1DCC" w:rsidRPr="005E134B" w:rsidRDefault="008D1DCC" w:rsidP="006A1A99">
      <w:r>
        <w:t>S</w:t>
      </w:r>
      <w:r w:rsidRPr="005E134B">
        <w:t xml:space="preserve">ituations </w:t>
      </w:r>
      <w:r>
        <w:t xml:space="preserve">in which a medical officer of health </w:t>
      </w:r>
      <w:r w:rsidRPr="005E134B">
        <w:t>cannot adequately</w:t>
      </w:r>
      <w:r>
        <w:t xml:space="preserve"> manage a risk by giving a direction (para (b) above)</w:t>
      </w:r>
      <w:r w:rsidRPr="005E134B">
        <w:t xml:space="preserve"> might include</w:t>
      </w:r>
      <w:r>
        <w:t xml:space="preserve"> where</w:t>
      </w:r>
      <w:r w:rsidRPr="005E134B">
        <w:t>:</w:t>
      </w:r>
    </w:p>
    <w:p w:rsidR="008D1DCC" w:rsidRPr="005E134B" w:rsidRDefault="008D1DCC" w:rsidP="006A1A99">
      <w:pPr>
        <w:pStyle w:val="Bullet"/>
      </w:pPr>
      <w:r>
        <w:t xml:space="preserve">the </w:t>
      </w:r>
      <w:r w:rsidRPr="005E134B">
        <w:t>suspected disease can be transmitted easily or quickly or can be very serio</w:t>
      </w:r>
      <w:r>
        <w:t>us (eg, meningococcal disease)</w:t>
      </w:r>
    </w:p>
    <w:p w:rsidR="008D1DCC" w:rsidRPr="005E134B" w:rsidRDefault="008D1DCC" w:rsidP="006A1A99">
      <w:pPr>
        <w:pStyle w:val="Bullet"/>
      </w:pPr>
      <w:r w:rsidRPr="005E134B">
        <w:t xml:space="preserve">the person is unlikely to comply with a direction to stay at home, and may need to be detained at a </w:t>
      </w:r>
      <w:r>
        <w:t>hospital or other institution</w:t>
      </w:r>
    </w:p>
    <w:p w:rsidR="008D1DCC" w:rsidRDefault="008D1DCC" w:rsidP="006A1A99">
      <w:pPr>
        <w:pStyle w:val="Bullet"/>
      </w:pPr>
      <w:r w:rsidRPr="005E134B">
        <w:t>the</w:t>
      </w:r>
      <w:r>
        <w:t xml:space="preserve"> person</w:t>
      </w:r>
      <w:r w:rsidR="003B22F1">
        <w:t>’</w:t>
      </w:r>
      <w:r>
        <w:t>s</w:t>
      </w:r>
      <w:r w:rsidRPr="005E134B">
        <w:t xml:space="preserve"> departure from New Zealand is imminent.</w:t>
      </w:r>
    </w:p>
    <w:p w:rsidR="008D1DCC" w:rsidRPr="002B46E8" w:rsidRDefault="008D1DCC" w:rsidP="006A1A99"/>
    <w:p w:rsidR="008D1DCC" w:rsidRPr="005E134B" w:rsidRDefault="008D1DCC" w:rsidP="006A1A99">
      <w:r w:rsidRPr="005E134B">
        <w:t xml:space="preserve">When </w:t>
      </w:r>
      <w:r>
        <w:t xml:space="preserve">a public health risk is not likely to cease </w:t>
      </w:r>
      <w:r w:rsidRPr="005E134B">
        <w:t>within the 72</w:t>
      </w:r>
      <w:r w:rsidR="000A7518">
        <w:t>-</w:t>
      </w:r>
      <w:r w:rsidRPr="005E134B">
        <w:t>hour period</w:t>
      </w:r>
      <w:r>
        <w:t xml:space="preserve"> of the order</w:t>
      </w:r>
      <w:r w:rsidRPr="005E134B">
        <w:t xml:space="preserve">, the </w:t>
      </w:r>
      <w:r>
        <w:t>m</w:t>
      </w:r>
      <w:r w:rsidRPr="005E134B">
        <w:t>edical officer of health</w:t>
      </w:r>
      <w:r>
        <w:t xml:space="preserve"> should use that time</w:t>
      </w:r>
      <w:r w:rsidRPr="005E134B">
        <w:t xml:space="preserve"> to prepare and submit an application to </w:t>
      </w:r>
      <w:r>
        <w:t xml:space="preserve">the </w:t>
      </w:r>
      <w:r w:rsidRPr="005E134B">
        <w:t>District Court for a public health order of longer duration.</w:t>
      </w:r>
      <w:r w:rsidRPr="006A1A99">
        <w:rPr>
          <w:rStyle w:val="FootnoteReference"/>
        </w:rPr>
        <w:footnoteReference w:id="157"/>
      </w:r>
      <w:r>
        <w:t xml:space="preserve"> This process should occur as quickly</w:t>
      </w:r>
      <w:r w:rsidRPr="005E134B">
        <w:t xml:space="preserve"> </w:t>
      </w:r>
      <w:r>
        <w:t xml:space="preserve">as possible, and the medical officer of health should request </w:t>
      </w:r>
      <w:r w:rsidRPr="005E134B">
        <w:t xml:space="preserve">urgency </w:t>
      </w:r>
      <w:r>
        <w:t>from the court.</w:t>
      </w:r>
      <w:r w:rsidR="003B22F1">
        <w:t xml:space="preserve"> </w:t>
      </w:r>
      <w:r>
        <w:t>I</w:t>
      </w:r>
      <w:r w:rsidRPr="005E134B">
        <w:t>f the court makes a decision on whether to grant a court order during the 72</w:t>
      </w:r>
      <w:r>
        <w:t>-</w:t>
      </w:r>
      <w:r w:rsidRPr="005E134B">
        <w:t xml:space="preserve">hour period </w:t>
      </w:r>
      <w:r>
        <w:t xml:space="preserve">during which </w:t>
      </w:r>
      <w:r w:rsidRPr="005E134B">
        <w:t>the person is subject to the urgent public health order, the latter ceases to have effect.</w:t>
      </w:r>
    </w:p>
    <w:p w:rsidR="008D1DCC" w:rsidRPr="005E134B" w:rsidRDefault="008D1DCC" w:rsidP="006A1A99"/>
    <w:p w:rsidR="003B22F1" w:rsidRDefault="008D1DCC" w:rsidP="006A1A99">
      <w:r>
        <w:t>Where a</w:t>
      </w:r>
      <w:r w:rsidRPr="005E134B">
        <w:t xml:space="preserve"> public health risk </w:t>
      </w:r>
      <w:r>
        <w:t>ceases</w:t>
      </w:r>
      <w:r w:rsidRPr="005E134B">
        <w:t xml:space="preserve"> </w:t>
      </w:r>
      <w:r>
        <w:t>within the 72-</w:t>
      </w:r>
      <w:r w:rsidR="000A7518">
        <w:t>hour</w:t>
      </w:r>
      <w:r>
        <w:t xml:space="preserve"> period (eg, because a laboratory confirms the person is not infectious), the medical officer of health should stop enforcing the order. In this case, there is no need to go </w:t>
      </w:r>
      <w:r w:rsidRPr="005E134B">
        <w:t>to the court to terminate the order as it is administratively imposed rather than court imposed.</w:t>
      </w:r>
    </w:p>
    <w:p w:rsidR="008D1DCC" w:rsidRDefault="008D1DCC" w:rsidP="006A1A99"/>
    <w:p w:rsidR="008D1DCC" w:rsidRPr="00584182" w:rsidRDefault="008D1DCC" w:rsidP="006A1A99">
      <w:pPr>
        <w:pStyle w:val="Heading2"/>
      </w:pPr>
      <w:bookmarkStart w:id="80" w:name="_Toc473538572"/>
      <w:r w:rsidRPr="00584182">
        <w:t>How the order is imposed</w:t>
      </w:r>
      <w:bookmarkEnd w:id="80"/>
    </w:p>
    <w:p w:rsidR="008D1DCC" w:rsidRPr="005E134B" w:rsidRDefault="008D1DCC" w:rsidP="006A1A99">
      <w:r w:rsidRPr="005E134B">
        <w:t xml:space="preserve">An urgent public health order must be in </w:t>
      </w:r>
      <w:r>
        <w:t xml:space="preserve">the form of a written notice (chapter 11 provides </w:t>
      </w:r>
      <w:r w:rsidRPr="005E134B">
        <w:t xml:space="preserve">a template for </w:t>
      </w:r>
      <w:r>
        <w:t>this)</w:t>
      </w:r>
      <w:r w:rsidRPr="005E134B">
        <w:t>.</w:t>
      </w:r>
      <w:r>
        <w:t xml:space="preserve"> T</w:t>
      </w:r>
      <w:r w:rsidRPr="005E134B">
        <w:t xml:space="preserve">he </w:t>
      </w:r>
      <w:r>
        <w:t xml:space="preserve">medical officer of health or another authorised person must give the notice to the </w:t>
      </w:r>
      <w:r w:rsidRPr="005E134B">
        <w:t>person, and the 72</w:t>
      </w:r>
      <w:r w:rsidR="006A1A99">
        <w:noBreakHyphen/>
      </w:r>
      <w:r w:rsidRPr="005E134B">
        <w:t>hour period starts fro</w:t>
      </w:r>
      <w:r>
        <w:t xml:space="preserve">m when the notice is given. On </w:t>
      </w:r>
      <w:r w:rsidRPr="005E134B">
        <w:t>expir</w:t>
      </w:r>
      <w:r>
        <w:t>y of the 72-hour period</w:t>
      </w:r>
      <w:r w:rsidRPr="005E134B">
        <w:t>, the order lapses and there is no remai</w:t>
      </w:r>
      <w:r>
        <w:t>ning power to detain the person.</w:t>
      </w:r>
      <w:r w:rsidRPr="006A1A99">
        <w:rPr>
          <w:rStyle w:val="FootnoteReference"/>
        </w:rPr>
        <w:footnoteReference w:id="158"/>
      </w:r>
      <w:r w:rsidRPr="005E134B">
        <w:t xml:space="preserve"> The</w:t>
      </w:r>
      <w:r>
        <w:t xml:space="preserve"> person</w:t>
      </w:r>
      <w:r w:rsidRPr="005E134B">
        <w:t xml:space="preserve"> will be free to go, unless in the interim the </w:t>
      </w:r>
      <w:r>
        <w:t>m</w:t>
      </w:r>
      <w:r w:rsidRPr="005E134B">
        <w:t>edical officer of health has</w:t>
      </w:r>
      <w:r>
        <w:t xml:space="preserve"> successfully obtained a</w:t>
      </w:r>
      <w:r w:rsidRPr="005E134B">
        <w:t xml:space="preserve"> court order to detain him or her.</w:t>
      </w:r>
    </w:p>
    <w:p w:rsidR="008D1DCC" w:rsidRPr="005E134B" w:rsidRDefault="008D1DCC" w:rsidP="006A1A99"/>
    <w:p w:rsidR="008D1DCC" w:rsidRPr="005E134B" w:rsidRDefault="008D1DCC" w:rsidP="006A1A99">
      <w:r>
        <w:t>The template for urgent public health orders has information accompanying it for those giving the order to convey to the people subject to it.</w:t>
      </w:r>
      <w:r w:rsidRPr="005E134B">
        <w:t xml:space="preserve"> This is not a substitute for </w:t>
      </w:r>
      <w:r>
        <w:t xml:space="preserve">verbally </w:t>
      </w:r>
      <w:r w:rsidRPr="005E134B">
        <w:t>explaining the order</w:t>
      </w:r>
      <w:r w:rsidR="003B22F1">
        <w:t>’</w:t>
      </w:r>
      <w:r w:rsidRPr="005E134B">
        <w:t>s nature and implications,</w:t>
      </w:r>
      <w:r>
        <w:t xml:space="preserve"> the</w:t>
      </w:r>
      <w:r w:rsidRPr="005E134B">
        <w:t xml:space="preserve"> safeguards, next steps, and </w:t>
      </w:r>
      <w:r>
        <w:t xml:space="preserve">relevant </w:t>
      </w:r>
      <w:r w:rsidRPr="005E134B">
        <w:t>clinical information about the suspected disease.</w:t>
      </w:r>
    </w:p>
    <w:p w:rsidR="008D1DCC" w:rsidRPr="005E134B" w:rsidRDefault="008D1DCC" w:rsidP="006A1A99"/>
    <w:p w:rsidR="008D1DCC" w:rsidRPr="005E134B" w:rsidRDefault="008D1DCC" w:rsidP="006A1A99">
      <w:r>
        <w:t>A</w:t>
      </w:r>
      <w:r w:rsidRPr="005E134B">
        <w:t xml:space="preserve"> person</w:t>
      </w:r>
      <w:r>
        <w:t xml:space="preserve"> giving an urgent public health order should promptly inform the person subject to it of certain matters, including:</w:t>
      </w:r>
      <w:r w:rsidRPr="006A1A99">
        <w:rPr>
          <w:rStyle w:val="FootnoteReference"/>
        </w:rPr>
        <w:footnoteReference w:id="159"/>
      </w:r>
    </w:p>
    <w:p w:rsidR="008D1DCC" w:rsidRPr="005E134B" w:rsidRDefault="008D1DCC" w:rsidP="006A1A99">
      <w:pPr>
        <w:pStyle w:val="Bullet"/>
      </w:pPr>
      <w:r w:rsidRPr="005E134B">
        <w:t>the nature of the or</w:t>
      </w:r>
      <w:r>
        <w:t>der and its implications for that person</w:t>
      </w:r>
    </w:p>
    <w:p w:rsidR="008D1DCC" w:rsidRPr="005E134B" w:rsidRDefault="008D1DCC" w:rsidP="006A1A99">
      <w:pPr>
        <w:pStyle w:val="Bullet"/>
      </w:pPr>
      <w:r w:rsidRPr="005E134B">
        <w:t xml:space="preserve">steps planned (eg, applying for a </w:t>
      </w:r>
      <w:r>
        <w:t>court order of longer duration)</w:t>
      </w:r>
    </w:p>
    <w:p w:rsidR="008D1DCC" w:rsidRPr="005E134B" w:rsidRDefault="008D1DCC" w:rsidP="006A1A99">
      <w:pPr>
        <w:pStyle w:val="Bullet"/>
      </w:pPr>
      <w:r w:rsidRPr="005E134B">
        <w:t>the right to apply for judicial review (which would not be heard in the 72 hour period, so is unlikely to</w:t>
      </w:r>
      <w:r>
        <w:t xml:space="preserve"> be feasible</w:t>
      </w:r>
      <w:r w:rsidRPr="005E134B">
        <w:t>). The right to seek a</w:t>
      </w:r>
      <w:r>
        <w:t xml:space="preserve"> </w:t>
      </w:r>
      <w:r w:rsidR="003B22F1">
        <w:t>‘</w:t>
      </w:r>
      <w:r w:rsidRPr="005E134B">
        <w:t>writ of habeas corpus</w:t>
      </w:r>
      <w:r w:rsidR="003B22F1">
        <w:t>’</w:t>
      </w:r>
      <w:r>
        <w:t xml:space="preserve"> </w:t>
      </w:r>
      <w:r w:rsidRPr="005E134B">
        <w:t xml:space="preserve">is relevant, however, and the information </w:t>
      </w:r>
      <w:r>
        <w:t xml:space="preserve">accompanying </w:t>
      </w:r>
      <w:r w:rsidRPr="005E134B">
        <w:t>the urgent public health order template</w:t>
      </w:r>
      <w:r>
        <w:t xml:space="preserve"> references it</w:t>
      </w:r>
      <w:r w:rsidRPr="006A1A99">
        <w:rPr>
          <w:rStyle w:val="FootnoteReference"/>
        </w:rPr>
        <w:footnoteReference w:id="160"/>
      </w:r>
    </w:p>
    <w:p w:rsidR="008D1DCC" w:rsidRPr="005E134B" w:rsidRDefault="008D1DCC" w:rsidP="006A1A99">
      <w:pPr>
        <w:pStyle w:val="Bullet"/>
      </w:pPr>
      <w:r>
        <w:t xml:space="preserve">any of </w:t>
      </w:r>
      <w:r w:rsidRPr="005E134B">
        <w:t xml:space="preserve">the following general information that the </w:t>
      </w:r>
      <w:r>
        <w:t>m</w:t>
      </w:r>
      <w:r w:rsidRPr="005E134B">
        <w:t>edical officer of health thinks relevant:</w:t>
      </w:r>
    </w:p>
    <w:p w:rsidR="008D1DCC" w:rsidRPr="005E134B" w:rsidRDefault="008D1DCC" w:rsidP="006A1A99">
      <w:pPr>
        <w:pStyle w:val="Dash"/>
      </w:pPr>
      <w:r w:rsidRPr="005E134B">
        <w:t xml:space="preserve">symptoms, diagnosis, and treatment of </w:t>
      </w:r>
      <w:r>
        <w:t>the relevant infectious disease</w:t>
      </w:r>
    </w:p>
    <w:p w:rsidR="008D1DCC" w:rsidRPr="005E134B" w:rsidRDefault="008D1DCC" w:rsidP="006A1A99">
      <w:pPr>
        <w:pStyle w:val="Dash"/>
      </w:pPr>
      <w:r w:rsidRPr="005E134B">
        <w:t>how the risk of onset or transmission of the relevant infec</w:t>
      </w:r>
      <w:r>
        <w:t>tious disease may be minimised</w:t>
      </w:r>
    </w:p>
    <w:p w:rsidR="003B22F1" w:rsidRDefault="008D1DCC" w:rsidP="006A1A99">
      <w:pPr>
        <w:pStyle w:val="Bullet"/>
      </w:pPr>
      <w:r w:rsidRPr="005E134B">
        <w:t>how to seek further information or the assistance of an interpreter or a patient support advocate, if relevant</w:t>
      </w:r>
    </w:p>
    <w:p w:rsidR="008D1DCC" w:rsidRPr="005E134B" w:rsidRDefault="008D1DCC" w:rsidP="006A1A99">
      <w:pPr>
        <w:pStyle w:val="Bullet"/>
      </w:pPr>
      <w:r w:rsidRPr="005E134B">
        <w:t>how to seek information about obtaining legal aid.</w:t>
      </w:r>
      <w:r w:rsidRPr="006A1A99">
        <w:rPr>
          <w:rStyle w:val="FootnoteReference"/>
        </w:rPr>
        <w:footnoteReference w:id="161"/>
      </w:r>
    </w:p>
    <w:p w:rsidR="008D1DCC" w:rsidRPr="005E134B" w:rsidRDefault="008D1DCC" w:rsidP="006A1A99"/>
    <w:p w:rsidR="008D1DCC" w:rsidRPr="005E134B" w:rsidRDefault="008D1DCC" w:rsidP="006A1A99">
      <w:r w:rsidRPr="005E134B">
        <w:t xml:space="preserve">This </w:t>
      </w:r>
      <w:r>
        <w:t xml:space="preserve">person </w:t>
      </w:r>
      <w:r w:rsidR="00713365">
        <w:t xml:space="preserve">must </w:t>
      </w:r>
      <w:r>
        <w:t>receive this information at the time</w:t>
      </w:r>
      <w:r w:rsidR="00713365">
        <w:t xml:space="preserve"> (or promptly after)</w:t>
      </w:r>
      <w:r>
        <w:t xml:space="preserve"> they receive the public health order</w:t>
      </w:r>
      <w:r w:rsidRPr="005E134B">
        <w:t>.</w:t>
      </w:r>
      <w:r w:rsidRPr="006A1A99">
        <w:rPr>
          <w:rStyle w:val="FootnoteReference"/>
        </w:rPr>
        <w:footnoteReference w:id="162"/>
      </w:r>
    </w:p>
    <w:p w:rsidR="008D1DCC" w:rsidRPr="005E134B" w:rsidRDefault="008D1DCC" w:rsidP="006A1A99"/>
    <w:p w:rsidR="006A1A99" w:rsidRPr="00031C0E" w:rsidRDefault="006A1A99" w:rsidP="006A1A99">
      <w:pPr>
        <w:pStyle w:val="BoxHeading"/>
      </w:pPr>
      <w:r w:rsidRPr="00031C0E">
        <w:t>Scenario 1</w:t>
      </w:r>
    </w:p>
    <w:p w:rsidR="006A1A99" w:rsidRPr="005E134B" w:rsidRDefault="006A1A99" w:rsidP="006A1A99">
      <w:pPr>
        <w:pStyle w:val="Box"/>
        <w:keepNext/>
      </w:pPr>
      <w:r w:rsidRPr="005E134B">
        <w:t>Lei travels from Bali to New Zealand on Qantas and books into a downtown Auckland hotel. He goes out to play cards and gamble at the Casino, despite feeling feverish, p</w:t>
      </w:r>
      <w:r>
        <w:t>utting it down to the nearly 10-</w:t>
      </w:r>
      <w:r w:rsidRPr="005E134B">
        <w:t xml:space="preserve">hour flight he has just come off. </w:t>
      </w:r>
      <w:r>
        <w:t xml:space="preserve">Some hours later, having drunk </w:t>
      </w:r>
      <w:r w:rsidRPr="005E134B">
        <w:t xml:space="preserve">several whiskies he totters back to the Hotel. The next morning </w:t>
      </w:r>
      <w:r>
        <w:t xml:space="preserve">the bellhop finds him in the lobby, </w:t>
      </w:r>
      <w:r w:rsidRPr="005E134B">
        <w:t>very much the worse for wear and with a measles</w:t>
      </w:r>
      <w:r>
        <w:t>-</w:t>
      </w:r>
      <w:r w:rsidRPr="005E134B">
        <w:t>like rash. A doctor examines the case,</w:t>
      </w:r>
      <w:r>
        <w:t xml:space="preserve"> </w:t>
      </w:r>
      <w:r w:rsidRPr="005E134B">
        <w:t>suspects measles and notifies the</w:t>
      </w:r>
      <w:r>
        <w:t xml:space="preserve"> m</w:t>
      </w:r>
      <w:r w:rsidRPr="005E134B">
        <w:t xml:space="preserve">edical officer of health. The </w:t>
      </w:r>
      <w:r>
        <w:t>m</w:t>
      </w:r>
      <w:r w:rsidRPr="005E134B">
        <w:t>edical officer of health asks Lei to stay in quarantine at the hotel until the infection risk has passed.</w:t>
      </w:r>
      <w:r>
        <w:t xml:space="preserve"> </w:t>
      </w:r>
      <w:r w:rsidRPr="005E134B">
        <w:t>Lei has travel insurance and agrees to do so.</w:t>
      </w:r>
    </w:p>
    <w:p w:rsidR="006A1A99" w:rsidRPr="005E134B" w:rsidRDefault="006A1A99" w:rsidP="006A1A99">
      <w:pPr>
        <w:pStyle w:val="Box"/>
        <w:keepLines/>
      </w:pPr>
      <w:r w:rsidRPr="005E134B">
        <w:t xml:space="preserve">The </w:t>
      </w:r>
      <w:r>
        <w:t>m</w:t>
      </w:r>
      <w:r w:rsidRPr="005E134B">
        <w:t xml:space="preserve">edical officer of health obtains information on the potential contacts </w:t>
      </w:r>
      <w:r>
        <w:t xml:space="preserve">– passengers </w:t>
      </w:r>
      <w:r w:rsidRPr="005E134B">
        <w:t xml:space="preserve">from the flight Lei was on. </w:t>
      </w:r>
      <w:r>
        <w:t xml:space="preserve">She </w:t>
      </w:r>
      <w:r w:rsidRPr="005E134B">
        <w:t xml:space="preserve">approaches the Casino and the hotel and makes enquiries about staff and customers </w:t>
      </w:r>
      <w:r>
        <w:t xml:space="preserve">who may have come into contact </w:t>
      </w:r>
      <w:r w:rsidRPr="005E134B">
        <w:t>with Lei</w:t>
      </w:r>
      <w:r>
        <w:t>,</w:t>
      </w:r>
      <w:r w:rsidRPr="005E134B">
        <w:t xml:space="preserve"> but abandons these lines of enquiry as the contacts hav</w:t>
      </w:r>
      <w:r>
        <w:t xml:space="preserve">e been infrequent and diffuse. </w:t>
      </w:r>
      <w:r w:rsidRPr="005E134B">
        <w:t>As a precaution</w:t>
      </w:r>
      <w:r>
        <w:t>,</w:t>
      </w:r>
      <w:r w:rsidRPr="005E134B">
        <w:t xml:space="preserve"> she leaves some pamphlets about measles at the Casino and at the </w:t>
      </w:r>
      <w:r>
        <w:t>h</w:t>
      </w:r>
      <w:r w:rsidRPr="005E134B">
        <w:t>otel. The media also runs stories on the disease risk Lei poses.</w:t>
      </w:r>
    </w:p>
    <w:p w:rsidR="006A1A99" w:rsidRPr="005E134B" w:rsidRDefault="006A1A99" w:rsidP="006A1A99">
      <w:pPr>
        <w:pStyle w:val="Box"/>
      </w:pPr>
      <w:r w:rsidRPr="005E134B">
        <w:t>Despite Lei</w:t>
      </w:r>
      <w:r>
        <w:t>’</w:t>
      </w:r>
      <w:r w:rsidRPr="005E134B">
        <w:t xml:space="preserve">s agreement to say in his </w:t>
      </w:r>
      <w:r>
        <w:t>h</w:t>
      </w:r>
      <w:r w:rsidRPr="005E134B">
        <w:t xml:space="preserve">otel, he makes a couple of trips out, including to the Casino. Both the </w:t>
      </w:r>
      <w:r>
        <w:t>h</w:t>
      </w:r>
      <w:r w:rsidRPr="005E134B">
        <w:t xml:space="preserve">otel and Casino alert the </w:t>
      </w:r>
      <w:r>
        <w:t>m</w:t>
      </w:r>
      <w:r w:rsidRPr="005E134B">
        <w:t>edical officer of health of this</w:t>
      </w:r>
      <w:r>
        <w:t>. S</w:t>
      </w:r>
      <w:r w:rsidRPr="005E134B">
        <w:t>he visits Lei and serves him with an urgent public health order detaining him in isolation in the hotel for 72</w:t>
      </w:r>
      <w:r>
        <w:t xml:space="preserve"> hours, until she can obtain a c</w:t>
      </w:r>
      <w:r w:rsidRPr="005E134B">
        <w:t>ourt order. Lei ignores the order, checks out of his hotel in the middle of the night and takes a flight on Singapore Airlines to Singapore.</w:t>
      </w:r>
    </w:p>
    <w:p w:rsidR="006A1A99" w:rsidRPr="005E134B" w:rsidRDefault="006A1A99" w:rsidP="006A1A99">
      <w:pPr>
        <w:pStyle w:val="Box"/>
      </w:pPr>
      <w:r w:rsidRPr="005E134B">
        <w:t xml:space="preserve">Although the </w:t>
      </w:r>
      <w:r>
        <w:t>m</w:t>
      </w:r>
      <w:r w:rsidRPr="005E134B">
        <w:t>edical officer of health has no disease management powers outside of New Zealand, as a good global health citizen she alerts Singapore Airlines to the disease risk Lei poses. She also notifies the National Focal Point at the Ministry of Health who then notifies the National Focal Point in Singapore.</w:t>
      </w:r>
    </w:p>
    <w:p w:rsidR="008D1DCC" w:rsidRPr="005E134B" w:rsidRDefault="008D1DCC" w:rsidP="006A1A99"/>
    <w:p w:rsidR="006A1A99" w:rsidRDefault="006A1A99" w:rsidP="007227C6">
      <w:pPr>
        <w:pStyle w:val="BoxHeading"/>
        <w:keepLines/>
      </w:pPr>
      <w:r w:rsidRPr="00031C0E">
        <w:t>Scenario 2</w:t>
      </w:r>
    </w:p>
    <w:p w:rsidR="006A1A99" w:rsidRPr="005E134B" w:rsidRDefault="006A1A99" w:rsidP="007227C6">
      <w:pPr>
        <w:pStyle w:val="Box"/>
        <w:keepNext/>
        <w:keepLines/>
        <w:rPr>
          <w:rFonts w:cs="Arial"/>
          <w:szCs w:val="24"/>
        </w:rPr>
      </w:pPr>
      <w:r w:rsidRPr="005E134B">
        <w:rPr>
          <w:rFonts w:cs="Arial"/>
          <w:szCs w:val="24"/>
        </w:rPr>
        <w:t>Patricia regularly flies back and forth between Papua New Guinea and Auckland, as she has relatives and business ties in both places.</w:t>
      </w:r>
      <w:r>
        <w:rPr>
          <w:rFonts w:cs="Arial"/>
          <w:szCs w:val="24"/>
        </w:rPr>
        <w:t xml:space="preserve"> </w:t>
      </w:r>
      <w:r w:rsidRPr="005E134B">
        <w:rPr>
          <w:rFonts w:cs="Arial"/>
          <w:szCs w:val="24"/>
        </w:rPr>
        <w:t>Her home base and immediate family are in New Zealand.</w:t>
      </w:r>
      <w:r>
        <w:rPr>
          <w:rFonts w:cs="Arial"/>
          <w:szCs w:val="24"/>
        </w:rPr>
        <w:t xml:space="preserve"> </w:t>
      </w:r>
      <w:r w:rsidRPr="005E134B">
        <w:rPr>
          <w:rFonts w:cs="Arial"/>
          <w:szCs w:val="24"/>
        </w:rPr>
        <w:t>As a teenager Patricia had a significant Mantoux test</w:t>
      </w:r>
      <w:r w:rsidRPr="006A1A99">
        <w:rPr>
          <w:rStyle w:val="FootnoteReference"/>
        </w:rPr>
        <w:footnoteReference w:id="163"/>
      </w:r>
      <w:r>
        <w:rPr>
          <w:rFonts w:cs="Arial"/>
          <w:szCs w:val="24"/>
        </w:rPr>
        <w:t xml:space="preserve"> </w:t>
      </w:r>
      <w:r w:rsidRPr="005E134B">
        <w:rPr>
          <w:rFonts w:cs="Arial"/>
          <w:szCs w:val="24"/>
        </w:rPr>
        <w:t>reaction</w:t>
      </w:r>
      <w:r>
        <w:rPr>
          <w:rFonts w:cs="Arial"/>
          <w:szCs w:val="24"/>
        </w:rPr>
        <w:t>. However, she</w:t>
      </w:r>
      <w:r w:rsidRPr="005E134B">
        <w:rPr>
          <w:rFonts w:cs="Arial"/>
          <w:szCs w:val="24"/>
        </w:rPr>
        <w:t xml:space="preserve"> has not had any symptoms consistent with active TB in her adult life until recently.</w:t>
      </w:r>
      <w:r>
        <w:rPr>
          <w:rFonts w:cs="Arial"/>
          <w:szCs w:val="24"/>
        </w:rPr>
        <w:t xml:space="preserve"> </w:t>
      </w:r>
      <w:r w:rsidRPr="005E134B">
        <w:rPr>
          <w:rFonts w:cs="Arial"/>
          <w:szCs w:val="24"/>
        </w:rPr>
        <w:t>At the age of 30</w:t>
      </w:r>
      <w:r>
        <w:rPr>
          <w:rFonts w:cs="Arial"/>
          <w:szCs w:val="24"/>
        </w:rPr>
        <w:t>,</w:t>
      </w:r>
      <w:r w:rsidRPr="005E134B">
        <w:rPr>
          <w:rFonts w:cs="Arial"/>
          <w:szCs w:val="24"/>
        </w:rPr>
        <w:t xml:space="preserve"> Patricia was diag</w:t>
      </w:r>
      <w:r>
        <w:rPr>
          <w:rFonts w:cs="Arial"/>
          <w:szCs w:val="24"/>
        </w:rPr>
        <w:t>nosed with HIV (her case has been notified),</w:t>
      </w:r>
      <w:r w:rsidRPr="005E134B">
        <w:rPr>
          <w:rFonts w:cs="Arial"/>
          <w:szCs w:val="24"/>
        </w:rPr>
        <w:t xml:space="preserve"> and </w:t>
      </w:r>
      <w:r>
        <w:rPr>
          <w:rFonts w:cs="Arial"/>
          <w:szCs w:val="24"/>
        </w:rPr>
        <w:t xml:space="preserve">she </w:t>
      </w:r>
      <w:r w:rsidRPr="005E134B">
        <w:rPr>
          <w:rFonts w:cs="Arial"/>
          <w:szCs w:val="24"/>
        </w:rPr>
        <w:t>is being treated for that disease.</w:t>
      </w:r>
      <w:r>
        <w:rPr>
          <w:rFonts w:cs="Arial"/>
          <w:szCs w:val="24"/>
        </w:rPr>
        <w:t xml:space="preserve"> </w:t>
      </w:r>
      <w:r w:rsidRPr="005E134B">
        <w:rPr>
          <w:rFonts w:cs="Arial"/>
          <w:szCs w:val="24"/>
        </w:rPr>
        <w:t>Patricia is now 32</w:t>
      </w:r>
      <w:r>
        <w:rPr>
          <w:rFonts w:cs="Arial"/>
          <w:szCs w:val="24"/>
        </w:rPr>
        <w:t>. S</w:t>
      </w:r>
      <w:r w:rsidRPr="005E134B">
        <w:rPr>
          <w:rFonts w:cs="Arial"/>
          <w:szCs w:val="24"/>
        </w:rPr>
        <w:t>he has lost a considerable amount of weight and energy in recent times</w:t>
      </w:r>
      <w:r>
        <w:rPr>
          <w:rFonts w:cs="Arial"/>
          <w:szCs w:val="24"/>
        </w:rPr>
        <w:t>. When she develops night sweats, she visits her doctors</w:t>
      </w:r>
      <w:r w:rsidRPr="005E134B">
        <w:rPr>
          <w:rFonts w:cs="Arial"/>
          <w:szCs w:val="24"/>
        </w:rPr>
        <w:t>.</w:t>
      </w:r>
      <w:r>
        <w:rPr>
          <w:rFonts w:cs="Arial"/>
          <w:szCs w:val="24"/>
        </w:rPr>
        <w:t xml:space="preserve"> </w:t>
      </w:r>
      <w:r w:rsidRPr="005E134B">
        <w:rPr>
          <w:rFonts w:cs="Arial"/>
          <w:szCs w:val="24"/>
        </w:rPr>
        <w:t xml:space="preserve">The doctor suspects a case of pulmonary tuberculosis, and notifies the case, </w:t>
      </w:r>
      <w:r>
        <w:rPr>
          <w:rFonts w:cs="Arial"/>
          <w:szCs w:val="24"/>
        </w:rPr>
        <w:t xml:space="preserve">and notes that he lacks </w:t>
      </w:r>
      <w:r w:rsidRPr="005E134B">
        <w:rPr>
          <w:rFonts w:cs="Arial"/>
          <w:szCs w:val="24"/>
        </w:rPr>
        <w:t>information to classify it as a confirmed case of TB.</w:t>
      </w:r>
      <w:r>
        <w:rPr>
          <w:rFonts w:cs="Arial"/>
          <w:szCs w:val="24"/>
        </w:rPr>
        <w:t xml:space="preserve"> </w:t>
      </w:r>
      <w:r w:rsidRPr="005E134B">
        <w:rPr>
          <w:rFonts w:cs="Arial"/>
          <w:szCs w:val="24"/>
        </w:rPr>
        <w:t>The doctor asks for chest X</w:t>
      </w:r>
      <w:r>
        <w:rPr>
          <w:rFonts w:cs="Arial"/>
          <w:szCs w:val="24"/>
        </w:rPr>
        <w:noBreakHyphen/>
      </w:r>
      <w:r w:rsidRPr="005E134B">
        <w:rPr>
          <w:rFonts w:cs="Arial"/>
          <w:szCs w:val="24"/>
        </w:rPr>
        <w:t>rays</w:t>
      </w:r>
      <w:r w:rsidR="00F763DC">
        <w:rPr>
          <w:rFonts w:cs="Arial"/>
          <w:szCs w:val="24"/>
        </w:rPr>
        <w:t xml:space="preserve"> and</w:t>
      </w:r>
      <w:r w:rsidRPr="005E134B">
        <w:rPr>
          <w:rFonts w:cs="Arial"/>
          <w:szCs w:val="24"/>
        </w:rPr>
        <w:t xml:space="preserve"> sends sputum tests to the laboratory</w:t>
      </w:r>
      <w:r>
        <w:rPr>
          <w:rFonts w:cs="Arial"/>
          <w:szCs w:val="24"/>
        </w:rPr>
        <w:t>. A</w:t>
      </w:r>
      <w:r w:rsidRPr="005E134B">
        <w:rPr>
          <w:rFonts w:cs="Arial"/>
          <w:szCs w:val="24"/>
        </w:rPr>
        <w:t>s a precaution</w:t>
      </w:r>
      <w:r>
        <w:rPr>
          <w:rFonts w:cs="Arial"/>
          <w:szCs w:val="24"/>
        </w:rPr>
        <w:t xml:space="preserve">, he also </w:t>
      </w:r>
      <w:r w:rsidRPr="005E134B">
        <w:rPr>
          <w:rFonts w:cs="Arial"/>
          <w:szCs w:val="24"/>
        </w:rPr>
        <w:t>starts Patricia on full anti-</w:t>
      </w:r>
      <w:r w:rsidR="003C1A68" w:rsidRPr="005E134B">
        <w:rPr>
          <w:rFonts w:cs="Arial"/>
          <w:szCs w:val="24"/>
        </w:rPr>
        <w:t>tub</w:t>
      </w:r>
      <w:r w:rsidR="003C1A68">
        <w:rPr>
          <w:rFonts w:cs="Arial"/>
          <w:szCs w:val="24"/>
        </w:rPr>
        <w:t>erculosis</w:t>
      </w:r>
      <w:r>
        <w:rPr>
          <w:rFonts w:cs="Arial"/>
          <w:szCs w:val="24"/>
        </w:rPr>
        <w:t xml:space="preserve"> treatment. He </w:t>
      </w:r>
      <w:r w:rsidRPr="005E134B">
        <w:rPr>
          <w:rFonts w:cs="Arial"/>
          <w:szCs w:val="24"/>
        </w:rPr>
        <w:t>instructs her not to travel pending the results.</w:t>
      </w:r>
    </w:p>
    <w:p w:rsidR="006A1A99" w:rsidRDefault="006A1A99" w:rsidP="007227C6">
      <w:pPr>
        <w:pStyle w:val="Box"/>
        <w:keepNext/>
        <w:keepLines/>
        <w:rPr>
          <w:rFonts w:cs="Arial"/>
          <w:szCs w:val="24"/>
        </w:rPr>
      </w:pPr>
      <w:r w:rsidRPr="005E134B">
        <w:rPr>
          <w:rFonts w:cs="Arial"/>
          <w:szCs w:val="24"/>
        </w:rPr>
        <w:t xml:space="preserve">Patricia has pressing business in Papua New Guinea, and there is a possibility that without her personal intervention and presence there her business will fold. She discounts her infection risk and risk </w:t>
      </w:r>
      <w:r>
        <w:rPr>
          <w:rFonts w:cs="Arial"/>
          <w:szCs w:val="24"/>
        </w:rPr>
        <w:t xml:space="preserve">to herself </w:t>
      </w:r>
      <w:r w:rsidRPr="005E134B">
        <w:rPr>
          <w:rFonts w:cs="Arial"/>
          <w:szCs w:val="24"/>
        </w:rPr>
        <w:t>on the basis that she is already taking treatment, and decides to ignore her doctor</w:t>
      </w:r>
      <w:r>
        <w:rPr>
          <w:rFonts w:cs="Arial"/>
          <w:szCs w:val="24"/>
        </w:rPr>
        <w:t>’</w:t>
      </w:r>
      <w:r w:rsidRPr="005E134B">
        <w:rPr>
          <w:rFonts w:cs="Arial"/>
          <w:szCs w:val="24"/>
        </w:rPr>
        <w:t>s instructions</w:t>
      </w:r>
      <w:r>
        <w:rPr>
          <w:rFonts w:cs="Arial"/>
          <w:szCs w:val="24"/>
        </w:rPr>
        <w:t>. She</w:t>
      </w:r>
      <w:r w:rsidRPr="005E134B">
        <w:rPr>
          <w:rFonts w:cs="Arial"/>
          <w:szCs w:val="24"/>
        </w:rPr>
        <w:t xml:space="preserve"> makes hasty arrangements to go back to Papua New Guinea. Her husband, very concerned for her safety and that of fa</w:t>
      </w:r>
      <w:r>
        <w:rPr>
          <w:rFonts w:cs="Arial"/>
          <w:szCs w:val="24"/>
        </w:rPr>
        <w:t xml:space="preserve">mily in Papua New Guinea, </w:t>
      </w:r>
      <w:r w:rsidRPr="005E134B">
        <w:rPr>
          <w:rFonts w:cs="Arial"/>
          <w:szCs w:val="24"/>
        </w:rPr>
        <w:t xml:space="preserve">tips off the doctor that Patricia is </w:t>
      </w:r>
      <w:r>
        <w:rPr>
          <w:rFonts w:cs="Arial"/>
          <w:szCs w:val="24"/>
        </w:rPr>
        <w:t xml:space="preserve">planning </w:t>
      </w:r>
      <w:r w:rsidRPr="005E134B">
        <w:rPr>
          <w:rFonts w:cs="Arial"/>
          <w:szCs w:val="24"/>
        </w:rPr>
        <w:t>to get on a p</w:t>
      </w:r>
      <w:r>
        <w:rPr>
          <w:rFonts w:cs="Arial"/>
          <w:szCs w:val="24"/>
        </w:rPr>
        <w:t xml:space="preserve">lane later that day. The doctor, </w:t>
      </w:r>
      <w:r w:rsidRPr="005E134B">
        <w:rPr>
          <w:rFonts w:cs="Arial"/>
          <w:szCs w:val="24"/>
        </w:rPr>
        <w:t>having already notified a suspect case of TB, quickly telephon</w:t>
      </w:r>
      <w:r>
        <w:rPr>
          <w:rFonts w:cs="Arial"/>
          <w:szCs w:val="24"/>
        </w:rPr>
        <w:t>es</w:t>
      </w:r>
      <w:r w:rsidRPr="005E134B">
        <w:rPr>
          <w:rFonts w:cs="Arial"/>
          <w:szCs w:val="24"/>
        </w:rPr>
        <w:t xml:space="preserve"> the local </w:t>
      </w:r>
      <w:r>
        <w:rPr>
          <w:rFonts w:cs="Arial"/>
          <w:szCs w:val="24"/>
        </w:rPr>
        <w:t>m</w:t>
      </w:r>
      <w:r w:rsidRPr="005E134B">
        <w:rPr>
          <w:rFonts w:cs="Arial"/>
          <w:szCs w:val="24"/>
        </w:rPr>
        <w:t>edical officer of health</w:t>
      </w:r>
      <w:r>
        <w:rPr>
          <w:rFonts w:cs="Arial"/>
          <w:szCs w:val="24"/>
        </w:rPr>
        <w:t xml:space="preserve"> who hurries </w:t>
      </w:r>
      <w:r w:rsidRPr="005E134B">
        <w:rPr>
          <w:rFonts w:cs="Arial"/>
          <w:szCs w:val="24"/>
        </w:rPr>
        <w:t xml:space="preserve">to the airport with an urgent public health order for Patricia. The effect of this is to detain </w:t>
      </w:r>
      <w:r>
        <w:rPr>
          <w:rFonts w:cs="Arial"/>
          <w:szCs w:val="24"/>
        </w:rPr>
        <w:t xml:space="preserve">Patricia </w:t>
      </w:r>
      <w:r w:rsidRPr="005E134B">
        <w:rPr>
          <w:rFonts w:cs="Arial"/>
          <w:szCs w:val="24"/>
        </w:rPr>
        <w:t>for 72 hours at home, within which time confirmatory test results should be available.</w:t>
      </w:r>
    </w:p>
    <w:p w:rsidR="006A1A99" w:rsidRPr="005E134B" w:rsidRDefault="006A1A99" w:rsidP="007227C6">
      <w:pPr>
        <w:pStyle w:val="Box"/>
        <w:keepNext/>
        <w:keepLines/>
        <w:rPr>
          <w:rFonts w:cs="Arial"/>
          <w:szCs w:val="24"/>
        </w:rPr>
      </w:pPr>
      <w:r w:rsidRPr="005E134B">
        <w:rPr>
          <w:rFonts w:cs="Arial"/>
          <w:szCs w:val="24"/>
        </w:rPr>
        <w:t>The laboratory tests confirm Patricia has active pulmonary TB. Patricia is initial</w:t>
      </w:r>
      <w:r>
        <w:rPr>
          <w:rFonts w:cs="Arial"/>
          <w:szCs w:val="24"/>
        </w:rPr>
        <w:t xml:space="preserve">ly in denial and very annoyed. </w:t>
      </w:r>
      <w:r w:rsidRPr="005E134B">
        <w:rPr>
          <w:rFonts w:cs="Arial"/>
          <w:szCs w:val="24"/>
        </w:rPr>
        <w:t xml:space="preserve">That being the case, the </w:t>
      </w:r>
      <w:r>
        <w:rPr>
          <w:rFonts w:cs="Arial"/>
          <w:szCs w:val="24"/>
        </w:rPr>
        <w:t>m</w:t>
      </w:r>
      <w:r w:rsidRPr="005E134B">
        <w:rPr>
          <w:rFonts w:cs="Arial"/>
          <w:szCs w:val="24"/>
        </w:rPr>
        <w:t>edical officer of health arranges for an HPO to begin contact tracing Patricia</w:t>
      </w:r>
      <w:r>
        <w:rPr>
          <w:rFonts w:cs="Arial"/>
          <w:szCs w:val="24"/>
        </w:rPr>
        <w:t>’</w:t>
      </w:r>
      <w:r w:rsidRPr="005E134B">
        <w:rPr>
          <w:rFonts w:cs="Arial"/>
          <w:szCs w:val="24"/>
        </w:rPr>
        <w:t>s family</w:t>
      </w:r>
      <w:r>
        <w:rPr>
          <w:rFonts w:cs="Arial"/>
          <w:szCs w:val="24"/>
        </w:rPr>
        <w:t>,</w:t>
      </w:r>
      <w:r w:rsidRPr="005E134B">
        <w:rPr>
          <w:rFonts w:cs="Arial"/>
          <w:szCs w:val="24"/>
        </w:rPr>
        <w:t xml:space="preserve"> and close friends and business contacts in New Zealand and Patricia reluctantly agrees to do her own contact tracing for people at risk in Papua New Guinea – by telephone and email.</w:t>
      </w:r>
      <w:r>
        <w:rPr>
          <w:rFonts w:cs="Arial"/>
          <w:szCs w:val="24"/>
        </w:rPr>
        <w:t xml:space="preserve"> </w:t>
      </w:r>
      <w:r w:rsidRPr="005E134B">
        <w:rPr>
          <w:rFonts w:cs="Arial"/>
          <w:szCs w:val="24"/>
        </w:rPr>
        <w:t>Her youngest child was born in New</w:t>
      </w:r>
      <w:r>
        <w:rPr>
          <w:rFonts w:cs="Arial"/>
          <w:szCs w:val="24"/>
        </w:rPr>
        <w:t> </w:t>
      </w:r>
      <w:r w:rsidRPr="005E134B">
        <w:rPr>
          <w:rFonts w:cs="Arial"/>
          <w:szCs w:val="24"/>
        </w:rPr>
        <w:t>Zealand and has been vaccinated with BCG</w:t>
      </w:r>
      <w:r>
        <w:rPr>
          <w:rFonts w:cs="Arial"/>
          <w:szCs w:val="24"/>
        </w:rPr>
        <w:t xml:space="preserve"> to protect against TB</w:t>
      </w:r>
      <w:r w:rsidRPr="005E134B">
        <w:rPr>
          <w:rFonts w:cs="Arial"/>
          <w:szCs w:val="24"/>
        </w:rPr>
        <w:t>. However, her olde</w:t>
      </w:r>
      <w:r>
        <w:rPr>
          <w:rFonts w:cs="Arial"/>
          <w:szCs w:val="24"/>
        </w:rPr>
        <w:t xml:space="preserve">st child, </w:t>
      </w:r>
      <w:r w:rsidRPr="005E134B">
        <w:rPr>
          <w:rFonts w:cs="Arial"/>
          <w:szCs w:val="24"/>
        </w:rPr>
        <w:t>born in Papua New Guinea</w:t>
      </w:r>
      <w:r>
        <w:rPr>
          <w:rFonts w:cs="Arial"/>
          <w:szCs w:val="24"/>
        </w:rPr>
        <w:t>,</w:t>
      </w:r>
      <w:r w:rsidRPr="005E134B">
        <w:rPr>
          <w:rFonts w:cs="Arial"/>
          <w:szCs w:val="24"/>
        </w:rPr>
        <w:t xml:space="preserve"> </w:t>
      </w:r>
      <w:r>
        <w:rPr>
          <w:rFonts w:cs="Arial"/>
          <w:szCs w:val="24"/>
        </w:rPr>
        <w:t xml:space="preserve">has </w:t>
      </w:r>
      <w:r w:rsidRPr="005E134B">
        <w:rPr>
          <w:rFonts w:cs="Arial"/>
          <w:szCs w:val="24"/>
        </w:rPr>
        <w:t>symptoms consistent with active TB – lassitude and coughing. Fortunately, the laboratory test comes back negative.</w:t>
      </w:r>
    </w:p>
    <w:p w:rsidR="008D1DCC" w:rsidRPr="005E134B" w:rsidRDefault="008D1DCC" w:rsidP="006A1A99"/>
    <w:p w:rsidR="008D1DCC" w:rsidRDefault="008D1DCC" w:rsidP="006A1A99">
      <w:pPr>
        <w:pStyle w:val="Heading1"/>
      </w:pPr>
      <w:bookmarkStart w:id="81" w:name="_Toc473538573"/>
      <w:r w:rsidRPr="00A651AB">
        <w:t>11</w:t>
      </w:r>
      <w:r w:rsidR="006A1A99">
        <w:tab/>
      </w:r>
      <w:r w:rsidRPr="00A651AB">
        <w:t>Templates</w:t>
      </w:r>
      <w:bookmarkEnd w:id="81"/>
    </w:p>
    <w:p w:rsidR="008D1DCC" w:rsidRDefault="008D1DCC" w:rsidP="006A1A99">
      <w:pPr>
        <w:pStyle w:val="Heading2"/>
      </w:pPr>
      <w:bookmarkStart w:id="82" w:name="_Toc473538574"/>
      <w:r w:rsidRPr="00D301F0">
        <w:t>Introductory</w:t>
      </w:r>
      <w:bookmarkEnd w:id="82"/>
    </w:p>
    <w:p w:rsidR="008D1DCC" w:rsidRPr="005E134B" w:rsidRDefault="008D1DCC" w:rsidP="006A1A99">
      <w:r>
        <w:t>This chapter contains templates for the following public health measures:</w:t>
      </w:r>
    </w:p>
    <w:p w:rsidR="008D1DCC" w:rsidRPr="005E134B" w:rsidRDefault="007227C6" w:rsidP="006A1A99">
      <w:pPr>
        <w:pStyle w:val="Bullet"/>
      </w:pPr>
      <w:r>
        <w:t>D</w:t>
      </w:r>
      <w:r w:rsidR="008D1DCC">
        <w:t>irections:</w:t>
      </w:r>
    </w:p>
    <w:p w:rsidR="008D1DCC" w:rsidRPr="00F876CA" w:rsidRDefault="008D1DCC" w:rsidP="006A1A99">
      <w:pPr>
        <w:pStyle w:val="Dash"/>
      </w:pPr>
      <w:r w:rsidRPr="00F876CA">
        <w:t>public health directions</w:t>
      </w:r>
    </w:p>
    <w:p w:rsidR="008D1DCC" w:rsidRPr="00F876CA" w:rsidRDefault="008D1DCC" w:rsidP="006A1A99">
      <w:pPr>
        <w:pStyle w:val="Dash"/>
      </w:pPr>
      <w:r w:rsidRPr="00F876CA">
        <w:t>directions for contacts</w:t>
      </w:r>
    </w:p>
    <w:p w:rsidR="008D1DCC" w:rsidRPr="00F876CA" w:rsidRDefault="008D1DCC" w:rsidP="006A1A99">
      <w:pPr>
        <w:pStyle w:val="Dash"/>
      </w:pPr>
      <w:r w:rsidRPr="00F876CA">
        <w:t>medical examination directions</w:t>
      </w:r>
    </w:p>
    <w:p w:rsidR="008D1DCC" w:rsidRPr="00F876CA" w:rsidRDefault="008D1DCC" w:rsidP="006A1A99">
      <w:pPr>
        <w:pStyle w:val="Dash"/>
      </w:pPr>
      <w:r w:rsidRPr="00F876CA">
        <w:t>educational institution directions</w:t>
      </w:r>
    </w:p>
    <w:p w:rsidR="003B22F1" w:rsidRDefault="007227C6" w:rsidP="006A1A99">
      <w:pPr>
        <w:pStyle w:val="Bullet"/>
      </w:pPr>
      <w:r>
        <w:t>N</w:t>
      </w:r>
      <w:r w:rsidR="008D1DCC" w:rsidRPr="005E134B">
        <w:t>otice extending direction</w:t>
      </w:r>
    </w:p>
    <w:p w:rsidR="008D1DCC" w:rsidRPr="005E134B" w:rsidRDefault="007227C6" w:rsidP="006A1A99">
      <w:pPr>
        <w:pStyle w:val="Bullet"/>
      </w:pPr>
      <w:r>
        <w:t>N</w:t>
      </w:r>
      <w:r w:rsidR="008D1DCC" w:rsidRPr="005E134B">
        <w:t>otice varying direction</w:t>
      </w:r>
    </w:p>
    <w:p w:rsidR="008D1DCC" w:rsidRPr="005E134B" w:rsidRDefault="007227C6" w:rsidP="006A1A99">
      <w:pPr>
        <w:pStyle w:val="Bullet"/>
      </w:pPr>
      <w:r>
        <w:t>N</w:t>
      </w:r>
      <w:r w:rsidR="008D1DCC" w:rsidRPr="005E134B">
        <w:t>otice rescinding direction</w:t>
      </w:r>
    </w:p>
    <w:p w:rsidR="008D1DCC" w:rsidRPr="005E134B" w:rsidRDefault="007227C6" w:rsidP="006A1A99">
      <w:pPr>
        <w:pStyle w:val="Bullet"/>
      </w:pPr>
      <w:r>
        <w:t>T</w:t>
      </w:r>
      <w:r w:rsidR="008D1DCC" w:rsidRPr="005E134B">
        <w:t>emplate for originating application and affidavit in support</w:t>
      </w:r>
      <w:r w:rsidR="003B22F1">
        <w:t xml:space="preserve"> – </w:t>
      </w:r>
      <w:r w:rsidR="008D1DCC" w:rsidRPr="005E134B">
        <w:t>to apply for court order</w:t>
      </w:r>
    </w:p>
    <w:p w:rsidR="008D1DCC" w:rsidRPr="005E134B" w:rsidRDefault="007227C6" w:rsidP="006A1A99">
      <w:pPr>
        <w:pStyle w:val="Bullet"/>
      </w:pPr>
      <w:r>
        <w:t>I</w:t>
      </w:r>
      <w:r w:rsidR="008D1DCC" w:rsidRPr="005E134B">
        <w:t>nformation to be given to individual once court order imposed</w:t>
      </w:r>
    </w:p>
    <w:p w:rsidR="008D1DCC" w:rsidRPr="005E134B" w:rsidRDefault="007227C6" w:rsidP="006A1A99">
      <w:pPr>
        <w:pStyle w:val="Bullet"/>
      </w:pPr>
      <w:r>
        <w:t>P</w:t>
      </w:r>
      <w:r w:rsidR="008D1DCC" w:rsidRPr="005E134B">
        <w:t>arties</w:t>
      </w:r>
      <w:r w:rsidR="003B22F1">
        <w:t>’</w:t>
      </w:r>
      <w:r w:rsidR="008D1DCC" w:rsidRPr="005E134B">
        <w:t xml:space="preserve"> request for application to cancel an</w:t>
      </w:r>
      <w:r w:rsidR="008D1DCC">
        <w:t xml:space="preserve"> order to be dealt with on the pa</w:t>
      </w:r>
      <w:r w:rsidR="008D1DCC" w:rsidRPr="005E134B">
        <w:t>pers</w:t>
      </w:r>
    </w:p>
    <w:p w:rsidR="003B22F1" w:rsidRDefault="007227C6" w:rsidP="006A1A99">
      <w:pPr>
        <w:pStyle w:val="Bullet"/>
      </w:pPr>
      <w:r>
        <w:t>M</w:t>
      </w:r>
      <w:r w:rsidR="008D1DCC" w:rsidRPr="005E134B">
        <w:t>edical officer of health</w:t>
      </w:r>
      <w:r w:rsidR="008D1DCC">
        <w:t xml:space="preserve"> certificate for court r</w:t>
      </w:r>
      <w:r w:rsidR="008D1DCC" w:rsidRPr="005E134B">
        <w:t>egistrar stating that an order is no longer necessary and can be cancelled</w:t>
      </w:r>
    </w:p>
    <w:p w:rsidR="003B22F1" w:rsidRDefault="007227C6" w:rsidP="006A1A99">
      <w:pPr>
        <w:pStyle w:val="Bullet"/>
      </w:pPr>
      <w:r>
        <w:t>C</w:t>
      </w:r>
      <w:r w:rsidR="008D1DCC" w:rsidRPr="005E134B">
        <w:t>ertificate that individual has undergone specified medical examinations</w:t>
      </w:r>
    </w:p>
    <w:p w:rsidR="008D1DCC" w:rsidRDefault="007227C6" w:rsidP="006A1A99">
      <w:pPr>
        <w:pStyle w:val="Bullet"/>
      </w:pPr>
      <w:r>
        <w:t>U</w:t>
      </w:r>
      <w:r w:rsidR="008D1DCC" w:rsidRPr="005E134B">
        <w:t>rgent public health orders</w:t>
      </w:r>
      <w:r w:rsidR="008D1DCC">
        <w:t>.</w:t>
      </w:r>
    </w:p>
    <w:p w:rsidR="008D1DCC" w:rsidRDefault="008D1DCC" w:rsidP="006A1A99"/>
    <w:p w:rsidR="003B22F1" w:rsidRDefault="008D1DCC" w:rsidP="006A1A99">
      <w:r>
        <w:t>These templates comprise several components:</w:t>
      </w:r>
    </w:p>
    <w:p w:rsidR="008D1DCC" w:rsidRPr="00F876CA" w:rsidRDefault="007227C6" w:rsidP="006A1A99">
      <w:pPr>
        <w:pStyle w:val="Bullet"/>
      </w:pPr>
      <w:r>
        <w:t>T</w:t>
      </w:r>
      <w:r w:rsidR="008D1DCC" w:rsidRPr="00F876CA">
        <w:t>he measure itself</w:t>
      </w:r>
    </w:p>
    <w:p w:rsidR="003B22F1" w:rsidRDefault="007227C6" w:rsidP="006A1A99">
      <w:pPr>
        <w:pStyle w:val="Bullet"/>
      </w:pPr>
      <w:r>
        <w:t>R</w:t>
      </w:r>
      <w:r w:rsidR="008D1DCC" w:rsidRPr="00F876CA">
        <w:t>elevant legislation</w:t>
      </w:r>
    </w:p>
    <w:p w:rsidR="008D1DCC" w:rsidRPr="00F876CA" w:rsidRDefault="007227C6" w:rsidP="006A1A99">
      <w:pPr>
        <w:pStyle w:val="Bullet"/>
      </w:pPr>
      <w:r>
        <w:t>I</w:t>
      </w:r>
      <w:r w:rsidR="008D1DCC" w:rsidRPr="00F876CA">
        <w:t>nformation for the individual.</w:t>
      </w:r>
    </w:p>
    <w:p w:rsidR="008D1DCC" w:rsidRDefault="008D1DCC" w:rsidP="006A1A99"/>
    <w:p w:rsidR="00F763DC" w:rsidRDefault="008D1DCC" w:rsidP="006A1A99">
      <w:r w:rsidRPr="005E134B">
        <w:t xml:space="preserve">The instructions on the templates are to the effect that </w:t>
      </w:r>
      <w:r>
        <w:t>medical o</w:t>
      </w:r>
      <w:r w:rsidRPr="005E134B">
        <w:t xml:space="preserve">fficers of </w:t>
      </w:r>
      <w:r>
        <w:t>h</w:t>
      </w:r>
      <w:r w:rsidRPr="005E134B">
        <w:t xml:space="preserve">ealth should specify the conditions of the order or direction themselves, and in plain English. However, as the Act and Regulations prescribe information for cases and contacts with some particularity </w:t>
      </w:r>
      <w:r>
        <w:t xml:space="preserve">medical officers of health should avoid altering the information for cases and contacts </w:t>
      </w:r>
      <w:r w:rsidRPr="005E134B">
        <w:t xml:space="preserve">which is intended to appear </w:t>
      </w:r>
      <w:r>
        <w:t>along with</w:t>
      </w:r>
      <w:r w:rsidRPr="005E134B">
        <w:t xml:space="preserve"> the direction or order.</w:t>
      </w:r>
      <w:r w:rsidR="00F763DC">
        <w:t xml:space="preserve">  </w:t>
      </w:r>
    </w:p>
    <w:p w:rsidR="00F763DC" w:rsidRDefault="00F763DC" w:rsidP="006A1A99"/>
    <w:p w:rsidR="008D1DCC" w:rsidRDefault="00F763DC" w:rsidP="006A1A99">
      <w:r>
        <w:t>As Court Registry staff may have specific court filing or documentary requirements, the court-related templates are indicative only.</w:t>
      </w:r>
    </w:p>
    <w:p w:rsidR="008D1DCC" w:rsidRDefault="008D1DCC" w:rsidP="006A1A99"/>
    <w:p w:rsidR="006A1A99" w:rsidRDefault="006A1A99" w:rsidP="006A1A99">
      <w:r>
        <w:br w:type="page"/>
      </w:r>
    </w:p>
    <w:p w:rsidR="00746C14" w:rsidRDefault="00746C14" w:rsidP="007528CD">
      <w:pPr>
        <w:pStyle w:val="Heading2"/>
        <w:spacing w:before="0"/>
        <w:jc w:val="center"/>
      </w:pPr>
      <w:bookmarkStart w:id="83" w:name="_Toc473538575"/>
      <w:r>
        <w:t>[</w:t>
      </w:r>
      <w:r w:rsidR="008D1DCC" w:rsidRPr="007528CD">
        <w:rPr>
          <w:i/>
        </w:rPr>
        <w:t>Template for</w:t>
      </w:r>
      <w:r w:rsidR="00FF5433">
        <w:rPr>
          <w:i/>
        </w:rPr>
        <w:t xml:space="preserve"> </w:t>
      </w:r>
      <w:r w:rsidR="00FF5433" w:rsidRPr="007528CD">
        <w:rPr>
          <w:b w:val="0"/>
          <w:i/>
          <w:sz w:val="22"/>
        </w:rPr>
        <w:t>remove this text</w:t>
      </w:r>
      <w:r>
        <w:t>]</w:t>
      </w:r>
    </w:p>
    <w:p w:rsidR="008D1DCC" w:rsidRPr="009A4E6B" w:rsidRDefault="008D1DCC" w:rsidP="006A1A99">
      <w:pPr>
        <w:pStyle w:val="Heading2"/>
        <w:spacing w:before="0"/>
      </w:pPr>
      <w:r w:rsidRPr="009A4E6B">
        <w:t xml:space="preserve"> </w:t>
      </w:r>
      <w:r w:rsidR="00746C14">
        <w:t>P</w:t>
      </w:r>
      <w:r w:rsidRPr="009A4E6B">
        <w:t>ublic health direction</w:t>
      </w:r>
      <w:bookmarkEnd w:id="83"/>
    </w:p>
    <w:p w:rsidR="008D1DCC" w:rsidRPr="007618AB" w:rsidRDefault="008D1DCC" w:rsidP="006A1A99">
      <w:r w:rsidRPr="007618AB">
        <w:t>Under section 92I of the Health Act 1956</w:t>
      </w:r>
    </w:p>
    <w:p w:rsidR="008D1DCC" w:rsidRPr="007618AB" w:rsidRDefault="008D1DCC" w:rsidP="006A1A99"/>
    <w:p w:rsidR="008D1DCC" w:rsidRPr="007618AB" w:rsidRDefault="008D1DCC" w:rsidP="006A1A99">
      <w:pPr>
        <w:spacing w:before="480"/>
      </w:pPr>
      <w:r w:rsidRPr="007618AB">
        <w:t xml:space="preserve">To </w:t>
      </w:r>
      <w:r w:rsidRPr="006A1A99">
        <w:rPr>
          <w:i/>
        </w:rPr>
        <w:t>[name and address of individual]</w:t>
      </w:r>
    </w:p>
    <w:p w:rsidR="008D1DCC" w:rsidRPr="007618AB" w:rsidRDefault="008D1DCC" w:rsidP="006A1A99"/>
    <w:p w:rsidR="008D1DCC" w:rsidRPr="007618AB" w:rsidRDefault="008D1DCC" w:rsidP="006A1A99">
      <w:r w:rsidRPr="007618AB">
        <w:t>This is to tell you that you are now subject to a public health direction because of my belief on reasonable grounds that you pose a public health risk.</w:t>
      </w:r>
      <w:r>
        <w:t xml:space="preserve"> </w:t>
      </w:r>
      <w:r w:rsidRPr="007618AB">
        <w:t xml:space="preserve">This is because you may have been exposed to </w:t>
      </w:r>
      <w:r w:rsidRPr="007618AB">
        <w:rPr>
          <w:i/>
        </w:rPr>
        <w:t xml:space="preserve">[specify infectious disease] </w:t>
      </w:r>
      <w:r w:rsidRPr="007618AB">
        <w:t xml:space="preserve">and you could pose a substantial risk of serious harm to the health or safety of one more other people as a result. </w:t>
      </w:r>
      <w:r w:rsidRPr="007618AB">
        <w:rPr>
          <w:i/>
        </w:rPr>
        <w:t>[</w:t>
      </w:r>
      <w:r w:rsidR="007227C6">
        <w:rPr>
          <w:i/>
        </w:rPr>
        <w:t>s</w:t>
      </w:r>
      <w:r w:rsidRPr="007618AB">
        <w:rPr>
          <w:i/>
        </w:rPr>
        <w:t>pecify any other grounds relating to the nature of the disease, and relevant circumstances of the particular case – eg, that, because the individual is an intravenous drug user who shares needles, the blood-borne disease risk is greater, or that because the individual has an enteric disease and is a food handler he</w:t>
      </w:r>
      <w:r>
        <w:rPr>
          <w:i/>
        </w:rPr>
        <w:t xml:space="preserve"> or she</w:t>
      </w:r>
      <w:r w:rsidRPr="007618AB">
        <w:rPr>
          <w:i/>
        </w:rPr>
        <w:t xml:space="preserve"> needs to stay away from work for a time]</w:t>
      </w:r>
    </w:p>
    <w:p w:rsidR="008D1DCC" w:rsidRPr="007618AB" w:rsidRDefault="008D1DCC" w:rsidP="006A1A99"/>
    <w:p w:rsidR="008D1DCC" w:rsidRPr="007618AB" w:rsidRDefault="008D1DCC" w:rsidP="006A1A99">
      <w:r w:rsidRPr="007618AB">
        <w:t xml:space="preserve">This public health direction applies from </w:t>
      </w:r>
      <w:r w:rsidRPr="006A1A99">
        <w:rPr>
          <w:i/>
        </w:rPr>
        <w:t>[start date]</w:t>
      </w:r>
      <w:r w:rsidRPr="007618AB">
        <w:t xml:space="preserve"> until </w:t>
      </w:r>
      <w:r w:rsidRPr="006A1A99">
        <w:rPr>
          <w:i/>
        </w:rPr>
        <w:t>[specify a period within six months and no longer than is necessary to prevent of minimise the public health risk the individual poses]</w:t>
      </w:r>
      <w:r w:rsidRPr="007618AB">
        <w:t>.</w:t>
      </w:r>
    </w:p>
    <w:p w:rsidR="008D1DCC" w:rsidRPr="007618AB" w:rsidRDefault="008D1DCC" w:rsidP="006A1A99"/>
    <w:p w:rsidR="008D1DCC" w:rsidRPr="007618AB" w:rsidRDefault="008D1DCC" w:rsidP="006A1A99">
      <w:r w:rsidRPr="007618AB">
        <w:t>The public health direction means:</w:t>
      </w:r>
    </w:p>
    <w:p w:rsidR="008D1DCC" w:rsidRPr="007618AB" w:rsidRDefault="008D1DCC" w:rsidP="006A1A99">
      <w:r w:rsidRPr="006A1A99">
        <w:rPr>
          <w:i/>
        </w:rPr>
        <w:t>[</w:t>
      </w:r>
      <w:r w:rsidR="007227C6">
        <w:rPr>
          <w:i/>
        </w:rPr>
        <w:t>s</w:t>
      </w:r>
      <w:r w:rsidRPr="006A1A99">
        <w:rPr>
          <w:i/>
        </w:rPr>
        <w:t>elect and insert relevant conditions from section 92I(4) on page 2 of this template]</w:t>
      </w:r>
    </w:p>
    <w:p w:rsidR="008D1DCC" w:rsidRPr="007618AB" w:rsidRDefault="008D1DCC" w:rsidP="006A1A99"/>
    <w:p w:rsidR="008D1DCC" w:rsidRPr="007618AB" w:rsidRDefault="008D1DCC" w:rsidP="006A1A99">
      <w:pPr>
        <w:tabs>
          <w:tab w:val="left" w:pos="5103"/>
        </w:tabs>
        <w:spacing w:before="600"/>
      </w:pPr>
      <w:r w:rsidRPr="007618AB">
        <w:t>Signed by</w:t>
      </w:r>
      <w:r w:rsidRPr="007618AB">
        <w:tab/>
      </w:r>
      <w:r w:rsidRPr="007618AB">
        <w:tab/>
        <w:t>Date</w:t>
      </w:r>
    </w:p>
    <w:p w:rsidR="008D1DCC" w:rsidRPr="007618AB" w:rsidRDefault="008D1DCC" w:rsidP="006A1A99"/>
    <w:p w:rsidR="008D1DCC" w:rsidRPr="00DF1A4B" w:rsidRDefault="008D1DCC" w:rsidP="00DF1A4B">
      <w:pPr>
        <w:spacing w:after="600"/>
        <w:rPr>
          <w:i/>
        </w:rPr>
      </w:pPr>
      <w:r w:rsidRPr="00DF1A4B">
        <w:rPr>
          <w:i/>
        </w:rPr>
        <w:t>[</w:t>
      </w:r>
      <w:r w:rsidR="007227C6">
        <w:rPr>
          <w:i/>
        </w:rPr>
        <w:t>s</w:t>
      </w:r>
      <w:r w:rsidRPr="00DF1A4B">
        <w:rPr>
          <w:i/>
        </w:rPr>
        <w:t>upply name, contact details and health district of medical officer of health]</w:t>
      </w:r>
    </w:p>
    <w:p w:rsidR="008D1DCC" w:rsidRPr="007618AB" w:rsidRDefault="008D1DCC" w:rsidP="006A1A99"/>
    <w:p w:rsidR="008D1DCC" w:rsidRPr="006A1A99" w:rsidRDefault="008D1DCC" w:rsidP="006A1A99">
      <w:pPr>
        <w:pBdr>
          <w:top w:val="single" w:sz="4" w:space="12" w:color="auto"/>
        </w:pBdr>
        <w:rPr>
          <w:b/>
        </w:rPr>
      </w:pPr>
      <w:r w:rsidRPr="006A1A99">
        <w:rPr>
          <w:b/>
        </w:rPr>
        <w:t>Administration only:</w:t>
      </w:r>
    </w:p>
    <w:p w:rsidR="008D1DCC" w:rsidRPr="007618AB" w:rsidRDefault="008D1DCC" w:rsidP="006A1A99"/>
    <w:p w:rsidR="008D1DCC" w:rsidRPr="006A1A99" w:rsidRDefault="008D1DCC" w:rsidP="006A1A99">
      <w:pPr>
        <w:tabs>
          <w:tab w:val="left" w:pos="5103"/>
        </w:tabs>
      </w:pPr>
      <w:r w:rsidRPr="007618AB">
        <w:t>Is this infectious disease notifiable?</w:t>
      </w:r>
      <w:r w:rsidRPr="007618AB">
        <w:tab/>
        <w:t>Yes/No</w:t>
      </w:r>
    </w:p>
    <w:p w:rsidR="008D1DCC" w:rsidRPr="007618AB" w:rsidRDefault="008D1DCC" w:rsidP="006A1A99"/>
    <w:p w:rsidR="008D1DCC" w:rsidRPr="00DF1A4B" w:rsidRDefault="008D1DCC" w:rsidP="006A1A99">
      <w:pPr>
        <w:rPr>
          <w:i/>
        </w:rPr>
      </w:pPr>
      <w:r w:rsidRPr="00DF1A4B">
        <w:rPr>
          <w:i/>
        </w:rPr>
        <w:t>[If no, the Director of Public Health</w:t>
      </w:r>
      <w:r w:rsidR="003B22F1" w:rsidRPr="00DF1A4B">
        <w:rPr>
          <w:i/>
        </w:rPr>
        <w:t>’</w:t>
      </w:r>
      <w:r w:rsidRPr="00DF1A4B">
        <w:rPr>
          <w:i/>
        </w:rPr>
        <w:t>s prior approval to the direction is required.]</w:t>
      </w:r>
    </w:p>
    <w:p w:rsidR="008D1DCC" w:rsidRPr="007618AB" w:rsidRDefault="008D1DCC" w:rsidP="006A1A99">
      <w:pPr>
        <w:pBdr>
          <w:bottom w:val="single" w:sz="4" w:space="12" w:color="auto"/>
        </w:pBdr>
        <w:tabs>
          <w:tab w:val="left" w:pos="5103"/>
        </w:tabs>
        <w:spacing w:before="600"/>
      </w:pPr>
      <w:r w:rsidRPr="007618AB">
        <w:t>Signature</w:t>
      </w:r>
      <w:r w:rsidRPr="007618AB">
        <w:tab/>
      </w:r>
      <w:r w:rsidRPr="007618AB">
        <w:tab/>
        <w:t>Date</w:t>
      </w:r>
    </w:p>
    <w:p w:rsidR="008D1DCC" w:rsidRPr="007618AB" w:rsidRDefault="008D1DCC" w:rsidP="006A1A99"/>
    <w:p w:rsidR="008D1DCC" w:rsidRPr="007618AB" w:rsidRDefault="008D1DCC" w:rsidP="008D1DCC">
      <w:pPr>
        <w:rPr>
          <w:rFonts w:cs="Arial"/>
          <w:szCs w:val="24"/>
        </w:rPr>
      </w:pPr>
      <w:r w:rsidRPr="007618AB">
        <w:rPr>
          <w:rFonts w:cs="Arial"/>
          <w:szCs w:val="24"/>
        </w:rPr>
        <w:br w:type="page"/>
      </w:r>
    </w:p>
    <w:p w:rsidR="003B22F1" w:rsidRDefault="008D1DCC" w:rsidP="00DE5679">
      <w:pPr>
        <w:pStyle w:val="Heading3"/>
        <w:spacing w:before="0"/>
      </w:pPr>
      <w:r w:rsidRPr="009A4E6B">
        <w:t>Relevant legislation and example of its application</w:t>
      </w:r>
    </w:p>
    <w:p w:rsidR="008D1DCC" w:rsidRPr="007618AB" w:rsidRDefault="008D1DCC" w:rsidP="00DE5679">
      <w:pPr>
        <w:pStyle w:val="Heading4"/>
      </w:pPr>
      <w:r w:rsidRPr="007618AB">
        <w:t>92I</w:t>
      </w:r>
      <w:r w:rsidR="003B22F1">
        <w:t xml:space="preserve"> </w:t>
      </w:r>
      <w:r w:rsidRPr="007618AB">
        <w:t>Medical officer of health may give directions to individual posing public health risk</w:t>
      </w:r>
    </w:p>
    <w:p w:rsidR="008D1DCC" w:rsidRPr="007618AB" w:rsidRDefault="008D1DCC" w:rsidP="00DE5679">
      <w:r w:rsidRPr="007618AB">
        <w:t>…</w:t>
      </w:r>
    </w:p>
    <w:p w:rsidR="008D1DCC" w:rsidRPr="007618AB" w:rsidRDefault="008D1DCC" w:rsidP="00DE5679">
      <w:r w:rsidRPr="007618AB">
        <w:t>(4)</w:t>
      </w:r>
      <w:r w:rsidR="00DE5679">
        <w:tab/>
      </w:r>
      <w:r w:rsidRPr="007618AB">
        <w:t>The medical officer of health may direct the individual to –</w:t>
      </w:r>
    </w:p>
    <w:p w:rsidR="008D1DCC" w:rsidRPr="007618AB" w:rsidRDefault="008D1DCC" w:rsidP="00DE5679">
      <w:pPr>
        <w:spacing w:before="120"/>
        <w:ind w:left="1134" w:hanging="567"/>
      </w:pPr>
      <w:r w:rsidRPr="007618AB">
        <w:t>(a)</w:t>
      </w:r>
      <w:r w:rsidR="00DE5679">
        <w:tab/>
      </w:r>
      <w:r w:rsidRPr="007618AB">
        <w:t>participate in any of the following that are conducted by a health provider:</w:t>
      </w:r>
    </w:p>
    <w:p w:rsidR="008D1DCC" w:rsidRPr="007618AB" w:rsidRDefault="008D1DCC" w:rsidP="00DE5679">
      <w:pPr>
        <w:spacing w:before="60"/>
        <w:ind w:left="1701" w:hanging="567"/>
      </w:pPr>
      <w:r w:rsidRPr="007618AB">
        <w:t>(i)</w:t>
      </w:r>
      <w:r w:rsidRPr="007618AB">
        <w:tab/>
        <w:t>counselling:</w:t>
      </w:r>
    </w:p>
    <w:p w:rsidR="008D1DCC" w:rsidRPr="007618AB" w:rsidRDefault="008D1DCC" w:rsidP="00DE5679">
      <w:pPr>
        <w:spacing w:before="60"/>
        <w:ind w:left="1701" w:hanging="567"/>
      </w:pPr>
      <w:r w:rsidRPr="007618AB">
        <w:t>(ii)</w:t>
      </w:r>
      <w:r w:rsidRPr="007618AB">
        <w:tab/>
        <w:t>education:</w:t>
      </w:r>
    </w:p>
    <w:p w:rsidR="008D1DCC" w:rsidRDefault="00DE5679" w:rsidP="00DE5679">
      <w:pPr>
        <w:spacing w:before="60"/>
        <w:ind w:left="1701" w:hanging="567"/>
      </w:pPr>
      <w:r>
        <w:t>(iii)</w:t>
      </w:r>
      <w:r>
        <w:tab/>
      </w:r>
      <w:r w:rsidR="008D1DCC" w:rsidRPr="007618AB">
        <w:t>other activities related to the infectious disease:</w:t>
      </w:r>
    </w:p>
    <w:p w:rsidR="008D1DCC" w:rsidRPr="007618AB" w:rsidRDefault="008D1DCC" w:rsidP="00DE5679">
      <w:pPr>
        <w:spacing w:before="120"/>
        <w:ind w:left="1134" w:hanging="567"/>
      </w:pPr>
      <w:r w:rsidRPr="007618AB">
        <w:t>(b)</w:t>
      </w:r>
      <w:r w:rsidRPr="007618AB">
        <w:tab/>
        <w:t>refrain from carrying out specified activities (for example, undertaking employment, using public transport, or travelling within and outside New Zealand) either absolutely or unless stated conditions are observed:</w:t>
      </w:r>
    </w:p>
    <w:p w:rsidR="008D1DCC" w:rsidRPr="007618AB" w:rsidRDefault="008D1DCC" w:rsidP="00DE5679">
      <w:pPr>
        <w:spacing w:before="120"/>
        <w:ind w:left="1134" w:hanging="567"/>
      </w:pPr>
      <w:r w:rsidRPr="007618AB">
        <w:t>(c)</w:t>
      </w:r>
      <w:r w:rsidRPr="007618AB">
        <w:tab/>
        <w:t>refrain from going to specified places either absolutely or unless stated conditions are observed:</w:t>
      </w:r>
    </w:p>
    <w:p w:rsidR="008D1DCC" w:rsidRPr="007618AB" w:rsidRDefault="008D1DCC" w:rsidP="00DE5679">
      <w:pPr>
        <w:spacing w:before="120"/>
        <w:ind w:left="1134" w:hanging="567"/>
      </w:pPr>
      <w:r w:rsidRPr="007618AB">
        <w:t>(d)</w:t>
      </w:r>
      <w:r w:rsidRPr="007618AB">
        <w:tab/>
        <w:t>refrain from associating with specified persons or specified classes of persons:</w:t>
      </w:r>
    </w:p>
    <w:p w:rsidR="008D1DCC" w:rsidRPr="007618AB" w:rsidRDefault="008D1DCC" w:rsidP="00DE5679">
      <w:pPr>
        <w:spacing w:before="120"/>
        <w:ind w:left="1134" w:hanging="567"/>
      </w:pPr>
      <w:r w:rsidRPr="007618AB">
        <w:t>(e)</w:t>
      </w:r>
      <w:r w:rsidRPr="007618AB">
        <w:tab/>
        <w:t>take specified actions to prevent or minimise the public health risk posed by the individual:</w:t>
      </w:r>
    </w:p>
    <w:p w:rsidR="008D1DCC" w:rsidRPr="007618AB" w:rsidRDefault="008D1DCC" w:rsidP="00DE5679">
      <w:pPr>
        <w:spacing w:before="120"/>
        <w:ind w:left="1134" w:hanging="567"/>
      </w:pPr>
      <w:r w:rsidRPr="007618AB">
        <w:t>(f)</w:t>
      </w:r>
      <w:r w:rsidRPr="007618AB">
        <w:tab/>
        <w:t>stay, at all times or at specified times, at a specified place of residence, subject to specified conditions:</w:t>
      </w:r>
    </w:p>
    <w:p w:rsidR="008D1DCC" w:rsidRDefault="008D1DCC" w:rsidP="00DE5679">
      <w:pPr>
        <w:spacing w:before="120"/>
        <w:ind w:left="1134" w:hanging="567"/>
      </w:pPr>
      <w:r w:rsidRPr="007618AB">
        <w:t>(g)</w:t>
      </w:r>
      <w:r w:rsidRPr="007618AB">
        <w:tab/>
        <w:t xml:space="preserve">accept supervision by a named person or a person for the time being holding a named office, including, without limitation, </w:t>
      </w:r>
      <w:r w:rsidR="00DE5679">
        <w:t>–</w:t>
      </w:r>
    </w:p>
    <w:p w:rsidR="008D1DCC" w:rsidRPr="007618AB" w:rsidRDefault="008D1DCC" w:rsidP="00DE5679">
      <w:pPr>
        <w:spacing w:before="60"/>
        <w:ind w:left="1701" w:hanging="567"/>
      </w:pPr>
      <w:r w:rsidRPr="007618AB">
        <w:t>(i)</w:t>
      </w:r>
      <w:r w:rsidR="00DE5679">
        <w:tab/>
      </w:r>
      <w:r w:rsidRPr="007618AB">
        <w:t>attending meetings arranged by that person; and</w:t>
      </w:r>
    </w:p>
    <w:p w:rsidR="008D1DCC" w:rsidRPr="007618AB" w:rsidRDefault="008D1DCC" w:rsidP="00DE5679">
      <w:pPr>
        <w:spacing w:before="60"/>
        <w:ind w:left="1701" w:hanging="567"/>
      </w:pPr>
      <w:r w:rsidRPr="007618AB">
        <w:t>(ii)</w:t>
      </w:r>
      <w:r w:rsidR="00DE5679">
        <w:tab/>
      </w:r>
      <w:r w:rsidRPr="007618AB">
        <w:t>providing that person with information on any action, occurrence, or plan that is relevant to the public health risk posed by the individual:</w:t>
      </w:r>
    </w:p>
    <w:p w:rsidR="008D1DCC" w:rsidRPr="007618AB" w:rsidRDefault="008D1DCC" w:rsidP="00DE5679">
      <w:pPr>
        <w:spacing w:before="120"/>
        <w:ind w:left="1134" w:hanging="567"/>
      </w:pPr>
      <w:r w:rsidRPr="007618AB">
        <w:t>(h)</w:t>
      </w:r>
      <w:r w:rsidRPr="007618AB">
        <w:tab/>
        <w:t>comply with instructions to prevent the spread of the infectious disease.</w:t>
      </w:r>
    </w:p>
    <w:p w:rsidR="008D1DCC" w:rsidRPr="007618AB" w:rsidRDefault="008D1DCC" w:rsidP="00DE5679"/>
    <w:p w:rsidR="003B22F1" w:rsidRDefault="008D1DCC" w:rsidP="00DE5679">
      <w:pPr>
        <w:pBdr>
          <w:top w:val="single" w:sz="4" w:space="12" w:color="auto"/>
        </w:pBdr>
      </w:pPr>
      <w:r>
        <w:t>Example:</w:t>
      </w:r>
    </w:p>
    <w:p w:rsidR="008D1DCC" w:rsidRPr="007618AB" w:rsidRDefault="008D1DCC" w:rsidP="00DE5679">
      <w:r w:rsidRPr="007618AB">
        <w:t>The public health direction means that you must:</w:t>
      </w:r>
    </w:p>
    <w:p w:rsidR="008D1DCC" w:rsidRPr="007618AB" w:rsidRDefault="00DE5679" w:rsidP="00DE5679">
      <w:pPr>
        <w:spacing w:before="120"/>
        <w:ind w:left="567" w:hanging="567"/>
      </w:pPr>
      <w:r>
        <w:t>(i)</w:t>
      </w:r>
      <w:r>
        <w:tab/>
      </w:r>
      <w:r w:rsidR="008D1DCC" w:rsidRPr="007618AB">
        <w:t>not attend antenatal classes, school, childcare centres, work or other public places until test results show you are no longer infectious with rubella or until seven days after the rash has appeared (ie,</w:t>
      </w:r>
      <w:r>
        <w:t xml:space="preserve"> </w:t>
      </w:r>
      <w:r w:rsidR="008D1DCC" w:rsidRPr="007618AB">
        <w:t>12 March 2017), whichever is sooner.</w:t>
      </w:r>
    </w:p>
    <w:p w:rsidR="008D1DCC" w:rsidRPr="007618AB" w:rsidRDefault="00DE5679" w:rsidP="00DE5679">
      <w:pPr>
        <w:spacing w:before="120"/>
        <w:ind w:left="567" w:hanging="567"/>
      </w:pPr>
      <w:r>
        <w:t>(ii)</w:t>
      </w:r>
      <w:r>
        <w:tab/>
      </w:r>
      <w:r w:rsidR="008D1DCC" w:rsidRPr="007618AB">
        <w:t>stay away from pregnant women for the period specified in (i) above.</w:t>
      </w:r>
    </w:p>
    <w:p w:rsidR="008D1DCC" w:rsidRPr="007618AB" w:rsidRDefault="008D1DCC" w:rsidP="00DE5679"/>
    <w:p w:rsidR="00DE5679" w:rsidRDefault="00DE5679" w:rsidP="00DE5679">
      <w:r>
        <w:br w:type="page"/>
      </w:r>
    </w:p>
    <w:p w:rsidR="008D1DCC" w:rsidRPr="009A4E6B" w:rsidRDefault="008D1DCC" w:rsidP="00DE5679">
      <w:pPr>
        <w:pStyle w:val="Heading3"/>
        <w:spacing w:before="0"/>
      </w:pPr>
      <w:r w:rsidRPr="009A4E6B">
        <w:t>Information about this direction for</w:t>
      </w:r>
      <w:r>
        <w:t xml:space="preserve"> the</w:t>
      </w:r>
      <w:r w:rsidRPr="009A4E6B">
        <w:t xml:space="preserve"> individual subject to it</w:t>
      </w:r>
    </w:p>
    <w:p w:rsidR="008D1DCC" w:rsidRPr="007618AB" w:rsidRDefault="008D1DCC" w:rsidP="00DE5679">
      <w:pPr>
        <w:pStyle w:val="Heading4"/>
      </w:pPr>
      <w:r w:rsidRPr="007618AB">
        <w:t>What if you do not comply with this direction?</w:t>
      </w:r>
    </w:p>
    <w:p w:rsidR="008D1DCC" w:rsidRPr="007618AB" w:rsidRDefault="008D1DCC" w:rsidP="00DE5679">
      <w:r w:rsidRPr="007618AB">
        <w:t>If you do not comply with this direction you:</w:t>
      </w:r>
    </w:p>
    <w:p w:rsidR="008D1DCC" w:rsidRPr="007618AB" w:rsidRDefault="008D1DCC" w:rsidP="00DE5679">
      <w:pPr>
        <w:pStyle w:val="Bullet"/>
      </w:pPr>
      <w:r w:rsidRPr="007618AB">
        <w:t>are breaking the law</w:t>
      </w:r>
    </w:p>
    <w:p w:rsidR="008D1DCC" w:rsidRPr="007618AB" w:rsidRDefault="008D1DCC" w:rsidP="00DE5679">
      <w:pPr>
        <w:pStyle w:val="Bullet"/>
      </w:pPr>
      <w:r w:rsidRPr="007618AB">
        <w:t>put other people at risk of serious harm</w:t>
      </w:r>
    </w:p>
    <w:p w:rsidR="008D1DCC" w:rsidRPr="007618AB" w:rsidRDefault="008D1DCC" w:rsidP="00DE5679">
      <w:pPr>
        <w:pStyle w:val="Bullet"/>
      </w:pPr>
      <w:r w:rsidRPr="007618AB">
        <w:t>put your own health and safety at risk</w:t>
      </w:r>
    </w:p>
    <w:p w:rsidR="008D1DCC" w:rsidRPr="007618AB" w:rsidRDefault="008D1DCC" w:rsidP="00DE5679">
      <w:pPr>
        <w:pStyle w:val="Bullet"/>
      </w:pPr>
      <w:r w:rsidRPr="007618AB">
        <w:t>may be taken to court by the medical officer of health, and could as a result become subject to a court order placing more restrictions on you</w:t>
      </w:r>
    </w:p>
    <w:p w:rsidR="003B22F1" w:rsidRPr="00DE5679" w:rsidRDefault="008D1DCC" w:rsidP="008D1DCC">
      <w:pPr>
        <w:pStyle w:val="Bullet"/>
        <w:rPr>
          <w:rFonts w:cs="Arial"/>
        </w:rPr>
      </w:pPr>
      <w:r w:rsidRPr="007618AB">
        <w:t>could, in exceptional circumstances, be taken to court for an offence under</w:t>
      </w:r>
      <w:r w:rsidR="003B22F1" w:rsidRPr="00DE5679">
        <w:rPr>
          <w:rFonts w:cs="Arial"/>
        </w:rPr>
        <w:t xml:space="preserve"> </w:t>
      </w:r>
      <w:r w:rsidRPr="00DE5679">
        <w:rPr>
          <w:rFonts w:cs="Arial"/>
        </w:rPr>
        <w:t>section 92V of the Health Act 1956 of:</w:t>
      </w:r>
    </w:p>
    <w:p w:rsidR="008D1DCC" w:rsidRPr="007618AB" w:rsidRDefault="008D1DCC" w:rsidP="00DE5679">
      <w:pPr>
        <w:pStyle w:val="Quote"/>
      </w:pPr>
      <w:r w:rsidRPr="007618AB">
        <w:t>Without reasonable excuse failing to comply with a direction given by a medical officer of health under Part 3A of the Health Act 1956.</w:t>
      </w:r>
    </w:p>
    <w:p w:rsidR="00DE5679" w:rsidRDefault="00DE5679" w:rsidP="00DE5679"/>
    <w:p w:rsidR="008D1DCC" w:rsidRPr="007618AB" w:rsidRDefault="008D1DCC" w:rsidP="00DE5679">
      <w:r w:rsidRPr="007618AB">
        <w:t>Should you be found guilty by the District Court, the maximum penalty is a fine not exceeding $2,000.</w:t>
      </w:r>
    </w:p>
    <w:p w:rsidR="008D1DCC" w:rsidRPr="007618AB" w:rsidRDefault="008D1DCC" w:rsidP="00DE5679"/>
    <w:p w:rsidR="003B22F1" w:rsidRDefault="008D1DCC" w:rsidP="00DE5679">
      <w:r w:rsidRPr="00DE5679">
        <w:rPr>
          <w:b/>
        </w:rPr>
        <w:t>If the person subject to this direction is under 16 years of age or does not have legal capacity to understand (eg, because of severe intellectual disability)</w:t>
      </w:r>
      <w:r w:rsidRPr="007618AB">
        <w:t xml:space="preserve">, </w:t>
      </w:r>
      <w:r>
        <w:t xml:space="preserve">and you are responsible for </w:t>
      </w:r>
      <w:r w:rsidRPr="007618AB">
        <w:t>their care, you have a duty to take reasonable steps to get them seen by a doctor for diagnosis and treatment.</w:t>
      </w:r>
      <w:r>
        <w:t xml:space="preserve"> </w:t>
      </w:r>
      <w:r w:rsidRPr="007618AB">
        <w:t>You could be taken to court for the offence of obstruction (ie, intentionally getting in the way of the person subject to the direction complying with it) under section 92W of the Hea</w:t>
      </w:r>
      <w:r w:rsidR="00616CC7">
        <w:t xml:space="preserve">lth Act.  </w:t>
      </w:r>
      <w:r w:rsidRPr="007618AB">
        <w:t>Should you be found guilty by the District Court, the maximum penalty is a fine not exceeding $2,000.</w:t>
      </w:r>
    </w:p>
    <w:p w:rsidR="008D1DCC" w:rsidRPr="007618AB" w:rsidRDefault="008D1DCC" w:rsidP="00DE5679"/>
    <w:p w:rsidR="008D1DCC" w:rsidRPr="007618AB" w:rsidRDefault="008D1DCC" w:rsidP="00DE5679">
      <w:pPr>
        <w:pStyle w:val="Heading4"/>
      </w:pPr>
      <w:r w:rsidRPr="007618AB">
        <w:t>Seeking changes to, or cancellation of, directions</w:t>
      </w:r>
    </w:p>
    <w:p w:rsidR="003B22F1" w:rsidRDefault="008D1DCC" w:rsidP="00DE5679">
      <w:r w:rsidRPr="007618AB">
        <w:t>This direction will be reviewed regularly to make sure it is still necessary. The medical officer of health can extend, change or cancel the direction. If there is something about the direction that you wish to have changed, you should contact the medical officer of health who signed the direction and seek review.</w:t>
      </w:r>
    </w:p>
    <w:p w:rsidR="00DE5679" w:rsidRDefault="00DE5679" w:rsidP="00DE5679"/>
    <w:p w:rsidR="008D1DCC" w:rsidRPr="007618AB" w:rsidRDefault="008D1DCC" w:rsidP="00DE5679">
      <w:pPr>
        <w:pStyle w:val="Heading4"/>
      </w:pPr>
      <w:r w:rsidRPr="007618AB">
        <w:t>What rights do you have to challenge the direction in the courts?</w:t>
      </w:r>
    </w:p>
    <w:p w:rsidR="008D1DCC" w:rsidRDefault="008D1DCC" w:rsidP="00DE5679">
      <w:r w:rsidRPr="007618AB">
        <w:t>You have a right to appeal to the District Court against this direction (or part of it), including against any changes or extensions, under secti</w:t>
      </w:r>
      <w:r>
        <w:t xml:space="preserve">on 92T of the Health Act 1956. </w:t>
      </w:r>
      <w:r w:rsidRPr="007618AB">
        <w:t>To do so you may file a notice of appeal under Part 18 of the District Court Rules 2014.</w:t>
      </w:r>
    </w:p>
    <w:p w:rsidR="008D1DCC" w:rsidRDefault="008D1DCC" w:rsidP="00DE5679"/>
    <w:p w:rsidR="008D1DCC" w:rsidRPr="007618AB" w:rsidRDefault="008D1DCC" w:rsidP="00DE5679">
      <w:r w:rsidRPr="007618AB">
        <w:t>You may also have a right to apply to the High Court for judicial review of the direction:</w:t>
      </w:r>
      <w:r w:rsidR="003B22F1">
        <w:t xml:space="preserve"> </w:t>
      </w:r>
      <w:r w:rsidRPr="007618AB">
        <w:t>for example, if the reasons for imposing the conditions were not lawful, or the direction was given in bad faith. You should seek the advice of a lawyer before deciding whether to challenge the direction in the courts.</w:t>
      </w:r>
    </w:p>
    <w:p w:rsidR="008D1DCC" w:rsidRDefault="008D1DCC" w:rsidP="00DE5679"/>
    <w:p w:rsidR="003B22F1" w:rsidRDefault="008D1DCC" w:rsidP="00DE5679">
      <w:pPr>
        <w:pStyle w:val="Heading4"/>
      </w:pPr>
      <w:r w:rsidRPr="007618AB">
        <w:t>Privacy of information</w:t>
      </w:r>
    </w:p>
    <w:p w:rsidR="003B22F1" w:rsidRDefault="008D1DCC" w:rsidP="00DE5679">
      <w:r w:rsidRPr="007618AB">
        <w:t>Information about you contained in this direction may not be used or passed on by anyone but you, except for the purpose of effectively managing diseases.</w:t>
      </w:r>
    </w:p>
    <w:p w:rsidR="008D1DCC" w:rsidRPr="007618AB" w:rsidRDefault="008D1DCC" w:rsidP="00DE5679"/>
    <w:p w:rsidR="003B22F1" w:rsidRDefault="008D1DCC" w:rsidP="00DE5679">
      <w:pPr>
        <w:pStyle w:val="Heading4"/>
      </w:pPr>
      <w:r w:rsidRPr="007618AB">
        <w:t>Further information</w:t>
      </w:r>
    </w:p>
    <w:p w:rsidR="008D1DCC" w:rsidRPr="007618AB" w:rsidRDefault="008D1DCC" w:rsidP="00DE5679">
      <w:r w:rsidRPr="007618AB">
        <w:t>If you require further information, you can contact:</w:t>
      </w:r>
    </w:p>
    <w:p w:rsidR="008D1DCC" w:rsidRPr="007618AB" w:rsidRDefault="008D1DCC" w:rsidP="00DE5679">
      <w:pPr>
        <w:pStyle w:val="Bullet"/>
      </w:pPr>
      <w:r w:rsidRPr="007618AB">
        <w:t>the medical officer of health named on this form – for information about the disease and this direction</w:t>
      </w:r>
    </w:p>
    <w:p w:rsidR="008D1DCC" w:rsidRPr="007618AB" w:rsidRDefault="008D1DCC" w:rsidP="00DE5679">
      <w:pPr>
        <w:pStyle w:val="Bullet"/>
      </w:pPr>
      <w:r w:rsidRPr="007618AB">
        <w:t>the Citizens</w:t>
      </w:r>
      <w:r w:rsidR="003B22F1">
        <w:t>’</w:t>
      </w:r>
      <w:r w:rsidRPr="007618AB">
        <w:t xml:space="preserve"> Advice Bureau (</w:t>
      </w:r>
      <w:hyperlink r:id="rId25" w:history="1">
        <w:r w:rsidRPr="007618AB">
          <w:rPr>
            <w:rStyle w:val="Hyperlink"/>
            <w:rFonts w:cs="Arial"/>
          </w:rPr>
          <w:t>www.cba.org.nz</w:t>
        </w:r>
      </w:hyperlink>
      <w:r w:rsidR="00DE5679">
        <w:rPr>
          <w:rStyle w:val="Hyperlink"/>
          <w:rFonts w:cs="Arial"/>
        </w:rPr>
        <w:t>,</w:t>
      </w:r>
      <w:r w:rsidRPr="007618AB">
        <w:t xml:space="preserve"> or freephone 0800 367 222)</w:t>
      </w:r>
    </w:p>
    <w:p w:rsidR="008D1DCC" w:rsidRPr="007618AB" w:rsidRDefault="008D1DCC" w:rsidP="00DE5679">
      <w:pPr>
        <w:pStyle w:val="Bullet"/>
      </w:pPr>
      <w:r w:rsidRPr="007618AB">
        <w:t>the Office of the Health and Disability Commissioner (</w:t>
      </w:r>
      <w:hyperlink r:id="rId26" w:history="1">
        <w:r w:rsidRPr="007618AB">
          <w:rPr>
            <w:rStyle w:val="Hyperlink"/>
            <w:rFonts w:cs="Arial"/>
          </w:rPr>
          <w:t>www.hdc.org.nz</w:t>
        </w:r>
      </w:hyperlink>
      <w:r w:rsidR="00DE5679">
        <w:t>,</w:t>
      </w:r>
      <w:r w:rsidR="003B22F1">
        <w:t xml:space="preserve"> </w:t>
      </w:r>
      <w:r w:rsidRPr="007618AB">
        <w:t>freephone 0800</w:t>
      </w:r>
      <w:r w:rsidR="00DE5679">
        <w:t> </w:t>
      </w:r>
      <w:r w:rsidRPr="007618AB">
        <w:t>11</w:t>
      </w:r>
      <w:r w:rsidR="00DE5679">
        <w:t> </w:t>
      </w:r>
      <w:r w:rsidRPr="007618AB">
        <w:t>22</w:t>
      </w:r>
      <w:r w:rsidR="00DE5679">
        <w:t> </w:t>
      </w:r>
      <w:r w:rsidRPr="007618AB">
        <w:t>33 or email:</w:t>
      </w:r>
      <w:r w:rsidR="003B22F1">
        <w:t xml:space="preserve"> </w:t>
      </w:r>
      <w:hyperlink r:id="rId27" w:history="1">
        <w:r w:rsidRPr="007618AB">
          <w:rPr>
            <w:rStyle w:val="Hyperlink"/>
            <w:rFonts w:cs="Arial"/>
          </w:rPr>
          <w:t>hdc@hdc.org.nz</w:t>
        </w:r>
      </w:hyperlink>
      <w:r w:rsidR="00EC1BC8">
        <w:rPr>
          <w:rStyle w:val="Hyperlink"/>
          <w:rFonts w:cs="Arial"/>
        </w:rPr>
        <w:t>)</w:t>
      </w:r>
      <w:r w:rsidRPr="007618AB">
        <w:t xml:space="preserve"> for advice on disability support</w:t>
      </w:r>
    </w:p>
    <w:p w:rsidR="008D1DCC" w:rsidRPr="007618AB" w:rsidRDefault="008D1DCC" w:rsidP="00DE5679">
      <w:pPr>
        <w:pStyle w:val="Bullet"/>
      </w:pPr>
      <w:r w:rsidRPr="007618AB">
        <w:t xml:space="preserve">the Community Law Centre </w:t>
      </w:r>
      <w:r w:rsidR="00EC1BC8">
        <w:t>(</w:t>
      </w:r>
      <w:hyperlink r:id="rId28" w:history="1">
        <w:r w:rsidRPr="007618AB">
          <w:rPr>
            <w:rStyle w:val="Hyperlink"/>
            <w:rFonts w:cs="Arial"/>
          </w:rPr>
          <w:t>www.communitylaw.org.nz</w:t>
        </w:r>
      </w:hyperlink>
      <w:r w:rsidR="00EC1BC8">
        <w:rPr>
          <w:rStyle w:val="Hyperlink"/>
          <w:rFonts w:cs="Arial"/>
        </w:rPr>
        <w:t>)</w:t>
      </w:r>
      <w:r w:rsidRPr="007618AB">
        <w:t xml:space="preserve"> for legal advice</w:t>
      </w:r>
    </w:p>
    <w:p w:rsidR="008D1DCC" w:rsidRPr="007618AB" w:rsidRDefault="008D1DCC" w:rsidP="00DE5679">
      <w:pPr>
        <w:pStyle w:val="Bullet"/>
      </w:pPr>
      <w:r w:rsidRPr="007618AB">
        <w:t>the New Zealand Society of Translators and Interpreters (</w:t>
      </w:r>
      <w:hyperlink r:id="rId29" w:history="1">
        <w:r w:rsidRPr="007618AB">
          <w:rPr>
            <w:rStyle w:val="Hyperlink"/>
            <w:rFonts w:cs="Arial"/>
          </w:rPr>
          <w:t>www.nzsti.org/faq/</w:t>
        </w:r>
      </w:hyperlink>
      <w:r w:rsidRPr="007618AB">
        <w:rPr>
          <w:rStyle w:val="Hyperlink"/>
          <w:rFonts w:cs="Arial"/>
        </w:rPr>
        <w:t>) to locate an interpreter.</w:t>
      </w:r>
    </w:p>
    <w:p w:rsidR="008D1DCC" w:rsidRPr="007618AB" w:rsidRDefault="008D1DCC" w:rsidP="00DE5679"/>
    <w:p w:rsidR="008D1DCC" w:rsidRDefault="008D1DCC" w:rsidP="00DE5679">
      <w:r w:rsidRPr="007618AB">
        <w:t xml:space="preserve">The Ministry of Justice and Courts of New Zealand websites have information about going to court, including applying for legal aid and information about court-based interpreters: see </w:t>
      </w:r>
      <w:hyperlink r:id="rId30" w:history="1">
        <w:r w:rsidRPr="007618AB">
          <w:rPr>
            <w:rStyle w:val="Hyperlink"/>
            <w:rFonts w:cs="Arial"/>
          </w:rPr>
          <w:t>www.justice.govt.nz/services/legal-help/</w:t>
        </w:r>
      </w:hyperlink>
      <w:r w:rsidRPr="007618AB">
        <w:t xml:space="preserve"> and </w:t>
      </w:r>
      <w:hyperlink r:id="rId31" w:history="1">
        <w:r w:rsidRPr="007618AB">
          <w:rPr>
            <w:rStyle w:val="Hyperlink"/>
            <w:rFonts w:cs="Arial"/>
          </w:rPr>
          <w:t>www.courtsofnz.govt.nz</w:t>
        </w:r>
      </w:hyperlink>
    </w:p>
    <w:p w:rsidR="00DE5679" w:rsidRPr="007618AB" w:rsidRDefault="00DE5679" w:rsidP="00DE5679"/>
    <w:p w:rsidR="00DE5679" w:rsidRDefault="00DE5679" w:rsidP="00DE5679">
      <w:r>
        <w:br w:type="page"/>
      </w:r>
    </w:p>
    <w:p w:rsidR="00FF5433" w:rsidRDefault="00FF5433" w:rsidP="00FF5433">
      <w:pPr>
        <w:pStyle w:val="Heading2"/>
        <w:spacing w:before="0"/>
        <w:jc w:val="center"/>
      </w:pPr>
      <w:bookmarkStart w:id="84" w:name="_Toc473538576"/>
      <w:r>
        <w:t>[</w:t>
      </w:r>
      <w:r w:rsidRPr="00A67E50">
        <w:rPr>
          <w:i/>
        </w:rPr>
        <w:t>Template for</w:t>
      </w:r>
      <w:r>
        <w:rPr>
          <w:i/>
        </w:rPr>
        <w:t xml:space="preserve"> </w:t>
      </w:r>
      <w:r w:rsidRPr="00A67E50">
        <w:rPr>
          <w:b w:val="0"/>
          <w:i/>
          <w:sz w:val="22"/>
        </w:rPr>
        <w:t>remove this text</w:t>
      </w:r>
      <w:r>
        <w:t>]</w:t>
      </w:r>
    </w:p>
    <w:p w:rsidR="008D1DCC" w:rsidRPr="0019193C" w:rsidRDefault="00FF5433" w:rsidP="00DE5679">
      <w:pPr>
        <w:pStyle w:val="Heading2"/>
        <w:spacing w:before="0"/>
      </w:pPr>
      <w:r>
        <w:t>D</w:t>
      </w:r>
      <w:r w:rsidR="008D1DCC">
        <w:t>irection</w:t>
      </w:r>
      <w:r w:rsidR="008D1DCC" w:rsidRPr="0019193C">
        <w:t xml:space="preserve"> for contacts</w:t>
      </w:r>
      <w:bookmarkEnd w:id="84"/>
    </w:p>
    <w:p w:rsidR="008D1DCC" w:rsidRPr="007618AB" w:rsidRDefault="008D1DCC" w:rsidP="00DE5679">
      <w:r w:rsidRPr="007618AB">
        <w:t>Under section 92J of the Health Act 1956</w:t>
      </w:r>
    </w:p>
    <w:p w:rsidR="008D1DCC" w:rsidRPr="007618AB" w:rsidRDefault="008D1DCC" w:rsidP="00DE5679"/>
    <w:p w:rsidR="00DE5679" w:rsidRPr="007618AB" w:rsidRDefault="00DE5679" w:rsidP="00DE5679">
      <w:pPr>
        <w:spacing w:before="480"/>
      </w:pPr>
      <w:r w:rsidRPr="007618AB">
        <w:t xml:space="preserve">To </w:t>
      </w:r>
      <w:r w:rsidRPr="006A1A99">
        <w:rPr>
          <w:i/>
        </w:rPr>
        <w:t>[name and address of individual]</w:t>
      </w:r>
    </w:p>
    <w:p w:rsidR="00DE5679" w:rsidRPr="007618AB" w:rsidRDefault="00DE5679" w:rsidP="00DE5679"/>
    <w:p w:rsidR="008D1DCC" w:rsidRPr="007618AB" w:rsidRDefault="008D1DCC" w:rsidP="00DE5679">
      <w:r w:rsidRPr="007618AB">
        <w:t xml:space="preserve">This is to tell you that you are now subject to a direction for contacts because of my belief that you have been in contact with an individual who may have the following infectious disease </w:t>
      </w:r>
      <w:r w:rsidRPr="007618AB">
        <w:rPr>
          <w:i/>
        </w:rPr>
        <w:t>[specify infectious disease</w:t>
      </w:r>
      <w:r w:rsidRPr="007618AB">
        <w:t>] and that you could pose a substantial risk of serious harm to the health or safety of one more other people as a result.</w:t>
      </w:r>
      <w:r>
        <w:t xml:space="preserve"> </w:t>
      </w:r>
      <w:r w:rsidRPr="007618AB">
        <w:rPr>
          <w:i/>
        </w:rPr>
        <w:t>[</w:t>
      </w:r>
      <w:r w:rsidR="007227C6">
        <w:rPr>
          <w:i/>
        </w:rPr>
        <w:t>s</w:t>
      </w:r>
      <w:r w:rsidRPr="007618AB">
        <w:rPr>
          <w:i/>
        </w:rPr>
        <w:t>pecify any other grounds relating to the nature of the disease, and relevant circumstances of the particular case – eg, that the contact is living in crowded housing, makin</w:t>
      </w:r>
      <w:r w:rsidR="007227C6">
        <w:rPr>
          <w:i/>
        </w:rPr>
        <w:t>g the transmission risk greater</w:t>
      </w:r>
      <w:r w:rsidRPr="007618AB">
        <w:rPr>
          <w:i/>
        </w:rPr>
        <w:t>]</w:t>
      </w:r>
    </w:p>
    <w:p w:rsidR="008D1DCC" w:rsidRPr="007618AB" w:rsidRDefault="008D1DCC" w:rsidP="00DE5679"/>
    <w:p w:rsidR="008D1DCC" w:rsidRPr="007618AB" w:rsidRDefault="008D1DCC" w:rsidP="00DE5679">
      <w:r w:rsidRPr="007618AB">
        <w:t xml:space="preserve">This direction applies from </w:t>
      </w:r>
      <w:r w:rsidRPr="00DE5679">
        <w:rPr>
          <w:i/>
        </w:rPr>
        <w:t>[start date]</w:t>
      </w:r>
      <w:r w:rsidRPr="007618AB">
        <w:t xml:space="preserve"> until </w:t>
      </w:r>
      <w:r w:rsidRPr="00DE5679">
        <w:rPr>
          <w:i/>
        </w:rPr>
        <w:t>[specify a period within six months and no longer than is necessary to prevent or minimise the public health risk the individual poses]</w:t>
      </w:r>
      <w:r w:rsidRPr="007618AB">
        <w:t>.</w:t>
      </w:r>
    </w:p>
    <w:p w:rsidR="008D1DCC" w:rsidRDefault="008D1DCC" w:rsidP="00DE5679"/>
    <w:p w:rsidR="00DE5679" w:rsidRPr="007618AB" w:rsidRDefault="00DE5679" w:rsidP="00DE5679">
      <w:r w:rsidRPr="007618AB">
        <w:t xml:space="preserve">The direction </w:t>
      </w:r>
      <w:r>
        <w:t xml:space="preserve">for contacts </w:t>
      </w:r>
      <w:r w:rsidRPr="007618AB">
        <w:t>means:</w:t>
      </w:r>
    </w:p>
    <w:p w:rsidR="00DE5679" w:rsidRPr="007618AB" w:rsidRDefault="00DE5679" w:rsidP="00DE5679">
      <w:r w:rsidRPr="006A1A99">
        <w:rPr>
          <w:i/>
        </w:rPr>
        <w:t>[</w:t>
      </w:r>
      <w:r w:rsidR="007227C6">
        <w:rPr>
          <w:i/>
        </w:rPr>
        <w:t>s</w:t>
      </w:r>
      <w:r w:rsidRPr="006A1A99">
        <w:rPr>
          <w:i/>
        </w:rPr>
        <w:t>elect and insert relevant conditions from section 92</w:t>
      </w:r>
      <w:r>
        <w:rPr>
          <w:i/>
        </w:rPr>
        <w:t>J</w:t>
      </w:r>
      <w:r w:rsidRPr="006A1A99">
        <w:rPr>
          <w:i/>
        </w:rPr>
        <w:t>(4) on page 2 of this template]</w:t>
      </w:r>
    </w:p>
    <w:p w:rsidR="00DE5679" w:rsidRPr="007618AB" w:rsidRDefault="00DE5679" w:rsidP="00DE5679"/>
    <w:p w:rsidR="00DE5679" w:rsidRPr="007618AB" w:rsidRDefault="00DE5679" w:rsidP="00DE5679">
      <w:pPr>
        <w:tabs>
          <w:tab w:val="left" w:pos="5103"/>
        </w:tabs>
        <w:spacing w:before="600"/>
      </w:pPr>
      <w:r w:rsidRPr="007618AB">
        <w:t>Signed by</w:t>
      </w:r>
      <w:r w:rsidRPr="007618AB">
        <w:tab/>
      </w:r>
      <w:r w:rsidRPr="007618AB">
        <w:tab/>
        <w:t>Date</w:t>
      </w:r>
    </w:p>
    <w:p w:rsidR="00DE5679" w:rsidRPr="007618AB" w:rsidRDefault="00DE5679" w:rsidP="00DE5679"/>
    <w:p w:rsidR="00DE5679" w:rsidRPr="00DF1A4B" w:rsidRDefault="00DE5679" w:rsidP="00DE5679">
      <w:pPr>
        <w:spacing w:after="600"/>
        <w:rPr>
          <w:i/>
        </w:rPr>
      </w:pPr>
      <w:r w:rsidRPr="00DF1A4B">
        <w:rPr>
          <w:i/>
        </w:rPr>
        <w:t>[</w:t>
      </w:r>
      <w:r w:rsidR="007227C6">
        <w:rPr>
          <w:i/>
        </w:rPr>
        <w:t>s</w:t>
      </w:r>
      <w:r w:rsidRPr="00DF1A4B">
        <w:rPr>
          <w:i/>
        </w:rPr>
        <w:t>upply name, contact details and health district of medical officer of health]</w:t>
      </w:r>
    </w:p>
    <w:p w:rsidR="00DE5679" w:rsidRPr="007618AB" w:rsidRDefault="00DE5679" w:rsidP="00DE5679"/>
    <w:p w:rsidR="00DE5679" w:rsidRPr="006A1A99" w:rsidRDefault="00DE5679" w:rsidP="00DE5679">
      <w:pPr>
        <w:pBdr>
          <w:top w:val="single" w:sz="4" w:space="12" w:color="auto"/>
        </w:pBdr>
        <w:rPr>
          <w:b/>
        </w:rPr>
      </w:pPr>
      <w:r w:rsidRPr="006A1A99">
        <w:rPr>
          <w:b/>
        </w:rPr>
        <w:t>Administration only:</w:t>
      </w:r>
    </w:p>
    <w:p w:rsidR="00DE5679" w:rsidRPr="007618AB" w:rsidRDefault="00DE5679" w:rsidP="00DE5679"/>
    <w:p w:rsidR="00DE5679" w:rsidRPr="006A1A99" w:rsidRDefault="00DE5679" w:rsidP="00DE5679">
      <w:pPr>
        <w:tabs>
          <w:tab w:val="left" w:pos="5103"/>
        </w:tabs>
      </w:pPr>
      <w:r w:rsidRPr="007618AB">
        <w:t>Is this infectious disease notifiable?</w:t>
      </w:r>
      <w:r w:rsidRPr="007618AB">
        <w:tab/>
        <w:t>Yes/No</w:t>
      </w:r>
    </w:p>
    <w:p w:rsidR="00DE5679" w:rsidRPr="007618AB" w:rsidRDefault="00DE5679" w:rsidP="00DE5679"/>
    <w:p w:rsidR="00DE5679" w:rsidRPr="00DF1A4B" w:rsidRDefault="00DE5679" w:rsidP="00DE5679">
      <w:pPr>
        <w:rPr>
          <w:i/>
        </w:rPr>
      </w:pPr>
      <w:r w:rsidRPr="00DF1A4B">
        <w:rPr>
          <w:i/>
        </w:rPr>
        <w:t>[If no, the Director of Public Health’s prior approval to the direction is required.]</w:t>
      </w:r>
    </w:p>
    <w:p w:rsidR="00DE5679" w:rsidRPr="007618AB" w:rsidRDefault="00DE5679" w:rsidP="00DE5679">
      <w:pPr>
        <w:pBdr>
          <w:bottom w:val="single" w:sz="4" w:space="12" w:color="auto"/>
        </w:pBdr>
        <w:tabs>
          <w:tab w:val="left" w:pos="5103"/>
        </w:tabs>
        <w:spacing w:before="600"/>
      </w:pPr>
      <w:r w:rsidRPr="007618AB">
        <w:t>Signature</w:t>
      </w:r>
      <w:r w:rsidRPr="007618AB">
        <w:tab/>
      </w:r>
      <w:r w:rsidRPr="007618AB">
        <w:tab/>
        <w:t>Date</w:t>
      </w:r>
    </w:p>
    <w:p w:rsidR="00DE5679" w:rsidRPr="007618AB" w:rsidRDefault="00DE5679" w:rsidP="00DE5679"/>
    <w:p w:rsidR="00DE5679" w:rsidRDefault="00DE5679" w:rsidP="00DE5679">
      <w:r>
        <w:br w:type="page"/>
      </w:r>
    </w:p>
    <w:p w:rsidR="008D1DCC" w:rsidRDefault="008D1DCC" w:rsidP="00DE5679">
      <w:pPr>
        <w:pStyle w:val="Heading3"/>
        <w:rPr>
          <w:rFonts w:cs="Arial"/>
        </w:rPr>
      </w:pPr>
      <w:r w:rsidRPr="009A4E6B">
        <w:t>Relevant legislation</w:t>
      </w:r>
    </w:p>
    <w:p w:rsidR="008D1DCC" w:rsidRPr="007618AB" w:rsidRDefault="008D1DCC" w:rsidP="00C50A30">
      <w:pPr>
        <w:pStyle w:val="Heading4"/>
      </w:pPr>
      <w:r w:rsidRPr="007618AB">
        <w:t>92J</w:t>
      </w:r>
      <w:r w:rsidR="003B22F1">
        <w:t xml:space="preserve"> </w:t>
      </w:r>
      <w:r w:rsidRPr="007618AB">
        <w:t>Medical officer of health may give directions to contacts of individuals posing public health risk</w:t>
      </w:r>
    </w:p>
    <w:p w:rsidR="008D1DCC" w:rsidRPr="007618AB" w:rsidRDefault="008D1DCC" w:rsidP="00C50A30">
      <w:r w:rsidRPr="007618AB">
        <w:t>…</w:t>
      </w:r>
    </w:p>
    <w:p w:rsidR="008D1DCC" w:rsidRPr="007618AB" w:rsidRDefault="00C50A30" w:rsidP="00C50A30">
      <w:pPr>
        <w:ind w:left="567" w:hanging="567"/>
      </w:pPr>
      <w:r>
        <w:t>(4)</w:t>
      </w:r>
      <w:r>
        <w:tab/>
      </w:r>
      <w:r w:rsidR="008D1DCC" w:rsidRPr="007618AB">
        <w:t>The medical officer of health may direct the individual to –</w:t>
      </w:r>
    </w:p>
    <w:p w:rsidR="008D1DCC" w:rsidRPr="007618AB" w:rsidRDefault="00C50A30" w:rsidP="00C50A30">
      <w:pPr>
        <w:spacing w:before="120"/>
        <w:ind w:left="1134" w:hanging="567"/>
      </w:pPr>
      <w:r>
        <w:t>(a)</w:t>
      </w:r>
      <w:r>
        <w:tab/>
      </w:r>
      <w:r w:rsidR="008D1DCC" w:rsidRPr="007618AB">
        <w:t>participate in any of the following that are conducted by a health provider:</w:t>
      </w:r>
    </w:p>
    <w:p w:rsidR="008D1DCC" w:rsidRPr="007618AB" w:rsidRDefault="00C50A30" w:rsidP="00C50A30">
      <w:pPr>
        <w:spacing w:before="60"/>
        <w:ind w:left="1701" w:hanging="567"/>
      </w:pPr>
      <w:r>
        <w:t>(i)</w:t>
      </w:r>
      <w:r>
        <w:tab/>
      </w:r>
      <w:r w:rsidR="008D1DCC" w:rsidRPr="007618AB">
        <w:t>counselling:</w:t>
      </w:r>
    </w:p>
    <w:p w:rsidR="008D1DCC" w:rsidRPr="007618AB" w:rsidRDefault="00C50A30" w:rsidP="00C50A30">
      <w:pPr>
        <w:spacing w:before="60"/>
        <w:ind w:left="1701" w:hanging="567"/>
      </w:pPr>
      <w:r>
        <w:t>(ii)</w:t>
      </w:r>
      <w:r>
        <w:tab/>
      </w:r>
      <w:r w:rsidR="008D1DCC" w:rsidRPr="007618AB">
        <w:t>education:</w:t>
      </w:r>
    </w:p>
    <w:p w:rsidR="008D1DCC" w:rsidRPr="007618AB" w:rsidRDefault="00C50A30" w:rsidP="00C50A30">
      <w:pPr>
        <w:spacing w:before="60"/>
        <w:ind w:left="1701" w:hanging="567"/>
      </w:pPr>
      <w:r>
        <w:t>(iii)</w:t>
      </w:r>
      <w:r>
        <w:tab/>
      </w:r>
      <w:r w:rsidR="008D1DCC" w:rsidRPr="007618AB">
        <w:t>other activities related to the infectious disease:</w:t>
      </w:r>
    </w:p>
    <w:p w:rsidR="008D1DCC" w:rsidRPr="007618AB" w:rsidRDefault="00C50A30" w:rsidP="00C50A30">
      <w:pPr>
        <w:spacing w:before="120"/>
        <w:ind w:left="1134" w:hanging="567"/>
      </w:pPr>
      <w:r>
        <w:t>(b)</w:t>
      </w:r>
      <w:r>
        <w:tab/>
      </w:r>
      <w:r w:rsidR="008D1DCC" w:rsidRPr="007618AB">
        <w:t>refrain from carrying out specified activities (for example, undertaking employment, using public transport, or travelling within and outside New Zealand) either absolutely or unless stated conditions are observed:</w:t>
      </w:r>
    </w:p>
    <w:p w:rsidR="008D1DCC" w:rsidRPr="007618AB" w:rsidRDefault="00C50A30" w:rsidP="00C50A30">
      <w:pPr>
        <w:spacing w:before="120"/>
        <w:ind w:left="1134" w:hanging="567"/>
      </w:pPr>
      <w:r>
        <w:t>(c)</w:t>
      </w:r>
      <w:r>
        <w:tab/>
      </w:r>
      <w:r w:rsidR="008D1DCC" w:rsidRPr="007618AB">
        <w:t>refrain from going to specified places either absolutely or unless stated conditions are observed:</w:t>
      </w:r>
    </w:p>
    <w:p w:rsidR="008D1DCC" w:rsidRPr="007618AB" w:rsidRDefault="00C50A30" w:rsidP="00C50A30">
      <w:pPr>
        <w:spacing w:before="120"/>
        <w:ind w:left="1134" w:hanging="567"/>
      </w:pPr>
      <w:r>
        <w:t>(d)</w:t>
      </w:r>
      <w:r>
        <w:tab/>
      </w:r>
      <w:r w:rsidR="008D1DCC" w:rsidRPr="007618AB">
        <w:t>refrain from associating with specified persons or specified classes of persons:</w:t>
      </w:r>
    </w:p>
    <w:p w:rsidR="008D1DCC" w:rsidRPr="007618AB" w:rsidRDefault="00C50A30" w:rsidP="00C50A30">
      <w:pPr>
        <w:spacing w:before="120"/>
        <w:ind w:left="1134" w:hanging="567"/>
      </w:pPr>
      <w:r>
        <w:t>(e)</w:t>
      </w:r>
      <w:r>
        <w:tab/>
      </w:r>
      <w:r w:rsidR="008D1DCC" w:rsidRPr="007618AB">
        <w:t>take specified actions to prevent or minimise the public health risk posed by the individual:</w:t>
      </w:r>
    </w:p>
    <w:p w:rsidR="008D1DCC" w:rsidRPr="007618AB" w:rsidRDefault="00C50A30" w:rsidP="00C50A30">
      <w:pPr>
        <w:spacing w:before="120"/>
        <w:ind w:left="1134" w:hanging="567"/>
      </w:pPr>
      <w:r>
        <w:t>(f)</w:t>
      </w:r>
      <w:r>
        <w:tab/>
      </w:r>
      <w:r w:rsidR="008D1DCC" w:rsidRPr="007618AB">
        <w:t>stay, at all times or at specified times, at a specified place of residence subject to specified conditions:</w:t>
      </w:r>
    </w:p>
    <w:p w:rsidR="008D1DCC" w:rsidRPr="007618AB" w:rsidRDefault="00C50A30" w:rsidP="00C50A30">
      <w:pPr>
        <w:spacing w:before="120"/>
        <w:ind w:left="1134" w:hanging="567"/>
      </w:pPr>
      <w:r>
        <w:t>(g)</w:t>
      </w:r>
      <w:r>
        <w:tab/>
      </w:r>
      <w:r w:rsidR="008D1DCC" w:rsidRPr="007618AB">
        <w:t>accept supervision by a named person or a person for the time being holding a named office, i</w:t>
      </w:r>
      <w:r w:rsidR="00616CC7">
        <w:t xml:space="preserve">ncluding, without limitation, </w:t>
      </w:r>
      <w:r w:rsidR="002032E2">
        <w:softHyphen/>
      </w:r>
      <w:r w:rsidR="002032E2">
        <w:softHyphen/>
        <w:t>-</w:t>
      </w:r>
    </w:p>
    <w:p w:rsidR="008D1DCC" w:rsidRPr="007618AB" w:rsidRDefault="008D1DCC" w:rsidP="00C50A30">
      <w:pPr>
        <w:spacing w:before="60"/>
        <w:ind w:left="1701" w:hanging="567"/>
      </w:pPr>
      <w:r w:rsidRPr="007618AB">
        <w:t>(i)</w:t>
      </w:r>
      <w:r w:rsidR="00C50A30">
        <w:tab/>
      </w:r>
      <w:r w:rsidRPr="007618AB">
        <w:t>attending meetings arranged by that person; and</w:t>
      </w:r>
    </w:p>
    <w:p w:rsidR="008D1DCC" w:rsidRPr="007618AB" w:rsidRDefault="008D1DCC" w:rsidP="00C50A30">
      <w:pPr>
        <w:spacing w:before="60"/>
        <w:ind w:left="1701" w:hanging="567"/>
      </w:pPr>
      <w:r w:rsidRPr="007618AB">
        <w:t>(ii)</w:t>
      </w:r>
      <w:r w:rsidRPr="007618AB">
        <w:tab/>
        <w:t>providing that person with information on any action, occurrence, or plan that is relevant to the public health risk posed by the individual:</w:t>
      </w:r>
    </w:p>
    <w:p w:rsidR="008D1DCC" w:rsidRPr="007618AB" w:rsidRDefault="00C50A30" w:rsidP="00C50A30">
      <w:pPr>
        <w:spacing w:before="120"/>
        <w:ind w:left="1134" w:hanging="567"/>
      </w:pPr>
      <w:r>
        <w:t>(h)</w:t>
      </w:r>
      <w:r>
        <w:tab/>
      </w:r>
      <w:r w:rsidR="008D1DCC" w:rsidRPr="007618AB">
        <w:t>comply with instructions to prevent the spread of the infectious disease.</w:t>
      </w:r>
    </w:p>
    <w:p w:rsidR="008D1DCC" w:rsidRPr="007618AB" w:rsidRDefault="008D1DCC" w:rsidP="00C50A30"/>
    <w:p w:rsidR="00B911C7" w:rsidRDefault="00B911C7" w:rsidP="00B911C7">
      <w:r>
        <w:br w:type="page"/>
      </w:r>
    </w:p>
    <w:p w:rsidR="008D1DCC" w:rsidRDefault="008D1DCC" w:rsidP="00B911C7">
      <w:pPr>
        <w:pStyle w:val="Heading3"/>
        <w:spacing w:before="0"/>
      </w:pPr>
      <w:r w:rsidRPr="00283C09">
        <w:t>Information about this direction for the individual subject to it</w:t>
      </w:r>
    </w:p>
    <w:p w:rsidR="008D1DCC" w:rsidRPr="007618AB" w:rsidRDefault="008D1DCC" w:rsidP="00B911C7">
      <w:pPr>
        <w:pStyle w:val="Heading4"/>
      </w:pPr>
      <w:r w:rsidRPr="007618AB">
        <w:t>What if you do not comply with this direction?</w:t>
      </w:r>
    </w:p>
    <w:p w:rsidR="008D1DCC" w:rsidRPr="007618AB" w:rsidRDefault="008D1DCC" w:rsidP="00B911C7">
      <w:r w:rsidRPr="007618AB">
        <w:t>If you do not comply with this direction you:</w:t>
      </w:r>
    </w:p>
    <w:p w:rsidR="008D1DCC" w:rsidRPr="007618AB" w:rsidRDefault="008D1DCC" w:rsidP="00B911C7">
      <w:pPr>
        <w:pStyle w:val="Bullet"/>
      </w:pPr>
      <w:r w:rsidRPr="007618AB">
        <w:t>are breaking the law</w:t>
      </w:r>
    </w:p>
    <w:p w:rsidR="008D1DCC" w:rsidRPr="007618AB" w:rsidRDefault="008D1DCC" w:rsidP="00B911C7">
      <w:pPr>
        <w:pStyle w:val="Bullet"/>
      </w:pPr>
      <w:r w:rsidRPr="007618AB">
        <w:t>put other people at risk of serious harm</w:t>
      </w:r>
    </w:p>
    <w:p w:rsidR="008D1DCC" w:rsidRPr="007618AB" w:rsidRDefault="008D1DCC" w:rsidP="00B911C7">
      <w:pPr>
        <w:pStyle w:val="Bullet"/>
      </w:pPr>
      <w:r w:rsidRPr="007618AB">
        <w:t>put your own health and safety at risk</w:t>
      </w:r>
    </w:p>
    <w:p w:rsidR="008D1DCC" w:rsidRPr="007618AB" w:rsidRDefault="008D1DCC" w:rsidP="00B911C7">
      <w:pPr>
        <w:pStyle w:val="Bullet"/>
      </w:pPr>
      <w:r w:rsidRPr="007618AB">
        <w:t>may be taken to court by the medical officer of health, and could as a result become subject to a court order placing more restrictions on you</w:t>
      </w:r>
    </w:p>
    <w:p w:rsidR="003B22F1" w:rsidRPr="00B911C7" w:rsidRDefault="008D1DCC" w:rsidP="00B911C7">
      <w:pPr>
        <w:pStyle w:val="Bullet"/>
      </w:pPr>
      <w:r w:rsidRPr="00B911C7">
        <w:t>could, in exceptional circumstances, be taken to court for an offence under</w:t>
      </w:r>
      <w:r w:rsidR="00B911C7" w:rsidRPr="00B911C7">
        <w:t xml:space="preserve"> </w:t>
      </w:r>
      <w:r w:rsidR="003B22F1" w:rsidRPr="00B911C7">
        <w:t xml:space="preserve"> </w:t>
      </w:r>
      <w:r w:rsidRPr="00B911C7">
        <w:t>section 92V of the Health Act 1956 of:</w:t>
      </w:r>
    </w:p>
    <w:p w:rsidR="008D1DCC" w:rsidRPr="007618AB" w:rsidRDefault="008D1DCC" w:rsidP="00B911C7">
      <w:pPr>
        <w:pStyle w:val="Quote"/>
      </w:pPr>
      <w:r w:rsidRPr="007618AB">
        <w:t>Without reasonable excuse failing to comply with a direction given by a medical officer of health under Part 3A of the Health Act 1956.</w:t>
      </w:r>
    </w:p>
    <w:p w:rsidR="00B911C7" w:rsidRDefault="00B911C7" w:rsidP="00B911C7"/>
    <w:p w:rsidR="008D1DCC" w:rsidRPr="007618AB" w:rsidRDefault="008D1DCC" w:rsidP="00B911C7">
      <w:r w:rsidRPr="007618AB">
        <w:t>Should you be found guilty by the District Court, the maximum penalty is a fine not exceeding $2,000.</w:t>
      </w:r>
    </w:p>
    <w:p w:rsidR="008D1DCC" w:rsidRPr="007618AB" w:rsidRDefault="008D1DCC" w:rsidP="00B911C7"/>
    <w:p w:rsidR="003B22F1" w:rsidRDefault="008D1DCC" w:rsidP="00B911C7">
      <w:r w:rsidRPr="00B911C7">
        <w:rPr>
          <w:b/>
        </w:rPr>
        <w:t>If the person subject to this direction is under 16 years of age or does not have legal capacity to understand (eg, because of severe intellectual disability)</w:t>
      </w:r>
      <w:r w:rsidRPr="007618AB">
        <w:t xml:space="preserve">, and you are </w:t>
      </w:r>
      <w:r>
        <w:t>responsible for their</w:t>
      </w:r>
      <w:r w:rsidRPr="007618AB">
        <w:t xml:space="preserve"> care, you have a duty to take reasonable steps to get them seen by a doctor for diagnosis and treatment. You could be taken to court for the offence of obstruction (ie, intentionally getting in the way of the person subject to the direction complying with it) under section 92W of the Health Act if you fail to do this. Should you be found guilty by the District Court, the maximum penalty is a fine not exceeding $2,000.</w:t>
      </w:r>
    </w:p>
    <w:p w:rsidR="008D1DCC" w:rsidRPr="007618AB" w:rsidRDefault="008D1DCC" w:rsidP="00B911C7"/>
    <w:p w:rsidR="008D1DCC" w:rsidRPr="007618AB" w:rsidRDefault="008D1DCC" w:rsidP="00B911C7">
      <w:pPr>
        <w:pStyle w:val="Heading4"/>
      </w:pPr>
      <w:r w:rsidRPr="007618AB">
        <w:t>Seeking changes to, or cancellation of, directions</w:t>
      </w:r>
    </w:p>
    <w:p w:rsidR="003B22F1" w:rsidRDefault="008D1DCC" w:rsidP="00B911C7">
      <w:r w:rsidRPr="007618AB">
        <w:t>This direction will be reviewed regularly to make sure it is still necessary. The medical officer of health can extend, change or cancel the direction. If there is something about the direction that you wish to have changed, you should contact the medical officer of health who signed the direction and seek review.</w:t>
      </w:r>
    </w:p>
    <w:p w:rsidR="00B911C7" w:rsidRDefault="00B911C7" w:rsidP="00B911C7"/>
    <w:p w:rsidR="008D1DCC" w:rsidRPr="007618AB" w:rsidRDefault="008D1DCC" w:rsidP="00B911C7">
      <w:pPr>
        <w:pStyle w:val="Heading4"/>
      </w:pPr>
      <w:r w:rsidRPr="007618AB">
        <w:t>What rights do you have to challenge the direction in the courts?</w:t>
      </w:r>
    </w:p>
    <w:p w:rsidR="008D1DCC" w:rsidRPr="007618AB" w:rsidRDefault="008D1DCC" w:rsidP="00B911C7">
      <w:r w:rsidRPr="007618AB">
        <w:t>You have a right to appeal to the District Court against this direction (or part of it), including against any changes or extensions, under section 92T of the Health Act 1956.</w:t>
      </w:r>
      <w:r w:rsidR="003B22F1">
        <w:t xml:space="preserve"> </w:t>
      </w:r>
      <w:r w:rsidRPr="007618AB">
        <w:t>To do so you may file a notice of appeal under Part 18 of the District Court Rules 2014.</w:t>
      </w:r>
    </w:p>
    <w:p w:rsidR="00B911C7" w:rsidRDefault="00B911C7" w:rsidP="00B911C7"/>
    <w:p w:rsidR="008D1DCC" w:rsidRDefault="008D1DCC" w:rsidP="00B911C7">
      <w:r w:rsidRPr="007618AB">
        <w:t>You may also have a right to apply to the High Court for judicial review of the direction:</w:t>
      </w:r>
      <w:r w:rsidR="003B22F1">
        <w:t xml:space="preserve"> </w:t>
      </w:r>
      <w:r w:rsidRPr="007618AB">
        <w:t>for example, if the reasons for imposing the conditions were not lawful, or the direction was given in bad faith. You should seek the advice of a lawyer before deciding whether to challenge the direction in the courts.</w:t>
      </w:r>
    </w:p>
    <w:p w:rsidR="00B911C7" w:rsidRPr="007618AB" w:rsidRDefault="00B911C7" w:rsidP="00B911C7"/>
    <w:p w:rsidR="003B22F1" w:rsidRDefault="008D1DCC" w:rsidP="00B911C7">
      <w:pPr>
        <w:pStyle w:val="Heading4"/>
      </w:pPr>
      <w:r w:rsidRPr="007618AB">
        <w:t>Privacy of information</w:t>
      </w:r>
    </w:p>
    <w:p w:rsidR="003B22F1" w:rsidRDefault="008D1DCC" w:rsidP="00B911C7">
      <w:r w:rsidRPr="007618AB">
        <w:t>Information about you contained in this direction may not be used or passed on by anyone but you, except for the purpose of effectively managing diseases.</w:t>
      </w:r>
    </w:p>
    <w:p w:rsidR="008D1DCC" w:rsidRPr="007618AB" w:rsidRDefault="008D1DCC" w:rsidP="00B911C7"/>
    <w:p w:rsidR="003B22F1" w:rsidRDefault="008D1DCC" w:rsidP="00B911C7">
      <w:pPr>
        <w:pStyle w:val="Heading4"/>
      </w:pPr>
      <w:r w:rsidRPr="007618AB">
        <w:t>Further information</w:t>
      </w:r>
    </w:p>
    <w:p w:rsidR="008D1DCC" w:rsidRPr="007618AB" w:rsidRDefault="008D1DCC" w:rsidP="00B911C7">
      <w:r w:rsidRPr="007618AB">
        <w:t>If you require further information, you can contact:</w:t>
      </w:r>
    </w:p>
    <w:p w:rsidR="008D1DCC" w:rsidRPr="007618AB" w:rsidRDefault="008D1DCC" w:rsidP="00B911C7">
      <w:pPr>
        <w:pStyle w:val="Bullet"/>
      </w:pPr>
      <w:r w:rsidRPr="007618AB">
        <w:t>the medical officer of health named on this form – for information about the disease and this direction</w:t>
      </w:r>
    </w:p>
    <w:p w:rsidR="008D1DCC" w:rsidRPr="007618AB" w:rsidRDefault="008D1DCC" w:rsidP="00B911C7">
      <w:pPr>
        <w:pStyle w:val="Bullet"/>
      </w:pPr>
      <w:r w:rsidRPr="007618AB">
        <w:t>the Citizens</w:t>
      </w:r>
      <w:r w:rsidR="003B22F1">
        <w:t>’</w:t>
      </w:r>
      <w:r w:rsidRPr="007618AB">
        <w:t xml:space="preserve"> Advice Bureau (</w:t>
      </w:r>
      <w:hyperlink r:id="rId32" w:history="1">
        <w:r w:rsidRPr="007618AB">
          <w:rPr>
            <w:rStyle w:val="Hyperlink"/>
            <w:rFonts w:cs="Arial"/>
          </w:rPr>
          <w:t>www.cba.org.nz</w:t>
        </w:r>
      </w:hyperlink>
      <w:r w:rsidR="00B911C7">
        <w:rPr>
          <w:rStyle w:val="Hyperlink"/>
          <w:rFonts w:cs="Arial"/>
        </w:rPr>
        <w:t>,</w:t>
      </w:r>
      <w:r w:rsidRPr="007618AB">
        <w:t xml:space="preserve"> or freephone 0800 367 222)</w:t>
      </w:r>
    </w:p>
    <w:p w:rsidR="008D1DCC" w:rsidRPr="007618AB" w:rsidRDefault="008D1DCC" w:rsidP="00B911C7">
      <w:pPr>
        <w:pStyle w:val="Bullet"/>
      </w:pPr>
      <w:r w:rsidRPr="007618AB">
        <w:t>the Office of the Health and Disability Commissioner (</w:t>
      </w:r>
      <w:hyperlink r:id="rId33" w:history="1">
        <w:r w:rsidRPr="007618AB">
          <w:rPr>
            <w:rStyle w:val="Hyperlink"/>
            <w:rFonts w:cs="Arial"/>
          </w:rPr>
          <w:t>www.hdc.org.nz</w:t>
        </w:r>
      </w:hyperlink>
      <w:r w:rsidR="00B911C7">
        <w:rPr>
          <w:rStyle w:val="Hyperlink"/>
          <w:rFonts w:cs="Arial"/>
        </w:rPr>
        <w:t>,</w:t>
      </w:r>
      <w:r w:rsidR="003B22F1">
        <w:t xml:space="preserve"> </w:t>
      </w:r>
      <w:r w:rsidRPr="007618AB">
        <w:t>freephone 0800</w:t>
      </w:r>
      <w:r w:rsidR="00B911C7">
        <w:t> </w:t>
      </w:r>
      <w:r w:rsidRPr="007618AB">
        <w:t>11</w:t>
      </w:r>
      <w:r w:rsidR="00B911C7">
        <w:t> </w:t>
      </w:r>
      <w:r w:rsidRPr="007618AB">
        <w:t>22</w:t>
      </w:r>
      <w:r w:rsidR="00B911C7">
        <w:t> </w:t>
      </w:r>
      <w:r w:rsidRPr="007618AB">
        <w:t>33 or email:</w:t>
      </w:r>
      <w:r w:rsidR="003B22F1">
        <w:t xml:space="preserve"> </w:t>
      </w:r>
      <w:hyperlink r:id="rId34" w:history="1">
        <w:r w:rsidRPr="007618AB">
          <w:rPr>
            <w:rStyle w:val="Hyperlink"/>
            <w:rFonts w:cs="Arial"/>
          </w:rPr>
          <w:t>hdc@hdc.org.nz</w:t>
        </w:r>
      </w:hyperlink>
      <w:r w:rsidR="00EC1BC8">
        <w:rPr>
          <w:rStyle w:val="Hyperlink"/>
          <w:rFonts w:cs="Arial"/>
        </w:rPr>
        <w:t>)</w:t>
      </w:r>
      <w:r w:rsidRPr="007618AB">
        <w:t xml:space="preserve"> for advice on disability support</w:t>
      </w:r>
    </w:p>
    <w:p w:rsidR="008D1DCC" w:rsidRPr="007618AB" w:rsidRDefault="008D1DCC" w:rsidP="00B911C7">
      <w:pPr>
        <w:pStyle w:val="Bullet"/>
      </w:pPr>
      <w:r w:rsidRPr="007618AB">
        <w:t xml:space="preserve">the Community Law Centre </w:t>
      </w:r>
      <w:r w:rsidR="00EC1BC8">
        <w:t>(</w:t>
      </w:r>
      <w:hyperlink r:id="rId35" w:history="1">
        <w:r w:rsidRPr="007618AB">
          <w:rPr>
            <w:rStyle w:val="Hyperlink"/>
            <w:rFonts w:cs="Arial"/>
          </w:rPr>
          <w:t>www.communitylaw.org.nz</w:t>
        </w:r>
      </w:hyperlink>
      <w:r w:rsidR="00EC1BC8">
        <w:rPr>
          <w:rStyle w:val="Hyperlink"/>
          <w:rFonts w:cs="Arial"/>
        </w:rPr>
        <w:t>)</w:t>
      </w:r>
      <w:r w:rsidRPr="007618AB">
        <w:t xml:space="preserve"> for legal advice</w:t>
      </w:r>
    </w:p>
    <w:p w:rsidR="008D1DCC" w:rsidRPr="007618AB" w:rsidRDefault="008D1DCC" w:rsidP="00B911C7">
      <w:pPr>
        <w:pStyle w:val="Bullet"/>
      </w:pPr>
      <w:r w:rsidRPr="007618AB">
        <w:t>the New Zealand Society of Translators and Interpreters</w:t>
      </w:r>
      <w:r w:rsidR="003B22F1">
        <w:t>’</w:t>
      </w:r>
      <w:r w:rsidRPr="007618AB">
        <w:t xml:space="preserve"> (</w:t>
      </w:r>
      <w:hyperlink r:id="rId36" w:history="1">
        <w:r w:rsidRPr="007618AB">
          <w:rPr>
            <w:rStyle w:val="Hyperlink"/>
            <w:rFonts w:cs="Arial"/>
          </w:rPr>
          <w:t>www.nzsti.org/faq/</w:t>
        </w:r>
      </w:hyperlink>
      <w:r w:rsidRPr="007618AB">
        <w:rPr>
          <w:rStyle w:val="Hyperlink"/>
          <w:rFonts w:cs="Arial"/>
        </w:rPr>
        <w:t>) to locate an interpreter.</w:t>
      </w:r>
    </w:p>
    <w:p w:rsidR="008D1DCC" w:rsidRPr="007618AB" w:rsidRDefault="008D1DCC" w:rsidP="00B911C7"/>
    <w:p w:rsidR="008D1DCC" w:rsidRPr="007618AB" w:rsidRDefault="008D1DCC" w:rsidP="00B911C7">
      <w:r w:rsidRPr="007618AB">
        <w:t xml:space="preserve">The Ministry of Justice and Courts of New Zealand websites have information about going to court, including applying for legal aid and information about court-based interpreters: see </w:t>
      </w:r>
      <w:hyperlink r:id="rId37" w:history="1">
        <w:r w:rsidRPr="007618AB">
          <w:rPr>
            <w:rStyle w:val="Hyperlink"/>
            <w:rFonts w:cs="Arial"/>
          </w:rPr>
          <w:t>www.justice.govt.nz/services/legal-help/</w:t>
        </w:r>
      </w:hyperlink>
      <w:r w:rsidRPr="007618AB">
        <w:t xml:space="preserve"> and </w:t>
      </w:r>
      <w:hyperlink r:id="rId38" w:history="1">
        <w:r w:rsidRPr="007618AB">
          <w:rPr>
            <w:rStyle w:val="Hyperlink"/>
            <w:rFonts w:cs="Arial"/>
          </w:rPr>
          <w:t>www.courtsofnz.govt.nz</w:t>
        </w:r>
      </w:hyperlink>
    </w:p>
    <w:p w:rsidR="008D1DCC" w:rsidRPr="007618AB" w:rsidRDefault="008D1DCC" w:rsidP="00B911C7"/>
    <w:p w:rsidR="008D1DCC" w:rsidRDefault="008D1DCC" w:rsidP="008D1DCC">
      <w:pPr>
        <w:rPr>
          <w:rFonts w:cs="Arial"/>
        </w:rPr>
      </w:pPr>
      <w:r>
        <w:rPr>
          <w:rFonts w:cs="Arial"/>
        </w:rPr>
        <w:br w:type="page"/>
      </w:r>
    </w:p>
    <w:p w:rsidR="00FF5433" w:rsidRDefault="00FF5433" w:rsidP="00FF5433">
      <w:pPr>
        <w:pStyle w:val="Heading2"/>
        <w:spacing w:before="0"/>
        <w:jc w:val="center"/>
      </w:pPr>
      <w:bookmarkStart w:id="85" w:name="_Toc473538577"/>
      <w:r>
        <w:t>[</w:t>
      </w:r>
      <w:r w:rsidRPr="00A67E50">
        <w:rPr>
          <w:i/>
        </w:rPr>
        <w:t>Template for</w:t>
      </w:r>
      <w:r>
        <w:rPr>
          <w:i/>
        </w:rPr>
        <w:t xml:space="preserve"> </w:t>
      </w:r>
      <w:r w:rsidRPr="00A67E50">
        <w:rPr>
          <w:b w:val="0"/>
          <w:i/>
          <w:sz w:val="22"/>
        </w:rPr>
        <w:t>remove this text</w:t>
      </w:r>
      <w:r>
        <w:t>]</w:t>
      </w:r>
    </w:p>
    <w:p w:rsidR="008D1DCC" w:rsidRPr="00283C09" w:rsidRDefault="00FF5433" w:rsidP="00B911C7">
      <w:pPr>
        <w:pStyle w:val="Heading2"/>
        <w:spacing w:before="0"/>
      </w:pPr>
      <w:r>
        <w:t xml:space="preserve"> Direction for </w:t>
      </w:r>
      <w:r w:rsidR="002032E2">
        <w:t>medical examination</w:t>
      </w:r>
      <w:r w:rsidR="008D1DCC">
        <w:t xml:space="preserve"> </w:t>
      </w:r>
      <w:bookmarkEnd w:id="85"/>
    </w:p>
    <w:p w:rsidR="008D1DCC" w:rsidRPr="007618AB" w:rsidRDefault="008D1DCC" w:rsidP="00B911C7">
      <w:r w:rsidRPr="007618AB">
        <w:t>Under section 92K of the Health Act 1956</w:t>
      </w:r>
    </w:p>
    <w:p w:rsidR="008D1DCC" w:rsidRPr="007618AB" w:rsidRDefault="008D1DCC" w:rsidP="008D1DCC">
      <w:pPr>
        <w:rPr>
          <w:rFonts w:cs="Arial"/>
        </w:rPr>
      </w:pPr>
    </w:p>
    <w:p w:rsidR="0093270F" w:rsidRPr="007618AB" w:rsidRDefault="0093270F" w:rsidP="0093270F">
      <w:pPr>
        <w:spacing w:before="480"/>
      </w:pPr>
      <w:r w:rsidRPr="007618AB">
        <w:t xml:space="preserve">To </w:t>
      </w:r>
      <w:r w:rsidRPr="006A1A99">
        <w:rPr>
          <w:i/>
        </w:rPr>
        <w:t>[name and address of individual]</w:t>
      </w:r>
    </w:p>
    <w:p w:rsidR="0093270F" w:rsidRPr="007618AB" w:rsidRDefault="0093270F" w:rsidP="0093270F"/>
    <w:p w:rsidR="0093270F" w:rsidRPr="0093270F" w:rsidRDefault="0093270F" w:rsidP="0093270F">
      <w:r w:rsidRPr="007618AB">
        <w:t>You are now subject to a direction requiring you to have the following medical examination/s:</w:t>
      </w:r>
      <w:r>
        <w:t xml:space="preserve"> </w:t>
      </w:r>
      <w:r w:rsidRPr="007618AB">
        <w:rPr>
          <w:i/>
        </w:rPr>
        <w:t xml:space="preserve">[specify details of </w:t>
      </w:r>
      <w:r w:rsidR="002032E2">
        <w:rPr>
          <w:i/>
        </w:rPr>
        <w:t xml:space="preserve">each </w:t>
      </w:r>
      <w:r w:rsidRPr="007618AB">
        <w:rPr>
          <w:i/>
        </w:rPr>
        <w:t>examination, health provider, time and date]</w:t>
      </w:r>
      <w:r w:rsidRPr="0093270F">
        <w:t>.</w:t>
      </w:r>
    </w:p>
    <w:p w:rsidR="0093270F" w:rsidRPr="007618AB" w:rsidRDefault="0093270F" w:rsidP="0093270F"/>
    <w:p w:rsidR="0093270F" w:rsidRPr="007618AB" w:rsidRDefault="0093270F" w:rsidP="0093270F">
      <w:r w:rsidRPr="007618AB">
        <w:t>You are also subject to the following conditions until the day on which the medical examination/s have been completed</w:t>
      </w:r>
      <w:r w:rsidRPr="007618AB">
        <w:rPr>
          <w:i/>
        </w:rPr>
        <w:t>: [select relevant conditions from section 92K(3) on page 2 of this template].</w:t>
      </w:r>
    </w:p>
    <w:p w:rsidR="0093270F" w:rsidRPr="007618AB" w:rsidRDefault="0093270F" w:rsidP="0093270F"/>
    <w:p w:rsidR="0093270F" w:rsidRPr="0093270F" w:rsidRDefault="0093270F" w:rsidP="0093270F">
      <w:r w:rsidRPr="007618AB">
        <w:t xml:space="preserve">This direction is in order to address the public health risk you pose due to a belief that you may have this infectious disease: </w:t>
      </w:r>
      <w:r w:rsidRPr="007618AB">
        <w:rPr>
          <w:i/>
        </w:rPr>
        <w:t>[specify disease]</w:t>
      </w:r>
      <w:r w:rsidRPr="0093270F">
        <w:t>.</w:t>
      </w:r>
    </w:p>
    <w:p w:rsidR="0093270F" w:rsidRPr="007618AB" w:rsidRDefault="0093270F" w:rsidP="0093270F"/>
    <w:p w:rsidR="0093270F" w:rsidRPr="007618AB" w:rsidRDefault="0093270F" w:rsidP="0093270F">
      <w:r w:rsidRPr="007618AB">
        <w:t>My grounds for believing you pose a public health risk are:</w:t>
      </w:r>
    </w:p>
    <w:p w:rsidR="0093270F" w:rsidRPr="007618AB" w:rsidRDefault="0093270F" w:rsidP="0093270F">
      <w:pPr>
        <w:spacing w:before="120"/>
        <w:ind w:left="567" w:hanging="567"/>
      </w:pPr>
      <w:r>
        <w:t>1</w:t>
      </w:r>
      <w:r>
        <w:tab/>
      </w:r>
      <w:r w:rsidRPr="007618AB">
        <w:t xml:space="preserve">that </w:t>
      </w:r>
      <w:r w:rsidRPr="0093270F">
        <w:rPr>
          <w:i/>
        </w:rPr>
        <w:t>[explain reason for believing individual has the disease (eg, you have been in contact with Joe Brown, who has the disease)]</w:t>
      </w:r>
    </w:p>
    <w:p w:rsidR="0093270F" w:rsidRPr="007618AB" w:rsidRDefault="0093270F" w:rsidP="0093270F">
      <w:pPr>
        <w:spacing w:before="120"/>
        <w:ind w:left="567" w:hanging="567"/>
      </w:pPr>
      <w:r w:rsidRPr="007618AB">
        <w:t>2</w:t>
      </w:r>
      <w:r w:rsidRPr="007618AB">
        <w:tab/>
        <w:t>that if you have the disease you could pose a substantial risk of serious harm to the health or safety of one or more other people</w:t>
      </w:r>
    </w:p>
    <w:p w:rsidR="0093270F" w:rsidRPr="007618AB" w:rsidRDefault="0093270F" w:rsidP="0093270F">
      <w:pPr>
        <w:spacing w:before="120"/>
        <w:ind w:left="567" w:hanging="567"/>
      </w:pPr>
      <w:r w:rsidRPr="007618AB">
        <w:t>3</w:t>
      </w:r>
      <w:r w:rsidRPr="007618AB">
        <w:tab/>
        <w:t>that your doctor or a medical officer of health has requested you undergo a medical examination within a specified period to determine whether you in fact have the disease, and you have not done this.</w:t>
      </w:r>
    </w:p>
    <w:p w:rsidR="0093270F" w:rsidRPr="007618AB" w:rsidRDefault="0093270F" w:rsidP="0093270F"/>
    <w:p w:rsidR="0093270F" w:rsidRPr="007618AB" w:rsidRDefault="0093270F" w:rsidP="0093270F">
      <w:pPr>
        <w:tabs>
          <w:tab w:val="left" w:pos="5103"/>
        </w:tabs>
        <w:spacing w:before="600"/>
      </w:pPr>
      <w:r w:rsidRPr="007618AB">
        <w:t>Signed by</w:t>
      </w:r>
      <w:r w:rsidRPr="007618AB">
        <w:tab/>
      </w:r>
      <w:r w:rsidRPr="007618AB">
        <w:tab/>
        <w:t>Date</w:t>
      </w:r>
    </w:p>
    <w:p w:rsidR="0093270F" w:rsidRPr="007618AB" w:rsidRDefault="0093270F" w:rsidP="0093270F"/>
    <w:p w:rsidR="0093270F" w:rsidRPr="00DF1A4B" w:rsidRDefault="0093270F" w:rsidP="0093270F">
      <w:pPr>
        <w:spacing w:after="600"/>
        <w:rPr>
          <w:i/>
        </w:rPr>
      </w:pPr>
      <w:r w:rsidRPr="00DF1A4B">
        <w:rPr>
          <w:i/>
        </w:rPr>
        <w:t>[</w:t>
      </w:r>
      <w:r w:rsidR="007227C6">
        <w:rPr>
          <w:i/>
        </w:rPr>
        <w:t>s</w:t>
      </w:r>
      <w:r w:rsidRPr="00DF1A4B">
        <w:rPr>
          <w:i/>
        </w:rPr>
        <w:t>upply name, contact details and health district of medical officer of health]</w:t>
      </w:r>
    </w:p>
    <w:p w:rsidR="0093270F" w:rsidRPr="007618AB" w:rsidRDefault="0093270F" w:rsidP="0093270F"/>
    <w:p w:rsidR="0093270F" w:rsidRPr="006A1A99" w:rsidRDefault="0093270F" w:rsidP="0093270F">
      <w:pPr>
        <w:pBdr>
          <w:top w:val="single" w:sz="4" w:space="12" w:color="auto"/>
        </w:pBdr>
        <w:rPr>
          <w:b/>
        </w:rPr>
      </w:pPr>
      <w:r w:rsidRPr="006A1A99">
        <w:rPr>
          <w:b/>
        </w:rPr>
        <w:t>Administration only:</w:t>
      </w:r>
    </w:p>
    <w:p w:rsidR="0093270F" w:rsidRPr="007618AB" w:rsidRDefault="0093270F" w:rsidP="0093270F"/>
    <w:p w:rsidR="0093270F" w:rsidRPr="006A1A99" w:rsidRDefault="0093270F" w:rsidP="0093270F">
      <w:pPr>
        <w:tabs>
          <w:tab w:val="left" w:pos="5103"/>
        </w:tabs>
      </w:pPr>
      <w:r w:rsidRPr="007618AB">
        <w:t>Is this infectious disease notifiable?</w:t>
      </w:r>
      <w:r w:rsidRPr="007618AB">
        <w:tab/>
        <w:t>Yes/No</w:t>
      </w:r>
    </w:p>
    <w:p w:rsidR="0093270F" w:rsidRPr="007618AB" w:rsidRDefault="0093270F" w:rsidP="0093270F"/>
    <w:p w:rsidR="0093270F" w:rsidRPr="00DF1A4B" w:rsidRDefault="0093270F" w:rsidP="0093270F">
      <w:pPr>
        <w:rPr>
          <w:i/>
        </w:rPr>
      </w:pPr>
      <w:r w:rsidRPr="00DF1A4B">
        <w:rPr>
          <w:i/>
        </w:rPr>
        <w:t>[If no, the Director of Public Health’s prior approval to the direction is required.]</w:t>
      </w:r>
    </w:p>
    <w:p w:rsidR="0093270F" w:rsidRPr="007618AB" w:rsidRDefault="0093270F" w:rsidP="0093270F">
      <w:pPr>
        <w:pBdr>
          <w:bottom w:val="single" w:sz="4" w:space="12" w:color="auto"/>
        </w:pBdr>
        <w:tabs>
          <w:tab w:val="left" w:pos="5103"/>
        </w:tabs>
        <w:spacing w:before="600"/>
      </w:pPr>
      <w:r w:rsidRPr="007618AB">
        <w:t>Signature</w:t>
      </w:r>
      <w:r w:rsidRPr="007618AB">
        <w:tab/>
      </w:r>
      <w:r w:rsidRPr="007618AB">
        <w:tab/>
        <w:t>Date</w:t>
      </w:r>
    </w:p>
    <w:p w:rsidR="0093270F" w:rsidRPr="007618AB" w:rsidRDefault="0093270F" w:rsidP="0093270F"/>
    <w:p w:rsidR="0093270F" w:rsidRDefault="0093270F" w:rsidP="0093270F">
      <w:r>
        <w:br w:type="page"/>
      </w:r>
    </w:p>
    <w:p w:rsidR="008D1DCC" w:rsidRPr="00353E78" w:rsidRDefault="008D1DCC" w:rsidP="0093270F">
      <w:pPr>
        <w:pStyle w:val="Heading3"/>
        <w:spacing w:before="0"/>
      </w:pPr>
      <w:r w:rsidRPr="00353E78">
        <w:t>Relevant legislation</w:t>
      </w:r>
    </w:p>
    <w:p w:rsidR="008D1DCC" w:rsidRPr="007618AB" w:rsidRDefault="008D1DCC" w:rsidP="0093270F">
      <w:pPr>
        <w:pStyle w:val="Heading4"/>
      </w:pPr>
      <w:r w:rsidRPr="007618AB">
        <w:t>92K</w:t>
      </w:r>
      <w:r w:rsidRPr="007618AB">
        <w:tab/>
        <w:t>Direction for medical examination</w:t>
      </w:r>
    </w:p>
    <w:p w:rsidR="008D1DCC" w:rsidRPr="007618AB" w:rsidRDefault="008D1DCC" w:rsidP="0093270F">
      <w:pPr>
        <w:keepNext/>
      </w:pPr>
      <w:r w:rsidRPr="007618AB">
        <w:t>…</w:t>
      </w:r>
    </w:p>
    <w:p w:rsidR="003B22F1" w:rsidRDefault="008D1DCC" w:rsidP="0093270F">
      <w:pPr>
        <w:ind w:left="567" w:hanging="567"/>
      </w:pPr>
      <w:r w:rsidRPr="007618AB">
        <w:t>(3)</w:t>
      </w:r>
      <w:r w:rsidR="0093270F">
        <w:tab/>
      </w:r>
      <w:r w:rsidRPr="007618AB">
        <w:t>The medical officer of health may also direct the individual, until those examinations are</w:t>
      </w:r>
    </w:p>
    <w:p w:rsidR="008D1DCC" w:rsidRPr="007618AB" w:rsidRDefault="008D1DCC" w:rsidP="0093270F">
      <w:pPr>
        <w:spacing w:before="120"/>
        <w:ind w:left="1134" w:hanging="567"/>
      </w:pPr>
      <w:r w:rsidRPr="007618AB">
        <w:t>(a)</w:t>
      </w:r>
      <w:r w:rsidRPr="007618AB">
        <w:rPr>
          <w:i/>
        </w:rPr>
        <w:tab/>
      </w:r>
      <w:r w:rsidRPr="007618AB">
        <w:t>participate in any of the following that are conducted by a health provider:</w:t>
      </w:r>
    </w:p>
    <w:p w:rsidR="008D1DCC" w:rsidRPr="007618AB" w:rsidRDefault="0093270F" w:rsidP="0093270F">
      <w:pPr>
        <w:spacing w:before="60"/>
        <w:ind w:left="1701" w:hanging="567"/>
      </w:pPr>
      <w:r>
        <w:t>(i)</w:t>
      </w:r>
      <w:r>
        <w:tab/>
      </w:r>
      <w:r w:rsidR="008D1DCC" w:rsidRPr="007618AB">
        <w:t>counselling:</w:t>
      </w:r>
    </w:p>
    <w:p w:rsidR="008D1DCC" w:rsidRPr="007618AB" w:rsidRDefault="0093270F" w:rsidP="0093270F">
      <w:pPr>
        <w:spacing w:before="60"/>
        <w:ind w:left="1701" w:hanging="567"/>
      </w:pPr>
      <w:r>
        <w:t>(ii)</w:t>
      </w:r>
      <w:r>
        <w:tab/>
      </w:r>
      <w:r w:rsidR="008D1DCC" w:rsidRPr="007618AB">
        <w:t>education:</w:t>
      </w:r>
    </w:p>
    <w:p w:rsidR="008D1DCC" w:rsidRPr="007618AB" w:rsidRDefault="0093270F" w:rsidP="0093270F">
      <w:pPr>
        <w:spacing w:before="60"/>
        <w:ind w:left="1701" w:hanging="567"/>
      </w:pPr>
      <w:r>
        <w:t>(iii)</w:t>
      </w:r>
      <w:r>
        <w:tab/>
      </w:r>
      <w:r w:rsidR="008D1DCC" w:rsidRPr="007618AB">
        <w:t>other activities related to the infectious disease:</w:t>
      </w:r>
    </w:p>
    <w:p w:rsidR="008D1DCC" w:rsidRPr="007618AB" w:rsidRDefault="008D1DCC" w:rsidP="0093270F">
      <w:pPr>
        <w:spacing w:before="120"/>
        <w:ind w:left="1134" w:hanging="567"/>
      </w:pPr>
      <w:r w:rsidRPr="007618AB">
        <w:t>(b)</w:t>
      </w:r>
      <w:r w:rsidRPr="007618AB">
        <w:tab/>
        <w:t>refrain from carrying out specified activities (for example, undertaking employment, using public transport, or travelling within and outside New Zealand) either absolutely or unless stated conditions are observed:</w:t>
      </w:r>
    </w:p>
    <w:p w:rsidR="008D1DCC" w:rsidRPr="007618AB" w:rsidRDefault="008D1DCC" w:rsidP="0093270F">
      <w:pPr>
        <w:spacing w:before="120"/>
        <w:ind w:left="1134" w:hanging="567"/>
      </w:pPr>
      <w:r w:rsidRPr="007618AB">
        <w:t>(c)</w:t>
      </w:r>
      <w:r w:rsidRPr="007618AB">
        <w:tab/>
        <w:t>refrain from going to specified places either absolutely or unless stated conditions are complied with:</w:t>
      </w:r>
    </w:p>
    <w:p w:rsidR="008D1DCC" w:rsidRPr="007618AB" w:rsidRDefault="008D1DCC" w:rsidP="0093270F">
      <w:pPr>
        <w:spacing w:before="120"/>
        <w:ind w:left="1134" w:hanging="567"/>
      </w:pPr>
      <w:r w:rsidRPr="007618AB">
        <w:t>(d)</w:t>
      </w:r>
      <w:r w:rsidRPr="007618AB">
        <w:tab/>
        <w:t>refrain from associating with specified persons or specified classes of persons:</w:t>
      </w:r>
    </w:p>
    <w:p w:rsidR="008D1DCC" w:rsidRPr="007618AB" w:rsidRDefault="0093270F" w:rsidP="0093270F">
      <w:pPr>
        <w:spacing w:before="120"/>
        <w:ind w:left="1134" w:hanging="567"/>
      </w:pPr>
      <w:r>
        <w:t>(e)</w:t>
      </w:r>
      <w:r>
        <w:tab/>
      </w:r>
      <w:r w:rsidR="008D1DCC" w:rsidRPr="007618AB">
        <w:t>take specified actions to prevent or minimise the public health risk posed by the individual:</w:t>
      </w:r>
    </w:p>
    <w:p w:rsidR="008D1DCC" w:rsidRPr="007618AB" w:rsidRDefault="0093270F" w:rsidP="0093270F">
      <w:pPr>
        <w:spacing w:before="120"/>
        <w:ind w:left="1134" w:hanging="567"/>
      </w:pPr>
      <w:r>
        <w:t>(f)</w:t>
      </w:r>
      <w:r>
        <w:tab/>
      </w:r>
      <w:r w:rsidR="008D1DCC" w:rsidRPr="007618AB">
        <w:t>stay, at all times or at specified times, at a specified place of residence, subject to specified conditions:</w:t>
      </w:r>
    </w:p>
    <w:p w:rsidR="008D1DCC" w:rsidRPr="007618AB" w:rsidRDefault="0093270F" w:rsidP="0093270F">
      <w:pPr>
        <w:spacing w:before="120"/>
        <w:ind w:left="1134" w:hanging="567"/>
      </w:pPr>
      <w:r>
        <w:t>(g)</w:t>
      </w:r>
      <w:r>
        <w:tab/>
      </w:r>
      <w:r w:rsidR="008D1DCC" w:rsidRPr="007618AB">
        <w:t>accept supervision by a named person or a person for the time being holding a named office, including, without limitation,</w:t>
      </w:r>
      <w:r>
        <w:t xml:space="preserve"> –</w:t>
      </w:r>
    </w:p>
    <w:p w:rsidR="008D1DCC" w:rsidRPr="007618AB" w:rsidRDefault="0093270F" w:rsidP="0093270F">
      <w:pPr>
        <w:spacing w:before="60"/>
        <w:ind w:left="1701" w:hanging="567"/>
      </w:pPr>
      <w:r>
        <w:t>(i)</w:t>
      </w:r>
      <w:r>
        <w:tab/>
      </w:r>
      <w:r w:rsidR="008D1DCC" w:rsidRPr="007618AB">
        <w:t>attending meetings arranged by that person; and</w:t>
      </w:r>
    </w:p>
    <w:p w:rsidR="008D1DCC" w:rsidRPr="007618AB" w:rsidRDefault="008D1DCC" w:rsidP="0093270F">
      <w:pPr>
        <w:spacing w:before="60"/>
        <w:ind w:left="1701" w:hanging="567"/>
      </w:pPr>
      <w:r w:rsidRPr="007618AB">
        <w:t>(ii)</w:t>
      </w:r>
      <w:r w:rsidR="0093270F">
        <w:tab/>
      </w:r>
      <w:r w:rsidRPr="007618AB">
        <w:t>providing that person with information on any action, occurrence or plan that is relevant to the public health risk posed by the individual:</w:t>
      </w:r>
    </w:p>
    <w:p w:rsidR="008D1DCC" w:rsidRPr="007618AB" w:rsidRDefault="0093270F" w:rsidP="0093270F">
      <w:pPr>
        <w:spacing w:before="120"/>
        <w:ind w:left="1134" w:hanging="567"/>
      </w:pPr>
      <w:r>
        <w:t>(h)</w:t>
      </w:r>
      <w:r>
        <w:tab/>
      </w:r>
      <w:r w:rsidR="008D1DCC" w:rsidRPr="007618AB">
        <w:t>comply with instructions to prevent the spread of the infectious disease.</w:t>
      </w:r>
    </w:p>
    <w:p w:rsidR="008D1DCC" w:rsidRPr="007618AB" w:rsidRDefault="008D1DCC" w:rsidP="0093270F"/>
    <w:p w:rsidR="008D1DCC" w:rsidRPr="007618AB" w:rsidRDefault="008D1DCC" w:rsidP="0093270F">
      <w:r w:rsidRPr="007618AB">
        <w:t>Section 2(1) of the Health Act states:</w:t>
      </w:r>
    </w:p>
    <w:p w:rsidR="008D1DCC" w:rsidRPr="007618AB" w:rsidRDefault="003B22F1" w:rsidP="0093270F">
      <w:pPr>
        <w:pStyle w:val="Quote"/>
        <w:spacing w:before="120"/>
      </w:pPr>
      <w:r>
        <w:t>‘</w:t>
      </w:r>
      <w:r w:rsidR="008D1DCC" w:rsidRPr="007618AB">
        <w:rPr>
          <w:b/>
        </w:rPr>
        <w:t>Medical examination</w:t>
      </w:r>
      <w:r w:rsidRPr="0093270F">
        <w:t>’</w:t>
      </w:r>
      <w:r w:rsidR="008D1DCC" w:rsidRPr="007618AB">
        <w:t xml:space="preserve"> means in relation to Part 3A of the Act:</w:t>
      </w:r>
      <w:r>
        <w:t xml:space="preserve"> </w:t>
      </w:r>
      <w:r w:rsidR="008D1DCC" w:rsidRPr="007618AB">
        <w:t>The physical examination or testing of a person for the purpose of determining whether the person has or is likely to have an infectious disease, and includes –</w:t>
      </w:r>
    </w:p>
    <w:p w:rsidR="008D1DCC" w:rsidRPr="007618AB" w:rsidRDefault="0093270F" w:rsidP="0093270F">
      <w:pPr>
        <w:spacing w:before="120"/>
        <w:ind w:left="1134" w:hanging="567"/>
      </w:pPr>
      <w:r>
        <w:t>(a)</w:t>
      </w:r>
      <w:r>
        <w:tab/>
      </w:r>
      <w:r w:rsidR="008D1DCC" w:rsidRPr="007618AB">
        <w:t>the taking of a sample of tissue, blood, urine, or other bodily material for medical testing; and</w:t>
      </w:r>
    </w:p>
    <w:p w:rsidR="008D1DCC" w:rsidRDefault="0093270F" w:rsidP="0093270F">
      <w:pPr>
        <w:spacing w:before="120"/>
        <w:ind w:left="1134" w:hanging="567"/>
      </w:pPr>
      <w:r>
        <w:t>(b)</w:t>
      </w:r>
      <w:r>
        <w:tab/>
      </w:r>
      <w:r w:rsidR="008D1DCC" w:rsidRPr="007618AB">
        <w:t>any diagnostic tests required to detect the presence of, or immunity to, an infectious disease in a person.</w:t>
      </w:r>
    </w:p>
    <w:p w:rsidR="008D1DCC" w:rsidRPr="007618AB" w:rsidRDefault="008D1DCC" w:rsidP="0093270F"/>
    <w:p w:rsidR="0093270F" w:rsidRDefault="0093270F" w:rsidP="0093270F">
      <w:r>
        <w:br w:type="page"/>
      </w:r>
    </w:p>
    <w:p w:rsidR="008D1DCC" w:rsidRDefault="008D1DCC" w:rsidP="0093270F">
      <w:pPr>
        <w:pStyle w:val="Heading3"/>
        <w:spacing w:before="0"/>
      </w:pPr>
      <w:r w:rsidRPr="002D4972">
        <w:t>Information</w:t>
      </w:r>
      <w:r>
        <w:t xml:space="preserve"> about this direction</w:t>
      </w:r>
      <w:r w:rsidRPr="002D4972">
        <w:t xml:space="preserve"> for </w:t>
      </w:r>
      <w:r>
        <w:t xml:space="preserve">the </w:t>
      </w:r>
      <w:r w:rsidRPr="002D4972">
        <w:t>individual</w:t>
      </w:r>
      <w:r>
        <w:t xml:space="preserve"> subject to it</w:t>
      </w:r>
    </w:p>
    <w:p w:rsidR="008D1DCC" w:rsidRPr="007618AB" w:rsidRDefault="008D1DCC" w:rsidP="0093270F">
      <w:pPr>
        <w:pStyle w:val="Heading4"/>
      </w:pPr>
      <w:r w:rsidRPr="007618AB">
        <w:t>Choice of medical examination</w:t>
      </w:r>
    </w:p>
    <w:p w:rsidR="008D1DCC" w:rsidRPr="00EC1BC8" w:rsidRDefault="008D1DCC" w:rsidP="0093270F">
      <w:r w:rsidRPr="007618AB">
        <w:t>The medical examination you have been directed to have must be carried out in a considerate way and comply with best practice. It must be the least invasive type of examination necessary in the circumstances</w:t>
      </w:r>
      <w:r w:rsidRPr="00EC1BC8">
        <w:t>.</w:t>
      </w:r>
    </w:p>
    <w:p w:rsidR="008D1DCC" w:rsidRPr="007618AB" w:rsidRDefault="008D1DCC" w:rsidP="0093270F"/>
    <w:p w:rsidR="008D1DCC" w:rsidRPr="007618AB" w:rsidRDefault="008D1DCC" w:rsidP="0093270F">
      <w:pPr>
        <w:pStyle w:val="Heading4"/>
      </w:pPr>
      <w:r w:rsidRPr="007618AB">
        <w:t>What if you do not comply with this direction?</w:t>
      </w:r>
    </w:p>
    <w:p w:rsidR="008D1DCC" w:rsidRPr="007618AB" w:rsidRDefault="008D1DCC" w:rsidP="0093270F">
      <w:r w:rsidRPr="007618AB">
        <w:t>If you do not comply with this direction you:</w:t>
      </w:r>
    </w:p>
    <w:p w:rsidR="008D1DCC" w:rsidRPr="007618AB" w:rsidRDefault="008D1DCC" w:rsidP="0093270F">
      <w:pPr>
        <w:pStyle w:val="Bullet"/>
      </w:pPr>
      <w:r w:rsidRPr="007618AB">
        <w:t>are breaking the law</w:t>
      </w:r>
    </w:p>
    <w:p w:rsidR="008D1DCC" w:rsidRPr="007618AB" w:rsidRDefault="008D1DCC" w:rsidP="0093270F">
      <w:pPr>
        <w:pStyle w:val="Bullet"/>
      </w:pPr>
      <w:r w:rsidRPr="007618AB">
        <w:t>put other people at risk of serious harm</w:t>
      </w:r>
    </w:p>
    <w:p w:rsidR="008D1DCC" w:rsidRPr="007618AB" w:rsidRDefault="008D1DCC" w:rsidP="0093270F">
      <w:pPr>
        <w:pStyle w:val="Bullet"/>
      </w:pPr>
      <w:r w:rsidRPr="007618AB">
        <w:t>put your own health and safety at risk</w:t>
      </w:r>
    </w:p>
    <w:p w:rsidR="008D1DCC" w:rsidRPr="007618AB" w:rsidRDefault="008D1DCC" w:rsidP="0093270F">
      <w:pPr>
        <w:pStyle w:val="Bullet"/>
      </w:pPr>
      <w:r w:rsidRPr="007618AB">
        <w:t>may be taken to court by the medical officer of health, and could as a result become subject to a court order placing more restrictions on you</w:t>
      </w:r>
    </w:p>
    <w:p w:rsidR="003B22F1" w:rsidRPr="0093270F" w:rsidRDefault="008D1DCC" w:rsidP="0093270F">
      <w:pPr>
        <w:pStyle w:val="Bullet"/>
      </w:pPr>
      <w:r w:rsidRPr="0093270F">
        <w:t>could, in exceptional circumstances, be taken to court for an offence under</w:t>
      </w:r>
      <w:r w:rsidR="003B22F1" w:rsidRPr="0093270F">
        <w:t xml:space="preserve"> </w:t>
      </w:r>
      <w:r w:rsidRPr="0093270F">
        <w:t>section 92V of the Health Act 1956 of:</w:t>
      </w:r>
    </w:p>
    <w:p w:rsidR="008D1DCC" w:rsidRPr="007618AB" w:rsidRDefault="008D1DCC" w:rsidP="0093270F">
      <w:pPr>
        <w:pStyle w:val="Quote"/>
      </w:pPr>
      <w:r w:rsidRPr="007618AB">
        <w:t>Without reasonable excuse failing to comply with a direction given by a medical officer of health under Part 3A of the Health Act 1956.</w:t>
      </w:r>
    </w:p>
    <w:p w:rsidR="0093270F" w:rsidRDefault="0093270F" w:rsidP="0093270F"/>
    <w:p w:rsidR="008D1DCC" w:rsidRPr="007618AB" w:rsidRDefault="008D1DCC" w:rsidP="0093270F">
      <w:r w:rsidRPr="007618AB">
        <w:t>Should you be found guilty by the District Court, the maximum penalty is a fine not exceeding $2,000.</w:t>
      </w:r>
    </w:p>
    <w:p w:rsidR="008D1DCC" w:rsidRPr="007618AB" w:rsidRDefault="008D1DCC" w:rsidP="0093270F"/>
    <w:p w:rsidR="003B22F1" w:rsidRDefault="008D1DCC" w:rsidP="0093270F">
      <w:r w:rsidRPr="0093270F">
        <w:rPr>
          <w:b/>
        </w:rPr>
        <w:t>If the person subject to this direction is under 16 years of age or does not have legal capacity to understand (eg, because of severe intellectual disability)</w:t>
      </w:r>
      <w:r w:rsidRPr="007618AB">
        <w:t xml:space="preserve">, and you are </w:t>
      </w:r>
      <w:r>
        <w:t>responsible for their care</w:t>
      </w:r>
      <w:r w:rsidRPr="007618AB">
        <w:t>, you have a duty to take reasonable steps to get them seen by a doct</w:t>
      </w:r>
      <w:r>
        <w:t xml:space="preserve">or for diagnosis and treatment. </w:t>
      </w:r>
      <w:r w:rsidRPr="007618AB">
        <w:t>You could be taken to court for the offence of obstruction (ie, intentionally getting in the way of the person subject to the direction complying with it) under section 92W of the Hea</w:t>
      </w:r>
      <w:r>
        <w:t xml:space="preserve">lth Act if you fail to do this. </w:t>
      </w:r>
      <w:r w:rsidRPr="007618AB">
        <w:t>Should you be found guilty by the District Court, the maximum penalty is a fine not exceeding $2,000.</w:t>
      </w:r>
    </w:p>
    <w:p w:rsidR="008D1DCC" w:rsidRPr="007618AB" w:rsidRDefault="008D1DCC" w:rsidP="0093270F"/>
    <w:p w:rsidR="008D1DCC" w:rsidRPr="007618AB" w:rsidRDefault="008D1DCC" w:rsidP="0093270F">
      <w:pPr>
        <w:pStyle w:val="Heading4"/>
      </w:pPr>
      <w:r w:rsidRPr="007618AB">
        <w:t>Seeking changes to, or cancellation of, directions</w:t>
      </w:r>
    </w:p>
    <w:p w:rsidR="003B22F1" w:rsidRDefault="008D1DCC" w:rsidP="0093270F">
      <w:r w:rsidRPr="007618AB">
        <w:t>This direction will be reviewed regularly to make sure it is still necessary. The medical officer of health can extend, change or cancel the direction. If there is something about the direction that you wish to have changed, you should contact the medical officer of health who signed the direction and seek review.</w:t>
      </w:r>
    </w:p>
    <w:p w:rsidR="0093270F" w:rsidRDefault="0093270F" w:rsidP="0093270F"/>
    <w:p w:rsidR="008D1DCC" w:rsidRPr="007618AB" w:rsidRDefault="008D1DCC" w:rsidP="0093270F">
      <w:pPr>
        <w:pStyle w:val="Heading4"/>
      </w:pPr>
      <w:r w:rsidRPr="007618AB">
        <w:t>What rights do you have to challenge the direction in the courts?</w:t>
      </w:r>
    </w:p>
    <w:p w:rsidR="008D1DCC" w:rsidRDefault="008D1DCC" w:rsidP="0093270F">
      <w:r w:rsidRPr="007618AB">
        <w:t>You have a right to appeal to the District Court against this direction (or part of it), including against any changes or extensions, under section 92T of the Health Act 1956. To do so you may file a notice of appeal under Part 18 of the District Court Rules 2014.</w:t>
      </w:r>
    </w:p>
    <w:p w:rsidR="008D1DCC" w:rsidRPr="007618AB" w:rsidRDefault="008D1DCC" w:rsidP="0093270F"/>
    <w:p w:rsidR="008D1DCC" w:rsidRDefault="008D1DCC" w:rsidP="0093270F">
      <w:r w:rsidRPr="007618AB">
        <w:t>You may also have a right to apply to the High Court for judicial review of the direction: for example, if the reasons for imposing the conditions were not lawful, or the direction was given in bad fai</w:t>
      </w:r>
      <w:r>
        <w:t xml:space="preserve">th. </w:t>
      </w:r>
      <w:r w:rsidRPr="007618AB">
        <w:t>You should seek the advice of a lawyer before deciding whether to challenge the direction in the courts.</w:t>
      </w:r>
    </w:p>
    <w:p w:rsidR="008D1DCC" w:rsidRPr="007618AB" w:rsidRDefault="008D1DCC" w:rsidP="0093270F"/>
    <w:p w:rsidR="003B22F1" w:rsidRDefault="008D1DCC" w:rsidP="0093270F">
      <w:pPr>
        <w:pStyle w:val="Heading4"/>
      </w:pPr>
      <w:r w:rsidRPr="007618AB">
        <w:t>Privacy of information</w:t>
      </w:r>
    </w:p>
    <w:p w:rsidR="003B22F1" w:rsidRDefault="008D1DCC" w:rsidP="0093270F">
      <w:r w:rsidRPr="007618AB">
        <w:t>Information about you contained in this direction may not be used or passed on by anyone but you, except for the purpose of effectively managing diseases.</w:t>
      </w:r>
    </w:p>
    <w:p w:rsidR="008D1DCC" w:rsidRPr="007618AB" w:rsidRDefault="008D1DCC" w:rsidP="0093270F"/>
    <w:p w:rsidR="003B22F1" w:rsidRDefault="008D1DCC" w:rsidP="0093270F">
      <w:pPr>
        <w:pStyle w:val="Heading4"/>
      </w:pPr>
      <w:r w:rsidRPr="007618AB">
        <w:t>Further information</w:t>
      </w:r>
    </w:p>
    <w:p w:rsidR="0093270F" w:rsidRPr="007618AB" w:rsidRDefault="0093270F" w:rsidP="0093270F">
      <w:r w:rsidRPr="007618AB">
        <w:t>If you require further information, you can contact:</w:t>
      </w:r>
    </w:p>
    <w:p w:rsidR="0093270F" w:rsidRPr="007618AB" w:rsidRDefault="0093270F" w:rsidP="0093270F">
      <w:pPr>
        <w:pStyle w:val="Bullet"/>
      </w:pPr>
      <w:r w:rsidRPr="007618AB">
        <w:t>the medical officer of health named on this form – for information about the disease and this direction</w:t>
      </w:r>
    </w:p>
    <w:p w:rsidR="0093270F" w:rsidRPr="007618AB" w:rsidRDefault="0093270F" w:rsidP="0093270F">
      <w:pPr>
        <w:pStyle w:val="Bullet"/>
      </w:pPr>
      <w:r w:rsidRPr="007618AB">
        <w:t>the Citizens</w:t>
      </w:r>
      <w:r>
        <w:t>’</w:t>
      </w:r>
      <w:r w:rsidRPr="007618AB">
        <w:t xml:space="preserve"> Advice Bureau (</w:t>
      </w:r>
      <w:hyperlink r:id="rId39" w:history="1">
        <w:r w:rsidRPr="007618AB">
          <w:rPr>
            <w:rStyle w:val="Hyperlink"/>
            <w:rFonts w:cs="Arial"/>
          </w:rPr>
          <w:t>www.cba.org.nz</w:t>
        </w:r>
      </w:hyperlink>
      <w:r>
        <w:rPr>
          <w:rStyle w:val="Hyperlink"/>
          <w:rFonts w:cs="Arial"/>
        </w:rPr>
        <w:t>,</w:t>
      </w:r>
      <w:r w:rsidRPr="007618AB">
        <w:t xml:space="preserve"> or freephone 0800 367 222)</w:t>
      </w:r>
    </w:p>
    <w:p w:rsidR="0093270F" w:rsidRPr="007618AB" w:rsidRDefault="0093270F" w:rsidP="0093270F">
      <w:pPr>
        <w:pStyle w:val="Bullet"/>
      </w:pPr>
      <w:r w:rsidRPr="007618AB">
        <w:t>the Office of the Health and Disability Commissioner (</w:t>
      </w:r>
      <w:hyperlink r:id="rId40" w:history="1">
        <w:r w:rsidRPr="007618AB">
          <w:rPr>
            <w:rStyle w:val="Hyperlink"/>
            <w:rFonts w:cs="Arial"/>
          </w:rPr>
          <w:t>www.hdc.org.nz</w:t>
        </w:r>
      </w:hyperlink>
      <w:r>
        <w:rPr>
          <w:rStyle w:val="Hyperlink"/>
          <w:rFonts w:cs="Arial"/>
        </w:rPr>
        <w:t>,</w:t>
      </w:r>
      <w:r>
        <w:t xml:space="preserve"> </w:t>
      </w:r>
      <w:r w:rsidRPr="007618AB">
        <w:t>freephone 0800</w:t>
      </w:r>
      <w:r>
        <w:t> </w:t>
      </w:r>
      <w:r w:rsidRPr="007618AB">
        <w:t>11</w:t>
      </w:r>
      <w:r>
        <w:t> </w:t>
      </w:r>
      <w:r w:rsidRPr="007618AB">
        <w:t>22</w:t>
      </w:r>
      <w:r>
        <w:t> </w:t>
      </w:r>
      <w:r w:rsidRPr="007618AB">
        <w:t>33 or email:</w:t>
      </w:r>
      <w:r>
        <w:t xml:space="preserve"> </w:t>
      </w:r>
      <w:hyperlink r:id="rId41" w:history="1">
        <w:r w:rsidRPr="007618AB">
          <w:rPr>
            <w:rStyle w:val="Hyperlink"/>
            <w:rFonts w:cs="Arial"/>
          </w:rPr>
          <w:t>hdc@hdc.org.nz</w:t>
        </w:r>
      </w:hyperlink>
      <w:r w:rsidR="00EC1BC8">
        <w:rPr>
          <w:rStyle w:val="Hyperlink"/>
          <w:rFonts w:cs="Arial"/>
        </w:rPr>
        <w:t>)</w:t>
      </w:r>
      <w:r w:rsidRPr="007618AB">
        <w:t xml:space="preserve"> for advice on disability support</w:t>
      </w:r>
    </w:p>
    <w:p w:rsidR="0093270F" w:rsidRPr="007618AB" w:rsidRDefault="0093270F" w:rsidP="0093270F">
      <w:pPr>
        <w:pStyle w:val="Bullet"/>
      </w:pPr>
      <w:r w:rsidRPr="007618AB">
        <w:t xml:space="preserve">the Community Law Centre </w:t>
      </w:r>
      <w:r w:rsidR="00EC1BC8">
        <w:t>(</w:t>
      </w:r>
      <w:hyperlink r:id="rId42" w:history="1">
        <w:r w:rsidRPr="007618AB">
          <w:rPr>
            <w:rStyle w:val="Hyperlink"/>
            <w:rFonts w:cs="Arial"/>
          </w:rPr>
          <w:t>www.communitylaw.org.nz</w:t>
        </w:r>
      </w:hyperlink>
      <w:r w:rsidR="00EC1BC8">
        <w:rPr>
          <w:rStyle w:val="Hyperlink"/>
          <w:rFonts w:cs="Arial"/>
        </w:rPr>
        <w:t>)</w:t>
      </w:r>
      <w:r w:rsidRPr="007618AB">
        <w:t xml:space="preserve"> for legal advice</w:t>
      </w:r>
    </w:p>
    <w:p w:rsidR="0093270F" w:rsidRPr="007618AB" w:rsidRDefault="0093270F" w:rsidP="0093270F">
      <w:pPr>
        <w:pStyle w:val="Bullet"/>
      </w:pPr>
      <w:r w:rsidRPr="007618AB">
        <w:t>the New Zealand Society of Translators and Interpreters</w:t>
      </w:r>
      <w:r>
        <w:t>’</w:t>
      </w:r>
      <w:r w:rsidRPr="007618AB">
        <w:t xml:space="preserve"> (</w:t>
      </w:r>
      <w:hyperlink r:id="rId43" w:history="1">
        <w:r w:rsidRPr="007618AB">
          <w:rPr>
            <w:rStyle w:val="Hyperlink"/>
            <w:rFonts w:cs="Arial"/>
          </w:rPr>
          <w:t>www.nzsti.org/faq/</w:t>
        </w:r>
      </w:hyperlink>
      <w:r w:rsidRPr="007618AB">
        <w:rPr>
          <w:rStyle w:val="Hyperlink"/>
          <w:rFonts w:cs="Arial"/>
        </w:rPr>
        <w:t>) to locate an interpreter.</w:t>
      </w:r>
    </w:p>
    <w:p w:rsidR="0093270F" w:rsidRPr="007618AB" w:rsidRDefault="0093270F" w:rsidP="0093270F"/>
    <w:p w:rsidR="0093270F" w:rsidRPr="007618AB" w:rsidRDefault="0093270F" w:rsidP="0093270F">
      <w:r w:rsidRPr="007618AB">
        <w:t xml:space="preserve">The Ministry of Justice and Courts of New Zealand websites have information about going to court, including applying for legal aid and information about court-based interpreters: see </w:t>
      </w:r>
      <w:hyperlink r:id="rId44" w:history="1">
        <w:r w:rsidRPr="007618AB">
          <w:rPr>
            <w:rStyle w:val="Hyperlink"/>
            <w:rFonts w:cs="Arial"/>
          </w:rPr>
          <w:t>www.justice.govt.nz/services/legal-help/</w:t>
        </w:r>
      </w:hyperlink>
      <w:r w:rsidRPr="007618AB">
        <w:t xml:space="preserve"> and </w:t>
      </w:r>
      <w:hyperlink r:id="rId45" w:history="1">
        <w:r w:rsidRPr="007618AB">
          <w:rPr>
            <w:rStyle w:val="Hyperlink"/>
            <w:rFonts w:cs="Arial"/>
          </w:rPr>
          <w:t>www.courtsofnz.govt.nz</w:t>
        </w:r>
      </w:hyperlink>
    </w:p>
    <w:p w:rsidR="0093270F" w:rsidRDefault="0093270F" w:rsidP="0093270F"/>
    <w:p w:rsidR="0093270F" w:rsidRDefault="0093270F" w:rsidP="0093270F">
      <w:r>
        <w:br w:type="page"/>
      </w:r>
    </w:p>
    <w:p w:rsidR="000F0BEA" w:rsidRDefault="000F0BEA" w:rsidP="000F0BEA">
      <w:pPr>
        <w:pStyle w:val="Heading2"/>
        <w:spacing w:before="0"/>
        <w:jc w:val="center"/>
      </w:pPr>
      <w:bookmarkStart w:id="86" w:name="_Toc473538578"/>
      <w:r>
        <w:t>[</w:t>
      </w:r>
      <w:r w:rsidRPr="00A67E50">
        <w:rPr>
          <w:i/>
        </w:rPr>
        <w:t>Template for</w:t>
      </w:r>
      <w:r>
        <w:rPr>
          <w:i/>
        </w:rPr>
        <w:t xml:space="preserve"> </w:t>
      </w:r>
      <w:r w:rsidRPr="00A67E50">
        <w:rPr>
          <w:b w:val="0"/>
          <w:i/>
          <w:sz w:val="22"/>
        </w:rPr>
        <w:t>remove this text</w:t>
      </w:r>
      <w:r>
        <w:t>]</w:t>
      </w:r>
    </w:p>
    <w:p w:rsidR="008D1DCC" w:rsidRPr="002D4972" w:rsidRDefault="000F0BEA" w:rsidP="0093270F">
      <w:pPr>
        <w:pStyle w:val="Heading2"/>
        <w:spacing w:before="0"/>
      </w:pPr>
      <w:r>
        <w:t xml:space="preserve">Direction </w:t>
      </w:r>
      <w:r w:rsidR="008D1DCC" w:rsidRPr="002D4972">
        <w:t>for educational institution</w:t>
      </w:r>
      <w:r w:rsidR="008D1DCC">
        <w:t xml:space="preserve"> </w:t>
      </w:r>
      <w:bookmarkEnd w:id="86"/>
    </w:p>
    <w:p w:rsidR="008D1DCC" w:rsidRPr="007618AB" w:rsidRDefault="008D1DCC" w:rsidP="0093270F">
      <w:pPr>
        <w:rPr>
          <w:b/>
        </w:rPr>
      </w:pPr>
      <w:r w:rsidRPr="007618AB">
        <w:t>Under section 92L of the Health Act 1956</w:t>
      </w:r>
    </w:p>
    <w:p w:rsidR="008D1DCC" w:rsidRDefault="008D1DCC" w:rsidP="0093270F"/>
    <w:p w:rsidR="006834A2" w:rsidRPr="007618AB" w:rsidRDefault="006834A2" w:rsidP="006834A2">
      <w:pPr>
        <w:spacing w:before="240"/>
      </w:pPr>
      <w:r w:rsidRPr="007618AB">
        <w:t xml:space="preserve">To </w:t>
      </w:r>
      <w:r w:rsidRPr="007618AB">
        <w:rPr>
          <w:rFonts w:cs="Arial"/>
          <w:i/>
        </w:rPr>
        <w:t>[name of person in charge, and name and address, of educational institution]</w:t>
      </w:r>
    </w:p>
    <w:p w:rsidR="006834A2" w:rsidRPr="007618AB" w:rsidRDefault="006834A2" w:rsidP="006834A2"/>
    <w:p w:rsidR="006834A2" w:rsidRDefault="006834A2" w:rsidP="006834A2">
      <w:r w:rsidRPr="007618AB">
        <w:t>This is to tell you that you are now subject to a direction requiring you to:</w:t>
      </w:r>
    </w:p>
    <w:p w:rsidR="006834A2" w:rsidRPr="006834A2" w:rsidRDefault="006834A2" w:rsidP="006834A2">
      <w:r w:rsidRPr="007618AB">
        <w:rPr>
          <w:i/>
        </w:rPr>
        <w:t>[delete inapplicable]</w:t>
      </w:r>
    </w:p>
    <w:p w:rsidR="006834A2" w:rsidRPr="00450A7A" w:rsidRDefault="006834A2" w:rsidP="006834A2">
      <w:pPr>
        <w:spacing w:before="120"/>
        <w:ind w:left="567" w:hanging="567"/>
      </w:pPr>
      <w:r>
        <w:t>(a)</w:t>
      </w:r>
      <w:r>
        <w:tab/>
      </w:r>
      <w:r w:rsidRPr="007618AB">
        <w:t>direct people attending the educational institution</w:t>
      </w:r>
      <w:r w:rsidRPr="006834A2">
        <w:rPr>
          <w:rStyle w:val="FootnoteReference"/>
        </w:rPr>
        <w:footnoteReference w:id="164"/>
      </w:r>
      <w:r w:rsidRPr="007618AB">
        <w:t xml:space="preserve"> to stay away from its property until further notice</w:t>
      </w:r>
      <w:r>
        <w:t xml:space="preserve"> </w:t>
      </w:r>
      <w:r w:rsidRPr="007618AB">
        <w:rPr>
          <w:i/>
        </w:rPr>
        <w:t>[specify which people, and duration of direction]</w:t>
      </w:r>
    </w:p>
    <w:p w:rsidR="006834A2" w:rsidRPr="007618AB" w:rsidRDefault="006834A2" w:rsidP="006834A2">
      <w:pPr>
        <w:spacing w:before="120"/>
        <w:ind w:left="567" w:hanging="567"/>
      </w:pPr>
      <w:r>
        <w:t>(b)</w:t>
      </w:r>
      <w:r>
        <w:tab/>
      </w:r>
      <w:r w:rsidRPr="007618AB">
        <w:t>close part of the institution</w:t>
      </w:r>
      <w:r>
        <w:t xml:space="preserve"> </w:t>
      </w:r>
      <w:r w:rsidRPr="007618AB">
        <w:rPr>
          <w:i/>
        </w:rPr>
        <w:t>[specify which part, and duration of direction]</w:t>
      </w:r>
    </w:p>
    <w:p w:rsidR="006834A2" w:rsidRPr="007618AB" w:rsidRDefault="006834A2" w:rsidP="006834A2">
      <w:pPr>
        <w:spacing w:before="120"/>
        <w:ind w:left="567" w:hanging="567"/>
      </w:pPr>
      <w:r>
        <w:t>(c)</w:t>
      </w:r>
      <w:r>
        <w:tab/>
      </w:r>
      <w:r w:rsidRPr="007618AB">
        <w:t>close the entire institution</w:t>
      </w:r>
      <w:r>
        <w:t xml:space="preserve"> </w:t>
      </w:r>
      <w:r w:rsidRPr="007618AB">
        <w:rPr>
          <w:i/>
        </w:rPr>
        <w:t>[specify duration of direction].</w:t>
      </w:r>
    </w:p>
    <w:p w:rsidR="006834A2" w:rsidRPr="007618AB" w:rsidRDefault="006834A2" w:rsidP="006834A2"/>
    <w:p w:rsidR="006834A2" w:rsidRPr="007618AB" w:rsidRDefault="006834A2" w:rsidP="006834A2">
      <w:r w:rsidRPr="007618AB">
        <w:t>I am serving this direction on you because I consider there are reasonable grounds to believe that:</w:t>
      </w:r>
    </w:p>
    <w:p w:rsidR="006834A2" w:rsidRPr="007618AB" w:rsidRDefault="006834A2" w:rsidP="006834A2">
      <w:pPr>
        <w:spacing w:before="120"/>
        <w:ind w:left="567" w:hanging="567"/>
      </w:pPr>
      <w:r>
        <w:t>1</w:t>
      </w:r>
      <w:r>
        <w:tab/>
      </w:r>
      <w:r w:rsidRPr="007618AB">
        <w:t>one or more people attending the institution has, or may have, this infectious disease</w:t>
      </w:r>
      <w:r>
        <w:t xml:space="preserve"> </w:t>
      </w:r>
      <w:r w:rsidRPr="007618AB">
        <w:rPr>
          <w:i/>
        </w:rPr>
        <w:t>[specify disease]</w:t>
      </w:r>
      <w:r>
        <w:rPr>
          <w:i/>
        </w:rPr>
        <w:t>,</w:t>
      </w:r>
      <w:r w:rsidRPr="007618AB">
        <w:t xml:space="preserve"> and</w:t>
      </w:r>
    </w:p>
    <w:p w:rsidR="006834A2" w:rsidRDefault="006834A2" w:rsidP="006834A2">
      <w:pPr>
        <w:spacing w:before="120"/>
        <w:ind w:left="567" w:hanging="567"/>
      </w:pPr>
      <w:r w:rsidRPr="007618AB">
        <w:t>2</w:t>
      </w:r>
      <w:r w:rsidRPr="007618AB">
        <w:rPr>
          <w:i/>
        </w:rPr>
        <w:tab/>
      </w:r>
      <w:r w:rsidRPr="007618AB">
        <w:t>there is a substantial risk that the disease will be transmitted to other people attending the institution, having regard to its nature and the relevant circumstances of the particular case</w:t>
      </w:r>
      <w:r>
        <w:t>,</w:t>
      </w:r>
      <w:r w:rsidRPr="007618AB">
        <w:t xml:space="preserve"> and</w:t>
      </w:r>
    </w:p>
    <w:p w:rsidR="006834A2" w:rsidRPr="006834A2" w:rsidRDefault="006834A2" w:rsidP="006834A2">
      <w:pPr>
        <w:spacing w:before="120"/>
        <w:ind w:left="567" w:hanging="567"/>
      </w:pPr>
      <w:r w:rsidRPr="007618AB">
        <w:t>3</w:t>
      </w:r>
      <w:r w:rsidRPr="007618AB">
        <w:tab/>
        <w:t>the risk of the disease being transmitted to other individuals attending the institution cannot be adequately managed solely by giving directions to the individual or individuals with the disease.</w:t>
      </w:r>
    </w:p>
    <w:p w:rsidR="006834A2" w:rsidRPr="006834A2" w:rsidRDefault="006834A2" w:rsidP="006834A2">
      <w:pPr>
        <w:ind w:left="567"/>
      </w:pPr>
      <w:r w:rsidRPr="007618AB">
        <w:rPr>
          <w:i/>
        </w:rPr>
        <w:t>[Elaborate these beliefs where relevant</w:t>
      </w:r>
      <w:r>
        <w:rPr>
          <w:i/>
        </w:rPr>
        <w:t xml:space="preserve"> – </w:t>
      </w:r>
      <w:r w:rsidRPr="007618AB">
        <w:rPr>
          <w:i/>
        </w:rPr>
        <w:t xml:space="preserve">eg, </w:t>
      </w:r>
      <w:r>
        <w:rPr>
          <w:i/>
        </w:rPr>
        <w:t>‘</w:t>
      </w:r>
      <w:r w:rsidRPr="007618AB">
        <w:rPr>
          <w:i/>
        </w:rPr>
        <w:t>measles is highly contagious and several children attending the school have not been immunised against it</w:t>
      </w:r>
      <w:r>
        <w:rPr>
          <w:i/>
        </w:rPr>
        <w:t>’</w:t>
      </w:r>
      <w:r w:rsidRPr="007618AB">
        <w:rPr>
          <w:i/>
        </w:rPr>
        <w:t>.]</w:t>
      </w:r>
    </w:p>
    <w:p w:rsidR="006834A2" w:rsidRPr="007618AB" w:rsidRDefault="006834A2" w:rsidP="006834A2"/>
    <w:p w:rsidR="006834A2" w:rsidRPr="007618AB" w:rsidRDefault="006834A2" w:rsidP="006834A2">
      <w:pPr>
        <w:tabs>
          <w:tab w:val="left" w:pos="5103"/>
        </w:tabs>
        <w:spacing w:before="360"/>
      </w:pPr>
      <w:r w:rsidRPr="007618AB">
        <w:t>Signed by</w:t>
      </w:r>
      <w:r w:rsidRPr="007618AB">
        <w:tab/>
      </w:r>
      <w:r w:rsidRPr="007618AB">
        <w:tab/>
        <w:t>Date</w:t>
      </w:r>
    </w:p>
    <w:p w:rsidR="006834A2" w:rsidRPr="007618AB" w:rsidRDefault="006834A2" w:rsidP="006834A2"/>
    <w:p w:rsidR="006834A2" w:rsidRPr="00DF1A4B" w:rsidRDefault="006834A2" w:rsidP="006834A2">
      <w:pPr>
        <w:spacing w:after="360"/>
        <w:rPr>
          <w:i/>
        </w:rPr>
      </w:pPr>
      <w:r w:rsidRPr="00DF1A4B">
        <w:rPr>
          <w:i/>
        </w:rPr>
        <w:t>[</w:t>
      </w:r>
      <w:r w:rsidR="007227C6">
        <w:rPr>
          <w:i/>
        </w:rPr>
        <w:t>s</w:t>
      </w:r>
      <w:r w:rsidRPr="00DF1A4B">
        <w:rPr>
          <w:i/>
        </w:rPr>
        <w:t>upply name, contact details and health district of medical officer of health]</w:t>
      </w:r>
    </w:p>
    <w:p w:rsidR="006834A2" w:rsidRPr="007618AB" w:rsidRDefault="006834A2" w:rsidP="006834A2"/>
    <w:p w:rsidR="006834A2" w:rsidRPr="006A1A99" w:rsidRDefault="006834A2" w:rsidP="006834A2">
      <w:pPr>
        <w:pBdr>
          <w:top w:val="single" w:sz="4" w:space="12" w:color="auto"/>
        </w:pBdr>
        <w:rPr>
          <w:b/>
        </w:rPr>
      </w:pPr>
      <w:r w:rsidRPr="006A1A99">
        <w:rPr>
          <w:b/>
        </w:rPr>
        <w:t>Administration only:</w:t>
      </w:r>
    </w:p>
    <w:p w:rsidR="006834A2" w:rsidRPr="007618AB" w:rsidRDefault="006834A2" w:rsidP="006834A2"/>
    <w:p w:rsidR="006834A2" w:rsidRPr="006A1A99" w:rsidRDefault="006834A2" w:rsidP="006834A2">
      <w:pPr>
        <w:tabs>
          <w:tab w:val="left" w:pos="5103"/>
        </w:tabs>
      </w:pPr>
      <w:r w:rsidRPr="007618AB">
        <w:t>Is this infectious disease notifiable?</w:t>
      </w:r>
      <w:r w:rsidRPr="007618AB">
        <w:tab/>
        <w:t>Yes/No</w:t>
      </w:r>
    </w:p>
    <w:p w:rsidR="006834A2" w:rsidRPr="007618AB" w:rsidRDefault="006834A2" w:rsidP="006834A2"/>
    <w:p w:rsidR="006834A2" w:rsidRPr="00DF1A4B" w:rsidRDefault="006834A2" w:rsidP="006834A2">
      <w:pPr>
        <w:rPr>
          <w:i/>
        </w:rPr>
      </w:pPr>
      <w:r w:rsidRPr="00DF1A4B">
        <w:rPr>
          <w:i/>
        </w:rPr>
        <w:t>[If no, the Director of Public Health’s prior approval to the direction is required.]</w:t>
      </w:r>
    </w:p>
    <w:p w:rsidR="006834A2" w:rsidRPr="007618AB" w:rsidRDefault="006834A2" w:rsidP="006834A2">
      <w:pPr>
        <w:pBdr>
          <w:bottom w:val="single" w:sz="4" w:space="12" w:color="auto"/>
        </w:pBdr>
        <w:tabs>
          <w:tab w:val="left" w:pos="5103"/>
        </w:tabs>
        <w:spacing w:before="600"/>
      </w:pPr>
      <w:r w:rsidRPr="007618AB">
        <w:t>Signature</w:t>
      </w:r>
      <w:r w:rsidRPr="007618AB">
        <w:tab/>
      </w:r>
      <w:r w:rsidRPr="007618AB">
        <w:tab/>
        <w:t>Date</w:t>
      </w:r>
    </w:p>
    <w:p w:rsidR="006834A2" w:rsidRPr="007618AB" w:rsidRDefault="006834A2" w:rsidP="006834A2"/>
    <w:p w:rsidR="006834A2" w:rsidRDefault="006834A2" w:rsidP="006834A2">
      <w:r>
        <w:br w:type="page"/>
      </w:r>
    </w:p>
    <w:p w:rsidR="008D1DCC" w:rsidRPr="002D4972" w:rsidRDefault="008D1DCC" w:rsidP="006834A2">
      <w:pPr>
        <w:pStyle w:val="Heading3"/>
        <w:spacing w:before="0"/>
      </w:pPr>
      <w:r w:rsidRPr="002D4972">
        <w:t xml:space="preserve">Information about this direction for a </w:t>
      </w:r>
      <w:r>
        <w:t xml:space="preserve">head </w:t>
      </w:r>
      <w:r w:rsidRPr="002D4972">
        <w:t>of an educational institution</w:t>
      </w:r>
    </w:p>
    <w:p w:rsidR="008D1DCC" w:rsidRDefault="008D1DCC" w:rsidP="006834A2">
      <w:r w:rsidRPr="005E134B">
        <w:t xml:space="preserve">A </w:t>
      </w:r>
      <w:r>
        <w:t>m</w:t>
      </w:r>
      <w:r w:rsidRPr="005E134B">
        <w:t xml:space="preserve">edical officer of health must not give this direction without first consulting you as </w:t>
      </w:r>
      <w:r>
        <w:t xml:space="preserve">head </w:t>
      </w:r>
      <w:r w:rsidRPr="005E134B">
        <w:t>of the educational institution.</w:t>
      </w:r>
    </w:p>
    <w:p w:rsidR="006834A2" w:rsidRPr="005E134B" w:rsidRDefault="006834A2" w:rsidP="006834A2"/>
    <w:p w:rsidR="008D1DCC" w:rsidRPr="005E134B" w:rsidRDefault="008D1DCC" w:rsidP="006834A2">
      <w:pPr>
        <w:pStyle w:val="Heading4"/>
      </w:pPr>
      <w:r w:rsidRPr="005E134B">
        <w:t>What if you do not comply with this direction?</w:t>
      </w:r>
    </w:p>
    <w:p w:rsidR="008D1DCC" w:rsidRPr="005E134B" w:rsidRDefault="008D1DCC" w:rsidP="006834A2">
      <w:r>
        <w:t>If you do not comply with this direction you</w:t>
      </w:r>
      <w:r w:rsidRPr="005E134B">
        <w:t xml:space="preserve"> may put others at substantial risk of serious harm to their health and safety. You may also put your own health and safety at substantial risk.</w:t>
      </w:r>
    </w:p>
    <w:p w:rsidR="008D1DCC" w:rsidRPr="005E134B" w:rsidRDefault="008D1DCC" w:rsidP="006834A2"/>
    <w:p w:rsidR="003B22F1" w:rsidRDefault="008D1DCC" w:rsidP="006834A2">
      <w:r>
        <w:t xml:space="preserve">The medical </w:t>
      </w:r>
      <w:r w:rsidRPr="005E134B">
        <w:t xml:space="preserve">officer of health may apply </w:t>
      </w:r>
      <w:r>
        <w:t xml:space="preserve">to the District Court </w:t>
      </w:r>
      <w:r w:rsidRPr="005E134B">
        <w:t>for a court order which will be decided in the District Court</w:t>
      </w:r>
      <w:r>
        <w:t xml:space="preserve">; in this case, the application will be filed in the court and you will be </w:t>
      </w:r>
      <w:r w:rsidRPr="005E134B">
        <w:t>notified of what happens next.</w:t>
      </w:r>
    </w:p>
    <w:p w:rsidR="008D1DCC" w:rsidRPr="005E134B" w:rsidRDefault="008D1DCC" w:rsidP="006834A2"/>
    <w:p w:rsidR="003B22F1" w:rsidRDefault="008D1DCC" w:rsidP="006834A2">
      <w:r w:rsidRPr="005E134B">
        <w:t>You could</w:t>
      </w:r>
      <w:r>
        <w:t>,</w:t>
      </w:r>
      <w:r w:rsidRPr="005E134B">
        <w:t xml:space="preserve"> in exceptional circumstances</w:t>
      </w:r>
      <w:r>
        <w:t>,</w:t>
      </w:r>
      <w:r w:rsidRPr="005E134B">
        <w:t xml:space="preserve"> be </w:t>
      </w:r>
      <w:r>
        <w:t xml:space="preserve">taken to court for </w:t>
      </w:r>
      <w:r w:rsidRPr="005E134B">
        <w:t xml:space="preserve">an offence under section 92V of </w:t>
      </w:r>
      <w:r>
        <w:t>the Health Act 1956 of</w:t>
      </w:r>
      <w:r w:rsidRPr="005E134B">
        <w:t>:</w:t>
      </w:r>
    </w:p>
    <w:p w:rsidR="008D1DCC" w:rsidRPr="003B6CD7" w:rsidRDefault="008D1DCC" w:rsidP="006834A2">
      <w:pPr>
        <w:pStyle w:val="Quote"/>
      </w:pPr>
      <w:r w:rsidRPr="003B6CD7">
        <w:t>Without reasonable excuse failing to comply with a direction given by a medical officer of health under Part 3A of the Health Act 1956.</w:t>
      </w:r>
    </w:p>
    <w:p w:rsidR="006834A2" w:rsidRDefault="006834A2" w:rsidP="006834A2"/>
    <w:p w:rsidR="008D1DCC" w:rsidRDefault="008D1DCC" w:rsidP="006834A2">
      <w:r w:rsidRPr="005E134B">
        <w:t>Should you be found guilty by the District Court, the</w:t>
      </w:r>
      <w:r>
        <w:t xml:space="preserve"> maximum</w:t>
      </w:r>
      <w:r w:rsidRPr="005E134B">
        <w:t xml:space="preserve"> penalty is a fine not exceeding $2,000.</w:t>
      </w:r>
    </w:p>
    <w:p w:rsidR="008D1DCC" w:rsidRDefault="008D1DCC" w:rsidP="006834A2"/>
    <w:p w:rsidR="008D1DCC" w:rsidRPr="005E134B" w:rsidRDefault="008D1DCC" w:rsidP="006834A2">
      <w:pPr>
        <w:pStyle w:val="Heading4"/>
      </w:pPr>
      <w:r w:rsidRPr="005E134B">
        <w:t>Seeking changes to, or cancellation of, directions</w:t>
      </w:r>
    </w:p>
    <w:p w:rsidR="003B22F1" w:rsidRDefault="008D1DCC" w:rsidP="006834A2">
      <w:r w:rsidRPr="005E134B">
        <w:t>Th</w:t>
      </w:r>
      <w:r>
        <w:t>is</w:t>
      </w:r>
      <w:r w:rsidRPr="005E134B">
        <w:t xml:space="preserve"> direction will be reviewed regularly to ma</w:t>
      </w:r>
      <w:r>
        <w:t>ke sure it is still necessary. T</w:t>
      </w:r>
      <w:r w:rsidRPr="005E134B">
        <w:t xml:space="preserve">he </w:t>
      </w:r>
      <w:r>
        <w:t>m</w:t>
      </w:r>
      <w:r w:rsidRPr="005E134B">
        <w:t xml:space="preserve">edical officer of health can extend, change or cancel the direction. If there is something about the direction </w:t>
      </w:r>
      <w:r>
        <w:t xml:space="preserve">that </w:t>
      </w:r>
      <w:r w:rsidRPr="00395661">
        <w:t>you</w:t>
      </w:r>
      <w:r w:rsidRPr="005E134B">
        <w:t xml:space="preserve"> wish to have changed, </w:t>
      </w:r>
      <w:r>
        <w:t xml:space="preserve">you should </w:t>
      </w:r>
      <w:r w:rsidRPr="005E134B">
        <w:t xml:space="preserve">contact the </w:t>
      </w:r>
      <w:r>
        <w:t>m</w:t>
      </w:r>
      <w:r w:rsidRPr="005E134B">
        <w:t>edical officer of health who signed the direction and seek review.</w:t>
      </w:r>
    </w:p>
    <w:p w:rsidR="006834A2" w:rsidRDefault="006834A2" w:rsidP="006834A2"/>
    <w:p w:rsidR="008D1DCC" w:rsidRPr="005E134B" w:rsidRDefault="008D1DCC" w:rsidP="006834A2">
      <w:pPr>
        <w:pStyle w:val="Heading4"/>
      </w:pPr>
      <w:r w:rsidRPr="005E134B">
        <w:t>What rights do you have to challenge the direction in the courts?</w:t>
      </w:r>
    </w:p>
    <w:p w:rsidR="008D1DCC" w:rsidRDefault="008D1DCC" w:rsidP="006834A2">
      <w:r w:rsidRPr="005E134B">
        <w:t>You have a right to appeal to the District Court against th</w:t>
      </w:r>
      <w:r>
        <w:t xml:space="preserve">is </w:t>
      </w:r>
      <w:r w:rsidRPr="005E134B">
        <w:t>direction (or part of it), including agai</w:t>
      </w:r>
      <w:r>
        <w:t>nst any changes or extensions,</w:t>
      </w:r>
      <w:r w:rsidRPr="005E134B">
        <w:t xml:space="preserve"> under section 92T of the Health Act 1956.</w:t>
      </w:r>
      <w:r>
        <w:t xml:space="preserve"> To do so y</w:t>
      </w:r>
      <w:r w:rsidRPr="005E134B">
        <w:t xml:space="preserve">ou may </w:t>
      </w:r>
      <w:r>
        <w:t xml:space="preserve">file a notice of </w:t>
      </w:r>
      <w:r w:rsidRPr="005E134B">
        <w:t>appeal under Part 18 of the District Court Rules 2014.</w:t>
      </w:r>
    </w:p>
    <w:p w:rsidR="008D1DCC" w:rsidRPr="005E134B" w:rsidRDefault="008D1DCC" w:rsidP="006834A2"/>
    <w:p w:rsidR="008D1DCC" w:rsidRDefault="008D1DCC" w:rsidP="006834A2">
      <w:r>
        <w:t xml:space="preserve">You </w:t>
      </w:r>
      <w:r w:rsidRPr="005E134B">
        <w:t>may also have a right to apply to the High Court for judicial review of the direction</w:t>
      </w:r>
      <w:r>
        <w:t>: for example, if the</w:t>
      </w:r>
      <w:r w:rsidRPr="005E134B">
        <w:t xml:space="preserve"> reasons for imposing the conditions were not lawful</w:t>
      </w:r>
      <w:r>
        <w:t>,</w:t>
      </w:r>
      <w:r w:rsidRPr="005E134B">
        <w:t xml:space="preserve"> or the direction was given in bad faith.</w:t>
      </w:r>
      <w:r>
        <w:t xml:space="preserve"> You should seek the </w:t>
      </w:r>
      <w:r w:rsidRPr="005E134B">
        <w:t>advice of a lawyer before deciding whether to challenge the direction in the courts.</w:t>
      </w:r>
    </w:p>
    <w:p w:rsidR="006834A2" w:rsidRPr="005E134B" w:rsidRDefault="006834A2" w:rsidP="006834A2"/>
    <w:p w:rsidR="003B22F1" w:rsidRDefault="008D1DCC" w:rsidP="006834A2">
      <w:pPr>
        <w:pStyle w:val="Heading4"/>
      </w:pPr>
      <w:r w:rsidRPr="005E134B">
        <w:t>Privacy of information</w:t>
      </w:r>
    </w:p>
    <w:p w:rsidR="003B22F1" w:rsidRDefault="008D1DCC" w:rsidP="006834A2">
      <w:r w:rsidRPr="005E134B">
        <w:t>Information about you</w:t>
      </w:r>
      <w:r>
        <w:t xml:space="preserve"> contained in this direction may </w:t>
      </w:r>
      <w:r w:rsidRPr="005E134B">
        <w:t>not be used or passed on by anyone but you, except for the purpose of effectively managing diseases.</w:t>
      </w:r>
    </w:p>
    <w:p w:rsidR="008D1DCC" w:rsidRDefault="008D1DCC" w:rsidP="006834A2"/>
    <w:p w:rsidR="003B22F1" w:rsidRDefault="008D1DCC" w:rsidP="006834A2">
      <w:pPr>
        <w:pStyle w:val="Heading4"/>
      </w:pPr>
      <w:r>
        <w:t>F</w:t>
      </w:r>
      <w:r w:rsidRPr="005E134B">
        <w:t>urther information</w:t>
      </w:r>
    </w:p>
    <w:p w:rsidR="006834A2" w:rsidRPr="007618AB" w:rsidRDefault="006834A2" w:rsidP="00DB5FC4">
      <w:pPr>
        <w:keepNext/>
      </w:pPr>
      <w:r w:rsidRPr="007618AB">
        <w:t>If you require further information, you can contact:</w:t>
      </w:r>
    </w:p>
    <w:p w:rsidR="006834A2" w:rsidRPr="007618AB" w:rsidRDefault="006834A2" w:rsidP="00DB5FC4">
      <w:pPr>
        <w:pStyle w:val="Bullet"/>
        <w:keepNext/>
      </w:pPr>
      <w:r w:rsidRPr="007618AB">
        <w:t>the medical officer of health named on this form – for information about the disease and this direction</w:t>
      </w:r>
    </w:p>
    <w:p w:rsidR="006834A2" w:rsidRPr="007618AB" w:rsidRDefault="006834A2" w:rsidP="00DB5FC4">
      <w:pPr>
        <w:pStyle w:val="Bullet"/>
        <w:keepNext/>
      </w:pPr>
      <w:r w:rsidRPr="007618AB">
        <w:t>the Citizens</w:t>
      </w:r>
      <w:r>
        <w:t>’</w:t>
      </w:r>
      <w:r w:rsidRPr="007618AB">
        <w:t xml:space="preserve"> Advice Bureau (</w:t>
      </w:r>
      <w:hyperlink r:id="rId46" w:history="1">
        <w:r w:rsidRPr="007618AB">
          <w:rPr>
            <w:rStyle w:val="Hyperlink"/>
            <w:rFonts w:cs="Arial"/>
          </w:rPr>
          <w:t>www.cba.org.nz</w:t>
        </w:r>
      </w:hyperlink>
      <w:r>
        <w:rPr>
          <w:rStyle w:val="Hyperlink"/>
          <w:rFonts w:cs="Arial"/>
        </w:rPr>
        <w:t>,</w:t>
      </w:r>
      <w:r w:rsidRPr="007618AB">
        <w:t xml:space="preserve"> or freephone 0800 367 222)</w:t>
      </w:r>
    </w:p>
    <w:p w:rsidR="006834A2" w:rsidRPr="007618AB" w:rsidRDefault="006834A2" w:rsidP="006834A2">
      <w:pPr>
        <w:pStyle w:val="Bullet"/>
      </w:pPr>
      <w:r w:rsidRPr="007618AB">
        <w:t>the Office of the Health and Disability Commissioner (</w:t>
      </w:r>
      <w:hyperlink r:id="rId47" w:history="1">
        <w:r w:rsidRPr="007618AB">
          <w:rPr>
            <w:rStyle w:val="Hyperlink"/>
            <w:rFonts w:cs="Arial"/>
          </w:rPr>
          <w:t>www.hdc.org.nz</w:t>
        </w:r>
      </w:hyperlink>
      <w:r>
        <w:rPr>
          <w:rStyle w:val="Hyperlink"/>
          <w:rFonts w:cs="Arial"/>
        </w:rPr>
        <w:t>,</w:t>
      </w:r>
      <w:r>
        <w:t xml:space="preserve"> </w:t>
      </w:r>
      <w:r w:rsidRPr="007618AB">
        <w:t>freephone 0800</w:t>
      </w:r>
      <w:r>
        <w:t> </w:t>
      </w:r>
      <w:r w:rsidRPr="007618AB">
        <w:t>11</w:t>
      </w:r>
      <w:r>
        <w:t> </w:t>
      </w:r>
      <w:r w:rsidRPr="007618AB">
        <w:t>22</w:t>
      </w:r>
      <w:r>
        <w:t> </w:t>
      </w:r>
      <w:r w:rsidRPr="007618AB">
        <w:t>33 or email:</w:t>
      </w:r>
      <w:r>
        <w:t xml:space="preserve"> </w:t>
      </w:r>
      <w:hyperlink r:id="rId48" w:history="1">
        <w:r w:rsidRPr="007618AB">
          <w:rPr>
            <w:rStyle w:val="Hyperlink"/>
            <w:rFonts w:cs="Arial"/>
          </w:rPr>
          <w:t>hdc@hdc.org.nz</w:t>
        </w:r>
      </w:hyperlink>
      <w:r w:rsidR="00EC1BC8">
        <w:rPr>
          <w:rStyle w:val="Hyperlink"/>
          <w:rFonts w:cs="Arial"/>
        </w:rPr>
        <w:t>)</w:t>
      </w:r>
      <w:r w:rsidRPr="007618AB">
        <w:t xml:space="preserve"> for advice on disability support</w:t>
      </w:r>
    </w:p>
    <w:p w:rsidR="006834A2" w:rsidRPr="007618AB" w:rsidRDefault="006834A2" w:rsidP="006834A2">
      <w:pPr>
        <w:pStyle w:val="Bullet"/>
      </w:pPr>
      <w:r w:rsidRPr="007618AB">
        <w:t xml:space="preserve">the Community Law Centre </w:t>
      </w:r>
      <w:r w:rsidR="00EC1BC8">
        <w:t>(</w:t>
      </w:r>
      <w:hyperlink r:id="rId49" w:history="1">
        <w:r w:rsidRPr="007618AB">
          <w:rPr>
            <w:rStyle w:val="Hyperlink"/>
            <w:rFonts w:cs="Arial"/>
          </w:rPr>
          <w:t>www.communitylaw.org.nz</w:t>
        </w:r>
      </w:hyperlink>
      <w:r w:rsidR="00EC1BC8">
        <w:rPr>
          <w:rStyle w:val="Hyperlink"/>
          <w:rFonts w:cs="Arial"/>
        </w:rPr>
        <w:t>)</w:t>
      </w:r>
      <w:r w:rsidRPr="007618AB">
        <w:t xml:space="preserve"> for legal advice</w:t>
      </w:r>
    </w:p>
    <w:p w:rsidR="006834A2" w:rsidRPr="007618AB" w:rsidRDefault="006834A2" w:rsidP="006834A2">
      <w:pPr>
        <w:pStyle w:val="Bullet"/>
      </w:pPr>
      <w:r w:rsidRPr="007618AB">
        <w:t>the New Zealand Society of Translators and Interpreters</w:t>
      </w:r>
      <w:r>
        <w:t>’</w:t>
      </w:r>
      <w:r w:rsidRPr="007618AB">
        <w:t xml:space="preserve"> (</w:t>
      </w:r>
      <w:hyperlink r:id="rId50" w:history="1">
        <w:r w:rsidRPr="007618AB">
          <w:rPr>
            <w:rStyle w:val="Hyperlink"/>
            <w:rFonts w:cs="Arial"/>
          </w:rPr>
          <w:t>www.nzsti.org/faq/</w:t>
        </w:r>
      </w:hyperlink>
      <w:r w:rsidRPr="007618AB">
        <w:rPr>
          <w:rStyle w:val="Hyperlink"/>
          <w:rFonts w:cs="Arial"/>
        </w:rPr>
        <w:t>) to locate an interpreter.</w:t>
      </w:r>
    </w:p>
    <w:p w:rsidR="006834A2" w:rsidRPr="007618AB" w:rsidRDefault="006834A2" w:rsidP="006834A2"/>
    <w:p w:rsidR="006834A2" w:rsidRPr="007618AB" w:rsidRDefault="006834A2" w:rsidP="006834A2">
      <w:r w:rsidRPr="007618AB">
        <w:t xml:space="preserve">The Ministry of Justice and Courts of New Zealand websites have information about going to court, including applying for legal aid and information about court-based interpreters: see </w:t>
      </w:r>
      <w:hyperlink r:id="rId51" w:history="1">
        <w:r w:rsidRPr="007618AB">
          <w:rPr>
            <w:rStyle w:val="Hyperlink"/>
            <w:rFonts w:cs="Arial"/>
          </w:rPr>
          <w:t>www.justice.govt.nz/services/legal-help/</w:t>
        </w:r>
      </w:hyperlink>
      <w:r w:rsidRPr="007618AB">
        <w:t xml:space="preserve"> and </w:t>
      </w:r>
      <w:hyperlink r:id="rId52" w:history="1">
        <w:r w:rsidRPr="007618AB">
          <w:rPr>
            <w:rStyle w:val="Hyperlink"/>
            <w:rFonts w:cs="Arial"/>
          </w:rPr>
          <w:t>www.courtsofnz.govt.nz</w:t>
        </w:r>
      </w:hyperlink>
    </w:p>
    <w:p w:rsidR="006834A2" w:rsidRDefault="006834A2" w:rsidP="006834A2"/>
    <w:p w:rsidR="008D1DCC" w:rsidRDefault="008D1DCC" w:rsidP="008D1DCC">
      <w:pPr>
        <w:rPr>
          <w:rFonts w:cs="Arial"/>
        </w:rPr>
      </w:pPr>
      <w:r>
        <w:rPr>
          <w:rFonts w:cs="Arial"/>
        </w:rPr>
        <w:br w:type="page"/>
      </w:r>
    </w:p>
    <w:p w:rsidR="000F0BEA" w:rsidRDefault="000F0BEA" w:rsidP="000F0BEA">
      <w:pPr>
        <w:pStyle w:val="Heading2"/>
        <w:spacing w:before="0"/>
        <w:jc w:val="center"/>
      </w:pPr>
      <w:bookmarkStart w:id="87" w:name="_Toc473538579"/>
      <w:r>
        <w:t>[</w:t>
      </w:r>
      <w:r w:rsidRPr="00A67E50">
        <w:rPr>
          <w:i/>
        </w:rPr>
        <w:t>Template for</w:t>
      </w:r>
      <w:r>
        <w:rPr>
          <w:i/>
        </w:rPr>
        <w:t xml:space="preserve"> </w:t>
      </w:r>
      <w:r w:rsidRPr="00A67E50">
        <w:rPr>
          <w:b w:val="0"/>
          <w:i/>
          <w:sz w:val="22"/>
        </w:rPr>
        <w:t>remove this text</w:t>
      </w:r>
      <w:r>
        <w:t>]</w:t>
      </w:r>
    </w:p>
    <w:p w:rsidR="008D1DCC" w:rsidRPr="002D4972" w:rsidRDefault="000F0BEA" w:rsidP="00B80940">
      <w:pPr>
        <w:pStyle w:val="Heading2"/>
      </w:pPr>
      <w:r>
        <w:t>N</w:t>
      </w:r>
      <w:r w:rsidR="008D1DCC">
        <w:t>otice e</w:t>
      </w:r>
      <w:r w:rsidR="008D1DCC" w:rsidRPr="002D4972">
        <w:t>xtending direction</w:t>
      </w:r>
      <w:bookmarkEnd w:id="87"/>
    </w:p>
    <w:p w:rsidR="008D1DCC" w:rsidRPr="002D4972" w:rsidRDefault="008D1DCC" w:rsidP="00B80940">
      <w:r w:rsidRPr="002D4972">
        <w:t>Under section 92Q of the Health Act 1956</w:t>
      </w:r>
    </w:p>
    <w:p w:rsidR="008D1DCC" w:rsidRDefault="008D1DCC" w:rsidP="008D1DCC">
      <w:pPr>
        <w:rPr>
          <w:rFonts w:cs="Arial"/>
        </w:rPr>
      </w:pPr>
    </w:p>
    <w:p w:rsidR="00043DC6" w:rsidRPr="007618AB" w:rsidRDefault="00043DC6" w:rsidP="00043DC6">
      <w:pPr>
        <w:spacing w:before="480"/>
      </w:pPr>
      <w:r w:rsidRPr="007618AB">
        <w:t xml:space="preserve">To </w:t>
      </w:r>
      <w:r w:rsidRPr="006A1A99">
        <w:rPr>
          <w:i/>
        </w:rPr>
        <w:t>[name and address of individual]</w:t>
      </w:r>
    </w:p>
    <w:p w:rsidR="00043DC6" w:rsidRPr="007618AB" w:rsidRDefault="00043DC6" w:rsidP="00043DC6"/>
    <w:p w:rsidR="00043DC6" w:rsidRDefault="00043DC6" w:rsidP="00043DC6">
      <w:r w:rsidRPr="005E134B">
        <w:t>This is to tell you that the extension/s set out below take immediate effect in relation to the attached direction/s which are currently in force.</w:t>
      </w:r>
    </w:p>
    <w:p w:rsidR="00913414" w:rsidRDefault="00913414" w:rsidP="00043DC6"/>
    <w:p w:rsidR="00043DC6" w:rsidRDefault="00043DC6" w:rsidP="00043DC6">
      <w:r w:rsidRPr="00043DC6">
        <w:rPr>
          <w:i/>
        </w:rPr>
        <w:t>[Attach copy of direction/s.]</w:t>
      </w:r>
      <w:r>
        <w:t>:</w:t>
      </w:r>
    </w:p>
    <w:p w:rsidR="00043DC6" w:rsidRPr="005E134B" w:rsidRDefault="00043DC6" w:rsidP="00043DC6"/>
    <w:p w:rsidR="00043DC6" w:rsidRPr="005E134B" w:rsidRDefault="00043DC6" w:rsidP="00043DC6">
      <w:pPr>
        <w:rPr>
          <w:i/>
        </w:rPr>
      </w:pPr>
      <w:r w:rsidRPr="005E134B">
        <w:t>The direction/s is extended</w:t>
      </w:r>
      <w:r w:rsidRPr="005E134B">
        <w:rPr>
          <w:i/>
        </w:rPr>
        <w:t xml:space="preserve"> </w:t>
      </w:r>
      <w:r w:rsidRPr="005E134B">
        <w:t>until</w:t>
      </w:r>
      <w:r w:rsidRPr="005E134B">
        <w:rPr>
          <w:i/>
        </w:rPr>
        <w:t xml:space="preserve"> [specify date].</w:t>
      </w:r>
    </w:p>
    <w:p w:rsidR="00043DC6" w:rsidRPr="005E134B" w:rsidRDefault="00043DC6" w:rsidP="00043DC6"/>
    <w:p w:rsidR="00043DC6" w:rsidRPr="005E134B" w:rsidRDefault="00043DC6" w:rsidP="00043DC6">
      <w:r w:rsidRPr="005E134B">
        <w:t xml:space="preserve">My reasons for extending the direction are: </w:t>
      </w:r>
      <w:r w:rsidRPr="00043DC6">
        <w:rPr>
          <w:i/>
        </w:rPr>
        <w:t>[insert reasons – eg, drug resistant TB, or individual has not been taking medicine consistently and is still infectious]</w:t>
      </w:r>
      <w:r w:rsidRPr="00043DC6">
        <w:t>.</w:t>
      </w:r>
    </w:p>
    <w:p w:rsidR="00043DC6" w:rsidRPr="007618AB" w:rsidRDefault="00043DC6" w:rsidP="00043DC6"/>
    <w:p w:rsidR="00043DC6" w:rsidRPr="007618AB" w:rsidRDefault="00043DC6" w:rsidP="00043DC6">
      <w:pPr>
        <w:tabs>
          <w:tab w:val="left" w:pos="5103"/>
        </w:tabs>
        <w:spacing w:before="600"/>
      </w:pPr>
      <w:r w:rsidRPr="007618AB">
        <w:t>Signed by</w:t>
      </w:r>
      <w:r w:rsidRPr="007618AB">
        <w:tab/>
      </w:r>
      <w:r w:rsidRPr="007618AB">
        <w:tab/>
        <w:t>Date</w:t>
      </w:r>
    </w:p>
    <w:p w:rsidR="00043DC6" w:rsidRPr="007618AB" w:rsidRDefault="00043DC6" w:rsidP="00043DC6"/>
    <w:p w:rsidR="00043DC6" w:rsidRPr="00DF1A4B" w:rsidRDefault="00043DC6" w:rsidP="00043DC6">
      <w:pPr>
        <w:spacing w:after="600"/>
        <w:rPr>
          <w:i/>
        </w:rPr>
      </w:pPr>
      <w:r w:rsidRPr="00DF1A4B">
        <w:rPr>
          <w:i/>
        </w:rPr>
        <w:t>[</w:t>
      </w:r>
      <w:r w:rsidR="004A0EE3">
        <w:rPr>
          <w:i/>
        </w:rPr>
        <w:t>s</w:t>
      </w:r>
      <w:r w:rsidRPr="00DF1A4B">
        <w:rPr>
          <w:i/>
        </w:rPr>
        <w:t>upply name, contact details and health district of medical officer of health]</w:t>
      </w:r>
    </w:p>
    <w:p w:rsidR="00913414" w:rsidRDefault="00913414" w:rsidP="00913414"/>
    <w:p w:rsidR="008D1DCC" w:rsidRDefault="008D1DCC" w:rsidP="00913414">
      <w:r w:rsidRPr="005E134B">
        <w:br w:type="page"/>
      </w:r>
    </w:p>
    <w:p w:rsidR="008D1DCC" w:rsidRPr="00881020" w:rsidRDefault="008D1DCC" w:rsidP="00913414">
      <w:pPr>
        <w:pStyle w:val="Heading3"/>
      </w:pPr>
      <w:r w:rsidRPr="00881020">
        <w:t>Information about this notice for the individual subject to it</w:t>
      </w:r>
    </w:p>
    <w:p w:rsidR="008D1DCC" w:rsidRPr="005E134B" w:rsidRDefault="008D1DCC" w:rsidP="00913414">
      <w:pPr>
        <w:pStyle w:val="Heading4"/>
      </w:pPr>
      <w:r w:rsidRPr="005E134B">
        <w:t>Extending directions</w:t>
      </w:r>
    </w:p>
    <w:p w:rsidR="008D1DCC" w:rsidRDefault="008D1DCC" w:rsidP="00913414">
      <w:r w:rsidRPr="005E134B">
        <w:t>Directions are reviewed regularly to mak</w:t>
      </w:r>
      <w:r>
        <w:t>e sure they are still necessary.</w:t>
      </w:r>
    </w:p>
    <w:p w:rsidR="008D1DCC" w:rsidRPr="005E134B" w:rsidRDefault="008D1DCC" w:rsidP="00913414"/>
    <w:p w:rsidR="008D1DCC" w:rsidRPr="005E134B" w:rsidRDefault="008D1DCC" w:rsidP="00913414">
      <w:r w:rsidRPr="005E134B">
        <w:t xml:space="preserve">A </w:t>
      </w:r>
      <w:r>
        <w:t xml:space="preserve">medical officer of health can extend a </w:t>
      </w:r>
      <w:r w:rsidRPr="005E134B">
        <w:t xml:space="preserve">direction if </w:t>
      </w:r>
      <w:r>
        <w:t xml:space="preserve">he or she </w:t>
      </w:r>
      <w:r w:rsidRPr="005E134B">
        <w:t>is satisfied that the conditions for giving the direction continue to be met – namely, that you pose a substantial risk of serious harm to th</w:t>
      </w:r>
      <w:r>
        <w:t xml:space="preserve">e health and safety of others. </w:t>
      </w:r>
      <w:r w:rsidRPr="005E134B">
        <w:t xml:space="preserve">This </w:t>
      </w:r>
      <w:r>
        <w:t xml:space="preserve">decision will take </w:t>
      </w:r>
      <w:r w:rsidRPr="005E134B">
        <w:t>into account the nature of the infectious disease and the circumstances of your particular ca</w:t>
      </w:r>
      <w:r>
        <w:t xml:space="preserve">se. </w:t>
      </w:r>
      <w:r w:rsidRPr="005E134B">
        <w:t xml:space="preserve">No direction may be extended for more than </w:t>
      </w:r>
      <w:r>
        <w:t>six months at a time.</w:t>
      </w:r>
      <w:r w:rsidR="003B22F1">
        <w:t xml:space="preserve"> </w:t>
      </w:r>
      <w:r w:rsidRPr="005E134B">
        <w:t>A direction cannot be extended if it has already expired.</w:t>
      </w:r>
    </w:p>
    <w:p w:rsidR="008D1DCC" w:rsidRPr="005E134B" w:rsidRDefault="008D1DCC" w:rsidP="00913414"/>
    <w:p w:rsidR="008D1DCC" w:rsidRPr="005E134B" w:rsidRDefault="008D1DCC" w:rsidP="00913414">
      <w:pPr>
        <w:pStyle w:val="Heading4"/>
      </w:pPr>
      <w:r w:rsidRPr="005E134B">
        <w:t>What if you do not comply with this direction?</w:t>
      </w:r>
    </w:p>
    <w:p w:rsidR="008D1DCC" w:rsidRPr="005E134B" w:rsidRDefault="008D1DCC" w:rsidP="00913414">
      <w:r>
        <w:t>If you do not comply with this direction you</w:t>
      </w:r>
      <w:r w:rsidRPr="005E134B">
        <w:t xml:space="preserve"> may put others at substantial risk of serious ha</w:t>
      </w:r>
      <w:r>
        <w:t xml:space="preserve">rm to their health and safety. </w:t>
      </w:r>
      <w:r w:rsidRPr="005E134B">
        <w:t>You may also put your own health and safety at substantial risk.</w:t>
      </w:r>
    </w:p>
    <w:p w:rsidR="008D1DCC" w:rsidRPr="005E134B" w:rsidRDefault="008D1DCC" w:rsidP="00913414"/>
    <w:p w:rsidR="003B22F1" w:rsidRDefault="008D1DCC" w:rsidP="00913414">
      <w:r>
        <w:t xml:space="preserve">The medical </w:t>
      </w:r>
      <w:r w:rsidRPr="005E134B">
        <w:t xml:space="preserve">officer of health may apply </w:t>
      </w:r>
      <w:r>
        <w:t xml:space="preserve">to the District Court </w:t>
      </w:r>
      <w:r w:rsidRPr="005E134B">
        <w:t>for a court order which will be decided in the District Court</w:t>
      </w:r>
      <w:r>
        <w:t xml:space="preserve">; in this case, the application will be filed in the court and you will be </w:t>
      </w:r>
      <w:r w:rsidRPr="005E134B">
        <w:t>notified of what happens next.</w:t>
      </w:r>
    </w:p>
    <w:p w:rsidR="008D1DCC" w:rsidRPr="005E134B" w:rsidRDefault="008D1DCC" w:rsidP="00913414"/>
    <w:p w:rsidR="003B22F1" w:rsidRDefault="008D1DCC" w:rsidP="00913414">
      <w:r w:rsidRPr="005E134B">
        <w:t>You could</w:t>
      </w:r>
      <w:r>
        <w:t>,</w:t>
      </w:r>
      <w:r w:rsidRPr="005E134B">
        <w:t xml:space="preserve"> in exceptional circumstances</w:t>
      </w:r>
      <w:r>
        <w:t>,</w:t>
      </w:r>
      <w:r w:rsidRPr="005E134B">
        <w:t xml:space="preserve"> be </w:t>
      </w:r>
      <w:r>
        <w:t xml:space="preserve">taken to court for </w:t>
      </w:r>
      <w:r w:rsidRPr="005E134B">
        <w:t xml:space="preserve">an offence under section 92V of </w:t>
      </w:r>
      <w:r>
        <w:t>the Health Act 1956 of</w:t>
      </w:r>
      <w:r w:rsidRPr="005E134B">
        <w:t>:</w:t>
      </w:r>
    </w:p>
    <w:p w:rsidR="008D1DCC" w:rsidRPr="003B6CD7" w:rsidRDefault="008D1DCC" w:rsidP="00913414">
      <w:pPr>
        <w:pStyle w:val="Quote"/>
      </w:pPr>
      <w:r w:rsidRPr="003B6CD7">
        <w:t>Without reasonable excuse failing to comply with a direction given by a medical officer of health under Part 3A of the Health Act 1956.</w:t>
      </w:r>
    </w:p>
    <w:p w:rsidR="00913414" w:rsidRDefault="00913414" w:rsidP="00913414"/>
    <w:p w:rsidR="008D1DCC" w:rsidRDefault="008D1DCC" w:rsidP="00913414">
      <w:r w:rsidRPr="005E134B">
        <w:t>Should you be found guilty by the District Court, the</w:t>
      </w:r>
      <w:r>
        <w:t xml:space="preserve"> maximum</w:t>
      </w:r>
      <w:r w:rsidRPr="005E134B">
        <w:t xml:space="preserve"> penalty is a fine not exceeding $2,000.</w:t>
      </w:r>
    </w:p>
    <w:p w:rsidR="008D1DCC" w:rsidRDefault="008D1DCC" w:rsidP="00913414"/>
    <w:p w:rsidR="008D1DCC" w:rsidRPr="005E134B" w:rsidRDefault="008D1DCC" w:rsidP="00913414">
      <w:pPr>
        <w:pStyle w:val="Heading4"/>
      </w:pPr>
      <w:r w:rsidRPr="005E134B">
        <w:t>Seeking changes to, or cancellation of, directions</w:t>
      </w:r>
    </w:p>
    <w:p w:rsidR="003B22F1" w:rsidRDefault="008D1DCC" w:rsidP="00913414">
      <w:r w:rsidRPr="005E134B">
        <w:t>Th</w:t>
      </w:r>
      <w:r>
        <w:t>is</w:t>
      </w:r>
      <w:r w:rsidRPr="005E134B">
        <w:t xml:space="preserve"> direction will be reviewed regularly to ma</w:t>
      </w:r>
      <w:r>
        <w:t>ke sure it is still necessary. T</w:t>
      </w:r>
      <w:r w:rsidRPr="005E134B">
        <w:t xml:space="preserve">he </w:t>
      </w:r>
      <w:r>
        <w:t>m</w:t>
      </w:r>
      <w:r w:rsidRPr="005E134B">
        <w:t xml:space="preserve">edical officer of health can extend, change or cancel the direction. If there is something about the direction </w:t>
      </w:r>
      <w:r>
        <w:t xml:space="preserve">that </w:t>
      </w:r>
      <w:r w:rsidRPr="00395661">
        <w:t>you</w:t>
      </w:r>
      <w:r w:rsidRPr="005E134B">
        <w:t xml:space="preserve"> wish to have changed, </w:t>
      </w:r>
      <w:r>
        <w:t xml:space="preserve">you should </w:t>
      </w:r>
      <w:r w:rsidRPr="005E134B">
        <w:t xml:space="preserve">contact the </w:t>
      </w:r>
      <w:r>
        <w:t>m</w:t>
      </w:r>
      <w:r w:rsidRPr="005E134B">
        <w:t>edical officer of health who signed the direction and seek review.</w:t>
      </w:r>
    </w:p>
    <w:p w:rsidR="00913414" w:rsidRDefault="00913414" w:rsidP="00913414"/>
    <w:p w:rsidR="008D1DCC" w:rsidRPr="005E134B" w:rsidRDefault="008D1DCC" w:rsidP="00913414">
      <w:pPr>
        <w:pStyle w:val="Heading4"/>
      </w:pPr>
      <w:r w:rsidRPr="005E134B">
        <w:t>What rights do you have to challenge the direction in the courts?</w:t>
      </w:r>
    </w:p>
    <w:p w:rsidR="008D1DCC" w:rsidRDefault="008D1DCC" w:rsidP="00913414">
      <w:r w:rsidRPr="005E134B">
        <w:t>You have a right to appeal to the District Court against th</w:t>
      </w:r>
      <w:r>
        <w:t xml:space="preserve">is </w:t>
      </w:r>
      <w:r w:rsidRPr="005E134B">
        <w:t>direction (or part of it), including agai</w:t>
      </w:r>
      <w:r>
        <w:t>nst any changes or extensions,</w:t>
      </w:r>
      <w:r w:rsidRPr="005E134B">
        <w:t xml:space="preserve"> under section 92T of the Health Act 1956.</w:t>
      </w:r>
      <w:r w:rsidR="003B22F1">
        <w:t xml:space="preserve"> </w:t>
      </w:r>
      <w:r>
        <w:t>To do so y</w:t>
      </w:r>
      <w:r w:rsidRPr="005E134B">
        <w:t xml:space="preserve">ou may </w:t>
      </w:r>
      <w:r>
        <w:t xml:space="preserve">file a notice of </w:t>
      </w:r>
      <w:r w:rsidRPr="005E134B">
        <w:t>appeal under Part 18 of the District Court Rules 2014.</w:t>
      </w:r>
    </w:p>
    <w:p w:rsidR="008D1DCC" w:rsidRDefault="008D1DCC" w:rsidP="00913414"/>
    <w:p w:rsidR="008D1DCC" w:rsidRDefault="008D1DCC" w:rsidP="00913414">
      <w:r>
        <w:t xml:space="preserve">You </w:t>
      </w:r>
      <w:r w:rsidRPr="005E134B">
        <w:t>may also have a right to apply to the High Court for judicial review of the direction</w:t>
      </w:r>
      <w:r>
        <w:t>: for example, if the</w:t>
      </w:r>
      <w:r w:rsidRPr="005E134B">
        <w:t xml:space="preserve"> reasons for imposing the conditions were not lawful</w:t>
      </w:r>
      <w:r>
        <w:t>,</w:t>
      </w:r>
      <w:r w:rsidRPr="005E134B">
        <w:t xml:space="preserve"> or the direction was given in bad faith.</w:t>
      </w:r>
      <w:r>
        <w:t xml:space="preserve"> You should seek the </w:t>
      </w:r>
      <w:r w:rsidRPr="005E134B">
        <w:t>advice of a lawyer before deciding whether to challenge the direction in the courts.</w:t>
      </w:r>
    </w:p>
    <w:p w:rsidR="008D1DCC" w:rsidRPr="005E134B" w:rsidRDefault="008D1DCC" w:rsidP="00913414"/>
    <w:p w:rsidR="003B22F1" w:rsidRDefault="008D1DCC" w:rsidP="00913414">
      <w:pPr>
        <w:pStyle w:val="Heading4"/>
      </w:pPr>
      <w:r w:rsidRPr="005E134B">
        <w:t>Privacy of information</w:t>
      </w:r>
    </w:p>
    <w:p w:rsidR="003B22F1" w:rsidRDefault="008D1DCC" w:rsidP="00913414">
      <w:r w:rsidRPr="005E134B">
        <w:t>Information about you</w:t>
      </w:r>
      <w:r>
        <w:t xml:space="preserve"> contained in this direction may </w:t>
      </w:r>
      <w:r w:rsidRPr="005E134B">
        <w:t>not be used or passed on by anyone but you, except for the purpose of effectively managing diseases.</w:t>
      </w:r>
    </w:p>
    <w:p w:rsidR="008D1DCC" w:rsidRDefault="008D1DCC" w:rsidP="00913414"/>
    <w:p w:rsidR="003B22F1" w:rsidRDefault="008D1DCC" w:rsidP="00913414">
      <w:pPr>
        <w:pStyle w:val="Heading4"/>
      </w:pPr>
      <w:r>
        <w:t>F</w:t>
      </w:r>
      <w:r w:rsidRPr="005E134B">
        <w:t>urther information</w:t>
      </w:r>
    </w:p>
    <w:p w:rsidR="008D1DCC" w:rsidRDefault="008D1DCC" w:rsidP="00913414">
      <w:pPr>
        <w:keepNext/>
      </w:pPr>
      <w:r w:rsidRPr="005E134B">
        <w:t>If you require further information, you can contact:</w:t>
      </w:r>
    </w:p>
    <w:p w:rsidR="00913414" w:rsidRPr="007618AB" w:rsidRDefault="00913414" w:rsidP="00913414">
      <w:pPr>
        <w:pStyle w:val="Bullet"/>
      </w:pPr>
      <w:r w:rsidRPr="007618AB">
        <w:t>the medical officer of health named on this form – for information about the disease and this direction</w:t>
      </w:r>
    </w:p>
    <w:p w:rsidR="00913414" w:rsidRPr="007618AB" w:rsidRDefault="00913414" w:rsidP="00913414">
      <w:pPr>
        <w:pStyle w:val="Bullet"/>
      </w:pPr>
      <w:r w:rsidRPr="007618AB">
        <w:t>the Citizens</w:t>
      </w:r>
      <w:r>
        <w:t>’</w:t>
      </w:r>
      <w:r w:rsidRPr="007618AB">
        <w:t xml:space="preserve"> Advice Bureau (</w:t>
      </w:r>
      <w:hyperlink r:id="rId53" w:history="1">
        <w:r w:rsidRPr="007618AB">
          <w:rPr>
            <w:rStyle w:val="Hyperlink"/>
            <w:rFonts w:cs="Arial"/>
          </w:rPr>
          <w:t>www.cba.org.nz</w:t>
        </w:r>
      </w:hyperlink>
      <w:r>
        <w:rPr>
          <w:rStyle w:val="Hyperlink"/>
          <w:rFonts w:cs="Arial"/>
        </w:rPr>
        <w:t>,</w:t>
      </w:r>
      <w:r w:rsidRPr="007618AB">
        <w:t xml:space="preserve"> or freephone 0800 367 222)</w:t>
      </w:r>
    </w:p>
    <w:p w:rsidR="00913414" w:rsidRPr="007618AB" w:rsidRDefault="00913414" w:rsidP="00913414">
      <w:pPr>
        <w:pStyle w:val="Bullet"/>
      </w:pPr>
      <w:r w:rsidRPr="007618AB">
        <w:t>the Office of the Health and Disability Commissioner (</w:t>
      </w:r>
      <w:hyperlink r:id="rId54" w:history="1">
        <w:r w:rsidRPr="007618AB">
          <w:rPr>
            <w:rStyle w:val="Hyperlink"/>
            <w:rFonts w:cs="Arial"/>
          </w:rPr>
          <w:t>www.hdc.org.nz</w:t>
        </w:r>
      </w:hyperlink>
      <w:r>
        <w:rPr>
          <w:rStyle w:val="Hyperlink"/>
          <w:rFonts w:cs="Arial"/>
        </w:rPr>
        <w:t>,</w:t>
      </w:r>
      <w:r>
        <w:t xml:space="preserve"> </w:t>
      </w:r>
      <w:r w:rsidRPr="007618AB">
        <w:t>freephone 0800</w:t>
      </w:r>
      <w:r>
        <w:t> </w:t>
      </w:r>
      <w:r w:rsidRPr="007618AB">
        <w:t>11</w:t>
      </w:r>
      <w:r>
        <w:t> </w:t>
      </w:r>
      <w:r w:rsidRPr="007618AB">
        <w:t>22</w:t>
      </w:r>
      <w:r>
        <w:t> </w:t>
      </w:r>
      <w:r w:rsidRPr="007618AB">
        <w:t>33 or email:</w:t>
      </w:r>
      <w:r>
        <w:t xml:space="preserve"> </w:t>
      </w:r>
      <w:hyperlink r:id="rId55" w:history="1">
        <w:r w:rsidRPr="007618AB">
          <w:rPr>
            <w:rStyle w:val="Hyperlink"/>
            <w:rFonts w:cs="Arial"/>
          </w:rPr>
          <w:t>hdc@hdc.org.nz</w:t>
        </w:r>
      </w:hyperlink>
      <w:r w:rsidR="00EC1BC8">
        <w:rPr>
          <w:rStyle w:val="Hyperlink"/>
          <w:rFonts w:cs="Arial"/>
        </w:rPr>
        <w:t>)</w:t>
      </w:r>
      <w:r w:rsidRPr="007618AB">
        <w:t xml:space="preserve"> for advice on disability support</w:t>
      </w:r>
    </w:p>
    <w:p w:rsidR="00913414" w:rsidRPr="007618AB" w:rsidRDefault="00913414" w:rsidP="00913414">
      <w:pPr>
        <w:pStyle w:val="Bullet"/>
      </w:pPr>
      <w:r w:rsidRPr="007618AB">
        <w:t xml:space="preserve">the Community Law Centre </w:t>
      </w:r>
      <w:r w:rsidR="00EC1BC8">
        <w:t>(</w:t>
      </w:r>
      <w:hyperlink r:id="rId56" w:history="1">
        <w:r w:rsidRPr="007618AB">
          <w:rPr>
            <w:rStyle w:val="Hyperlink"/>
            <w:rFonts w:cs="Arial"/>
          </w:rPr>
          <w:t>www.communitylaw.org.nz</w:t>
        </w:r>
      </w:hyperlink>
      <w:r w:rsidR="00EC1BC8">
        <w:rPr>
          <w:rStyle w:val="Hyperlink"/>
          <w:rFonts w:cs="Arial"/>
        </w:rPr>
        <w:t>)</w:t>
      </w:r>
      <w:r w:rsidRPr="007618AB">
        <w:t xml:space="preserve"> for legal advice</w:t>
      </w:r>
    </w:p>
    <w:p w:rsidR="00913414" w:rsidRPr="007618AB" w:rsidRDefault="00913414" w:rsidP="00913414">
      <w:pPr>
        <w:pStyle w:val="Bullet"/>
      </w:pPr>
      <w:r w:rsidRPr="007618AB">
        <w:t>the New Zealand Society of Translators and Interpreters</w:t>
      </w:r>
      <w:r>
        <w:t>’</w:t>
      </w:r>
      <w:r w:rsidRPr="007618AB">
        <w:t xml:space="preserve"> (</w:t>
      </w:r>
      <w:hyperlink r:id="rId57" w:history="1">
        <w:r w:rsidRPr="007618AB">
          <w:rPr>
            <w:rStyle w:val="Hyperlink"/>
            <w:rFonts w:cs="Arial"/>
          </w:rPr>
          <w:t>www.nzsti.org/faq/</w:t>
        </w:r>
      </w:hyperlink>
      <w:r w:rsidRPr="007618AB">
        <w:rPr>
          <w:rStyle w:val="Hyperlink"/>
          <w:rFonts w:cs="Arial"/>
        </w:rPr>
        <w:t>) to locate an interpreter.</w:t>
      </w:r>
    </w:p>
    <w:p w:rsidR="00913414" w:rsidRPr="007618AB" w:rsidRDefault="00913414" w:rsidP="00913414"/>
    <w:p w:rsidR="00913414" w:rsidRPr="007618AB" w:rsidRDefault="00913414" w:rsidP="00913414">
      <w:r w:rsidRPr="007618AB">
        <w:t xml:space="preserve">The Ministry of Justice and Courts of New Zealand websites have information about going to court, including applying for legal aid and information about court-based interpreters: see </w:t>
      </w:r>
      <w:hyperlink r:id="rId58" w:history="1">
        <w:r w:rsidRPr="007618AB">
          <w:rPr>
            <w:rStyle w:val="Hyperlink"/>
            <w:rFonts w:cs="Arial"/>
          </w:rPr>
          <w:t>www.justice.govt.nz/services/legal-help/</w:t>
        </w:r>
      </w:hyperlink>
      <w:r w:rsidRPr="007618AB">
        <w:t xml:space="preserve"> and </w:t>
      </w:r>
      <w:hyperlink r:id="rId59" w:history="1">
        <w:r w:rsidRPr="007618AB">
          <w:rPr>
            <w:rStyle w:val="Hyperlink"/>
            <w:rFonts w:cs="Arial"/>
          </w:rPr>
          <w:t>www.courtsofnz.govt.nz</w:t>
        </w:r>
      </w:hyperlink>
    </w:p>
    <w:p w:rsidR="00913414" w:rsidRDefault="00913414" w:rsidP="00913414"/>
    <w:p w:rsidR="00913414" w:rsidRDefault="00913414" w:rsidP="00913414">
      <w:r>
        <w:br w:type="page"/>
      </w:r>
    </w:p>
    <w:p w:rsidR="000F0BEA" w:rsidRDefault="000F0BEA" w:rsidP="000F0BEA">
      <w:pPr>
        <w:pStyle w:val="Heading2"/>
        <w:spacing w:before="0"/>
        <w:jc w:val="center"/>
      </w:pPr>
      <w:bookmarkStart w:id="88" w:name="_Toc473538580"/>
      <w:r>
        <w:t>[</w:t>
      </w:r>
      <w:r w:rsidRPr="00A67E50">
        <w:rPr>
          <w:i/>
        </w:rPr>
        <w:t>Template for</w:t>
      </w:r>
      <w:r>
        <w:rPr>
          <w:i/>
        </w:rPr>
        <w:t xml:space="preserve"> </w:t>
      </w:r>
      <w:r w:rsidRPr="00A67E50">
        <w:rPr>
          <w:b w:val="0"/>
          <w:i/>
          <w:sz w:val="22"/>
        </w:rPr>
        <w:t>remove this text</w:t>
      </w:r>
      <w:r>
        <w:t>]</w:t>
      </w:r>
    </w:p>
    <w:p w:rsidR="008D1DCC" w:rsidRPr="00404CC9" w:rsidRDefault="000F0BEA" w:rsidP="00913414">
      <w:pPr>
        <w:pStyle w:val="Heading2"/>
      </w:pPr>
      <w:r>
        <w:t>N</w:t>
      </w:r>
      <w:r w:rsidR="008D1DCC" w:rsidRPr="00404CC9">
        <w:t>otice varying direction</w:t>
      </w:r>
      <w:bookmarkEnd w:id="88"/>
    </w:p>
    <w:p w:rsidR="008D1DCC" w:rsidRPr="004E1BBD" w:rsidRDefault="008D1DCC" w:rsidP="00913414">
      <w:r w:rsidRPr="004E1BBD">
        <w:t>Under section 92S of the Health Act 1956</w:t>
      </w:r>
    </w:p>
    <w:p w:rsidR="008D1DCC" w:rsidRDefault="008D1DCC" w:rsidP="00913414"/>
    <w:p w:rsidR="00913414" w:rsidRPr="007618AB" w:rsidRDefault="00913414" w:rsidP="00913414">
      <w:pPr>
        <w:spacing w:before="480"/>
      </w:pPr>
      <w:r w:rsidRPr="007618AB">
        <w:t xml:space="preserve">To </w:t>
      </w:r>
      <w:r w:rsidRPr="006A1A99">
        <w:rPr>
          <w:i/>
        </w:rPr>
        <w:t>[name and address of individual]</w:t>
      </w:r>
    </w:p>
    <w:p w:rsidR="00913414" w:rsidRPr="007618AB" w:rsidRDefault="00913414" w:rsidP="00913414"/>
    <w:p w:rsidR="00913414" w:rsidRDefault="00913414" w:rsidP="00913414">
      <w:r w:rsidRPr="005E134B">
        <w:rPr>
          <w:rFonts w:cs="Arial"/>
        </w:rPr>
        <w:t xml:space="preserve">This is to tell you that the changes set out below take immediate effect in relation to the </w:t>
      </w:r>
      <w:r>
        <w:rPr>
          <w:rFonts w:cs="Arial"/>
        </w:rPr>
        <w:t xml:space="preserve">attached </w:t>
      </w:r>
      <w:r w:rsidRPr="005E134B">
        <w:rPr>
          <w:rFonts w:cs="Arial"/>
        </w:rPr>
        <w:t>direction/s</w:t>
      </w:r>
      <w:r>
        <w:rPr>
          <w:rFonts w:cs="Arial"/>
        </w:rPr>
        <w:t xml:space="preserve"> which </w:t>
      </w:r>
      <w:r w:rsidR="000F0BEA">
        <w:rPr>
          <w:rFonts w:cs="Arial"/>
        </w:rPr>
        <w:t>is/</w:t>
      </w:r>
      <w:r>
        <w:rPr>
          <w:rFonts w:cs="Arial"/>
        </w:rPr>
        <w:t>are currently in force</w:t>
      </w:r>
      <w:r w:rsidRPr="00913414">
        <w:t>:</w:t>
      </w:r>
    </w:p>
    <w:p w:rsidR="00913414" w:rsidRPr="00913414" w:rsidRDefault="00913414" w:rsidP="00913414"/>
    <w:p w:rsidR="00913414" w:rsidRPr="00913414" w:rsidRDefault="00913414" w:rsidP="00913414">
      <w:r w:rsidRPr="00913414">
        <w:rPr>
          <w:i/>
        </w:rPr>
        <w:t>[Attach copy of direction/s, then set out the change/s to be made to it – eg, ‘condition that you are to attend counselling no longer applies’.]</w:t>
      </w:r>
    </w:p>
    <w:p w:rsidR="00913414" w:rsidRDefault="00913414" w:rsidP="00913414"/>
    <w:p w:rsidR="00913414" w:rsidRPr="005E134B" w:rsidRDefault="00913414" w:rsidP="00913414">
      <w:r w:rsidRPr="005E134B">
        <w:t xml:space="preserve">My reasons for making these changes are: </w:t>
      </w:r>
      <w:r w:rsidRPr="00913414">
        <w:rPr>
          <w:i/>
        </w:rPr>
        <w:t>[insert reasons – eg, to ensure that action taken is least restrictive alternative, without compromising public health, or because of the individual’s changing circumstances]</w:t>
      </w:r>
      <w:r>
        <w:t>.</w:t>
      </w:r>
    </w:p>
    <w:p w:rsidR="00913414" w:rsidRPr="007618AB" w:rsidRDefault="00913414" w:rsidP="00913414"/>
    <w:p w:rsidR="00913414" w:rsidRPr="007618AB" w:rsidRDefault="00913414" w:rsidP="00913414">
      <w:pPr>
        <w:tabs>
          <w:tab w:val="left" w:pos="5103"/>
        </w:tabs>
        <w:spacing w:before="600"/>
      </w:pPr>
      <w:r w:rsidRPr="007618AB">
        <w:t>Signed by</w:t>
      </w:r>
      <w:r w:rsidRPr="007618AB">
        <w:tab/>
      </w:r>
      <w:r w:rsidRPr="007618AB">
        <w:tab/>
        <w:t>Date</w:t>
      </w:r>
    </w:p>
    <w:p w:rsidR="00913414" w:rsidRPr="007618AB" w:rsidRDefault="00913414" w:rsidP="00913414"/>
    <w:p w:rsidR="00913414" w:rsidRPr="00DF1A4B" w:rsidRDefault="00913414" w:rsidP="00913414">
      <w:pPr>
        <w:spacing w:after="600"/>
        <w:rPr>
          <w:i/>
        </w:rPr>
      </w:pPr>
      <w:r w:rsidRPr="00DF1A4B">
        <w:rPr>
          <w:i/>
        </w:rPr>
        <w:t>[</w:t>
      </w:r>
      <w:r w:rsidR="004A0EE3">
        <w:rPr>
          <w:i/>
        </w:rPr>
        <w:t>s</w:t>
      </w:r>
      <w:r w:rsidRPr="00DF1A4B">
        <w:rPr>
          <w:i/>
        </w:rPr>
        <w:t>upply name, contact details and health district of medical officer of health]</w:t>
      </w:r>
    </w:p>
    <w:p w:rsidR="00913414" w:rsidRDefault="00913414" w:rsidP="00913414"/>
    <w:p w:rsidR="008D1DCC" w:rsidRDefault="008D1DCC" w:rsidP="008D1DCC">
      <w:pPr>
        <w:rPr>
          <w:rFonts w:cs="Arial"/>
          <w:b/>
        </w:rPr>
      </w:pPr>
      <w:r w:rsidRPr="005E134B">
        <w:rPr>
          <w:rFonts w:cs="Arial"/>
          <w:b/>
        </w:rPr>
        <w:br w:type="page"/>
      </w:r>
    </w:p>
    <w:p w:rsidR="008D1DCC" w:rsidRPr="00940239" w:rsidRDefault="008D1DCC" w:rsidP="00B80940">
      <w:pPr>
        <w:pStyle w:val="Heading3"/>
      </w:pPr>
      <w:r w:rsidRPr="00940239">
        <w:t>Information about this notice for the individual subject to it</w:t>
      </w:r>
    </w:p>
    <w:p w:rsidR="008D1DCC" w:rsidRPr="005E134B" w:rsidRDefault="008D1DCC" w:rsidP="00913414">
      <w:pPr>
        <w:pStyle w:val="Heading4"/>
      </w:pPr>
      <w:r w:rsidRPr="005E134B">
        <w:t>Varying directions</w:t>
      </w:r>
    </w:p>
    <w:p w:rsidR="003B22F1" w:rsidRDefault="008D1DCC" w:rsidP="00913414">
      <w:r w:rsidRPr="005E134B">
        <w:t>Directions are reviewed regularly to ma</w:t>
      </w:r>
      <w:r>
        <w:t>ke sure they are still necessary</w:t>
      </w:r>
      <w:r w:rsidRPr="005E134B">
        <w:t>.</w:t>
      </w:r>
    </w:p>
    <w:p w:rsidR="008D1DCC" w:rsidRPr="005E134B" w:rsidRDefault="008D1DCC" w:rsidP="00913414"/>
    <w:p w:rsidR="008D1DCC" w:rsidRDefault="008D1DCC" w:rsidP="00913414">
      <w:r w:rsidRPr="005E134B">
        <w:t xml:space="preserve">A </w:t>
      </w:r>
      <w:r>
        <w:t>medical officer of health can vary a direction if he or she</w:t>
      </w:r>
      <w:r w:rsidRPr="005E134B">
        <w:t xml:space="preserve"> is satisfied that the changes to the direction are necessary to effectively manage the</w:t>
      </w:r>
      <w:r>
        <w:t xml:space="preserve"> public health risk you pose. This decision will take into account the nature of the infectious disease and the circumstances of your particular case.</w:t>
      </w:r>
    </w:p>
    <w:p w:rsidR="008D1DCC" w:rsidRDefault="008D1DCC" w:rsidP="00913414"/>
    <w:p w:rsidR="008D1DCC" w:rsidRDefault="008D1DCC" w:rsidP="00913414">
      <w:r w:rsidRPr="005E134B">
        <w:t>A direction cannot be varied if it has already expired.</w:t>
      </w:r>
    </w:p>
    <w:p w:rsidR="00913414" w:rsidRPr="005E134B" w:rsidRDefault="00913414" w:rsidP="00913414"/>
    <w:p w:rsidR="008D1DCC" w:rsidRPr="005E134B" w:rsidRDefault="008D1DCC" w:rsidP="00913414">
      <w:pPr>
        <w:pStyle w:val="Heading4"/>
      </w:pPr>
      <w:r w:rsidRPr="005E134B">
        <w:t>What if you do not comply with this varied direction?</w:t>
      </w:r>
    </w:p>
    <w:p w:rsidR="008D1DCC" w:rsidRPr="005E134B" w:rsidRDefault="008D1DCC" w:rsidP="00913414">
      <w:r>
        <w:t>If you do not comply with this direction you</w:t>
      </w:r>
      <w:r w:rsidRPr="005E134B">
        <w:t xml:space="preserve"> may put others at substantial risk of serious harm to their health and safety.</w:t>
      </w:r>
      <w:r>
        <w:t xml:space="preserve"> </w:t>
      </w:r>
      <w:r w:rsidRPr="005E134B">
        <w:t>You may also put your own health and safety at substantial risk.</w:t>
      </w:r>
    </w:p>
    <w:p w:rsidR="008D1DCC" w:rsidRPr="005E134B" w:rsidRDefault="008D1DCC" w:rsidP="00913414"/>
    <w:p w:rsidR="003B22F1" w:rsidRDefault="008D1DCC" w:rsidP="00913414">
      <w:r>
        <w:t xml:space="preserve">The medical </w:t>
      </w:r>
      <w:r w:rsidRPr="005E134B">
        <w:t xml:space="preserve">officer of health may apply </w:t>
      </w:r>
      <w:r>
        <w:t xml:space="preserve">to the District Court </w:t>
      </w:r>
      <w:r w:rsidRPr="005E134B">
        <w:t>for a court order which will be decided in the District Court</w:t>
      </w:r>
      <w:r>
        <w:t xml:space="preserve">; in this case, the application will be filed in the court and you will be </w:t>
      </w:r>
      <w:r w:rsidRPr="005E134B">
        <w:t>notified of what happens next.</w:t>
      </w:r>
    </w:p>
    <w:p w:rsidR="008D1DCC" w:rsidRPr="005E134B" w:rsidRDefault="008D1DCC" w:rsidP="00913414"/>
    <w:p w:rsidR="003B22F1" w:rsidRDefault="008D1DCC" w:rsidP="00913414">
      <w:r w:rsidRPr="005E134B">
        <w:t>You could</w:t>
      </w:r>
      <w:r>
        <w:t>,</w:t>
      </w:r>
      <w:r w:rsidRPr="005E134B">
        <w:t xml:space="preserve"> in exceptional circumstances</w:t>
      </w:r>
      <w:r>
        <w:t>,</w:t>
      </w:r>
      <w:r w:rsidRPr="005E134B">
        <w:t xml:space="preserve"> be </w:t>
      </w:r>
      <w:r>
        <w:t xml:space="preserve">taken to court for </w:t>
      </w:r>
      <w:r w:rsidRPr="005E134B">
        <w:t xml:space="preserve">an offence under section 92V of </w:t>
      </w:r>
      <w:r>
        <w:t>the Health Act 1956 of</w:t>
      </w:r>
      <w:r w:rsidRPr="005E134B">
        <w:t>:</w:t>
      </w:r>
    </w:p>
    <w:p w:rsidR="008D1DCC" w:rsidRPr="003B6CD7" w:rsidRDefault="008D1DCC" w:rsidP="00913414">
      <w:pPr>
        <w:pStyle w:val="Quote"/>
      </w:pPr>
      <w:r w:rsidRPr="003B6CD7">
        <w:t>Without reasonable excuse failing to comply with a direction given by a medical officer of health under Part 3A of the Health Act 1956.</w:t>
      </w:r>
    </w:p>
    <w:p w:rsidR="00913414" w:rsidRDefault="00913414" w:rsidP="00913414"/>
    <w:p w:rsidR="008D1DCC" w:rsidRDefault="008D1DCC" w:rsidP="00913414">
      <w:r w:rsidRPr="005E134B">
        <w:t>Should you be found guilty by the District Court, the</w:t>
      </w:r>
      <w:r>
        <w:t xml:space="preserve"> maximum</w:t>
      </w:r>
      <w:r w:rsidRPr="005E134B">
        <w:t xml:space="preserve"> penalty is a fine not exceeding $2,000.</w:t>
      </w:r>
    </w:p>
    <w:p w:rsidR="008D1DCC" w:rsidRDefault="008D1DCC" w:rsidP="00913414"/>
    <w:p w:rsidR="008D1DCC" w:rsidRPr="005E134B" w:rsidRDefault="008D1DCC" w:rsidP="00913414">
      <w:pPr>
        <w:pStyle w:val="Heading4"/>
      </w:pPr>
      <w:r w:rsidRPr="005E134B">
        <w:t>Seeking changes to, or cancellation of, directions</w:t>
      </w:r>
    </w:p>
    <w:p w:rsidR="003B22F1" w:rsidRDefault="008D1DCC" w:rsidP="00913414">
      <w:r w:rsidRPr="005E134B">
        <w:t>Th</w:t>
      </w:r>
      <w:r>
        <w:t>is</w:t>
      </w:r>
      <w:r w:rsidRPr="005E134B">
        <w:t xml:space="preserve"> direction will be reviewed regularly to ma</w:t>
      </w:r>
      <w:r>
        <w:t>ke sure it is still necessary. T</w:t>
      </w:r>
      <w:r w:rsidRPr="005E134B">
        <w:t xml:space="preserve">he </w:t>
      </w:r>
      <w:r>
        <w:t>m</w:t>
      </w:r>
      <w:r w:rsidRPr="005E134B">
        <w:t xml:space="preserve">edical officer of health can extend, change or cancel the direction. If there is something about the direction </w:t>
      </w:r>
      <w:r>
        <w:t xml:space="preserve">that </w:t>
      </w:r>
      <w:r w:rsidRPr="00395661">
        <w:t>you</w:t>
      </w:r>
      <w:r w:rsidRPr="005E134B">
        <w:t xml:space="preserve"> wish to have changed, </w:t>
      </w:r>
      <w:r>
        <w:t xml:space="preserve">you should </w:t>
      </w:r>
      <w:r w:rsidRPr="005E134B">
        <w:t xml:space="preserve">contact the </w:t>
      </w:r>
      <w:r>
        <w:t>m</w:t>
      </w:r>
      <w:r w:rsidRPr="005E134B">
        <w:t>edical officer of health who signed the direction and seek review.</w:t>
      </w:r>
    </w:p>
    <w:p w:rsidR="00913414" w:rsidRDefault="00913414" w:rsidP="00913414"/>
    <w:p w:rsidR="008D1DCC" w:rsidRPr="005E134B" w:rsidRDefault="008D1DCC" w:rsidP="00913414">
      <w:pPr>
        <w:pStyle w:val="Heading4"/>
      </w:pPr>
      <w:r w:rsidRPr="005E134B">
        <w:t>What rights do you have to challenge the direction in the courts?</w:t>
      </w:r>
    </w:p>
    <w:p w:rsidR="008D1DCC" w:rsidRDefault="008D1DCC" w:rsidP="00913414">
      <w:r w:rsidRPr="005E134B">
        <w:t>You have a right to appeal to the District Court against th</w:t>
      </w:r>
      <w:r>
        <w:t xml:space="preserve">is </w:t>
      </w:r>
      <w:r w:rsidRPr="005E134B">
        <w:t>direction (or part of it), including agai</w:t>
      </w:r>
      <w:r>
        <w:t>nst any changes or extensions,</w:t>
      </w:r>
      <w:r w:rsidRPr="005E134B">
        <w:t xml:space="preserve"> under section 92T of the Health Act 1956.</w:t>
      </w:r>
      <w:r>
        <w:t xml:space="preserve"> To do so y</w:t>
      </w:r>
      <w:r w:rsidRPr="005E134B">
        <w:t xml:space="preserve">ou may </w:t>
      </w:r>
      <w:r>
        <w:t xml:space="preserve">file a notice of </w:t>
      </w:r>
      <w:r w:rsidRPr="005E134B">
        <w:t>appeal under Part 18 of the District Court Rules 2014.</w:t>
      </w:r>
    </w:p>
    <w:p w:rsidR="008D1DCC" w:rsidRPr="005E134B" w:rsidRDefault="008D1DCC" w:rsidP="00913414"/>
    <w:p w:rsidR="008D1DCC" w:rsidRDefault="008D1DCC" w:rsidP="00913414">
      <w:r>
        <w:t xml:space="preserve">You </w:t>
      </w:r>
      <w:r w:rsidRPr="005E134B">
        <w:t>may also have a right to apply to the High Court for judicial review of the direction</w:t>
      </w:r>
      <w:r>
        <w:t>: for example, if the</w:t>
      </w:r>
      <w:r w:rsidRPr="005E134B">
        <w:t xml:space="preserve"> reasons for imposing the conditions were not lawful</w:t>
      </w:r>
      <w:r>
        <w:t>,</w:t>
      </w:r>
      <w:r w:rsidRPr="005E134B">
        <w:t xml:space="preserve"> or the direction was given in bad faith.</w:t>
      </w:r>
      <w:r>
        <w:t xml:space="preserve"> You should seek the </w:t>
      </w:r>
      <w:r w:rsidRPr="005E134B">
        <w:t>advice of a lawyer before deciding whether to challenge the direction in the courts.</w:t>
      </w:r>
    </w:p>
    <w:p w:rsidR="00913414" w:rsidRPr="005E134B" w:rsidRDefault="00913414" w:rsidP="00913414"/>
    <w:p w:rsidR="003B22F1" w:rsidRDefault="008D1DCC" w:rsidP="00913414">
      <w:pPr>
        <w:pStyle w:val="Heading4"/>
      </w:pPr>
      <w:r w:rsidRPr="005E134B">
        <w:t>Privacy of information</w:t>
      </w:r>
    </w:p>
    <w:p w:rsidR="003B22F1" w:rsidRDefault="008D1DCC" w:rsidP="00913414">
      <w:r w:rsidRPr="005E134B">
        <w:t>Information about you</w:t>
      </w:r>
      <w:r>
        <w:t xml:space="preserve"> contained in this direction may </w:t>
      </w:r>
      <w:r w:rsidRPr="005E134B">
        <w:t>not be used or passed on by anyone but you, except for the purpose of effectively managing diseases.</w:t>
      </w:r>
    </w:p>
    <w:p w:rsidR="008D1DCC" w:rsidRDefault="008D1DCC" w:rsidP="00913414"/>
    <w:p w:rsidR="003B22F1" w:rsidRDefault="008D1DCC" w:rsidP="00913414">
      <w:pPr>
        <w:pStyle w:val="Heading4"/>
      </w:pPr>
      <w:r>
        <w:t>F</w:t>
      </w:r>
      <w:r w:rsidRPr="005E134B">
        <w:t>urther information</w:t>
      </w:r>
    </w:p>
    <w:p w:rsidR="008D1DCC" w:rsidRDefault="008D1DCC" w:rsidP="00913414">
      <w:r w:rsidRPr="005E134B">
        <w:t>If you require further information, you can contact:</w:t>
      </w:r>
    </w:p>
    <w:p w:rsidR="00913414" w:rsidRPr="007618AB" w:rsidRDefault="00913414" w:rsidP="00913414">
      <w:pPr>
        <w:pStyle w:val="Bullet"/>
      </w:pPr>
      <w:r w:rsidRPr="007618AB">
        <w:t>the medical officer of health named on this form – for information about the disease and this direction</w:t>
      </w:r>
    </w:p>
    <w:p w:rsidR="00913414" w:rsidRPr="007618AB" w:rsidRDefault="00913414" w:rsidP="00913414">
      <w:pPr>
        <w:pStyle w:val="Bullet"/>
      </w:pPr>
      <w:r w:rsidRPr="007618AB">
        <w:t>the Citizens</w:t>
      </w:r>
      <w:r>
        <w:t>’</w:t>
      </w:r>
      <w:r w:rsidRPr="007618AB">
        <w:t xml:space="preserve"> Advice Bureau (</w:t>
      </w:r>
      <w:hyperlink r:id="rId60" w:history="1">
        <w:r w:rsidRPr="007618AB">
          <w:rPr>
            <w:rStyle w:val="Hyperlink"/>
            <w:rFonts w:cs="Arial"/>
          </w:rPr>
          <w:t>www.cba.org.nz</w:t>
        </w:r>
      </w:hyperlink>
      <w:r>
        <w:rPr>
          <w:rStyle w:val="Hyperlink"/>
          <w:rFonts w:cs="Arial"/>
        </w:rPr>
        <w:t>,</w:t>
      </w:r>
      <w:r w:rsidRPr="007618AB">
        <w:t xml:space="preserve"> or freephone 0800 367 222)</w:t>
      </w:r>
    </w:p>
    <w:p w:rsidR="00913414" w:rsidRPr="007618AB" w:rsidRDefault="00913414" w:rsidP="00913414">
      <w:pPr>
        <w:pStyle w:val="Bullet"/>
      </w:pPr>
      <w:r w:rsidRPr="007618AB">
        <w:t>the Office of the Health and Disability Commissioner (</w:t>
      </w:r>
      <w:hyperlink r:id="rId61" w:history="1">
        <w:r w:rsidRPr="007618AB">
          <w:rPr>
            <w:rStyle w:val="Hyperlink"/>
            <w:rFonts w:cs="Arial"/>
          </w:rPr>
          <w:t>www.hdc.org.nz</w:t>
        </w:r>
      </w:hyperlink>
      <w:r>
        <w:rPr>
          <w:rStyle w:val="Hyperlink"/>
          <w:rFonts w:cs="Arial"/>
        </w:rPr>
        <w:t>,</w:t>
      </w:r>
      <w:r>
        <w:t xml:space="preserve"> </w:t>
      </w:r>
      <w:r w:rsidRPr="007618AB">
        <w:t>freephone 0800</w:t>
      </w:r>
      <w:r>
        <w:t> </w:t>
      </w:r>
      <w:r w:rsidRPr="007618AB">
        <w:t>11</w:t>
      </w:r>
      <w:r>
        <w:t> </w:t>
      </w:r>
      <w:r w:rsidRPr="007618AB">
        <w:t>22</w:t>
      </w:r>
      <w:r>
        <w:t> </w:t>
      </w:r>
      <w:r w:rsidRPr="007618AB">
        <w:t>33 or email:</w:t>
      </w:r>
      <w:r>
        <w:t xml:space="preserve"> </w:t>
      </w:r>
      <w:hyperlink r:id="rId62" w:history="1">
        <w:r w:rsidRPr="007618AB">
          <w:rPr>
            <w:rStyle w:val="Hyperlink"/>
            <w:rFonts w:cs="Arial"/>
          </w:rPr>
          <w:t>hdc@hdc.org.nz</w:t>
        </w:r>
      </w:hyperlink>
      <w:r w:rsidR="00EC1BC8">
        <w:rPr>
          <w:rStyle w:val="Hyperlink"/>
          <w:rFonts w:cs="Arial"/>
        </w:rPr>
        <w:t>)</w:t>
      </w:r>
      <w:r w:rsidRPr="007618AB">
        <w:t xml:space="preserve"> for advice on disability support</w:t>
      </w:r>
    </w:p>
    <w:p w:rsidR="00913414" w:rsidRPr="007618AB" w:rsidRDefault="00913414" w:rsidP="00913414">
      <w:pPr>
        <w:pStyle w:val="Bullet"/>
      </w:pPr>
      <w:r w:rsidRPr="007618AB">
        <w:t xml:space="preserve">the Community Law Centre </w:t>
      </w:r>
      <w:r w:rsidR="00EC1BC8">
        <w:t>(</w:t>
      </w:r>
      <w:hyperlink r:id="rId63" w:history="1">
        <w:r w:rsidRPr="007618AB">
          <w:rPr>
            <w:rStyle w:val="Hyperlink"/>
            <w:rFonts w:cs="Arial"/>
          </w:rPr>
          <w:t>www.communitylaw.org.nz</w:t>
        </w:r>
      </w:hyperlink>
      <w:r w:rsidR="00EC1BC8">
        <w:rPr>
          <w:rStyle w:val="Hyperlink"/>
          <w:rFonts w:cs="Arial"/>
        </w:rPr>
        <w:t>)</w:t>
      </w:r>
      <w:r w:rsidRPr="007618AB">
        <w:t xml:space="preserve"> for legal advice</w:t>
      </w:r>
    </w:p>
    <w:p w:rsidR="00913414" w:rsidRPr="007618AB" w:rsidRDefault="00913414" w:rsidP="00913414">
      <w:pPr>
        <w:pStyle w:val="Bullet"/>
      </w:pPr>
      <w:r w:rsidRPr="007618AB">
        <w:t>the New Zealand Society of Translators and Interpreters</w:t>
      </w:r>
      <w:r>
        <w:t>’</w:t>
      </w:r>
      <w:r w:rsidRPr="007618AB">
        <w:t xml:space="preserve"> (</w:t>
      </w:r>
      <w:hyperlink r:id="rId64" w:history="1">
        <w:r w:rsidRPr="007618AB">
          <w:rPr>
            <w:rStyle w:val="Hyperlink"/>
            <w:rFonts w:cs="Arial"/>
          </w:rPr>
          <w:t>www.nzsti.org/faq/</w:t>
        </w:r>
      </w:hyperlink>
      <w:r w:rsidRPr="007618AB">
        <w:rPr>
          <w:rStyle w:val="Hyperlink"/>
          <w:rFonts w:cs="Arial"/>
        </w:rPr>
        <w:t>) to locate an interpreter.</w:t>
      </w:r>
    </w:p>
    <w:p w:rsidR="00913414" w:rsidRPr="007618AB" w:rsidRDefault="00913414" w:rsidP="00913414"/>
    <w:p w:rsidR="00913414" w:rsidRPr="007618AB" w:rsidRDefault="00913414" w:rsidP="00913414">
      <w:r w:rsidRPr="007618AB">
        <w:t xml:space="preserve">The Ministry of Justice and Courts of New Zealand websites have information about going to court, including applying for legal aid and information about court-based interpreters: see </w:t>
      </w:r>
      <w:hyperlink r:id="rId65" w:history="1">
        <w:r w:rsidRPr="007618AB">
          <w:rPr>
            <w:rStyle w:val="Hyperlink"/>
            <w:rFonts w:cs="Arial"/>
          </w:rPr>
          <w:t>www.justice.govt.nz/services/legal-help/</w:t>
        </w:r>
      </w:hyperlink>
      <w:r w:rsidRPr="007618AB">
        <w:t xml:space="preserve"> and </w:t>
      </w:r>
      <w:hyperlink r:id="rId66" w:history="1">
        <w:r w:rsidRPr="007618AB">
          <w:rPr>
            <w:rStyle w:val="Hyperlink"/>
            <w:rFonts w:cs="Arial"/>
          </w:rPr>
          <w:t>www.courtsofnz.govt.nz</w:t>
        </w:r>
      </w:hyperlink>
    </w:p>
    <w:p w:rsidR="00913414" w:rsidRDefault="00913414" w:rsidP="00913414"/>
    <w:p w:rsidR="000F0BEA" w:rsidRDefault="008D1DCC" w:rsidP="000F0BEA">
      <w:pPr>
        <w:pStyle w:val="Heading2"/>
        <w:spacing w:before="0"/>
        <w:jc w:val="center"/>
      </w:pPr>
      <w:r w:rsidRPr="005E134B">
        <w:rPr>
          <w:rFonts w:cs="Arial"/>
        </w:rPr>
        <w:br w:type="page"/>
      </w:r>
      <w:bookmarkStart w:id="89" w:name="_Toc473538581"/>
      <w:r w:rsidR="000F0BEA">
        <w:t>[</w:t>
      </w:r>
      <w:r w:rsidR="000F0BEA" w:rsidRPr="00A67E50">
        <w:rPr>
          <w:i/>
        </w:rPr>
        <w:t>Template for</w:t>
      </w:r>
      <w:r w:rsidR="000F0BEA">
        <w:rPr>
          <w:i/>
        </w:rPr>
        <w:t xml:space="preserve"> </w:t>
      </w:r>
      <w:r w:rsidR="000F0BEA" w:rsidRPr="00A67E50">
        <w:rPr>
          <w:b w:val="0"/>
          <w:i/>
          <w:sz w:val="22"/>
        </w:rPr>
        <w:t>remove this text</w:t>
      </w:r>
      <w:r w:rsidR="000F0BEA">
        <w:t>]</w:t>
      </w:r>
    </w:p>
    <w:p w:rsidR="008D1DCC" w:rsidRPr="00404CC9" w:rsidRDefault="000F0BEA" w:rsidP="00B80940">
      <w:pPr>
        <w:pStyle w:val="Heading2"/>
      </w:pPr>
      <w:r>
        <w:t>N</w:t>
      </w:r>
      <w:r w:rsidR="008D1DCC" w:rsidRPr="00404CC9">
        <w:t>otice cancelling direction</w:t>
      </w:r>
      <w:bookmarkEnd w:id="89"/>
    </w:p>
    <w:p w:rsidR="008D1DCC" w:rsidRPr="005E134B" w:rsidRDefault="008D1DCC" w:rsidP="000C5608">
      <w:r>
        <w:t>Under section 92S of the Health Act 1956</w:t>
      </w:r>
    </w:p>
    <w:p w:rsidR="008D1DCC" w:rsidRDefault="008D1DCC" w:rsidP="00485034"/>
    <w:p w:rsidR="00485034" w:rsidRPr="007618AB" w:rsidRDefault="00485034" w:rsidP="00485034">
      <w:pPr>
        <w:spacing w:before="480"/>
      </w:pPr>
      <w:r w:rsidRPr="007618AB">
        <w:t xml:space="preserve">To </w:t>
      </w:r>
      <w:r w:rsidRPr="006A1A99">
        <w:rPr>
          <w:i/>
        </w:rPr>
        <w:t>[name and address of individual]</w:t>
      </w:r>
    </w:p>
    <w:p w:rsidR="00485034" w:rsidRPr="007618AB" w:rsidRDefault="00485034" w:rsidP="00485034"/>
    <w:p w:rsidR="00485034" w:rsidRDefault="00485034" w:rsidP="00485034">
      <w:r w:rsidRPr="005E134B">
        <w:t>This is to tell you that you are now no longer subject to the following direction/s:</w:t>
      </w:r>
    </w:p>
    <w:p w:rsidR="00485034" w:rsidRDefault="00485034" w:rsidP="00485034"/>
    <w:p w:rsidR="00485034" w:rsidRPr="000C5608" w:rsidRDefault="00485034" w:rsidP="00485034">
      <w:pPr>
        <w:rPr>
          <w:i/>
        </w:rPr>
      </w:pPr>
      <w:r w:rsidRPr="000C5608">
        <w:rPr>
          <w:i/>
        </w:rPr>
        <w:t>[</w:t>
      </w:r>
      <w:r w:rsidR="004A0EE3">
        <w:rPr>
          <w:i/>
        </w:rPr>
        <w:t>s</w:t>
      </w:r>
      <w:r w:rsidRPr="000C5608">
        <w:rPr>
          <w:i/>
        </w:rPr>
        <w:t>pecify date and type of direction imposed (eg, direction to contacts imposed on 9 January 2017)]</w:t>
      </w:r>
    </w:p>
    <w:p w:rsidR="00485034" w:rsidRDefault="00485034" w:rsidP="00485034"/>
    <w:p w:rsidR="00485034" w:rsidRDefault="00485034" w:rsidP="00485034">
      <w:r w:rsidRPr="00043DC6">
        <w:rPr>
          <w:i/>
        </w:rPr>
        <w:t>[Attach copy of direction/s.]</w:t>
      </w:r>
    </w:p>
    <w:p w:rsidR="00485034" w:rsidRPr="007618AB" w:rsidRDefault="00485034" w:rsidP="00485034"/>
    <w:p w:rsidR="00485034" w:rsidRPr="007618AB" w:rsidRDefault="00485034" w:rsidP="00485034">
      <w:pPr>
        <w:tabs>
          <w:tab w:val="left" w:pos="5103"/>
        </w:tabs>
        <w:spacing w:before="600"/>
      </w:pPr>
      <w:r w:rsidRPr="007618AB">
        <w:t>Signed by</w:t>
      </w:r>
      <w:r w:rsidRPr="007618AB">
        <w:tab/>
      </w:r>
      <w:r w:rsidRPr="007618AB">
        <w:tab/>
        <w:t>Date</w:t>
      </w:r>
    </w:p>
    <w:p w:rsidR="00485034" w:rsidRPr="007618AB" w:rsidRDefault="00485034" w:rsidP="00485034"/>
    <w:p w:rsidR="00485034" w:rsidRPr="00DF1A4B" w:rsidRDefault="00485034" w:rsidP="00485034">
      <w:pPr>
        <w:spacing w:after="600"/>
        <w:rPr>
          <w:i/>
        </w:rPr>
      </w:pPr>
      <w:r w:rsidRPr="00DF1A4B">
        <w:rPr>
          <w:i/>
        </w:rPr>
        <w:t>[</w:t>
      </w:r>
      <w:r w:rsidR="004A0EE3">
        <w:rPr>
          <w:i/>
        </w:rPr>
        <w:t>s</w:t>
      </w:r>
      <w:r w:rsidRPr="00DF1A4B">
        <w:rPr>
          <w:i/>
        </w:rPr>
        <w:t>upply name, contact details and health district of medical officer of health]</w:t>
      </w:r>
    </w:p>
    <w:p w:rsidR="00485034" w:rsidRDefault="00485034" w:rsidP="00485034"/>
    <w:p w:rsidR="008D1DCC" w:rsidRDefault="008D1DCC" w:rsidP="000C5608">
      <w:r>
        <w:br w:type="page"/>
      </w:r>
    </w:p>
    <w:p w:rsidR="003B22F1" w:rsidRDefault="008D1DCC" w:rsidP="000C5608">
      <w:r w:rsidRPr="005E134B">
        <w:t>Medical</w:t>
      </w:r>
      <w:r>
        <w:t xml:space="preserve"> o</w:t>
      </w:r>
      <w:r w:rsidRPr="005E134B">
        <w:t xml:space="preserve">fficers of </w:t>
      </w:r>
      <w:r>
        <w:t>h</w:t>
      </w:r>
      <w:r w:rsidRPr="005E134B">
        <w:t>ealth</w:t>
      </w:r>
      <w:r>
        <w:t xml:space="preserve"> should</w:t>
      </w:r>
      <w:r w:rsidRPr="005E134B">
        <w:t xml:space="preserve"> use these </w:t>
      </w:r>
      <w:r>
        <w:t>two</w:t>
      </w:r>
      <w:r w:rsidRPr="005E134B">
        <w:t xml:space="preserve"> templates as </w:t>
      </w:r>
      <w:r>
        <w:t>the first step in applying f</w:t>
      </w:r>
      <w:r w:rsidRPr="005E134B">
        <w:t>or court orders</w:t>
      </w:r>
      <w:r w:rsidR="000C5608">
        <w:t>.</w:t>
      </w:r>
    </w:p>
    <w:p w:rsidR="000C5608" w:rsidRDefault="000C5608" w:rsidP="000C5608"/>
    <w:p w:rsidR="00AB62C3" w:rsidRDefault="00AB62C3" w:rsidP="00AB62C3">
      <w:pPr>
        <w:pStyle w:val="Heading2"/>
        <w:spacing w:before="0"/>
        <w:jc w:val="center"/>
      </w:pPr>
      <w:bookmarkStart w:id="90" w:name="_Toc473538582"/>
      <w:r>
        <w:t>[</w:t>
      </w:r>
      <w:r w:rsidRPr="00A67E50">
        <w:rPr>
          <w:i/>
        </w:rPr>
        <w:t>Template for</w:t>
      </w:r>
      <w:r>
        <w:rPr>
          <w:i/>
        </w:rPr>
        <w:t xml:space="preserve"> </w:t>
      </w:r>
      <w:r w:rsidRPr="00A67E50">
        <w:rPr>
          <w:b w:val="0"/>
          <w:i/>
          <w:sz w:val="22"/>
        </w:rPr>
        <w:t>remove this text</w:t>
      </w:r>
      <w:r>
        <w:t>]</w:t>
      </w:r>
    </w:p>
    <w:p w:rsidR="003B22F1" w:rsidRDefault="00AB62C3" w:rsidP="00B80940">
      <w:pPr>
        <w:pStyle w:val="Heading2"/>
      </w:pPr>
      <w:r>
        <w:t>O</w:t>
      </w:r>
      <w:r w:rsidR="008D1DCC" w:rsidRPr="00404CC9">
        <w:t>riginating application</w:t>
      </w:r>
      <w:bookmarkEnd w:id="90"/>
    </w:p>
    <w:p w:rsidR="008D1DCC" w:rsidRPr="000C5608" w:rsidRDefault="008D1DCC" w:rsidP="000C5608">
      <w:r w:rsidRPr="00404CC9">
        <w:t xml:space="preserve">Under rule 20.12 and Subpart 2 </w:t>
      </w:r>
      <w:r>
        <w:t xml:space="preserve">of the </w:t>
      </w:r>
      <w:r w:rsidRPr="00404CC9">
        <w:t>District Court Rules 2014</w:t>
      </w:r>
    </w:p>
    <w:p w:rsidR="008D1DCC" w:rsidRDefault="008D1DCC" w:rsidP="000C5608"/>
    <w:p w:rsidR="003B22F1" w:rsidRDefault="008D1DCC" w:rsidP="000C5608">
      <w:pPr>
        <w:spacing w:before="240"/>
      </w:pPr>
      <w:r w:rsidRPr="005E134B">
        <w:t>In the District Court</w:t>
      </w:r>
    </w:p>
    <w:p w:rsidR="000C5608" w:rsidRDefault="000C5608" w:rsidP="000C5608"/>
    <w:p w:rsidR="008D1DCC" w:rsidRPr="000C5608" w:rsidRDefault="008D1DCC" w:rsidP="000C5608">
      <w:pPr>
        <w:ind w:left="1134" w:hanging="1134"/>
      </w:pPr>
      <w:r>
        <w:t>To:</w:t>
      </w:r>
      <w:r w:rsidR="000C5608">
        <w:tab/>
      </w:r>
      <w:r w:rsidRPr="005E134B">
        <w:t xml:space="preserve">The Registrar at the District Court at </w:t>
      </w:r>
      <w:r w:rsidRPr="005E134B">
        <w:rPr>
          <w:i/>
        </w:rPr>
        <w:t>[place]</w:t>
      </w:r>
    </w:p>
    <w:p w:rsidR="008D1DCC" w:rsidRPr="005E134B" w:rsidRDefault="008D1DCC" w:rsidP="000C5608">
      <w:pPr>
        <w:spacing w:before="120" w:after="120"/>
      </w:pPr>
      <w:r>
        <w:t>and</w:t>
      </w:r>
    </w:p>
    <w:p w:rsidR="008D1DCC" w:rsidRPr="005E134B" w:rsidRDefault="008D1DCC" w:rsidP="000C5608">
      <w:pPr>
        <w:ind w:left="1134" w:hanging="1134"/>
      </w:pPr>
      <w:r w:rsidRPr="005E134B">
        <w:t>To:</w:t>
      </w:r>
      <w:r w:rsidR="000C5608">
        <w:tab/>
      </w:r>
      <w:r w:rsidRPr="000C5608">
        <w:rPr>
          <w:i/>
        </w:rPr>
        <w:t>[name of individual to be served with this application]</w:t>
      </w:r>
    </w:p>
    <w:p w:rsidR="000C5608" w:rsidRDefault="000C5608" w:rsidP="000C5608"/>
    <w:p w:rsidR="008D1DCC" w:rsidRPr="005E134B" w:rsidRDefault="008D1DCC" w:rsidP="000C5608">
      <w:r w:rsidRPr="005E134B">
        <w:t>Please take notice that –</w:t>
      </w:r>
    </w:p>
    <w:p w:rsidR="008D1DCC" w:rsidRPr="005E134B" w:rsidRDefault="000C5608" w:rsidP="000C5608">
      <w:pPr>
        <w:spacing w:before="240"/>
        <w:ind w:left="567" w:hanging="567"/>
      </w:pPr>
      <w:r>
        <w:t>1</w:t>
      </w:r>
      <w:r>
        <w:tab/>
      </w:r>
      <w:r w:rsidR="008D1DCC" w:rsidRPr="005E134B">
        <w:t xml:space="preserve">The applicant </w:t>
      </w:r>
      <w:r w:rsidR="008D1DCC" w:rsidRPr="000C5608">
        <w:rPr>
          <w:i/>
        </w:rPr>
        <w:t>[name of medical officer of health and public health district]</w:t>
      </w:r>
      <w:r w:rsidR="008D1DCC" w:rsidRPr="005E134B">
        <w:t xml:space="preserve"> will on </w:t>
      </w:r>
      <w:r w:rsidR="008D1DCC" w:rsidRPr="000C5608">
        <w:rPr>
          <w:i/>
        </w:rPr>
        <w:t>[date]</w:t>
      </w:r>
      <w:r w:rsidR="008D1DCC" w:rsidRPr="005E134B">
        <w:t xml:space="preserve"> apply to the court for</w:t>
      </w:r>
      <w:r w:rsidR="008D1DCC" w:rsidRPr="00404CC9">
        <w:t xml:space="preserve"> </w:t>
      </w:r>
      <w:r w:rsidR="008D1DCC" w:rsidRPr="000C5608">
        <w:rPr>
          <w:i/>
        </w:rPr>
        <w:t>[delete inapplicable from list below]</w:t>
      </w:r>
      <w:r w:rsidR="008D1DCC" w:rsidRPr="005E134B">
        <w:t>:</w:t>
      </w:r>
    </w:p>
    <w:p w:rsidR="008D1DCC" w:rsidRDefault="008D1DCC" w:rsidP="000C5608">
      <w:pPr>
        <w:pStyle w:val="Bullet"/>
        <w:tabs>
          <w:tab w:val="clear" w:pos="284"/>
          <w:tab w:val="num" w:pos="851"/>
        </w:tabs>
        <w:ind w:left="851"/>
      </w:pPr>
      <w:r w:rsidRPr="005E134B">
        <w:t xml:space="preserve">Public health order under section 92Z </w:t>
      </w:r>
      <w:r>
        <w:t xml:space="preserve">of the </w:t>
      </w:r>
      <w:r w:rsidRPr="005E134B">
        <w:t>Health Act 1956</w:t>
      </w:r>
    </w:p>
    <w:p w:rsidR="008D1DCC" w:rsidRDefault="008D1DCC" w:rsidP="000C5608">
      <w:pPr>
        <w:pStyle w:val="Bullet"/>
        <w:ind w:left="851"/>
      </w:pPr>
      <w:r w:rsidRPr="00404CC9">
        <w:t xml:space="preserve">Medical examination order under section 92ZH </w:t>
      </w:r>
      <w:r>
        <w:t xml:space="preserve">of the </w:t>
      </w:r>
      <w:r w:rsidRPr="00404CC9">
        <w:t>Health Act 1956</w:t>
      </w:r>
    </w:p>
    <w:p w:rsidR="008D1DCC" w:rsidRDefault="008D1DCC" w:rsidP="000C5608">
      <w:pPr>
        <w:pStyle w:val="Bullet"/>
        <w:ind w:left="851"/>
      </w:pPr>
      <w:r w:rsidRPr="00404CC9">
        <w:t>Order for contacts under section 92ZJ</w:t>
      </w:r>
      <w:r>
        <w:t xml:space="preserve"> of the</w:t>
      </w:r>
      <w:r w:rsidRPr="00404CC9">
        <w:t xml:space="preserve"> Health Act 1956</w:t>
      </w:r>
    </w:p>
    <w:p w:rsidR="008D1DCC" w:rsidRDefault="008D1DCC" w:rsidP="000C5608">
      <w:pPr>
        <w:pStyle w:val="Bullet"/>
        <w:ind w:left="851"/>
      </w:pPr>
      <w:r w:rsidRPr="00404CC9">
        <w:t xml:space="preserve">Order for extension of public health order under section 92ZD </w:t>
      </w:r>
      <w:r>
        <w:t xml:space="preserve">of the </w:t>
      </w:r>
      <w:r w:rsidRPr="00404CC9">
        <w:t>Health Act 1956</w:t>
      </w:r>
    </w:p>
    <w:p w:rsidR="008D1DCC" w:rsidRDefault="008D1DCC" w:rsidP="000C5608">
      <w:pPr>
        <w:pStyle w:val="Bullet"/>
        <w:ind w:left="851"/>
      </w:pPr>
      <w:r w:rsidRPr="00404CC9">
        <w:t>Order for variation of a court order under section 92ZR</w:t>
      </w:r>
      <w:r>
        <w:t xml:space="preserve"> of the </w:t>
      </w:r>
      <w:r w:rsidRPr="00404CC9">
        <w:t>Health Act 1956</w:t>
      </w:r>
    </w:p>
    <w:p w:rsidR="008D1DCC" w:rsidRPr="00404CC9" w:rsidRDefault="008D1DCC" w:rsidP="000C5608">
      <w:pPr>
        <w:pStyle w:val="Bullet"/>
        <w:ind w:left="851"/>
      </w:pPr>
      <w:r w:rsidRPr="00404CC9">
        <w:t xml:space="preserve">Order for cancellation of a court order under section 92ZR </w:t>
      </w:r>
      <w:r>
        <w:t xml:space="preserve">of the </w:t>
      </w:r>
      <w:r w:rsidRPr="00404CC9">
        <w:t>Health Act 1956</w:t>
      </w:r>
      <w:r>
        <w:t>.</w:t>
      </w:r>
    </w:p>
    <w:p w:rsidR="003B22F1" w:rsidRPr="000C5608" w:rsidRDefault="000C5608" w:rsidP="000C5608">
      <w:pPr>
        <w:spacing w:before="240"/>
        <w:ind w:left="567" w:hanging="567"/>
      </w:pPr>
      <w:r>
        <w:t>2</w:t>
      </w:r>
      <w:r>
        <w:tab/>
      </w:r>
      <w:r w:rsidR="008D1DCC" w:rsidRPr="005E134B">
        <w:t xml:space="preserve">The grounds on which the order/s is sought are as follows: </w:t>
      </w:r>
      <w:r w:rsidR="008D1DCC" w:rsidRPr="000C5608">
        <w:rPr>
          <w:i/>
        </w:rPr>
        <w:t>[specify the grounds relied on for the application, following as closely as possible the requirements of the relevant section of the Act</w:t>
      </w:r>
      <w:r w:rsidR="003B22F1" w:rsidRPr="000C5608">
        <w:rPr>
          <w:i/>
        </w:rPr>
        <w:t xml:space="preserve"> – </w:t>
      </w:r>
      <w:r w:rsidR="008D1DCC" w:rsidRPr="000C5608">
        <w:rPr>
          <w:i/>
        </w:rPr>
        <w:t>eg, applying to cancel an order because the individual concerned is no longer infectious]</w:t>
      </w:r>
      <w:r>
        <w:t>.</w:t>
      </w:r>
    </w:p>
    <w:p w:rsidR="008D1DCC" w:rsidRPr="000C5608" w:rsidRDefault="000C5608" w:rsidP="000C5608">
      <w:pPr>
        <w:spacing w:before="240"/>
        <w:ind w:left="567" w:hanging="567"/>
      </w:pPr>
      <w:r>
        <w:t>3</w:t>
      </w:r>
      <w:r>
        <w:tab/>
      </w:r>
      <w:r w:rsidR="008D1DCC" w:rsidRPr="005E134B">
        <w:t>The application is made in reliance on section 92ZN of the Health Act 1956 and</w:t>
      </w:r>
      <w:r w:rsidR="008D1DCC" w:rsidRPr="005E134B">
        <w:rPr>
          <w:i/>
        </w:rPr>
        <w:t xml:space="preserve"> [specify relevant provision listed in 1 above]</w:t>
      </w:r>
      <w:r w:rsidR="008D1DCC" w:rsidRPr="000C5608">
        <w:t>.</w:t>
      </w:r>
    </w:p>
    <w:p w:rsidR="008D1DCC" w:rsidRPr="005E134B" w:rsidRDefault="008D1DCC" w:rsidP="000C5608"/>
    <w:p w:rsidR="008D1DCC" w:rsidRPr="005E134B" w:rsidRDefault="008D1DCC" w:rsidP="000C5608">
      <w:pPr>
        <w:spacing w:before="240"/>
      </w:pPr>
      <w:r w:rsidRPr="005E134B">
        <w:t>Signature:</w:t>
      </w:r>
    </w:p>
    <w:p w:rsidR="000C5608" w:rsidRDefault="000C5608" w:rsidP="000C5608"/>
    <w:p w:rsidR="008D1DCC" w:rsidRPr="000C5608" w:rsidRDefault="008D1DCC" w:rsidP="000C5608">
      <w:pPr>
        <w:spacing w:before="240"/>
      </w:pPr>
      <w:r>
        <w:t>Applicant/s</w:t>
      </w:r>
      <w:r w:rsidRPr="005E134B">
        <w:t>olicitor for applicant</w:t>
      </w:r>
      <w:r w:rsidRPr="005E134B">
        <w:rPr>
          <w:i/>
        </w:rPr>
        <w:t xml:space="preserve"> [delete inapplicable]</w:t>
      </w:r>
    </w:p>
    <w:p w:rsidR="000C5608" w:rsidRDefault="000C5608" w:rsidP="000C5608"/>
    <w:p w:rsidR="008D1DCC" w:rsidRDefault="008D1DCC" w:rsidP="000C5608">
      <w:pPr>
        <w:spacing w:before="240"/>
      </w:pPr>
      <w:r w:rsidRPr="005E134B">
        <w:t>Date:</w:t>
      </w:r>
    </w:p>
    <w:p w:rsidR="000C5608" w:rsidRPr="005E134B" w:rsidRDefault="000C5608" w:rsidP="000C5608"/>
    <w:p w:rsidR="008D1DCC" w:rsidRDefault="008D1DCC" w:rsidP="000C5608">
      <w:pPr>
        <w:rPr>
          <w:rFonts w:eastAsia="Calibri"/>
        </w:rPr>
      </w:pPr>
      <w:r>
        <w:br w:type="page"/>
      </w:r>
    </w:p>
    <w:p w:rsidR="008D1DCC" w:rsidRDefault="008D1DCC" w:rsidP="000C5608">
      <w:r w:rsidRPr="005E134B">
        <w:t xml:space="preserve">Medical </w:t>
      </w:r>
      <w:r>
        <w:t>o</w:t>
      </w:r>
      <w:r w:rsidRPr="005E134B">
        <w:t xml:space="preserve">fficers of </w:t>
      </w:r>
      <w:r>
        <w:t>health should use the following template for an affidavit accompanying an originating application, unless the</w:t>
      </w:r>
      <w:r w:rsidRPr="005E134B">
        <w:t xml:space="preserve"> District Court agrees to hear the evidence orally, or the parties can agree a statement of facts under rule 9.48 </w:t>
      </w:r>
      <w:r>
        <w:t xml:space="preserve">of the </w:t>
      </w:r>
      <w:r w:rsidRPr="005E134B">
        <w:t>District Court Rules</w:t>
      </w:r>
      <w:r w:rsidR="000C5608">
        <w:t>.</w:t>
      </w:r>
    </w:p>
    <w:p w:rsidR="000C5608" w:rsidRPr="005E134B" w:rsidRDefault="000C5608" w:rsidP="000C5608"/>
    <w:p w:rsidR="00AB62C3" w:rsidRDefault="00AB62C3" w:rsidP="00AB62C3">
      <w:pPr>
        <w:pStyle w:val="Heading2"/>
        <w:spacing w:before="0"/>
        <w:jc w:val="center"/>
      </w:pPr>
      <w:bookmarkStart w:id="91" w:name="_Toc473538583"/>
      <w:r>
        <w:t>[</w:t>
      </w:r>
      <w:r w:rsidRPr="00A67E50">
        <w:rPr>
          <w:i/>
        </w:rPr>
        <w:t>Template for</w:t>
      </w:r>
      <w:r>
        <w:rPr>
          <w:i/>
        </w:rPr>
        <w:t xml:space="preserve"> </w:t>
      </w:r>
      <w:r w:rsidRPr="00A67E50">
        <w:rPr>
          <w:b w:val="0"/>
          <w:i/>
          <w:sz w:val="22"/>
        </w:rPr>
        <w:t>remove this text</w:t>
      </w:r>
      <w:r>
        <w:t>]</w:t>
      </w:r>
    </w:p>
    <w:p w:rsidR="008D1DCC" w:rsidRDefault="00AB62C3" w:rsidP="00B80940">
      <w:pPr>
        <w:pStyle w:val="Heading2"/>
      </w:pPr>
      <w:r>
        <w:t>A</w:t>
      </w:r>
      <w:r w:rsidR="008D1DCC" w:rsidRPr="007B2C7D">
        <w:t>ffidavit accompanying originating application</w:t>
      </w:r>
      <w:bookmarkEnd w:id="91"/>
    </w:p>
    <w:p w:rsidR="008D1DCC" w:rsidRPr="007B2C7D" w:rsidRDefault="008D1DCC" w:rsidP="000C5608">
      <w:r w:rsidRPr="007B2C7D">
        <w:t xml:space="preserve">Under rules 9.58–9.70 and 20.12 </w:t>
      </w:r>
      <w:r>
        <w:t xml:space="preserve">of the </w:t>
      </w:r>
      <w:r w:rsidRPr="007B2C7D">
        <w:t>District Court Rules 2014</w:t>
      </w:r>
    </w:p>
    <w:p w:rsidR="008D1DCC" w:rsidRDefault="008D1DCC" w:rsidP="000C5608"/>
    <w:p w:rsidR="008D1DCC" w:rsidRPr="007B2C7D" w:rsidRDefault="008D1DCC" w:rsidP="000C5608">
      <w:pPr>
        <w:spacing w:before="240"/>
      </w:pPr>
      <w:r w:rsidRPr="007B2C7D">
        <w:t xml:space="preserve">In the District Court at: </w:t>
      </w:r>
      <w:r w:rsidRPr="007B2C7D">
        <w:rPr>
          <w:i/>
        </w:rPr>
        <w:t>[place]</w:t>
      </w:r>
    </w:p>
    <w:p w:rsidR="000C5608" w:rsidRDefault="000C5608" w:rsidP="000C5608"/>
    <w:p w:rsidR="003B22F1" w:rsidRDefault="008D1DCC" w:rsidP="000C5608">
      <w:r w:rsidRPr="005E134B">
        <w:t xml:space="preserve">I </w:t>
      </w:r>
      <w:r w:rsidRPr="000C5608">
        <w:rPr>
          <w:i/>
        </w:rPr>
        <w:t>[full name, occupation and residence]</w:t>
      </w:r>
    </w:p>
    <w:p w:rsidR="008D1DCC" w:rsidRPr="005E134B" w:rsidRDefault="008D1DCC" w:rsidP="000C5608">
      <w:pPr>
        <w:spacing w:before="240"/>
        <w:jc w:val="both"/>
        <w:rPr>
          <w:rFonts w:cs="Arial"/>
        </w:rPr>
      </w:pPr>
      <w:r w:rsidRPr="005E134B">
        <w:rPr>
          <w:rFonts w:cs="Arial"/>
        </w:rPr>
        <w:t>Swear/affirm –</w:t>
      </w:r>
    </w:p>
    <w:p w:rsidR="008D1DCC" w:rsidRPr="000C5608" w:rsidRDefault="000C5608" w:rsidP="000C5608">
      <w:pPr>
        <w:spacing w:before="240"/>
        <w:ind w:left="567" w:hanging="567"/>
      </w:pPr>
      <w:r>
        <w:t>1</w:t>
      </w:r>
      <w:r>
        <w:tab/>
      </w:r>
      <w:r w:rsidR="008D1DCC" w:rsidRPr="005E134B">
        <w:t xml:space="preserve">I am the </w:t>
      </w:r>
      <w:r w:rsidR="008D1DCC">
        <w:t>m</w:t>
      </w:r>
      <w:r w:rsidR="008D1DCC" w:rsidRPr="005E134B">
        <w:t xml:space="preserve">edical officer of health for </w:t>
      </w:r>
      <w:r w:rsidR="008D1DCC" w:rsidRPr="005E134B">
        <w:rPr>
          <w:i/>
        </w:rPr>
        <w:t xml:space="preserve">[insert </w:t>
      </w:r>
      <w:r w:rsidR="008D1DCC">
        <w:rPr>
          <w:i/>
        </w:rPr>
        <w:t>h</w:t>
      </w:r>
      <w:r w:rsidR="008D1DCC" w:rsidRPr="005E134B">
        <w:rPr>
          <w:i/>
        </w:rPr>
        <w:t xml:space="preserve">ealth </w:t>
      </w:r>
      <w:r w:rsidR="008D1DCC">
        <w:rPr>
          <w:i/>
        </w:rPr>
        <w:t>d</w:t>
      </w:r>
      <w:r w:rsidR="008D1DCC" w:rsidRPr="005E134B">
        <w:rPr>
          <w:i/>
        </w:rPr>
        <w:t>istrict]</w:t>
      </w:r>
      <w:r w:rsidR="008D1DCC" w:rsidRPr="000C5608">
        <w:t>.</w:t>
      </w:r>
    </w:p>
    <w:p w:rsidR="008D1DCC" w:rsidRPr="005E134B" w:rsidRDefault="000C5608" w:rsidP="000C5608">
      <w:pPr>
        <w:spacing w:before="240"/>
        <w:ind w:left="567" w:hanging="567"/>
      </w:pPr>
      <w:r>
        <w:t>2</w:t>
      </w:r>
      <w:r>
        <w:tab/>
      </w:r>
      <w:r w:rsidR="008D1DCC" w:rsidRPr="005E134B">
        <w:t xml:space="preserve">I make this affidavit under </w:t>
      </w:r>
      <w:r w:rsidR="008D1DCC" w:rsidRPr="005E134B">
        <w:rPr>
          <w:i/>
        </w:rPr>
        <w:t>[state legislative authority to make affidavit</w:t>
      </w:r>
      <w:r w:rsidR="008D1DCC">
        <w:rPr>
          <w:i/>
        </w:rPr>
        <w:t xml:space="preserve"> – eg, </w:t>
      </w:r>
      <w:r w:rsidR="003B22F1">
        <w:rPr>
          <w:i/>
        </w:rPr>
        <w:t>‘</w:t>
      </w:r>
      <w:r w:rsidR="008D1DCC">
        <w:rPr>
          <w:i/>
        </w:rPr>
        <w:t>in reliance on my power to make an application for a public health order under section 92Z of the Health Act 1956 which can be commenced by way of an originating application according to rule 20.13(1)(o) of the District Court Rules 2014]</w:t>
      </w:r>
      <w:r w:rsidR="008D1DCC" w:rsidRPr="005E134B">
        <w:t>.</w:t>
      </w:r>
    </w:p>
    <w:p w:rsidR="008D1DCC" w:rsidRPr="000C5608" w:rsidRDefault="000C5608" w:rsidP="000C5608">
      <w:pPr>
        <w:spacing w:before="240"/>
        <w:ind w:left="567" w:hanging="567"/>
      </w:pPr>
      <w:r>
        <w:t>3</w:t>
      </w:r>
      <w:r>
        <w:tab/>
      </w:r>
      <w:r w:rsidR="008D1DCC" w:rsidRPr="005E134B">
        <w:t xml:space="preserve">The facts relied on in support of this application for a </w:t>
      </w:r>
      <w:r w:rsidR="008D1DCC" w:rsidRPr="005E134B">
        <w:rPr>
          <w:i/>
        </w:rPr>
        <w:t>[specify order requested]</w:t>
      </w:r>
      <w:r w:rsidR="008D1DCC" w:rsidRPr="005E134B">
        <w:t xml:space="preserve"> regarding </w:t>
      </w:r>
      <w:r w:rsidR="008D1DCC" w:rsidRPr="005E134B">
        <w:rPr>
          <w:i/>
        </w:rPr>
        <w:t>[name of individual]</w:t>
      </w:r>
      <w:r w:rsidR="008D1DCC">
        <w:t xml:space="preserve"> are as follows: </w:t>
      </w:r>
      <w:r w:rsidR="008D1DCC" w:rsidRPr="005E134B">
        <w:rPr>
          <w:i/>
        </w:rPr>
        <w:t>[confine to matters relevant to the application that would be admissible if given in evidence at trial]</w:t>
      </w:r>
      <w:r>
        <w:t>.</w:t>
      </w:r>
    </w:p>
    <w:p w:rsidR="008D1DCC" w:rsidRPr="005E134B" w:rsidRDefault="008D1DCC" w:rsidP="000C5608"/>
    <w:p w:rsidR="008D1DCC" w:rsidRPr="000C5608" w:rsidRDefault="008D1DCC" w:rsidP="000C5608">
      <w:pPr>
        <w:rPr>
          <w:i/>
        </w:rPr>
      </w:pPr>
      <w:r w:rsidRPr="000C5608">
        <w:rPr>
          <w:i/>
        </w:rPr>
        <w:t>[Include relevant annexures or exhibits relied, marking them with a distinguishing letter or number.]</w:t>
      </w:r>
    </w:p>
    <w:p w:rsidR="008D1DCC" w:rsidRPr="005E134B" w:rsidRDefault="008D1DCC" w:rsidP="000C5608"/>
    <w:p w:rsidR="008D1DCC" w:rsidRPr="005E134B" w:rsidRDefault="008D1DCC" w:rsidP="000C5608">
      <w:pPr>
        <w:spacing w:before="240"/>
      </w:pPr>
      <w:r w:rsidRPr="005E134B">
        <w:t>Sworn or affirmed in accordance with the Oaths and Declarations Act 1957</w:t>
      </w:r>
      <w:r>
        <w:t>.</w:t>
      </w:r>
    </w:p>
    <w:p w:rsidR="008D1DCC" w:rsidRDefault="008D1DCC" w:rsidP="000C5608"/>
    <w:p w:rsidR="008D1DCC" w:rsidRPr="005E134B" w:rsidRDefault="008D1DCC" w:rsidP="000C5608">
      <w:pPr>
        <w:spacing w:before="240"/>
      </w:pPr>
      <w:r>
        <w:t>Signature:</w:t>
      </w:r>
    </w:p>
    <w:p w:rsidR="008D1DCC" w:rsidRPr="005E134B" w:rsidRDefault="008D1DCC" w:rsidP="000C5608">
      <w:pPr>
        <w:spacing w:before="240"/>
      </w:pPr>
      <w:r>
        <w:t xml:space="preserve">Sworn/affirmed at: </w:t>
      </w:r>
      <w:r w:rsidRPr="005E134B">
        <w:rPr>
          <w:i/>
        </w:rPr>
        <w:t>[place/date]</w:t>
      </w:r>
    </w:p>
    <w:p w:rsidR="008D1DCC" w:rsidRPr="005E134B" w:rsidRDefault="008D1DCC" w:rsidP="000C5608"/>
    <w:p w:rsidR="008D1DCC" w:rsidRPr="005E134B" w:rsidRDefault="008D1DCC" w:rsidP="000C5608">
      <w:pPr>
        <w:spacing w:before="240"/>
      </w:pPr>
      <w:r w:rsidRPr="005E134B">
        <w:t>Before me:</w:t>
      </w:r>
    </w:p>
    <w:p w:rsidR="008D1DCC" w:rsidRPr="000C5608" w:rsidRDefault="008D1DCC" w:rsidP="000C5608">
      <w:pPr>
        <w:spacing w:before="240"/>
        <w:rPr>
          <w:i/>
        </w:rPr>
      </w:pPr>
      <w:r w:rsidRPr="000C5608">
        <w:rPr>
          <w:i/>
        </w:rPr>
        <w:t>[</w:t>
      </w:r>
      <w:r w:rsidR="000C5608">
        <w:rPr>
          <w:i/>
        </w:rPr>
        <w:t>S</w:t>
      </w:r>
      <w:r w:rsidRPr="000C5608">
        <w:rPr>
          <w:i/>
        </w:rPr>
        <w:t>ignature]</w:t>
      </w:r>
    </w:p>
    <w:p w:rsidR="008D1DCC" w:rsidRPr="000C5608" w:rsidRDefault="008D1DCC" w:rsidP="000C5608">
      <w:pPr>
        <w:spacing w:before="240"/>
      </w:pPr>
      <w:r w:rsidRPr="005E134B">
        <w:t xml:space="preserve">Solicitor of the court/Registrar/Justice of the Peace </w:t>
      </w:r>
      <w:r w:rsidRPr="005E134B">
        <w:rPr>
          <w:i/>
        </w:rPr>
        <w:t>[delete inapplicable]</w:t>
      </w:r>
    </w:p>
    <w:p w:rsidR="008D1DCC" w:rsidRPr="005E134B" w:rsidRDefault="008D1DCC" w:rsidP="000C5608"/>
    <w:p w:rsidR="000C5608" w:rsidRDefault="000C5608">
      <w:pPr>
        <w:spacing w:line="240" w:lineRule="auto"/>
      </w:pPr>
      <w:r>
        <w:br w:type="page"/>
      </w:r>
    </w:p>
    <w:p w:rsidR="008D1DCC" w:rsidRPr="005E134B" w:rsidRDefault="008D1DCC" w:rsidP="000C5608">
      <w:r w:rsidRPr="005E134B">
        <w:t xml:space="preserve">Medical </w:t>
      </w:r>
      <w:r>
        <w:t>o</w:t>
      </w:r>
      <w:r w:rsidRPr="005E134B">
        <w:t xml:space="preserve">fficers of </w:t>
      </w:r>
      <w:r>
        <w:t>h</w:t>
      </w:r>
      <w:r w:rsidRPr="005E134B">
        <w:t>ealth</w:t>
      </w:r>
      <w:r>
        <w:t xml:space="preserve"> should ensure that they complete the following form and give it to the individual concerned </w:t>
      </w:r>
      <w:r w:rsidRPr="005E134B">
        <w:t>promptly</w:t>
      </w:r>
      <w:r>
        <w:t xml:space="preserve"> </w:t>
      </w:r>
      <w:r w:rsidRPr="005E134B">
        <w:t>after</w:t>
      </w:r>
      <w:r>
        <w:t xml:space="preserve"> the</w:t>
      </w:r>
      <w:r w:rsidRPr="005E134B">
        <w:t xml:space="preserve"> court order imposed</w:t>
      </w:r>
      <w:r w:rsidR="000C5608">
        <w:t>.</w:t>
      </w:r>
    </w:p>
    <w:p w:rsidR="008D1DCC" w:rsidRPr="00C959F9" w:rsidRDefault="008D1DCC" w:rsidP="000C5608"/>
    <w:p w:rsidR="00AB62C3" w:rsidRDefault="00AB62C3" w:rsidP="00AB62C3">
      <w:pPr>
        <w:pStyle w:val="Heading2"/>
        <w:spacing w:before="0"/>
        <w:jc w:val="center"/>
      </w:pPr>
      <w:bookmarkStart w:id="92" w:name="_Toc473538584"/>
      <w:r>
        <w:t>[</w:t>
      </w:r>
      <w:r w:rsidRPr="00A67E50">
        <w:rPr>
          <w:i/>
        </w:rPr>
        <w:t>Template for</w:t>
      </w:r>
      <w:r>
        <w:rPr>
          <w:i/>
        </w:rPr>
        <w:t xml:space="preserve"> </w:t>
      </w:r>
      <w:r w:rsidRPr="00A67E50">
        <w:rPr>
          <w:b w:val="0"/>
          <w:i/>
          <w:sz w:val="22"/>
        </w:rPr>
        <w:t>remove this text</w:t>
      </w:r>
      <w:r>
        <w:t>]</w:t>
      </w:r>
    </w:p>
    <w:p w:rsidR="008D1DCC" w:rsidRDefault="00AB62C3" w:rsidP="000C5608">
      <w:pPr>
        <w:pStyle w:val="Heading2"/>
        <w:rPr>
          <w:rFonts w:cs="Arial"/>
          <w:szCs w:val="24"/>
        </w:rPr>
      </w:pPr>
      <w:r>
        <w:t>I</w:t>
      </w:r>
      <w:r w:rsidR="008D1DCC">
        <w:t>nformation sheet once order imposed</w:t>
      </w:r>
      <w:bookmarkEnd w:id="92"/>
    </w:p>
    <w:p w:rsidR="008D1DCC" w:rsidRPr="00C959F9" w:rsidRDefault="008D1DCC" w:rsidP="00047A6C">
      <w:pPr>
        <w:spacing w:before="240"/>
      </w:pPr>
      <w:r>
        <w:t xml:space="preserve">To </w:t>
      </w:r>
      <w:r w:rsidRPr="00047A6C">
        <w:rPr>
          <w:i/>
        </w:rPr>
        <w:t>[name and address of individual]</w:t>
      </w:r>
    </w:p>
    <w:p w:rsidR="008D1DCC" w:rsidRDefault="008D1DCC" w:rsidP="00047A6C"/>
    <w:p w:rsidR="008D1DCC" w:rsidRPr="00047A6C" w:rsidRDefault="008D1DCC" w:rsidP="00047A6C">
      <w:r w:rsidRPr="00C959F9">
        <w:t>The District Court imposed a public health</w:t>
      </w:r>
      <w:r>
        <w:t xml:space="preserve"> order</w:t>
      </w:r>
      <w:r w:rsidRPr="00C959F9">
        <w:t>/medical examination</w:t>
      </w:r>
      <w:r>
        <w:t xml:space="preserve"> order</w:t>
      </w:r>
      <w:r w:rsidRPr="00C959F9">
        <w:t xml:space="preserve">/order for contacts/ or order to vary or extend one of these </w:t>
      </w:r>
      <w:r w:rsidRPr="00C959F9">
        <w:rPr>
          <w:i/>
        </w:rPr>
        <w:t>[delete inapplicable]</w:t>
      </w:r>
      <w:r w:rsidRPr="00C959F9">
        <w:t xml:space="preserve"> on you on </w:t>
      </w:r>
      <w:r w:rsidRPr="00C959F9">
        <w:rPr>
          <w:i/>
        </w:rPr>
        <w:t>[specify date]</w:t>
      </w:r>
      <w:r w:rsidRPr="00047A6C">
        <w:t>.</w:t>
      </w:r>
    </w:p>
    <w:p w:rsidR="00047A6C" w:rsidRPr="00C959F9" w:rsidRDefault="00047A6C" w:rsidP="00047A6C"/>
    <w:p w:rsidR="008D1DCC" w:rsidRDefault="008D1DCC" w:rsidP="00047A6C">
      <w:r w:rsidRPr="005E134B">
        <w:t>I have an obligation to give you information you need to know about the order</w:t>
      </w:r>
      <w:r w:rsidRPr="00047A6C">
        <w:t>.</w:t>
      </w:r>
    </w:p>
    <w:p w:rsidR="00047A6C" w:rsidRPr="00047A6C" w:rsidRDefault="00047A6C" w:rsidP="00047A6C"/>
    <w:p w:rsidR="008D1DCC" w:rsidRPr="005E134B" w:rsidRDefault="008D1DCC" w:rsidP="00047A6C">
      <w:r w:rsidRPr="005E134B">
        <w:t>The implica</w:t>
      </w:r>
      <w:r>
        <w:t xml:space="preserve">tions for you as a result of this order are: </w:t>
      </w:r>
      <w:r w:rsidRPr="00047A6C">
        <w:rPr>
          <w:i/>
        </w:rPr>
        <w:t>[explain implications of order, including the following:]</w:t>
      </w:r>
    </w:p>
    <w:p w:rsidR="008D1DCC" w:rsidRPr="005E134B" w:rsidRDefault="008D1DCC" w:rsidP="00047A6C">
      <w:pPr>
        <w:pStyle w:val="Bullet"/>
        <w:spacing w:before="60"/>
      </w:pPr>
      <w:r w:rsidRPr="005E134B">
        <w:t>The order will be administratively reviewed to ensure it is still appropriate from time to time.</w:t>
      </w:r>
    </w:p>
    <w:p w:rsidR="008D1DCC" w:rsidRPr="005E134B" w:rsidRDefault="008D1DCC" w:rsidP="00047A6C">
      <w:pPr>
        <w:pStyle w:val="Bullet"/>
        <w:spacing w:before="60"/>
      </w:pPr>
      <w:r w:rsidRPr="005E134B">
        <w:t>If the order is no longer appropriate, I can apply to the District Court to cancel or vary it.</w:t>
      </w:r>
    </w:p>
    <w:p w:rsidR="008D1DCC" w:rsidRPr="005E134B" w:rsidRDefault="008D1DCC" w:rsidP="00047A6C">
      <w:pPr>
        <w:pStyle w:val="Bullet"/>
        <w:spacing w:before="60"/>
      </w:pPr>
      <w:r w:rsidRPr="005E134B">
        <w:rPr>
          <w:i/>
        </w:rPr>
        <w:t>[</w:t>
      </w:r>
      <w:r>
        <w:rPr>
          <w:i/>
        </w:rPr>
        <w:t>O</w:t>
      </w:r>
      <w:r w:rsidRPr="005E134B">
        <w:rPr>
          <w:i/>
        </w:rPr>
        <w:t xml:space="preserve">nly </w:t>
      </w:r>
      <w:r w:rsidR="00047A6C">
        <w:rPr>
          <w:i/>
        </w:rPr>
        <w:t>i</w:t>
      </w:r>
      <w:r w:rsidRPr="005E134B">
        <w:rPr>
          <w:i/>
        </w:rPr>
        <w:t>f the order is a public health order]</w:t>
      </w:r>
      <w:r w:rsidRPr="005E134B">
        <w:t xml:space="preserve"> I can apply to the court to extend</w:t>
      </w:r>
      <w:r>
        <w:t xml:space="preserve"> the order</w:t>
      </w:r>
      <w:r w:rsidRPr="005E134B">
        <w:t xml:space="preserve"> before it expires, </w:t>
      </w:r>
      <w:r>
        <w:t xml:space="preserve">where </w:t>
      </w:r>
      <w:r w:rsidRPr="005E134B">
        <w:t>this is necessary to remove or minimise a public health risk.</w:t>
      </w:r>
    </w:p>
    <w:p w:rsidR="00047A6C" w:rsidRDefault="00047A6C" w:rsidP="00047A6C"/>
    <w:p w:rsidR="008D1DCC" w:rsidRPr="005E134B" w:rsidRDefault="008D1DCC" w:rsidP="00047A6C">
      <w:r w:rsidRPr="005E134B">
        <w:t>The additional steps I plan to take to further address the public health risk you pose:</w:t>
      </w:r>
      <w:r w:rsidR="003B22F1">
        <w:t xml:space="preserve"> </w:t>
      </w:r>
      <w:r>
        <w:rPr>
          <w:i/>
        </w:rPr>
        <w:t>[outline steps as relevant</w:t>
      </w:r>
      <w:r w:rsidR="003B22F1">
        <w:rPr>
          <w:i/>
        </w:rPr>
        <w:t xml:space="preserve"> – </w:t>
      </w:r>
      <w:r w:rsidRPr="005E134B">
        <w:rPr>
          <w:i/>
        </w:rPr>
        <w:t>eg, use of telecommunications to monitor compliance]</w:t>
      </w:r>
      <w:r>
        <w:rPr>
          <w:i/>
        </w:rPr>
        <w:t>.</w:t>
      </w:r>
    </w:p>
    <w:p w:rsidR="00047A6C" w:rsidRDefault="00047A6C" w:rsidP="00047A6C"/>
    <w:p w:rsidR="008D1DCC" w:rsidRPr="00047A6C" w:rsidRDefault="008D1DCC" w:rsidP="00047A6C">
      <w:r w:rsidRPr="005E134B">
        <w:t>You have a right of appeal to the High Court, at first instance, against the District Court</w:t>
      </w:r>
      <w:r w:rsidR="003B22F1">
        <w:t>’</w:t>
      </w:r>
      <w:r w:rsidRPr="005E134B">
        <w:t xml:space="preserve">s decision to impose the order/vary the order/extend the order </w:t>
      </w:r>
      <w:r w:rsidRPr="005E134B">
        <w:rPr>
          <w:i/>
        </w:rPr>
        <w:t>[delete inapplicable]</w:t>
      </w:r>
      <w:r w:rsidRPr="00047A6C">
        <w:t>.</w:t>
      </w:r>
    </w:p>
    <w:p w:rsidR="008D1DCC" w:rsidRPr="005E134B" w:rsidRDefault="008D1DCC" w:rsidP="00047A6C"/>
    <w:p w:rsidR="008D1DCC" w:rsidRDefault="008D1DCC" w:rsidP="00047A6C">
      <w:r w:rsidRPr="005E134B">
        <w:t>For assistance, you may wish to refer to:</w:t>
      </w:r>
    </w:p>
    <w:p w:rsidR="00047A6C" w:rsidRPr="007618AB" w:rsidRDefault="00047A6C" w:rsidP="00047A6C">
      <w:pPr>
        <w:pStyle w:val="Bullet"/>
        <w:spacing w:before="60"/>
      </w:pPr>
      <w:r w:rsidRPr="007618AB">
        <w:t>the Citizens</w:t>
      </w:r>
      <w:r>
        <w:t>’</w:t>
      </w:r>
      <w:r w:rsidRPr="007618AB">
        <w:t xml:space="preserve"> Advice Bureau (</w:t>
      </w:r>
      <w:hyperlink r:id="rId67" w:history="1">
        <w:r w:rsidRPr="007618AB">
          <w:rPr>
            <w:rStyle w:val="Hyperlink"/>
            <w:rFonts w:cs="Arial"/>
          </w:rPr>
          <w:t>www.cba.org.nz</w:t>
        </w:r>
      </w:hyperlink>
      <w:r>
        <w:rPr>
          <w:rStyle w:val="Hyperlink"/>
          <w:rFonts w:cs="Arial"/>
        </w:rPr>
        <w:t>,</w:t>
      </w:r>
      <w:r w:rsidRPr="007618AB">
        <w:t xml:space="preserve"> or freephone 0800 367 222)</w:t>
      </w:r>
    </w:p>
    <w:p w:rsidR="00047A6C" w:rsidRPr="007618AB" w:rsidRDefault="00047A6C" w:rsidP="00047A6C">
      <w:pPr>
        <w:pStyle w:val="Bullet"/>
        <w:spacing w:before="60"/>
      </w:pPr>
      <w:r w:rsidRPr="007618AB">
        <w:t>the Office of the Health and Disability Commissioner (</w:t>
      </w:r>
      <w:hyperlink r:id="rId68" w:history="1">
        <w:r w:rsidRPr="007618AB">
          <w:rPr>
            <w:rStyle w:val="Hyperlink"/>
            <w:rFonts w:cs="Arial"/>
          </w:rPr>
          <w:t>www.hdc.org.nz</w:t>
        </w:r>
      </w:hyperlink>
      <w:r>
        <w:rPr>
          <w:rStyle w:val="Hyperlink"/>
          <w:rFonts w:cs="Arial"/>
        </w:rPr>
        <w:t>,</w:t>
      </w:r>
      <w:r>
        <w:t xml:space="preserve"> </w:t>
      </w:r>
      <w:r w:rsidRPr="007618AB">
        <w:t>freephone 0800</w:t>
      </w:r>
      <w:r>
        <w:t> </w:t>
      </w:r>
      <w:r w:rsidRPr="007618AB">
        <w:t>11</w:t>
      </w:r>
      <w:r>
        <w:t> </w:t>
      </w:r>
      <w:r w:rsidRPr="007618AB">
        <w:t>22</w:t>
      </w:r>
      <w:r>
        <w:t> </w:t>
      </w:r>
      <w:r w:rsidRPr="007618AB">
        <w:t>33 or email:</w:t>
      </w:r>
      <w:r>
        <w:t xml:space="preserve"> </w:t>
      </w:r>
      <w:hyperlink r:id="rId69" w:history="1">
        <w:r w:rsidRPr="007618AB">
          <w:rPr>
            <w:rStyle w:val="Hyperlink"/>
            <w:rFonts w:cs="Arial"/>
          </w:rPr>
          <w:t>hdc@hdc.org.nz</w:t>
        </w:r>
      </w:hyperlink>
      <w:r>
        <w:rPr>
          <w:rStyle w:val="Hyperlink"/>
          <w:rFonts w:cs="Arial"/>
        </w:rPr>
        <w:t>)</w:t>
      </w:r>
      <w:r w:rsidRPr="007618AB">
        <w:t xml:space="preserve"> for </w:t>
      </w:r>
      <w:r>
        <w:t xml:space="preserve">information about </w:t>
      </w:r>
      <w:r w:rsidRPr="007618AB">
        <w:t>disability support</w:t>
      </w:r>
      <w:r>
        <w:t xml:space="preserve"> advocates, if you have a disability</w:t>
      </w:r>
    </w:p>
    <w:p w:rsidR="00047A6C" w:rsidRPr="007618AB" w:rsidRDefault="00047A6C" w:rsidP="00047A6C">
      <w:pPr>
        <w:pStyle w:val="Bullet"/>
        <w:spacing w:before="60"/>
      </w:pPr>
      <w:r w:rsidRPr="007618AB">
        <w:t xml:space="preserve">the Community Law Centre </w:t>
      </w:r>
      <w:r>
        <w:t>(</w:t>
      </w:r>
      <w:hyperlink r:id="rId70" w:history="1">
        <w:r w:rsidRPr="007618AB">
          <w:rPr>
            <w:rStyle w:val="Hyperlink"/>
            <w:rFonts w:cs="Arial"/>
          </w:rPr>
          <w:t>www.communitylaw.org.nz</w:t>
        </w:r>
      </w:hyperlink>
      <w:r>
        <w:rPr>
          <w:rStyle w:val="Hyperlink"/>
          <w:rFonts w:cs="Arial"/>
        </w:rPr>
        <w:t>)</w:t>
      </w:r>
      <w:r w:rsidRPr="007618AB">
        <w:t xml:space="preserve"> for </w:t>
      </w:r>
      <w:r>
        <w:t>information about lawyers and the law</w:t>
      </w:r>
    </w:p>
    <w:p w:rsidR="00047A6C" w:rsidRPr="007618AB" w:rsidRDefault="00047A6C" w:rsidP="00047A6C">
      <w:pPr>
        <w:pStyle w:val="Bullet"/>
        <w:spacing w:before="60"/>
      </w:pPr>
      <w:r w:rsidRPr="007618AB">
        <w:t>the New Zealand Society of Translators and Interpreters</w:t>
      </w:r>
      <w:r>
        <w:t>’</w:t>
      </w:r>
      <w:r w:rsidRPr="007618AB">
        <w:t xml:space="preserve"> (</w:t>
      </w:r>
      <w:hyperlink r:id="rId71" w:history="1">
        <w:r w:rsidRPr="007618AB">
          <w:rPr>
            <w:rStyle w:val="Hyperlink"/>
            <w:rFonts w:cs="Arial"/>
          </w:rPr>
          <w:t>www.nzsti.org/faq/</w:t>
        </w:r>
      </w:hyperlink>
      <w:r w:rsidRPr="007618AB">
        <w:rPr>
          <w:rStyle w:val="Hyperlink"/>
          <w:rFonts w:cs="Arial"/>
        </w:rPr>
        <w:t>) to locate an interpreter.</w:t>
      </w:r>
    </w:p>
    <w:p w:rsidR="00047A6C" w:rsidRPr="007618AB" w:rsidRDefault="00047A6C" w:rsidP="00047A6C"/>
    <w:p w:rsidR="008D1DCC" w:rsidRDefault="008D1DCC" w:rsidP="00047A6C">
      <w:pPr>
        <w:rPr>
          <w:rStyle w:val="Hyperlink"/>
          <w:rFonts w:cs="Arial"/>
        </w:rPr>
      </w:pPr>
      <w:r>
        <w:rPr>
          <w:rStyle w:val="Hyperlink"/>
          <w:rFonts w:cs="Arial"/>
        </w:rPr>
        <w:t>The Ministry of Justice and Courts of New Zealand websites have information about going to court, including applying for legal aid and information about court-based interpreters:</w:t>
      </w:r>
      <w:r w:rsidR="003B22F1">
        <w:rPr>
          <w:rStyle w:val="Hyperlink"/>
          <w:rFonts w:cs="Arial"/>
        </w:rPr>
        <w:t xml:space="preserve"> </w:t>
      </w:r>
      <w:r>
        <w:rPr>
          <w:rStyle w:val="Hyperlink"/>
          <w:rFonts w:cs="Arial"/>
        </w:rPr>
        <w:t xml:space="preserve">see </w:t>
      </w:r>
      <w:hyperlink r:id="rId72" w:history="1">
        <w:r w:rsidRPr="000721FF">
          <w:rPr>
            <w:rStyle w:val="Hyperlink"/>
            <w:rFonts w:cs="Arial"/>
          </w:rPr>
          <w:t>www.justice.govt.nz/services /legal-help/</w:t>
        </w:r>
      </w:hyperlink>
      <w:r>
        <w:rPr>
          <w:rStyle w:val="Hyperlink"/>
          <w:rFonts w:cs="Arial"/>
        </w:rPr>
        <w:t xml:space="preserve"> and </w:t>
      </w:r>
      <w:hyperlink r:id="rId73" w:history="1">
        <w:r w:rsidRPr="000721FF">
          <w:rPr>
            <w:rStyle w:val="Hyperlink"/>
            <w:rFonts w:cs="Arial"/>
          </w:rPr>
          <w:t>www.courtsofnz.govt.nz</w:t>
        </w:r>
      </w:hyperlink>
    </w:p>
    <w:p w:rsidR="008D1DCC" w:rsidRPr="003B6CD7" w:rsidRDefault="008D1DCC" w:rsidP="008D1DCC">
      <w:pPr>
        <w:rPr>
          <w:rFonts w:cs="Arial"/>
        </w:rPr>
      </w:pPr>
    </w:p>
    <w:p w:rsidR="003B22F1" w:rsidRDefault="008D1DCC" w:rsidP="00047A6C">
      <w:r w:rsidRPr="005E134B">
        <w:t>Here is some information about the</w:t>
      </w:r>
      <w:r w:rsidR="00047A6C">
        <w:t>:</w:t>
      </w:r>
    </w:p>
    <w:p w:rsidR="008D1DCC" w:rsidRPr="005E134B" w:rsidRDefault="008D1DCC" w:rsidP="00047A6C">
      <w:pPr>
        <w:pStyle w:val="Bullet"/>
        <w:spacing w:before="60"/>
      </w:pPr>
      <w:r w:rsidRPr="005E134B">
        <w:t>symptoms, diagnosis, and treatment of the relevant infectious disease, and</w:t>
      </w:r>
    </w:p>
    <w:p w:rsidR="008D1DCC" w:rsidRDefault="008D1DCC" w:rsidP="00047A6C">
      <w:pPr>
        <w:pStyle w:val="Bullet"/>
        <w:spacing w:before="60"/>
      </w:pPr>
      <w:r w:rsidRPr="005E134B">
        <w:t>how the risk of onset or transmission of the relevant infectious disease may be minimised.</w:t>
      </w:r>
    </w:p>
    <w:p w:rsidR="008D1DCC" w:rsidRPr="005E134B" w:rsidRDefault="008D1DCC" w:rsidP="00047A6C"/>
    <w:p w:rsidR="008D1DCC" w:rsidRPr="00047A6C" w:rsidRDefault="008D1DCC" w:rsidP="00047A6C">
      <w:pPr>
        <w:rPr>
          <w:i/>
        </w:rPr>
      </w:pPr>
      <w:r w:rsidRPr="00047A6C">
        <w:rPr>
          <w:i/>
        </w:rPr>
        <w:t>[</w:t>
      </w:r>
      <w:r w:rsidR="004A0EE3">
        <w:rPr>
          <w:i/>
        </w:rPr>
        <w:t>p</w:t>
      </w:r>
      <w:r w:rsidRPr="00047A6C">
        <w:rPr>
          <w:i/>
        </w:rPr>
        <w:t>rovide information]</w:t>
      </w:r>
    </w:p>
    <w:p w:rsidR="008D1DCC" w:rsidRDefault="008D1DCC" w:rsidP="00047A6C"/>
    <w:p w:rsidR="00047A6C" w:rsidRPr="007618AB" w:rsidRDefault="00047A6C" w:rsidP="00047A6C">
      <w:pPr>
        <w:tabs>
          <w:tab w:val="left" w:pos="5103"/>
        </w:tabs>
      </w:pPr>
      <w:r w:rsidRPr="007618AB">
        <w:t>Signed by</w:t>
      </w:r>
      <w:r w:rsidRPr="007618AB">
        <w:tab/>
      </w:r>
      <w:r w:rsidRPr="007618AB">
        <w:tab/>
        <w:t>Date</w:t>
      </w:r>
    </w:p>
    <w:p w:rsidR="00047A6C" w:rsidRPr="007618AB" w:rsidRDefault="00047A6C" w:rsidP="00047A6C"/>
    <w:p w:rsidR="008D1DCC" w:rsidRDefault="00047A6C" w:rsidP="008D1DCC">
      <w:pPr>
        <w:rPr>
          <w:i/>
        </w:rPr>
      </w:pPr>
      <w:r w:rsidRPr="00DF1A4B">
        <w:rPr>
          <w:i/>
        </w:rPr>
        <w:t>[</w:t>
      </w:r>
      <w:r w:rsidR="004A0EE3">
        <w:rPr>
          <w:i/>
        </w:rPr>
        <w:t>s</w:t>
      </w:r>
      <w:r w:rsidRPr="00DF1A4B">
        <w:rPr>
          <w:i/>
        </w:rPr>
        <w:t>upply name, contact details and health district of medical officer of health]</w:t>
      </w:r>
    </w:p>
    <w:p w:rsidR="00047A6C" w:rsidRDefault="00047A6C">
      <w:pPr>
        <w:spacing w:line="240" w:lineRule="auto"/>
      </w:pPr>
      <w:r>
        <w:br w:type="page"/>
      </w:r>
    </w:p>
    <w:p w:rsidR="008D1DCC" w:rsidRPr="00047A6C" w:rsidRDefault="008D1DCC" w:rsidP="00047A6C">
      <w:r w:rsidRPr="003B6CD7">
        <w:t>Medical officers of health should use this form with an application for cancellation of an order, when the administrative certification process cannot be used – because the order itself does not allow for certification as a means towards cancelling the order.</w:t>
      </w:r>
    </w:p>
    <w:p w:rsidR="008D1DCC" w:rsidRDefault="008D1DCC" w:rsidP="00B80940"/>
    <w:p w:rsidR="00AB62C3" w:rsidRDefault="00AB62C3" w:rsidP="00AB62C3">
      <w:pPr>
        <w:pStyle w:val="Heading2"/>
        <w:spacing w:before="0"/>
        <w:jc w:val="center"/>
      </w:pPr>
      <w:bookmarkStart w:id="93" w:name="_Toc473538585"/>
      <w:r>
        <w:t>[</w:t>
      </w:r>
      <w:r w:rsidRPr="00A67E50">
        <w:rPr>
          <w:i/>
        </w:rPr>
        <w:t>Template for</w:t>
      </w:r>
      <w:r>
        <w:rPr>
          <w:i/>
        </w:rPr>
        <w:t xml:space="preserve"> </w:t>
      </w:r>
      <w:r w:rsidRPr="00A67E50">
        <w:rPr>
          <w:b w:val="0"/>
          <w:i/>
          <w:sz w:val="22"/>
        </w:rPr>
        <w:t>remove this text</w:t>
      </w:r>
      <w:r>
        <w:t>]</w:t>
      </w:r>
    </w:p>
    <w:p w:rsidR="008D1DCC" w:rsidRDefault="00AB62C3" w:rsidP="00B80940">
      <w:pPr>
        <w:pStyle w:val="Heading2"/>
        <w:rPr>
          <w:rFonts w:cs="Arial"/>
        </w:rPr>
      </w:pPr>
      <w:r>
        <w:t>P</w:t>
      </w:r>
      <w:r w:rsidR="008D1DCC">
        <w:t>arties</w:t>
      </w:r>
      <w:r w:rsidR="003B22F1">
        <w:t>’</w:t>
      </w:r>
      <w:r w:rsidR="008D1DCC">
        <w:t xml:space="preserve"> request to cancel order on the papers</w:t>
      </w:r>
      <w:bookmarkEnd w:id="93"/>
    </w:p>
    <w:p w:rsidR="008D1DCC" w:rsidRPr="003B6CD7" w:rsidRDefault="008D1DCC" w:rsidP="00485034">
      <w:r w:rsidRPr="003B6CD7">
        <w:t xml:space="preserve">Under section 92ZR(5) </w:t>
      </w:r>
      <w:r>
        <w:t xml:space="preserve">of the </w:t>
      </w:r>
      <w:r w:rsidRPr="003B6CD7">
        <w:t>Health Act 1956</w:t>
      </w:r>
    </w:p>
    <w:p w:rsidR="008D1DCC" w:rsidRPr="005E134B" w:rsidRDefault="008D1DCC" w:rsidP="008D1DCC">
      <w:pPr>
        <w:jc w:val="both"/>
        <w:rPr>
          <w:rFonts w:cs="Arial"/>
        </w:rPr>
      </w:pPr>
    </w:p>
    <w:p w:rsidR="00485034" w:rsidRPr="007618AB" w:rsidRDefault="00485034" w:rsidP="00485034">
      <w:pPr>
        <w:spacing w:before="480"/>
      </w:pPr>
      <w:r w:rsidRPr="007618AB">
        <w:t xml:space="preserve">To </w:t>
      </w:r>
      <w:r>
        <w:t xml:space="preserve">the Registrar </w:t>
      </w:r>
      <w:r w:rsidRPr="002032E2">
        <w:t xml:space="preserve">at </w:t>
      </w:r>
      <w:r w:rsidR="002032E2" w:rsidRPr="002032E2">
        <w:t>the District Court at</w:t>
      </w:r>
      <w:r w:rsidR="002032E2">
        <w:rPr>
          <w:i/>
        </w:rPr>
        <w:t xml:space="preserve"> [place</w:t>
      </w:r>
      <w:r w:rsidRPr="006A1A99">
        <w:rPr>
          <w:i/>
        </w:rPr>
        <w:t>]</w:t>
      </w:r>
    </w:p>
    <w:p w:rsidR="00485034" w:rsidRPr="007618AB" w:rsidRDefault="00485034" w:rsidP="00485034"/>
    <w:p w:rsidR="00485034" w:rsidRDefault="00485034" w:rsidP="00485034">
      <w:r>
        <w:t xml:space="preserve">I </w:t>
      </w:r>
      <w:r w:rsidRPr="00485034">
        <w:rPr>
          <w:i/>
        </w:rPr>
        <w:t>[name, contact details and health district of medical officer of health]</w:t>
      </w:r>
    </w:p>
    <w:p w:rsidR="00485034" w:rsidRPr="005E134B" w:rsidRDefault="00485034" w:rsidP="00485034"/>
    <w:p w:rsidR="00485034" w:rsidRPr="005E134B" w:rsidRDefault="00485034" w:rsidP="00485034">
      <w:r>
        <w:t>a</w:t>
      </w:r>
      <w:r w:rsidRPr="005E134B">
        <w:t>nd</w:t>
      </w:r>
    </w:p>
    <w:p w:rsidR="00485034" w:rsidRPr="005E134B" w:rsidRDefault="00485034" w:rsidP="00485034"/>
    <w:p w:rsidR="00485034" w:rsidRPr="005E134B" w:rsidRDefault="00485034" w:rsidP="00485034">
      <w:pPr>
        <w:rPr>
          <w:b/>
        </w:rPr>
      </w:pPr>
      <w:r w:rsidRPr="005E134B">
        <w:t>I</w:t>
      </w:r>
      <w:r>
        <w:t xml:space="preserve"> </w:t>
      </w:r>
      <w:r w:rsidRPr="00485034">
        <w:rPr>
          <w:i/>
        </w:rPr>
        <w:t>[name and address of individual subject to the order]</w:t>
      </w:r>
    </w:p>
    <w:p w:rsidR="00485034" w:rsidRPr="005E134B" w:rsidRDefault="00485034" w:rsidP="00485034"/>
    <w:p w:rsidR="00485034" w:rsidRPr="005E134B" w:rsidRDefault="00485034" w:rsidP="00485034">
      <w:r>
        <w:t>r</w:t>
      </w:r>
      <w:r w:rsidRPr="005E134B">
        <w:t>equest that the application to cancel the following order/s made under Part 3A of the Health Act 1956 be dealt with on the papers:</w:t>
      </w:r>
    </w:p>
    <w:p w:rsidR="00485034" w:rsidRPr="005E134B" w:rsidRDefault="00485034" w:rsidP="00485034"/>
    <w:p w:rsidR="00485034" w:rsidRPr="005E134B" w:rsidRDefault="00485034" w:rsidP="00485034">
      <w:r w:rsidRPr="00485034">
        <w:rPr>
          <w:i/>
        </w:rPr>
        <w:t>[attach copy of order]</w:t>
      </w:r>
      <w:r>
        <w:t>.</w:t>
      </w:r>
    </w:p>
    <w:p w:rsidR="00485034" w:rsidRPr="007618AB" w:rsidRDefault="00485034" w:rsidP="00485034"/>
    <w:p w:rsidR="00485034" w:rsidRPr="007618AB" w:rsidRDefault="00485034" w:rsidP="00485034">
      <w:pPr>
        <w:tabs>
          <w:tab w:val="left" w:pos="5103"/>
        </w:tabs>
        <w:spacing w:before="600"/>
      </w:pPr>
      <w:r w:rsidRPr="007618AB">
        <w:t>Signed by</w:t>
      </w:r>
      <w:r>
        <w:t xml:space="preserve"> medical officer of health</w:t>
      </w:r>
      <w:r w:rsidRPr="007618AB">
        <w:tab/>
      </w:r>
      <w:r w:rsidRPr="007618AB">
        <w:tab/>
        <w:t>Date</w:t>
      </w:r>
    </w:p>
    <w:p w:rsidR="00485034" w:rsidRDefault="00485034" w:rsidP="00485034"/>
    <w:p w:rsidR="00485034" w:rsidRPr="007618AB" w:rsidRDefault="00485034" w:rsidP="00485034">
      <w:pPr>
        <w:tabs>
          <w:tab w:val="left" w:pos="5103"/>
        </w:tabs>
        <w:spacing w:before="600"/>
      </w:pPr>
      <w:r w:rsidRPr="007618AB">
        <w:t>Signed by</w:t>
      </w:r>
      <w:r>
        <w:t xml:space="preserve"> individual</w:t>
      </w:r>
      <w:r w:rsidRPr="007618AB">
        <w:tab/>
      </w:r>
      <w:r w:rsidRPr="007618AB">
        <w:tab/>
        <w:t>Date</w:t>
      </w:r>
    </w:p>
    <w:p w:rsidR="00485034" w:rsidRPr="007618AB" w:rsidRDefault="00485034" w:rsidP="00485034"/>
    <w:p w:rsidR="00B80940" w:rsidRDefault="00B80940" w:rsidP="00B80940">
      <w:r>
        <w:br w:type="page"/>
      </w:r>
    </w:p>
    <w:p w:rsidR="008D1DCC" w:rsidRPr="003B6CD7" w:rsidRDefault="008D1DCC" w:rsidP="00B80940">
      <w:pPr>
        <w:pStyle w:val="Heading3"/>
        <w:spacing w:before="0"/>
      </w:pPr>
      <w:r w:rsidRPr="003B6CD7">
        <w:t>Information about this agreement for the individual</w:t>
      </w:r>
    </w:p>
    <w:p w:rsidR="008D1DCC" w:rsidRPr="005E134B" w:rsidRDefault="008D1DCC" w:rsidP="00485034">
      <w:r w:rsidRPr="005E134B">
        <w:t xml:space="preserve">Once filed in the court, an application for cancellation of an order has the effect of suspending it until the </w:t>
      </w:r>
      <w:r>
        <w:t xml:space="preserve">court decides the application. </w:t>
      </w:r>
      <w:r w:rsidRPr="005E134B">
        <w:t>This means you no longer need to comply with the order until the court makes a decision.</w:t>
      </w:r>
    </w:p>
    <w:p w:rsidR="008D1DCC" w:rsidRPr="005E134B" w:rsidRDefault="008D1DCC" w:rsidP="00485034"/>
    <w:p w:rsidR="00485034" w:rsidRDefault="00485034">
      <w:pPr>
        <w:spacing w:line="240" w:lineRule="auto"/>
      </w:pPr>
      <w:r>
        <w:br w:type="page"/>
      </w:r>
    </w:p>
    <w:p w:rsidR="008D1DCC" w:rsidRPr="003B6CD7" w:rsidRDefault="008D1DCC" w:rsidP="00485034">
      <w:r w:rsidRPr="003B6CD7">
        <w:t>Medical officers of health should use this template when a public health order or order for contacts allows for administrative cancellation when the order is no longer necessary.</w:t>
      </w:r>
    </w:p>
    <w:p w:rsidR="008D1DCC" w:rsidRDefault="008D1DCC" w:rsidP="00485034"/>
    <w:p w:rsidR="00AB62C3" w:rsidRDefault="00AB62C3" w:rsidP="00AB62C3">
      <w:pPr>
        <w:pStyle w:val="Heading2"/>
        <w:spacing w:before="0"/>
        <w:jc w:val="center"/>
      </w:pPr>
      <w:bookmarkStart w:id="94" w:name="_Toc473538586"/>
      <w:r>
        <w:t>[</w:t>
      </w:r>
      <w:r w:rsidRPr="00A67E50">
        <w:rPr>
          <w:i/>
        </w:rPr>
        <w:t>Template for</w:t>
      </w:r>
      <w:r>
        <w:rPr>
          <w:i/>
        </w:rPr>
        <w:t xml:space="preserve"> </w:t>
      </w:r>
      <w:r w:rsidRPr="00A67E50">
        <w:rPr>
          <w:b w:val="0"/>
          <w:i/>
          <w:sz w:val="22"/>
        </w:rPr>
        <w:t>remove this text</w:t>
      </w:r>
      <w:r>
        <w:t>]</w:t>
      </w:r>
    </w:p>
    <w:p w:rsidR="008D1DCC" w:rsidRDefault="00AB62C3" w:rsidP="00B80940">
      <w:pPr>
        <w:pStyle w:val="Heading2"/>
      </w:pPr>
      <w:r>
        <w:t>C</w:t>
      </w:r>
      <w:r w:rsidR="008D1DCC">
        <w:t xml:space="preserve">ertificate that </w:t>
      </w:r>
      <w:r w:rsidR="008D1DCC" w:rsidRPr="003B6CD7">
        <w:t>order is no longer necessary</w:t>
      </w:r>
      <w:bookmarkEnd w:id="94"/>
    </w:p>
    <w:p w:rsidR="008D1DCC" w:rsidRPr="003B6CD7" w:rsidRDefault="008D1DCC" w:rsidP="00485034">
      <w:r w:rsidRPr="003B6CD7">
        <w:t>Under sections 92ZC(3)(d) and 92ZJ(4) of the Health Act 1956</w:t>
      </w:r>
    </w:p>
    <w:p w:rsidR="008D1DCC" w:rsidRDefault="008D1DCC" w:rsidP="00485034"/>
    <w:p w:rsidR="00485034" w:rsidRPr="007618AB" w:rsidRDefault="00485034" w:rsidP="00485034">
      <w:pPr>
        <w:spacing w:before="480"/>
      </w:pPr>
      <w:r w:rsidRPr="007618AB">
        <w:t>To</w:t>
      </w:r>
      <w:r>
        <w:t>:</w:t>
      </w:r>
      <w:r>
        <w:tab/>
        <w:t xml:space="preserve">The Registrar at </w:t>
      </w:r>
      <w:r w:rsidR="002032E2" w:rsidRPr="002032E2">
        <w:t>the District Court at</w:t>
      </w:r>
      <w:r w:rsidR="002032E2">
        <w:rPr>
          <w:i/>
        </w:rPr>
        <w:t xml:space="preserve"> [place</w:t>
      </w:r>
      <w:r w:rsidRPr="006A1A99">
        <w:rPr>
          <w:i/>
        </w:rPr>
        <w:t>]</w:t>
      </w:r>
    </w:p>
    <w:p w:rsidR="00485034" w:rsidRDefault="00485034" w:rsidP="00485034">
      <w:pPr>
        <w:spacing w:before="120" w:after="120"/>
      </w:pPr>
      <w:r>
        <w:t>And</w:t>
      </w:r>
    </w:p>
    <w:p w:rsidR="00485034" w:rsidRPr="007618AB" w:rsidRDefault="00485034" w:rsidP="00485034">
      <w:r>
        <w:t>To:</w:t>
      </w:r>
      <w:r>
        <w:tab/>
      </w:r>
      <w:r w:rsidRPr="006A1A99">
        <w:rPr>
          <w:i/>
        </w:rPr>
        <w:t xml:space="preserve">[name and </w:t>
      </w:r>
      <w:r>
        <w:rPr>
          <w:i/>
        </w:rPr>
        <w:t>address of party to be served with this certificate</w:t>
      </w:r>
      <w:r w:rsidRPr="006A1A99">
        <w:rPr>
          <w:i/>
        </w:rPr>
        <w:t>]</w:t>
      </w:r>
    </w:p>
    <w:p w:rsidR="00485034" w:rsidRDefault="00485034" w:rsidP="00485034"/>
    <w:p w:rsidR="00485034" w:rsidRDefault="00485034" w:rsidP="00485034">
      <w:pPr>
        <w:spacing w:before="240"/>
      </w:pPr>
      <w:r>
        <w:t xml:space="preserve">I </w:t>
      </w:r>
      <w:r w:rsidRPr="00485034">
        <w:rPr>
          <w:i/>
        </w:rPr>
        <w:t>[name, contact details and health district of medical officer of health]</w:t>
      </w:r>
    </w:p>
    <w:p w:rsidR="00485034" w:rsidRPr="005E134B" w:rsidRDefault="00485034" w:rsidP="00485034"/>
    <w:p w:rsidR="00485034" w:rsidRPr="005E134B" w:rsidRDefault="00485034" w:rsidP="00485034">
      <w:pPr>
        <w:rPr>
          <w:rFonts w:cs="Arial"/>
        </w:rPr>
      </w:pPr>
      <w:r>
        <w:rPr>
          <w:rFonts w:cs="Arial"/>
        </w:rPr>
        <w:t>c</w:t>
      </w:r>
      <w:r w:rsidRPr="005E134B">
        <w:rPr>
          <w:rFonts w:cs="Arial"/>
        </w:rPr>
        <w:t xml:space="preserve">ertify that the public health order/order for contacts </w:t>
      </w:r>
      <w:r w:rsidRPr="005E134B">
        <w:rPr>
          <w:rFonts w:cs="Arial"/>
          <w:i/>
        </w:rPr>
        <w:t>[delete inapplicable]</w:t>
      </w:r>
    </w:p>
    <w:p w:rsidR="00485034" w:rsidRPr="005E134B" w:rsidRDefault="00485034" w:rsidP="00485034">
      <w:pPr>
        <w:rPr>
          <w:rFonts w:cs="Arial"/>
        </w:rPr>
      </w:pPr>
    </w:p>
    <w:p w:rsidR="00485034" w:rsidRPr="005E134B" w:rsidRDefault="00485034" w:rsidP="00485034">
      <w:pPr>
        <w:rPr>
          <w:rFonts w:cs="Arial"/>
          <w:i/>
        </w:rPr>
      </w:pPr>
      <w:r>
        <w:rPr>
          <w:rFonts w:cs="Arial"/>
        </w:rPr>
        <w:t>m</w:t>
      </w:r>
      <w:r w:rsidRPr="005E134B">
        <w:rPr>
          <w:rFonts w:cs="Arial"/>
        </w:rPr>
        <w:t xml:space="preserve">ade on </w:t>
      </w:r>
      <w:r w:rsidRPr="005E134B">
        <w:rPr>
          <w:rFonts w:cs="Arial"/>
          <w:i/>
        </w:rPr>
        <w:t>[date of order]</w:t>
      </w:r>
      <w:r>
        <w:rPr>
          <w:rFonts w:cs="Arial"/>
        </w:rPr>
        <w:t xml:space="preserve"> </w:t>
      </w:r>
      <w:r w:rsidRPr="005E134B">
        <w:rPr>
          <w:rFonts w:cs="Arial"/>
        </w:rPr>
        <w:t>at</w:t>
      </w:r>
      <w:r>
        <w:rPr>
          <w:rFonts w:cs="Arial"/>
        </w:rPr>
        <w:t xml:space="preserve"> </w:t>
      </w:r>
      <w:r w:rsidRPr="005E134B">
        <w:rPr>
          <w:rFonts w:cs="Arial"/>
          <w:i/>
        </w:rPr>
        <w:t>[court location]</w:t>
      </w:r>
    </w:p>
    <w:p w:rsidR="00485034" w:rsidRPr="005E134B" w:rsidRDefault="00485034" w:rsidP="00485034">
      <w:pPr>
        <w:rPr>
          <w:rFonts w:cs="Arial"/>
        </w:rPr>
      </w:pPr>
    </w:p>
    <w:p w:rsidR="00485034" w:rsidRPr="005E134B" w:rsidRDefault="00485034" w:rsidP="00485034">
      <w:pPr>
        <w:rPr>
          <w:rFonts w:cs="Arial"/>
        </w:rPr>
      </w:pPr>
      <w:r>
        <w:rPr>
          <w:rFonts w:cs="Arial"/>
        </w:rPr>
        <w:t>c</w:t>
      </w:r>
      <w:r w:rsidRPr="005E134B">
        <w:rPr>
          <w:rFonts w:cs="Arial"/>
        </w:rPr>
        <w:t xml:space="preserve">oncerning </w:t>
      </w:r>
      <w:r w:rsidRPr="005E134B">
        <w:rPr>
          <w:rFonts w:cs="Arial"/>
          <w:i/>
        </w:rPr>
        <w:t>[name of individual]</w:t>
      </w:r>
      <w:r>
        <w:rPr>
          <w:rFonts w:cs="Arial"/>
          <w:i/>
        </w:rPr>
        <w:t xml:space="preserve"> </w:t>
      </w:r>
      <w:r w:rsidRPr="005E134B">
        <w:rPr>
          <w:rFonts w:cs="Arial"/>
        </w:rPr>
        <w:t xml:space="preserve">is no longer necessary to manage the public health risk he </w:t>
      </w:r>
      <w:r>
        <w:rPr>
          <w:rFonts w:cs="Arial"/>
        </w:rPr>
        <w:t xml:space="preserve">or she </w:t>
      </w:r>
      <w:r w:rsidRPr="005E134B">
        <w:rPr>
          <w:rFonts w:cs="Arial"/>
        </w:rPr>
        <w:t>poses.</w:t>
      </w:r>
    </w:p>
    <w:p w:rsidR="00485034" w:rsidRPr="005E134B" w:rsidRDefault="00485034" w:rsidP="00485034">
      <w:pPr>
        <w:rPr>
          <w:rFonts w:cs="Arial"/>
        </w:rPr>
      </w:pPr>
    </w:p>
    <w:p w:rsidR="00485034" w:rsidRPr="005E134B" w:rsidRDefault="00485034" w:rsidP="00485034">
      <w:pPr>
        <w:rPr>
          <w:rFonts w:cs="Arial"/>
        </w:rPr>
      </w:pPr>
      <w:r w:rsidRPr="005E134B">
        <w:rPr>
          <w:rFonts w:cs="Arial"/>
        </w:rPr>
        <w:t xml:space="preserve">I request that you cancel the public health order/order for contacts </w:t>
      </w:r>
      <w:r w:rsidRPr="005E134B">
        <w:rPr>
          <w:rFonts w:cs="Arial"/>
          <w:i/>
        </w:rPr>
        <w:t xml:space="preserve">[delete inapplicable] </w:t>
      </w:r>
      <w:r w:rsidRPr="005E134B">
        <w:rPr>
          <w:rFonts w:cs="Arial"/>
        </w:rPr>
        <w:t>on being satisfied that the order allows for cancellation on receipt of my certificat</w:t>
      </w:r>
      <w:r>
        <w:rPr>
          <w:rFonts w:cs="Arial"/>
        </w:rPr>
        <w:t>e.</w:t>
      </w:r>
    </w:p>
    <w:p w:rsidR="00485034" w:rsidRPr="007618AB" w:rsidRDefault="00485034" w:rsidP="00485034"/>
    <w:p w:rsidR="00485034" w:rsidRPr="007618AB" w:rsidRDefault="00485034" w:rsidP="00485034">
      <w:pPr>
        <w:tabs>
          <w:tab w:val="left" w:pos="5103"/>
        </w:tabs>
        <w:spacing w:before="600"/>
      </w:pPr>
      <w:r w:rsidRPr="007618AB">
        <w:t>Signed by</w:t>
      </w:r>
      <w:r w:rsidRPr="007618AB">
        <w:tab/>
      </w:r>
      <w:r w:rsidRPr="007618AB">
        <w:tab/>
        <w:t>Date</w:t>
      </w:r>
    </w:p>
    <w:p w:rsidR="008D1DCC" w:rsidRPr="003B6CD7" w:rsidRDefault="008D1DCC" w:rsidP="00B80940"/>
    <w:p w:rsidR="00B80940" w:rsidRDefault="00B80940" w:rsidP="00B80940">
      <w:r>
        <w:br w:type="page"/>
      </w:r>
    </w:p>
    <w:p w:rsidR="003B22F1" w:rsidRDefault="008D1DCC" w:rsidP="00B80940">
      <w:pPr>
        <w:pStyle w:val="Heading3"/>
        <w:spacing w:before="0"/>
      </w:pPr>
      <w:r w:rsidRPr="003B6CD7">
        <w:t>Information about this certificate for the individual</w:t>
      </w:r>
    </w:p>
    <w:p w:rsidR="003B22F1" w:rsidRDefault="008D1DCC" w:rsidP="00485034">
      <w:r>
        <w:t>Once f</w:t>
      </w:r>
      <w:r w:rsidRPr="005E134B">
        <w:t>iled in the court,</w:t>
      </w:r>
      <w:r>
        <w:t xml:space="preserve"> a</w:t>
      </w:r>
      <w:r w:rsidRPr="005E134B">
        <w:t xml:space="preserve">n application for cancellation of an order has the effect of suspending it until the </w:t>
      </w:r>
      <w:r>
        <w:t>court decides the application. T</w:t>
      </w:r>
      <w:r w:rsidRPr="005E134B">
        <w:t>his means you</w:t>
      </w:r>
      <w:r>
        <w:t xml:space="preserve"> no longer</w:t>
      </w:r>
      <w:r w:rsidRPr="005E134B">
        <w:t xml:space="preserve"> need </w:t>
      </w:r>
      <w:r>
        <w:t xml:space="preserve">to </w:t>
      </w:r>
      <w:r w:rsidRPr="005E134B">
        <w:t xml:space="preserve">comply with </w:t>
      </w:r>
      <w:r>
        <w:t>order until the court makes a decision.</w:t>
      </w:r>
    </w:p>
    <w:p w:rsidR="008D1DCC" w:rsidRPr="005E134B" w:rsidRDefault="008D1DCC" w:rsidP="00485034"/>
    <w:p w:rsidR="00485034" w:rsidRDefault="00485034">
      <w:pPr>
        <w:spacing w:line="240" w:lineRule="auto"/>
      </w:pPr>
      <w:bookmarkStart w:id="95" w:name="_GoBack"/>
      <w:bookmarkEnd w:id="95"/>
      <w:r>
        <w:br w:type="page"/>
      </w:r>
    </w:p>
    <w:p w:rsidR="008D1DCC" w:rsidRPr="005E134B" w:rsidRDefault="008D1DCC" w:rsidP="00485034">
      <w:r w:rsidRPr="005E134B">
        <w:t xml:space="preserve">Medical </w:t>
      </w:r>
      <w:r>
        <w:t>officers of health should only use the following certificate</w:t>
      </w:r>
      <w:r w:rsidRPr="005E134B">
        <w:t xml:space="preserve"> to activate the public health order if test results establish the person has the infectious disease f</w:t>
      </w:r>
      <w:r>
        <w:t>or which he or she was examined</w:t>
      </w:r>
      <w:r w:rsidR="00485034">
        <w:t>.</w:t>
      </w:r>
    </w:p>
    <w:p w:rsidR="008D1DCC" w:rsidRPr="005E134B" w:rsidRDefault="008D1DCC" w:rsidP="00485034"/>
    <w:p w:rsidR="00AB62C3" w:rsidRDefault="00AB62C3" w:rsidP="00AB62C3">
      <w:pPr>
        <w:pStyle w:val="Heading2"/>
        <w:spacing w:before="0"/>
        <w:jc w:val="center"/>
      </w:pPr>
      <w:bookmarkStart w:id="96" w:name="_Toc473538587"/>
      <w:r>
        <w:t>[</w:t>
      </w:r>
      <w:r w:rsidRPr="00A67E50">
        <w:rPr>
          <w:i/>
        </w:rPr>
        <w:t>Template for</w:t>
      </w:r>
      <w:r>
        <w:rPr>
          <w:i/>
        </w:rPr>
        <w:t xml:space="preserve"> </w:t>
      </w:r>
      <w:r w:rsidRPr="00A67E50">
        <w:rPr>
          <w:b w:val="0"/>
          <w:i/>
          <w:sz w:val="22"/>
        </w:rPr>
        <w:t>remove this text</w:t>
      </w:r>
      <w:r>
        <w:t>]</w:t>
      </w:r>
    </w:p>
    <w:p w:rsidR="008D1DCC" w:rsidRPr="003B6CD7" w:rsidRDefault="00AB62C3" w:rsidP="00B80940">
      <w:pPr>
        <w:pStyle w:val="Heading2"/>
      </w:pPr>
      <w:r>
        <w:t>C</w:t>
      </w:r>
      <w:r w:rsidR="008D1DCC" w:rsidRPr="003B6CD7">
        <w:t>ertificate</w:t>
      </w:r>
      <w:r w:rsidR="008D1DCC" w:rsidRPr="00715D69">
        <w:rPr>
          <w:rFonts w:cs="Arial"/>
          <w:szCs w:val="24"/>
        </w:rPr>
        <w:t xml:space="preserve"> </w:t>
      </w:r>
      <w:r w:rsidR="008D1DCC">
        <w:rPr>
          <w:rFonts w:cs="Arial"/>
          <w:szCs w:val="24"/>
        </w:rPr>
        <w:t>t</w:t>
      </w:r>
      <w:r w:rsidR="008D1DCC" w:rsidRPr="003B6CD7">
        <w:t>hat individual has undergone specified medical examination</w:t>
      </w:r>
      <w:r w:rsidR="008D1DCC">
        <w:t>/</w:t>
      </w:r>
      <w:r w:rsidR="008D1DCC" w:rsidRPr="003B6CD7">
        <w:t>s</w:t>
      </w:r>
      <w:bookmarkEnd w:id="96"/>
    </w:p>
    <w:p w:rsidR="003B22F1" w:rsidRDefault="008D1DCC" w:rsidP="00485034">
      <w:r w:rsidRPr="003B6CD7">
        <w:t>Under section 92ZI(3) of the Health Act 1956</w:t>
      </w:r>
    </w:p>
    <w:p w:rsidR="008D1DCC" w:rsidRDefault="008D1DCC" w:rsidP="00485034"/>
    <w:p w:rsidR="00485034" w:rsidRPr="007618AB" w:rsidRDefault="00485034" w:rsidP="00485034">
      <w:pPr>
        <w:spacing w:before="480"/>
      </w:pPr>
      <w:r w:rsidRPr="007618AB">
        <w:t>To</w:t>
      </w:r>
      <w:r w:rsidR="002032E2">
        <w:t>:</w:t>
      </w:r>
      <w:r w:rsidR="002032E2">
        <w:tab/>
        <w:t xml:space="preserve">The Registrar at the District Court at </w:t>
      </w:r>
      <w:r w:rsidR="002032E2" w:rsidRPr="002032E2">
        <w:rPr>
          <w:i/>
        </w:rPr>
        <w:t>[place]</w:t>
      </w:r>
    </w:p>
    <w:p w:rsidR="00485034" w:rsidRDefault="00485034" w:rsidP="00485034">
      <w:pPr>
        <w:spacing w:before="120" w:after="120"/>
      </w:pPr>
      <w:r>
        <w:t>And</w:t>
      </w:r>
    </w:p>
    <w:p w:rsidR="00485034" w:rsidRPr="007618AB" w:rsidRDefault="00485034" w:rsidP="00485034">
      <w:r>
        <w:t>To:</w:t>
      </w:r>
      <w:r>
        <w:tab/>
      </w:r>
      <w:r w:rsidRPr="006A1A99">
        <w:rPr>
          <w:i/>
        </w:rPr>
        <w:t xml:space="preserve">[name and </w:t>
      </w:r>
      <w:r>
        <w:rPr>
          <w:i/>
        </w:rPr>
        <w:t>address of party to be served with this certificate</w:t>
      </w:r>
      <w:r w:rsidRPr="006A1A99">
        <w:rPr>
          <w:i/>
        </w:rPr>
        <w:t>]</w:t>
      </w:r>
    </w:p>
    <w:p w:rsidR="00485034" w:rsidRDefault="00485034" w:rsidP="00485034"/>
    <w:p w:rsidR="00485034" w:rsidRDefault="00485034" w:rsidP="00485034">
      <w:pPr>
        <w:spacing w:before="240"/>
      </w:pPr>
      <w:r>
        <w:t xml:space="preserve">I </w:t>
      </w:r>
      <w:r w:rsidRPr="00485034">
        <w:rPr>
          <w:i/>
        </w:rPr>
        <w:t>[name, contact details and health district of medical officer of health]</w:t>
      </w:r>
    </w:p>
    <w:p w:rsidR="00485034" w:rsidRPr="005E134B" w:rsidRDefault="00485034" w:rsidP="00485034"/>
    <w:p w:rsidR="00485034" w:rsidRPr="005E134B" w:rsidRDefault="00485034" w:rsidP="00485034">
      <w:pPr>
        <w:rPr>
          <w:rFonts w:cs="Arial"/>
        </w:rPr>
      </w:pPr>
      <w:r>
        <w:rPr>
          <w:rFonts w:cs="Arial"/>
        </w:rPr>
        <w:t>c</w:t>
      </w:r>
      <w:r w:rsidRPr="005E134B">
        <w:rPr>
          <w:rFonts w:cs="Arial"/>
        </w:rPr>
        <w:t>ertify</w:t>
      </w:r>
      <w:r>
        <w:rPr>
          <w:rFonts w:cs="Arial"/>
        </w:rPr>
        <w:t>:</w:t>
      </w:r>
    </w:p>
    <w:p w:rsidR="00485034" w:rsidRPr="005E134B" w:rsidRDefault="00485034" w:rsidP="00485034">
      <w:pPr>
        <w:spacing w:before="240"/>
        <w:ind w:left="567" w:hanging="567"/>
      </w:pPr>
      <w:r>
        <w:t>1</w:t>
      </w:r>
      <w:r>
        <w:tab/>
        <w:t xml:space="preserve">that </w:t>
      </w:r>
      <w:r w:rsidRPr="005E134B">
        <w:rPr>
          <w:i/>
        </w:rPr>
        <w:t xml:space="preserve">[name of individual] </w:t>
      </w:r>
      <w:r w:rsidRPr="005E134B">
        <w:t xml:space="preserve">has undertaken the medical examination/s specified in the </w:t>
      </w:r>
      <w:r>
        <w:t xml:space="preserve">attached </w:t>
      </w:r>
      <w:r w:rsidRPr="005E134B">
        <w:t xml:space="preserve">medical examination order </w:t>
      </w:r>
      <w:r w:rsidRPr="005E134B">
        <w:rPr>
          <w:i/>
        </w:rPr>
        <w:t>[</w:t>
      </w:r>
      <w:r>
        <w:rPr>
          <w:i/>
        </w:rPr>
        <w:t xml:space="preserve">attach a </w:t>
      </w:r>
      <w:r w:rsidRPr="005E134B">
        <w:rPr>
          <w:i/>
        </w:rPr>
        <w:t>copy of</w:t>
      </w:r>
      <w:r>
        <w:rPr>
          <w:i/>
        </w:rPr>
        <w:t xml:space="preserve"> the</w:t>
      </w:r>
      <w:r w:rsidRPr="005E134B">
        <w:rPr>
          <w:i/>
        </w:rPr>
        <w:t xml:space="preserve"> medical examination order</w:t>
      </w:r>
      <w:r>
        <w:rPr>
          <w:i/>
        </w:rPr>
        <w:t>]</w:t>
      </w:r>
    </w:p>
    <w:p w:rsidR="00485034" w:rsidRPr="005E134B" w:rsidRDefault="00485034" w:rsidP="00485034">
      <w:pPr>
        <w:spacing w:before="240"/>
        <w:ind w:left="567" w:hanging="567"/>
      </w:pPr>
      <w:r w:rsidRPr="005E134B">
        <w:t>2</w:t>
      </w:r>
      <w:r w:rsidRPr="005E134B">
        <w:tab/>
        <w:t>that the examination/s establish that he</w:t>
      </w:r>
      <w:r>
        <w:t xml:space="preserve"> or she</w:t>
      </w:r>
      <w:r w:rsidRPr="005E134B">
        <w:t xml:space="preserve"> has the</w:t>
      </w:r>
      <w:r>
        <w:t xml:space="preserve"> infectious diseases for which </w:t>
      </w:r>
      <w:r w:rsidRPr="005E134B">
        <w:t>he</w:t>
      </w:r>
      <w:r>
        <w:t xml:space="preserve"> or she has been examined</w:t>
      </w:r>
    </w:p>
    <w:p w:rsidR="00485034" w:rsidRPr="00485034" w:rsidRDefault="00485034" w:rsidP="00485034">
      <w:pPr>
        <w:spacing w:before="240"/>
        <w:ind w:left="567" w:hanging="567"/>
      </w:pPr>
      <w:r w:rsidRPr="005E134B">
        <w:t>3</w:t>
      </w:r>
      <w:r w:rsidRPr="005E134B">
        <w:tab/>
        <w:t xml:space="preserve">that a public health order made by the District Court concerning him/her provides that it takes effect only if the </w:t>
      </w:r>
      <w:r>
        <w:t>m</w:t>
      </w:r>
      <w:r w:rsidRPr="005E134B">
        <w:t>edical officer of health signs and dates this certificate under section 92ZI(3) of the Health Act</w:t>
      </w:r>
      <w:r>
        <w:t xml:space="preserve"> </w:t>
      </w:r>
      <w:r w:rsidRPr="005E134B">
        <w:rPr>
          <w:i/>
        </w:rPr>
        <w:t>[</w:t>
      </w:r>
      <w:r>
        <w:rPr>
          <w:i/>
        </w:rPr>
        <w:t>attach a copy of the public health order</w:t>
      </w:r>
      <w:r w:rsidRPr="005E134B">
        <w:rPr>
          <w:i/>
        </w:rPr>
        <w:t>]</w:t>
      </w:r>
      <w:r w:rsidRPr="00485034">
        <w:t>.</w:t>
      </w:r>
    </w:p>
    <w:p w:rsidR="00485034" w:rsidRPr="005E134B" w:rsidRDefault="00485034" w:rsidP="00485034"/>
    <w:p w:rsidR="00485034" w:rsidRPr="005E134B" w:rsidRDefault="00485034" w:rsidP="00485034">
      <w:r w:rsidRPr="005E134B">
        <w:t>I notify you that the public health order takes effect immediately on receipt and filing of this certificate.</w:t>
      </w:r>
    </w:p>
    <w:p w:rsidR="00485034" w:rsidRPr="007618AB" w:rsidRDefault="00485034" w:rsidP="00485034"/>
    <w:p w:rsidR="00485034" w:rsidRPr="007618AB" w:rsidRDefault="00485034" w:rsidP="00485034">
      <w:pPr>
        <w:tabs>
          <w:tab w:val="left" w:pos="5103"/>
        </w:tabs>
        <w:spacing w:before="600"/>
      </w:pPr>
      <w:r w:rsidRPr="007618AB">
        <w:t>Signed by</w:t>
      </w:r>
      <w:r w:rsidRPr="007618AB">
        <w:tab/>
      </w:r>
      <w:r w:rsidRPr="007618AB">
        <w:tab/>
        <w:t>Date</w:t>
      </w:r>
    </w:p>
    <w:p w:rsidR="00485034" w:rsidRDefault="00485034" w:rsidP="00485034"/>
    <w:p w:rsidR="00831450" w:rsidRDefault="00831450" w:rsidP="00831450">
      <w:bookmarkStart w:id="97" w:name="_Toc473538588"/>
      <w:r>
        <w:br w:type="page"/>
      </w:r>
    </w:p>
    <w:p w:rsidR="00AB62C3" w:rsidRDefault="00AB62C3" w:rsidP="00AB62C3">
      <w:pPr>
        <w:pStyle w:val="Heading2"/>
        <w:spacing w:before="0"/>
        <w:jc w:val="center"/>
      </w:pPr>
      <w:r>
        <w:t>[</w:t>
      </w:r>
      <w:r w:rsidRPr="00A67E50">
        <w:rPr>
          <w:i/>
        </w:rPr>
        <w:t>Template for</w:t>
      </w:r>
      <w:r>
        <w:rPr>
          <w:i/>
        </w:rPr>
        <w:t xml:space="preserve"> </w:t>
      </w:r>
      <w:r w:rsidRPr="00A67E50">
        <w:rPr>
          <w:b w:val="0"/>
          <w:i/>
          <w:sz w:val="22"/>
        </w:rPr>
        <w:t>remove this text</w:t>
      </w:r>
      <w:r>
        <w:t>]</w:t>
      </w:r>
    </w:p>
    <w:p w:rsidR="008D1DCC" w:rsidRDefault="00AB62C3" w:rsidP="00B80940">
      <w:pPr>
        <w:pStyle w:val="Heading2"/>
      </w:pPr>
      <w:r>
        <w:t>U</w:t>
      </w:r>
      <w:r w:rsidR="008D1DCC">
        <w:t>rgent public health order</w:t>
      </w:r>
      <w:bookmarkEnd w:id="97"/>
    </w:p>
    <w:p w:rsidR="008D1DCC" w:rsidRDefault="008D1DCC" w:rsidP="00831450">
      <w:r w:rsidRPr="003B6CD7">
        <w:t>Under section 92</w:t>
      </w:r>
      <w:r w:rsidR="004918D1">
        <w:t>Z</w:t>
      </w:r>
      <w:r w:rsidRPr="003B6CD7">
        <w:t>F of the Health Act 1956</w:t>
      </w:r>
    </w:p>
    <w:p w:rsidR="00831450" w:rsidRDefault="00831450" w:rsidP="00831450"/>
    <w:p w:rsidR="008D1DCC" w:rsidRPr="005E134B" w:rsidRDefault="008D1DCC" w:rsidP="00831450">
      <w:pPr>
        <w:spacing w:before="240"/>
      </w:pPr>
      <w:r>
        <w:t xml:space="preserve">To </w:t>
      </w:r>
      <w:r w:rsidRPr="00831450">
        <w:rPr>
          <w:i/>
        </w:rPr>
        <w:t>[name of individual]</w:t>
      </w:r>
    </w:p>
    <w:p w:rsidR="008D1DCC" w:rsidRPr="005E134B" w:rsidRDefault="008D1DCC" w:rsidP="00831450"/>
    <w:p w:rsidR="008D1DCC" w:rsidRPr="00831450" w:rsidRDefault="008D1DCC" w:rsidP="00831450">
      <w:r w:rsidRPr="005E134B">
        <w:t xml:space="preserve">This urgent public health order requires you to be detained immediately as at </w:t>
      </w:r>
      <w:r w:rsidRPr="005E134B">
        <w:rPr>
          <w:i/>
        </w:rPr>
        <w:t>[specify time and date of commencement]</w:t>
      </w:r>
      <w:r w:rsidRPr="005E134B">
        <w:t xml:space="preserve"> and to stay at the following place for a period of 72 hours (</w:t>
      </w:r>
      <w:r>
        <w:t xml:space="preserve">three days): </w:t>
      </w:r>
      <w:r w:rsidRPr="005E134B">
        <w:rPr>
          <w:i/>
        </w:rPr>
        <w:t>[specify premises or part of premises</w:t>
      </w:r>
      <w:r>
        <w:rPr>
          <w:i/>
        </w:rPr>
        <w:t xml:space="preserve">]. </w:t>
      </w:r>
      <w:r w:rsidRPr="00A651AB">
        <w:t>The following conditions apply:</w:t>
      </w:r>
      <w:r>
        <w:rPr>
          <w:i/>
        </w:rPr>
        <w:t xml:space="preserve"> [</w:t>
      </w:r>
      <w:r w:rsidRPr="005E134B">
        <w:rPr>
          <w:i/>
        </w:rPr>
        <w:t>specify what conditions apply, if any]</w:t>
      </w:r>
      <w:r w:rsidRPr="00831450">
        <w:t>.</w:t>
      </w:r>
    </w:p>
    <w:p w:rsidR="008D1DCC" w:rsidRPr="005E134B" w:rsidRDefault="008D1DCC" w:rsidP="00831450"/>
    <w:p w:rsidR="008D1DCC" w:rsidRPr="005E134B" w:rsidRDefault="008D1DCC" w:rsidP="00831450">
      <w:r w:rsidRPr="005E134B">
        <w:t xml:space="preserve">This is because I </w:t>
      </w:r>
      <w:r w:rsidRPr="00831450">
        <w:rPr>
          <w:i/>
        </w:rPr>
        <w:t>[specify name, contact details and health district of medical officer of health]</w:t>
      </w:r>
      <w:r w:rsidRPr="005E134B">
        <w:t xml:space="preserve"> believe </w:t>
      </w:r>
      <w:r>
        <w:t xml:space="preserve">all of </w:t>
      </w:r>
      <w:r w:rsidRPr="005E134B">
        <w:t>th</w:t>
      </w:r>
      <w:r>
        <w:t>e following</w:t>
      </w:r>
      <w:r w:rsidRPr="005E134B">
        <w:t>:</w:t>
      </w:r>
    </w:p>
    <w:p w:rsidR="008D1DCC" w:rsidRPr="005E134B" w:rsidRDefault="00831450" w:rsidP="00831450">
      <w:pPr>
        <w:spacing w:before="120"/>
        <w:ind w:left="567" w:hanging="567"/>
      </w:pPr>
      <w:r>
        <w:t>1</w:t>
      </w:r>
      <w:r>
        <w:tab/>
      </w:r>
      <w:r w:rsidR="008D1DCC" w:rsidRPr="005E134B">
        <w:t xml:space="preserve">You have, or may have, </w:t>
      </w:r>
      <w:r w:rsidR="008D1DCC">
        <w:t xml:space="preserve">or may carry </w:t>
      </w:r>
      <w:r w:rsidR="008D1DCC" w:rsidRPr="005E134B">
        <w:t xml:space="preserve">an infectious disease that poses a substantial risk of serious harm to the health or safety </w:t>
      </w:r>
      <w:r w:rsidR="008D1DCC">
        <w:t>of one or more other people</w:t>
      </w:r>
      <w:r>
        <w:t>.</w:t>
      </w:r>
    </w:p>
    <w:p w:rsidR="003B22F1" w:rsidRDefault="00831450" w:rsidP="00831450">
      <w:pPr>
        <w:spacing w:before="120"/>
        <w:ind w:left="567" w:hanging="567"/>
      </w:pPr>
      <w:r>
        <w:t>2</w:t>
      </w:r>
      <w:r>
        <w:tab/>
      </w:r>
      <w:r w:rsidR="008D1DCC" w:rsidRPr="005E134B">
        <w:t>This risk cannot be managed by giving you a direction</w:t>
      </w:r>
      <w:r>
        <w:t>.</w:t>
      </w:r>
    </w:p>
    <w:p w:rsidR="008D1DCC" w:rsidRPr="005E134B" w:rsidRDefault="00831450" w:rsidP="00831450">
      <w:pPr>
        <w:spacing w:before="120"/>
        <w:ind w:left="567" w:hanging="567"/>
      </w:pPr>
      <w:r>
        <w:t>3</w:t>
      </w:r>
      <w:r>
        <w:tab/>
      </w:r>
      <w:r w:rsidR="008D1DCC" w:rsidRPr="005E134B">
        <w:t>Urgent action is required to address this risk.</w:t>
      </w:r>
    </w:p>
    <w:p w:rsidR="008D1DCC" w:rsidRPr="005E134B" w:rsidRDefault="008D1DCC" w:rsidP="00831450"/>
    <w:p w:rsidR="008D1DCC" w:rsidRPr="005E134B" w:rsidRDefault="008D1DCC" w:rsidP="00831450">
      <w:r w:rsidRPr="005E134B">
        <w:t xml:space="preserve">The grounds on which I have formed this belief are </w:t>
      </w:r>
      <w:r w:rsidRPr="00831450">
        <w:rPr>
          <w:i/>
        </w:rPr>
        <w:t>[specify reasons for belief (must be on reasonable grounds), having regard to the nature of the disease, including its transmissibility and mode of transmission and the relevant circumstances of the particular case</w:t>
      </w:r>
      <w:r w:rsidR="003B22F1" w:rsidRPr="00831450">
        <w:rPr>
          <w:i/>
        </w:rPr>
        <w:t xml:space="preserve"> – </w:t>
      </w:r>
      <w:r w:rsidRPr="00831450">
        <w:rPr>
          <w:i/>
        </w:rPr>
        <w:t>eg, individual about to leave New Zealand on a plane]</w:t>
      </w:r>
      <w:r>
        <w:t>.</w:t>
      </w:r>
    </w:p>
    <w:p w:rsidR="008D1DCC" w:rsidRPr="005E134B" w:rsidRDefault="008D1DCC" w:rsidP="00831450"/>
    <w:p w:rsidR="008D1DCC" w:rsidRPr="005E134B" w:rsidRDefault="008D1DCC" w:rsidP="00831450">
      <w:r w:rsidRPr="005E134B">
        <w:t>At the end of the 72</w:t>
      </w:r>
      <w:r w:rsidR="00831450">
        <w:noBreakHyphen/>
      </w:r>
      <w:r w:rsidRPr="005E134B">
        <w:t>hour period, unless</w:t>
      </w:r>
      <w:r>
        <w:t xml:space="preserve"> the medical officer of health has obtained </w:t>
      </w:r>
      <w:r w:rsidRPr="005E134B">
        <w:t>a</w:t>
      </w:r>
      <w:r>
        <w:t xml:space="preserve"> court order for your continued detention, you </w:t>
      </w:r>
      <w:r w:rsidRPr="005E134B">
        <w:t>will be free to go</w:t>
      </w:r>
      <w:r>
        <w:t xml:space="preserve"> where you wish</w:t>
      </w:r>
      <w:r w:rsidRPr="005E134B">
        <w:t>.</w:t>
      </w:r>
    </w:p>
    <w:p w:rsidR="008D1DCC" w:rsidRPr="005E134B" w:rsidRDefault="008D1DCC" w:rsidP="00831450"/>
    <w:p w:rsidR="008D1DCC" w:rsidRPr="00831450" w:rsidRDefault="008D1DCC" w:rsidP="00831450">
      <w:r w:rsidRPr="00831450">
        <w:rPr>
          <w:i/>
        </w:rPr>
        <w:t>[</w:t>
      </w:r>
      <w:r w:rsidR="00831450">
        <w:rPr>
          <w:i/>
        </w:rPr>
        <w:t>D</w:t>
      </w:r>
      <w:r w:rsidRPr="00831450">
        <w:rPr>
          <w:i/>
        </w:rPr>
        <w:t>ate of order given to individual]</w:t>
      </w:r>
    </w:p>
    <w:p w:rsidR="008D1DCC" w:rsidRPr="005E134B" w:rsidRDefault="008D1DCC" w:rsidP="00831450"/>
    <w:p w:rsidR="008D1DCC" w:rsidRPr="00831450" w:rsidRDefault="008D1DCC" w:rsidP="00831450">
      <w:r w:rsidRPr="00831450">
        <w:rPr>
          <w:i/>
        </w:rPr>
        <w:t>[</w:t>
      </w:r>
      <w:r w:rsidR="00831450">
        <w:rPr>
          <w:i/>
        </w:rPr>
        <w:t>T</w:t>
      </w:r>
      <w:r w:rsidRPr="00831450">
        <w:rPr>
          <w:i/>
        </w:rPr>
        <w:t>ime order given to individual]</w:t>
      </w:r>
    </w:p>
    <w:p w:rsidR="008D1DCC" w:rsidRDefault="008D1DCC" w:rsidP="00831450"/>
    <w:p w:rsidR="00831450" w:rsidRPr="007618AB" w:rsidRDefault="00831450" w:rsidP="00831450">
      <w:pPr>
        <w:tabs>
          <w:tab w:val="left" w:pos="5670"/>
        </w:tabs>
        <w:spacing w:before="600"/>
      </w:pPr>
      <w:r w:rsidRPr="007618AB">
        <w:t>Signed by</w:t>
      </w:r>
      <w:r>
        <w:t xml:space="preserve"> medical officer of health</w:t>
      </w:r>
      <w:r w:rsidRPr="007618AB">
        <w:tab/>
      </w:r>
      <w:r w:rsidRPr="007618AB">
        <w:tab/>
        <w:t>Date</w:t>
      </w:r>
    </w:p>
    <w:p w:rsidR="00831450" w:rsidRPr="007618AB" w:rsidRDefault="00831450" w:rsidP="00831450">
      <w:pPr>
        <w:spacing w:after="360"/>
      </w:pPr>
    </w:p>
    <w:p w:rsidR="00831450" w:rsidRPr="006A1A99" w:rsidRDefault="00831450" w:rsidP="00831450">
      <w:pPr>
        <w:pBdr>
          <w:top w:val="single" w:sz="4" w:space="12" w:color="auto"/>
        </w:pBdr>
        <w:rPr>
          <w:b/>
        </w:rPr>
      </w:pPr>
      <w:r w:rsidRPr="006A1A99">
        <w:rPr>
          <w:b/>
        </w:rPr>
        <w:t>Administration only:</w:t>
      </w:r>
    </w:p>
    <w:p w:rsidR="00831450" w:rsidRPr="007618AB" w:rsidRDefault="00831450" w:rsidP="00831450"/>
    <w:p w:rsidR="00831450" w:rsidRPr="006A1A99" w:rsidRDefault="00831450" w:rsidP="00831450">
      <w:pPr>
        <w:tabs>
          <w:tab w:val="left" w:pos="5670"/>
        </w:tabs>
      </w:pPr>
      <w:r w:rsidRPr="007618AB">
        <w:t>Is this infectious disease notifiable?</w:t>
      </w:r>
      <w:r w:rsidRPr="007618AB">
        <w:tab/>
        <w:t>Yes/No</w:t>
      </w:r>
    </w:p>
    <w:p w:rsidR="00831450" w:rsidRPr="007618AB" w:rsidRDefault="00831450" w:rsidP="00831450"/>
    <w:p w:rsidR="00831450" w:rsidRPr="00DF1A4B" w:rsidRDefault="00831450" w:rsidP="00831450">
      <w:pPr>
        <w:rPr>
          <w:i/>
        </w:rPr>
      </w:pPr>
      <w:r w:rsidRPr="00DF1A4B">
        <w:rPr>
          <w:i/>
        </w:rPr>
        <w:t>[If no, the Director of Public Health’s prior approval to the direction is required.]</w:t>
      </w:r>
    </w:p>
    <w:p w:rsidR="00831450" w:rsidRPr="007618AB" w:rsidRDefault="00831450" w:rsidP="00831450">
      <w:pPr>
        <w:pBdr>
          <w:bottom w:val="single" w:sz="4" w:space="12" w:color="auto"/>
        </w:pBdr>
        <w:tabs>
          <w:tab w:val="left" w:pos="5670"/>
        </w:tabs>
        <w:spacing w:before="600"/>
      </w:pPr>
      <w:r w:rsidRPr="007618AB">
        <w:t>Signature</w:t>
      </w:r>
      <w:r>
        <w:t xml:space="preserve"> of Director of Public Health (if required)</w:t>
      </w:r>
      <w:r w:rsidRPr="007618AB">
        <w:tab/>
      </w:r>
      <w:r w:rsidRPr="007618AB">
        <w:tab/>
        <w:t>Date</w:t>
      </w:r>
    </w:p>
    <w:p w:rsidR="00831450" w:rsidRPr="007618AB" w:rsidRDefault="00831450" w:rsidP="00831450"/>
    <w:p w:rsidR="00B80940" w:rsidRDefault="00B80940" w:rsidP="00B80940">
      <w:r>
        <w:br w:type="page"/>
      </w:r>
    </w:p>
    <w:p w:rsidR="008D1DCC" w:rsidRPr="003B6CD7" w:rsidRDefault="008D1DCC" w:rsidP="00B80940">
      <w:pPr>
        <w:pStyle w:val="Heading3"/>
        <w:spacing w:before="0"/>
        <w:rPr>
          <w:rFonts w:cs="Arial"/>
        </w:rPr>
      </w:pPr>
      <w:r w:rsidRPr="003B6CD7">
        <w:t>Information about this order for the individual who is subject to</w:t>
      </w:r>
      <w:r w:rsidRPr="003B6CD7">
        <w:rPr>
          <w:rFonts w:cs="Arial"/>
        </w:rPr>
        <w:t xml:space="preserve"> it</w:t>
      </w:r>
    </w:p>
    <w:p w:rsidR="008D1DCC" w:rsidRPr="005E134B" w:rsidRDefault="008D1DCC" w:rsidP="00B80940">
      <w:pPr>
        <w:pStyle w:val="Heading4"/>
      </w:pPr>
      <w:r w:rsidRPr="005E134B">
        <w:t>What if you do not comply with this order?</w:t>
      </w:r>
    </w:p>
    <w:p w:rsidR="008D1DCC" w:rsidRPr="005E134B" w:rsidRDefault="008D1DCC" w:rsidP="00B80940">
      <w:r w:rsidRPr="005E134B">
        <w:t>If you do not comply with this order you:</w:t>
      </w:r>
    </w:p>
    <w:p w:rsidR="008D1DCC" w:rsidRPr="005E134B" w:rsidRDefault="008D1DCC" w:rsidP="00B80940">
      <w:pPr>
        <w:pStyle w:val="Bullet"/>
      </w:pPr>
      <w:r w:rsidRPr="005E134B">
        <w:t>are breaking the law;</w:t>
      </w:r>
    </w:p>
    <w:p w:rsidR="008D1DCC" w:rsidRPr="005E134B" w:rsidRDefault="008D1DCC" w:rsidP="00B80940">
      <w:pPr>
        <w:pStyle w:val="Bullet"/>
      </w:pPr>
      <w:r w:rsidRPr="005E134B">
        <w:t>put other people at risk of serious harm;</w:t>
      </w:r>
    </w:p>
    <w:p w:rsidR="008D1DCC" w:rsidRPr="005E134B" w:rsidRDefault="008D1DCC" w:rsidP="00B80940">
      <w:pPr>
        <w:pStyle w:val="Bullet"/>
      </w:pPr>
      <w:r w:rsidRPr="005E134B">
        <w:t>put your own health and safety at risk;</w:t>
      </w:r>
    </w:p>
    <w:p w:rsidR="008D1DCC" w:rsidRPr="005E134B" w:rsidRDefault="008D1DCC" w:rsidP="00B80940">
      <w:pPr>
        <w:pStyle w:val="Bullet"/>
      </w:pPr>
      <w:r w:rsidRPr="005E134B">
        <w:t xml:space="preserve">may be taken to court by the </w:t>
      </w:r>
      <w:r>
        <w:t>m</w:t>
      </w:r>
      <w:r w:rsidRPr="005E134B">
        <w:t>edical officer of health, and could as a result become subject to a court order with more and longer term restrictions on you;</w:t>
      </w:r>
    </w:p>
    <w:p w:rsidR="008D1DCC" w:rsidRPr="00B80940" w:rsidRDefault="008D1DCC" w:rsidP="00B80940">
      <w:pPr>
        <w:pStyle w:val="Bullet"/>
      </w:pPr>
      <w:r w:rsidRPr="00B80940">
        <w:t>could, in exceptional circumstances, be taken to court for an offence under</w:t>
      </w:r>
      <w:r w:rsidR="00B80940">
        <w:t xml:space="preserve"> </w:t>
      </w:r>
      <w:r w:rsidRPr="00B80940">
        <w:t>section 92ZW of the Health Act 1956 of:</w:t>
      </w:r>
    </w:p>
    <w:p w:rsidR="008D1DCC" w:rsidRPr="003B6CD7" w:rsidRDefault="008D1DCC" w:rsidP="00B80940">
      <w:pPr>
        <w:pStyle w:val="Quote"/>
      </w:pPr>
      <w:r w:rsidRPr="003B6CD7">
        <w:t>Without reasonable excuse, intentionally failing to comply with an order made under Part 3A of the Health Act 1956 that is binding on you.</w:t>
      </w:r>
    </w:p>
    <w:p w:rsidR="00B80940" w:rsidRDefault="00B80940" w:rsidP="00B80940"/>
    <w:p w:rsidR="008D1DCC" w:rsidRPr="005E134B" w:rsidRDefault="008D1DCC" w:rsidP="00B80940">
      <w:r w:rsidRPr="005E134B">
        <w:t>Should you be found guilty by the District Court, the maximum penalty is a term of imprisonment not exceeding 6 months or a fine not exceeding $2,000.</w:t>
      </w:r>
    </w:p>
    <w:p w:rsidR="008D1DCC" w:rsidRPr="005E134B" w:rsidRDefault="008D1DCC" w:rsidP="00B80940"/>
    <w:p w:rsidR="008D1DCC" w:rsidRPr="005E134B" w:rsidRDefault="008D1DCC" w:rsidP="00B80940">
      <w:r w:rsidRPr="00B80940">
        <w:rPr>
          <w:b/>
        </w:rPr>
        <w:t>If you are responsible for</w:t>
      </w:r>
      <w:r w:rsidR="003B22F1" w:rsidRPr="00B80940">
        <w:rPr>
          <w:b/>
        </w:rPr>
        <w:t xml:space="preserve"> </w:t>
      </w:r>
      <w:r w:rsidRPr="00B80940">
        <w:rPr>
          <w:b/>
        </w:rPr>
        <w:t>a person under 16 years of age or a person who does not have legal capacity to understand (eg, because of severe intellectual disability)</w:t>
      </w:r>
      <w:r w:rsidRPr="005E134B">
        <w:t>, who is the subject of this</w:t>
      </w:r>
      <w:r w:rsidR="003B22F1">
        <w:t xml:space="preserve"> </w:t>
      </w:r>
      <w:r w:rsidRPr="005E134B">
        <w:t>order, then you must take reasonable steps to get them seen by a doct</w:t>
      </w:r>
      <w:r w:rsidR="00B85982">
        <w:t>or for diagnosis and treatment. If you fail to do this, y</w:t>
      </w:r>
      <w:r w:rsidRPr="005E134B">
        <w:t xml:space="preserve">ou </w:t>
      </w:r>
      <w:r w:rsidR="00B85982">
        <w:t xml:space="preserve">may be taken </w:t>
      </w:r>
      <w:r w:rsidRPr="005E134B">
        <w:t>to court for the offence of obstruction under section 92ZX of the Health Act</w:t>
      </w:r>
      <w:r w:rsidR="00B85982">
        <w:t xml:space="preserve"> 1956</w:t>
      </w:r>
      <w:r w:rsidRPr="005E134B">
        <w:t>. This offence is where you intentionally get in the way of the person under 16/lacking legal capacity complying with this direction.</w:t>
      </w:r>
      <w:r>
        <w:t xml:space="preserve"> </w:t>
      </w:r>
      <w:r w:rsidRPr="005E134B">
        <w:t xml:space="preserve">Should you be found guilty by the District Court, the maximum penalty is a term of imprisonment not exceeding </w:t>
      </w:r>
      <w:r w:rsidR="00B80940">
        <w:t>six</w:t>
      </w:r>
      <w:r w:rsidRPr="005E134B">
        <w:t xml:space="preserve"> months or a fine not exceeding $2,000.</w:t>
      </w:r>
    </w:p>
    <w:p w:rsidR="008D1DCC" w:rsidRPr="005E134B" w:rsidRDefault="008D1DCC" w:rsidP="00B80940"/>
    <w:p w:rsidR="008D1DCC" w:rsidRPr="005E134B" w:rsidRDefault="008D1DCC" w:rsidP="00B80940">
      <w:pPr>
        <w:pStyle w:val="Heading4"/>
      </w:pPr>
      <w:r w:rsidRPr="005E134B">
        <w:t>What rights do you have to challenge the urgent public health order before the 72</w:t>
      </w:r>
      <w:r w:rsidR="00B80940">
        <w:t> </w:t>
      </w:r>
      <w:r w:rsidRPr="005E134B">
        <w:t>hours expires?</w:t>
      </w:r>
    </w:p>
    <w:p w:rsidR="003B22F1" w:rsidRDefault="008D1DCC" w:rsidP="00B80940">
      <w:r w:rsidRPr="005E134B">
        <w:t xml:space="preserve">In unusual circumstances, you may be able to get the </w:t>
      </w:r>
      <w:r>
        <w:t>m</w:t>
      </w:r>
      <w:r w:rsidRPr="005E134B">
        <w:t>edical officer of health who gave you this order to agree to not enforce it before the 72 hours expires.</w:t>
      </w:r>
      <w:r>
        <w:t xml:space="preserve"> This might be possible, f</w:t>
      </w:r>
      <w:r w:rsidRPr="005E134B">
        <w:t xml:space="preserve">or example, you could receive a medical diagnosis or test results within that period which show you do not have the infectious disease </w:t>
      </w:r>
      <w:r w:rsidR="00754D64">
        <w:t xml:space="preserve">and are </w:t>
      </w:r>
      <w:r w:rsidR="00B85982">
        <w:t xml:space="preserve">not </w:t>
      </w:r>
      <w:r w:rsidR="00754D64">
        <w:t xml:space="preserve">a </w:t>
      </w:r>
      <w:r w:rsidR="00B85982">
        <w:t>carr</w:t>
      </w:r>
      <w:r w:rsidR="00754D64">
        <w:t>ier of</w:t>
      </w:r>
      <w:r w:rsidR="00B85982">
        <w:t xml:space="preserve"> it</w:t>
      </w:r>
      <w:r w:rsidRPr="005E134B">
        <w:t>.</w:t>
      </w:r>
    </w:p>
    <w:p w:rsidR="008D1DCC" w:rsidRPr="005E134B" w:rsidRDefault="008D1DCC" w:rsidP="00B80940"/>
    <w:p w:rsidR="008D1DCC" w:rsidRPr="005E134B" w:rsidRDefault="008D1DCC" w:rsidP="00B80940">
      <w:pPr>
        <w:pStyle w:val="Heading4"/>
      </w:pPr>
      <w:r>
        <w:t>Right to apply t</w:t>
      </w:r>
      <w:r w:rsidRPr="005E134B">
        <w:t xml:space="preserve">o challenge unlawful </w:t>
      </w:r>
      <w:r>
        <w:t xml:space="preserve">detention </w:t>
      </w:r>
      <w:r w:rsidRPr="005E134B">
        <w:t>in the High Court before the 72</w:t>
      </w:r>
      <w:r w:rsidR="00B80940">
        <w:t> </w:t>
      </w:r>
      <w:r w:rsidRPr="005E134B">
        <w:t>hours expires</w:t>
      </w:r>
    </w:p>
    <w:p w:rsidR="008D1DCC" w:rsidRPr="005E134B" w:rsidRDefault="008D1DCC" w:rsidP="00B80940">
      <w:pPr>
        <w:rPr>
          <w:u w:val="single"/>
        </w:rPr>
      </w:pPr>
      <w:r w:rsidRPr="005E134B">
        <w:t xml:space="preserve">You may apply to the High Court for a </w:t>
      </w:r>
      <w:r w:rsidR="003B22F1">
        <w:t>‘</w:t>
      </w:r>
      <w:r w:rsidRPr="005E134B">
        <w:t>writ of habeas corpus</w:t>
      </w:r>
      <w:r w:rsidR="003B22F1">
        <w:t>’</w:t>
      </w:r>
      <w:r w:rsidRPr="005E134B">
        <w:t xml:space="preserve"> challenging the legal right to detain you under this order. If </w:t>
      </w:r>
      <w:r>
        <w:t xml:space="preserve">the High Court accepts jurisdiction and finds that the medical officer of health has failed to </w:t>
      </w:r>
      <w:r w:rsidRPr="005E134B">
        <w:t xml:space="preserve">show that your detention is lawful, </w:t>
      </w:r>
      <w:r>
        <w:t xml:space="preserve">it </w:t>
      </w:r>
      <w:r w:rsidRPr="005E134B">
        <w:t>must grant the writ</w:t>
      </w:r>
      <w:r>
        <w:t xml:space="preserve">, and the order detaining you will not apply. </w:t>
      </w:r>
      <w:r w:rsidRPr="005E134B">
        <w:t>If you wish to challenge your detention in this way, you can either seek the services of a lawyer or represent yourself in the court.</w:t>
      </w:r>
      <w:r>
        <w:t xml:space="preserve"> </w:t>
      </w:r>
      <w:r w:rsidRPr="005E134B">
        <w:t xml:space="preserve">An application for a writ of habeas corpus must generally be made by originating application. The court may accept an oral application made by telephoning the </w:t>
      </w:r>
      <w:hyperlink r:id="rId74" w:history="1">
        <w:r w:rsidRPr="005E134B">
          <w:rPr>
            <w:rStyle w:val="Hyperlink"/>
            <w:rFonts w:cs="Arial"/>
          </w:rPr>
          <w:t>High Court</w:t>
        </w:r>
        <w:r w:rsidR="003B22F1">
          <w:rPr>
            <w:rStyle w:val="Hyperlink"/>
            <w:rFonts w:cs="Arial"/>
          </w:rPr>
          <w:t xml:space="preserve"> </w:t>
        </w:r>
        <w:r w:rsidRPr="005E134B">
          <w:rPr>
            <w:rStyle w:val="Hyperlink"/>
            <w:rFonts w:cs="Arial"/>
          </w:rPr>
          <w:t>Registry</w:t>
        </w:r>
      </w:hyperlink>
      <w:r w:rsidRPr="005E134B">
        <w:t xml:space="preserve"> closest to where the applicant is being detained; see </w:t>
      </w:r>
      <w:hyperlink r:id="rId75" w:history="1">
        <w:r w:rsidRPr="005E134B">
          <w:rPr>
            <w:rStyle w:val="Hyperlink"/>
            <w:rFonts w:cs="Arial"/>
          </w:rPr>
          <w:t>section 7(2) of the Habeas Corpus Act 2001</w:t>
        </w:r>
      </w:hyperlink>
      <w:r w:rsidRPr="005E134B">
        <w:t xml:space="preserve">. Template: </w:t>
      </w:r>
      <w:hyperlink r:id="rId76" w:tooltip="Application for a Writ of Habeas Corpus" w:history="1">
        <w:r w:rsidRPr="005E134B">
          <w:rPr>
            <w:rStyle w:val="Hyperlink"/>
            <w:rFonts w:cs="Arial"/>
          </w:rPr>
          <w:t>Application for a writ of habeas corpus (Word,</w:t>
        </w:r>
        <w:r w:rsidR="00B80940">
          <w:rPr>
            <w:rStyle w:val="Hyperlink"/>
            <w:rFonts w:cs="Arial"/>
          </w:rPr>
          <w:t xml:space="preserve"> </w:t>
        </w:r>
        <w:r w:rsidRPr="005E134B">
          <w:rPr>
            <w:rStyle w:val="Hyperlink"/>
            <w:rFonts w:cs="Arial"/>
          </w:rPr>
          <w:t>71 KB)</w:t>
        </w:r>
      </w:hyperlink>
      <w:r w:rsidR="00D953BB">
        <w:rPr>
          <w:rStyle w:val="Hyperlink"/>
          <w:rFonts w:cs="Arial"/>
        </w:rPr>
        <w:t>.</w:t>
      </w:r>
    </w:p>
    <w:p w:rsidR="008D1DCC" w:rsidRPr="005E134B" w:rsidRDefault="008D1DCC" w:rsidP="00B80940"/>
    <w:p w:rsidR="008D1DCC" w:rsidRPr="005E134B" w:rsidRDefault="008D1DCC" w:rsidP="00D953BB">
      <w:pPr>
        <w:keepNext/>
      </w:pPr>
      <w:r>
        <w:t>Y</w:t>
      </w:r>
      <w:r w:rsidRPr="005E134B">
        <w:t xml:space="preserve">ou may have a right to apply to the High Court for judicial review of the urgent public health order, </w:t>
      </w:r>
      <w:r>
        <w:t xml:space="preserve">for example </w:t>
      </w:r>
      <w:r w:rsidRPr="005E134B">
        <w:t>where the grounds for mak</w:t>
      </w:r>
      <w:r>
        <w:t xml:space="preserve">ing it have not been satisfied. </w:t>
      </w:r>
      <w:r w:rsidRPr="005E134B">
        <w:t xml:space="preserve">However, </w:t>
      </w:r>
      <w:r>
        <w:t>you should remember that, as the order only applies for 72 hours</w:t>
      </w:r>
      <w:r w:rsidRPr="005E134B">
        <w:t xml:space="preserve">, by the time the court </w:t>
      </w:r>
      <w:r>
        <w:t xml:space="preserve">is able to hear a judicial review application </w:t>
      </w:r>
      <w:r w:rsidRPr="005E134B">
        <w:t xml:space="preserve">the period </w:t>
      </w:r>
      <w:r>
        <w:t xml:space="preserve">is very likely to </w:t>
      </w:r>
      <w:r w:rsidRPr="005E134B">
        <w:t>have expired.</w:t>
      </w:r>
    </w:p>
    <w:p w:rsidR="008D1DCC" w:rsidRPr="005E134B" w:rsidRDefault="008D1DCC" w:rsidP="00B80940"/>
    <w:p w:rsidR="008D1DCC" w:rsidRPr="005E134B" w:rsidRDefault="008D1DCC" w:rsidP="00B80940">
      <w:pPr>
        <w:pStyle w:val="Heading4"/>
      </w:pPr>
      <w:r w:rsidRPr="005E134B">
        <w:t>After the 72 hours expires</w:t>
      </w:r>
    </w:p>
    <w:p w:rsidR="003B22F1" w:rsidRDefault="008D1DCC" w:rsidP="00B80940">
      <w:r w:rsidRPr="005E134B">
        <w:t xml:space="preserve">One of the </w:t>
      </w:r>
      <w:r>
        <w:t xml:space="preserve">reasons </w:t>
      </w:r>
      <w:r w:rsidRPr="005E134B">
        <w:t>for imposing an urgent public health order on you is t</w:t>
      </w:r>
      <w:r>
        <w:t>hat i</w:t>
      </w:r>
      <w:r w:rsidRPr="005E134B">
        <w:t>t is not practical to wait for the District Court to decide an</w:t>
      </w:r>
      <w:r>
        <w:t xml:space="preserve"> application for a court order. </w:t>
      </w:r>
      <w:r w:rsidRPr="005E134B">
        <w:t xml:space="preserve">In most circumstances of urgency where you need to be detained for more than 72 hours, particularly if you do not comply with voluntary public health actions requested of you, the </w:t>
      </w:r>
      <w:r>
        <w:t>m</w:t>
      </w:r>
      <w:r w:rsidRPr="005E134B">
        <w:t>edical officer of health will apply for a court order within the 72 hours. If this happens, the application will be filed in the court and you will be notified of what happens next.</w:t>
      </w:r>
    </w:p>
    <w:p w:rsidR="008D1DCC" w:rsidRPr="005E134B" w:rsidRDefault="008D1DCC" w:rsidP="00B80940"/>
    <w:p w:rsidR="008D1DCC" w:rsidRPr="005E134B" w:rsidRDefault="008D1DCC" w:rsidP="00B80940">
      <w:pPr>
        <w:pStyle w:val="Heading4"/>
      </w:pPr>
      <w:r w:rsidRPr="005E134B">
        <w:t>Privacy of information</w:t>
      </w:r>
    </w:p>
    <w:p w:rsidR="003B22F1" w:rsidRDefault="008D1DCC" w:rsidP="00B80940">
      <w:r w:rsidRPr="005E134B">
        <w:t>Information about you may not be used or passed on by anyone but you, except for the purpose of effectively managing diseases.</w:t>
      </w:r>
    </w:p>
    <w:p w:rsidR="008D1DCC" w:rsidRDefault="008D1DCC" w:rsidP="00B80940"/>
    <w:p w:rsidR="003B22F1" w:rsidRDefault="008D1DCC" w:rsidP="00B80940">
      <w:pPr>
        <w:pStyle w:val="Heading4"/>
      </w:pPr>
      <w:r w:rsidRPr="005E134B">
        <w:t>For further information</w:t>
      </w:r>
    </w:p>
    <w:p w:rsidR="00B80940" w:rsidRPr="007618AB" w:rsidRDefault="00B80940" w:rsidP="00B80940">
      <w:r w:rsidRPr="007618AB">
        <w:t>If you require further information, you can contact:</w:t>
      </w:r>
    </w:p>
    <w:p w:rsidR="00B80940" w:rsidRPr="007618AB" w:rsidRDefault="00B80940" w:rsidP="00B80940">
      <w:pPr>
        <w:pStyle w:val="Bullet"/>
      </w:pPr>
      <w:r w:rsidRPr="007618AB">
        <w:t>the medical officer of health named on this form – for information about the disease and this direction</w:t>
      </w:r>
    </w:p>
    <w:p w:rsidR="00B80940" w:rsidRPr="007618AB" w:rsidRDefault="00B80940" w:rsidP="00B80940">
      <w:pPr>
        <w:pStyle w:val="Bullet"/>
      </w:pPr>
      <w:r w:rsidRPr="007618AB">
        <w:t>the Citizens</w:t>
      </w:r>
      <w:r>
        <w:t>’</w:t>
      </w:r>
      <w:r w:rsidRPr="007618AB">
        <w:t xml:space="preserve"> Advice Bureau (</w:t>
      </w:r>
      <w:hyperlink r:id="rId77" w:history="1">
        <w:r w:rsidRPr="007618AB">
          <w:rPr>
            <w:rStyle w:val="Hyperlink"/>
            <w:rFonts w:cs="Arial"/>
          </w:rPr>
          <w:t>www.cba.org.nz</w:t>
        </w:r>
      </w:hyperlink>
      <w:r>
        <w:rPr>
          <w:rStyle w:val="Hyperlink"/>
          <w:rFonts w:cs="Arial"/>
        </w:rPr>
        <w:t>,</w:t>
      </w:r>
      <w:r w:rsidRPr="007618AB">
        <w:t xml:space="preserve"> or freephone 0800 367 222)</w:t>
      </w:r>
    </w:p>
    <w:p w:rsidR="00B80940" w:rsidRPr="007618AB" w:rsidRDefault="00B80940" w:rsidP="00B80940">
      <w:pPr>
        <w:pStyle w:val="Bullet"/>
      </w:pPr>
      <w:r w:rsidRPr="007618AB">
        <w:t>the Office of the Health and Disability Commissioner (</w:t>
      </w:r>
      <w:hyperlink r:id="rId78" w:history="1">
        <w:r w:rsidRPr="007618AB">
          <w:rPr>
            <w:rStyle w:val="Hyperlink"/>
            <w:rFonts w:cs="Arial"/>
          </w:rPr>
          <w:t>www.hdc.org.nz</w:t>
        </w:r>
      </w:hyperlink>
      <w:r>
        <w:rPr>
          <w:rStyle w:val="Hyperlink"/>
          <w:rFonts w:cs="Arial"/>
        </w:rPr>
        <w:t>,</w:t>
      </w:r>
      <w:r>
        <w:t xml:space="preserve"> </w:t>
      </w:r>
      <w:r w:rsidRPr="007618AB">
        <w:t>freephone 0800</w:t>
      </w:r>
      <w:r>
        <w:t> </w:t>
      </w:r>
      <w:r w:rsidRPr="007618AB">
        <w:t>11</w:t>
      </w:r>
      <w:r>
        <w:t> </w:t>
      </w:r>
      <w:r w:rsidRPr="007618AB">
        <w:t>22</w:t>
      </w:r>
      <w:r>
        <w:t> </w:t>
      </w:r>
      <w:r w:rsidRPr="007618AB">
        <w:t>33 or email:</w:t>
      </w:r>
      <w:r>
        <w:t xml:space="preserve"> </w:t>
      </w:r>
      <w:hyperlink r:id="rId79" w:history="1">
        <w:r w:rsidRPr="007618AB">
          <w:rPr>
            <w:rStyle w:val="Hyperlink"/>
            <w:rFonts w:cs="Arial"/>
          </w:rPr>
          <w:t>hdc@hdc.org.nz</w:t>
        </w:r>
      </w:hyperlink>
      <w:r w:rsidR="00D953BB">
        <w:rPr>
          <w:rStyle w:val="Hyperlink"/>
          <w:rFonts w:cs="Arial"/>
        </w:rPr>
        <w:t>)</w:t>
      </w:r>
      <w:r w:rsidRPr="007618AB">
        <w:t xml:space="preserve"> for advice on disability support</w:t>
      </w:r>
    </w:p>
    <w:p w:rsidR="00B80940" w:rsidRPr="007618AB" w:rsidRDefault="00B80940" w:rsidP="00B80940">
      <w:pPr>
        <w:pStyle w:val="Bullet"/>
      </w:pPr>
      <w:r w:rsidRPr="007618AB">
        <w:t xml:space="preserve">the Community Law Centre </w:t>
      </w:r>
      <w:r w:rsidR="00D953BB">
        <w:t>(</w:t>
      </w:r>
      <w:hyperlink r:id="rId80" w:history="1">
        <w:r w:rsidRPr="007618AB">
          <w:rPr>
            <w:rStyle w:val="Hyperlink"/>
            <w:rFonts w:cs="Arial"/>
          </w:rPr>
          <w:t>www.communitylaw.org.nz</w:t>
        </w:r>
      </w:hyperlink>
      <w:r w:rsidR="00D953BB">
        <w:rPr>
          <w:rStyle w:val="Hyperlink"/>
          <w:rFonts w:cs="Arial"/>
        </w:rPr>
        <w:t>)</w:t>
      </w:r>
      <w:r w:rsidRPr="007618AB">
        <w:t xml:space="preserve"> for legal advice</w:t>
      </w:r>
    </w:p>
    <w:p w:rsidR="00B80940" w:rsidRPr="007618AB" w:rsidRDefault="00B80940" w:rsidP="00B80940">
      <w:pPr>
        <w:pStyle w:val="Bullet"/>
      </w:pPr>
      <w:r w:rsidRPr="007618AB">
        <w:t>the New Zealand Society of Translators and Interpreters</w:t>
      </w:r>
      <w:r>
        <w:t>’</w:t>
      </w:r>
      <w:r w:rsidRPr="007618AB">
        <w:t xml:space="preserve"> (</w:t>
      </w:r>
      <w:hyperlink r:id="rId81" w:history="1">
        <w:r w:rsidRPr="007618AB">
          <w:rPr>
            <w:rStyle w:val="Hyperlink"/>
            <w:rFonts w:cs="Arial"/>
          </w:rPr>
          <w:t>www.nzsti.org/faq/</w:t>
        </w:r>
      </w:hyperlink>
      <w:r w:rsidRPr="007618AB">
        <w:rPr>
          <w:rStyle w:val="Hyperlink"/>
          <w:rFonts w:cs="Arial"/>
        </w:rPr>
        <w:t>) to locate an interpreter.</w:t>
      </w:r>
    </w:p>
    <w:p w:rsidR="00B80940" w:rsidRPr="007618AB" w:rsidRDefault="00B80940" w:rsidP="00B80940"/>
    <w:p w:rsidR="00B80940" w:rsidRPr="007618AB" w:rsidRDefault="00B80940" w:rsidP="00B80940">
      <w:r w:rsidRPr="007618AB">
        <w:t xml:space="preserve">The Ministry of Justice and Courts of New Zealand websites have information about going to court, including applying for legal aid and information about court-based interpreters: see </w:t>
      </w:r>
      <w:hyperlink r:id="rId82" w:history="1">
        <w:r w:rsidRPr="007618AB">
          <w:rPr>
            <w:rStyle w:val="Hyperlink"/>
            <w:rFonts w:cs="Arial"/>
          </w:rPr>
          <w:t>www.justice.govt.nz/services/legal-help/</w:t>
        </w:r>
      </w:hyperlink>
      <w:r w:rsidRPr="007618AB">
        <w:t xml:space="preserve"> and </w:t>
      </w:r>
      <w:hyperlink r:id="rId83" w:history="1">
        <w:r w:rsidRPr="007618AB">
          <w:rPr>
            <w:rStyle w:val="Hyperlink"/>
            <w:rFonts w:cs="Arial"/>
          </w:rPr>
          <w:t>www.courtsofnz.govt.nz</w:t>
        </w:r>
      </w:hyperlink>
    </w:p>
    <w:p w:rsidR="00B80940" w:rsidRDefault="00B80940" w:rsidP="00B80940"/>
    <w:p w:rsidR="008D1DCC" w:rsidRPr="00A651AB" w:rsidRDefault="008D1DCC" w:rsidP="00B80940">
      <w:pPr>
        <w:pStyle w:val="Heading1"/>
      </w:pPr>
      <w:bookmarkStart w:id="98" w:name="_Toc473538589"/>
      <w:r w:rsidRPr="00A651AB">
        <w:t>12</w:t>
      </w:r>
      <w:r w:rsidR="00B80940">
        <w:tab/>
      </w:r>
      <w:r w:rsidRPr="00A651AB">
        <w:t>Appendices</w:t>
      </w:r>
      <w:bookmarkEnd w:id="98"/>
    </w:p>
    <w:p w:rsidR="008D1DCC" w:rsidRPr="00853E12" w:rsidRDefault="008D1DCC" w:rsidP="00B80940">
      <w:pPr>
        <w:pStyle w:val="Heading2"/>
      </w:pPr>
      <w:bookmarkStart w:id="99" w:name="_Toc473538590"/>
      <w:r w:rsidRPr="00853E12">
        <w:t>Appendix 1: Glossary</w:t>
      </w:r>
      <w:bookmarkEnd w:id="99"/>
    </w:p>
    <w:p w:rsidR="008D1DCC" w:rsidRPr="002C2D0F" w:rsidRDefault="008D1DCC" w:rsidP="00B80940">
      <w:pPr>
        <w:pStyle w:val="Heading3"/>
      </w:pPr>
      <w:r w:rsidRPr="002C2D0F">
        <w:t>Definitions</w:t>
      </w:r>
    </w:p>
    <w:p w:rsidR="008D1DCC" w:rsidRPr="005E134B" w:rsidRDefault="008D1DCC" w:rsidP="005B6500">
      <w:pPr>
        <w:spacing w:before="180"/>
      </w:pPr>
      <w:r w:rsidRPr="005B6500">
        <w:rPr>
          <w:b/>
        </w:rPr>
        <w:t>Case:</w:t>
      </w:r>
      <w:r w:rsidRPr="005E134B">
        <w:t xml:space="preserve"> An individual who has or may have an infectious disease.</w:t>
      </w:r>
    </w:p>
    <w:p w:rsidR="008D1DCC" w:rsidRPr="005E134B" w:rsidRDefault="008D1DCC" w:rsidP="005B6500">
      <w:pPr>
        <w:spacing w:before="180"/>
      </w:pPr>
      <w:r w:rsidRPr="005B6500">
        <w:rPr>
          <w:b/>
        </w:rPr>
        <w:t>Contact:</w:t>
      </w:r>
      <w:r w:rsidRPr="005E134B">
        <w:t xml:space="preserve"> An individual who has been in contact with another person who has, or is suspected of having, an infectious disease.</w:t>
      </w:r>
    </w:p>
    <w:p w:rsidR="008D1DCC" w:rsidRPr="005E134B" w:rsidRDefault="008D1DCC" w:rsidP="005B6500">
      <w:pPr>
        <w:spacing w:before="180"/>
      </w:pPr>
      <w:r w:rsidRPr="005B6500">
        <w:rPr>
          <w:b/>
        </w:rPr>
        <w:t>Contact tracing:</w:t>
      </w:r>
      <w:r>
        <w:t xml:space="preserve"> </w:t>
      </w:r>
      <w:r w:rsidRPr="005E134B">
        <w:t>Tracing contacts of a person who has, or is suspected of having, an infectious disease</w:t>
      </w:r>
      <w:r w:rsidR="00754D64">
        <w:t>,</w:t>
      </w:r>
      <w:r w:rsidRPr="005E134B">
        <w:t xml:space="preserve"> in order to tell them of the disease risk and prevent its transmission.</w:t>
      </w:r>
    </w:p>
    <w:p w:rsidR="008D1DCC" w:rsidRPr="005E134B" w:rsidRDefault="008D1DCC" w:rsidP="005B6500">
      <w:pPr>
        <w:spacing w:before="180"/>
      </w:pPr>
      <w:r w:rsidRPr="005B6500">
        <w:rPr>
          <w:b/>
        </w:rPr>
        <w:t>Direction:</w:t>
      </w:r>
      <w:r w:rsidRPr="005E134B">
        <w:t xml:space="preserve"> Written directions imposed by a medical officer of health on an individual.</w:t>
      </w:r>
      <w:r w:rsidR="005B6500">
        <w:t xml:space="preserve"> T</w:t>
      </w:r>
      <w:r w:rsidRPr="005E134B">
        <w:t>here are four types</w:t>
      </w:r>
      <w:r>
        <w:t xml:space="preserve"> of direction</w:t>
      </w:r>
      <w:r w:rsidRPr="005E134B">
        <w:t>:</w:t>
      </w:r>
    </w:p>
    <w:p w:rsidR="008D1DCC" w:rsidRPr="005E134B" w:rsidRDefault="005B6500" w:rsidP="005B6500">
      <w:pPr>
        <w:spacing w:before="120"/>
        <w:ind w:left="567" w:hanging="567"/>
      </w:pPr>
      <w:r>
        <w:t>(1)</w:t>
      </w:r>
      <w:r>
        <w:tab/>
      </w:r>
      <w:r w:rsidR="008D1DCC" w:rsidRPr="005E134B">
        <w:t>to an individual posing a public health risk</w:t>
      </w:r>
    </w:p>
    <w:p w:rsidR="008D1DCC" w:rsidRPr="005E134B" w:rsidRDefault="005B6500" w:rsidP="005B6500">
      <w:pPr>
        <w:spacing w:before="120"/>
        <w:ind w:left="567" w:hanging="567"/>
      </w:pPr>
      <w:r>
        <w:t>(2)</w:t>
      </w:r>
      <w:r>
        <w:tab/>
      </w:r>
      <w:r w:rsidR="008D1DCC" w:rsidRPr="005E134B">
        <w:t>to contacts of an individu</w:t>
      </w:r>
      <w:r w:rsidR="008D1DCC">
        <w:t>al posing a public health risk</w:t>
      </w:r>
    </w:p>
    <w:p w:rsidR="008D1DCC" w:rsidRPr="005E134B" w:rsidRDefault="005B6500" w:rsidP="005B6500">
      <w:pPr>
        <w:spacing w:before="120"/>
        <w:ind w:left="567" w:hanging="567"/>
      </w:pPr>
      <w:r>
        <w:t>(3)</w:t>
      </w:r>
      <w:r>
        <w:tab/>
      </w:r>
      <w:r w:rsidR="008D1DCC" w:rsidRPr="005E134B">
        <w:t>to an individual to undergo a medical examination</w:t>
      </w:r>
      <w:r w:rsidR="00754D64">
        <w:t>, or examinations,</w:t>
      </w:r>
      <w:r w:rsidR="008D1DCC" w:rsidRPr="005E134B">
        <w:t xml:space="preserve"> to determine whether he or</w:t>
      </w:r>
      <w:r w:rsidR="008D1DCC">
        <w:t xml:space="preserve"> she has an infectious disease</w:t>
      </w:r>
    </w:p>
    <w:p w:rsidR="008D1DCC" w:rsidRPr="005E134B" w:rsidRDefault="005B6500" w:rsidP="005B6500">
      <w:pPr>
        <w:spacing w:before="120"/>
        <w:ind w:left="567" w:hanging="567"/>
      </w:pPr>
      <w:r>
        <w:t>(4)</w:t>
      </w:r>
      <w:r>
        <w:tab/>
      </w:r>
      <w:r w:rsidR="00754D64">
        <w:t>to a</w:t>
      </w:r>
      <w:r w:rsidR="008D1DCC" w:rsidRPr="005E134B">
        <w:t xml:space="preserve"> person in charge of an educational institution to close the institution or part of it, or to direct people attending it to stay away until further notice.</w:t>
      </w:r>
      <w:r w:rsidR="008D1DCC" w:rsidRPr="005B6500">
        <w:rPr>
          <w:rStyle w:val="FootnoteReference"/>
        </w:rPr>
        <w:footnoteReference w:id="165"/>
      </w:r>
    </w:p>
    <w:p w:rsidR="004A0EE3" w:rsidRDefault="004A0EE3" w:rsidP="004A0EE3">
      <w:pPr>
        <w:spacing w:before="180"/>
      </w:pPr>
      <w:r w:rsidRPr="005B6500">
        <w:rPr>
          <w:b/>
        </w:rPr>
        <w:t>Early childhood education centre:</w:t>
      </w:r>
      <w:r>
        <w:t xml:space="preserve"> </w:t>
      </w:r>
      <w:r w:rsidRPr="005E134B">
        <w:t>Premises used regularly for the education or care of three or more children (not being children of the individuals providing the education or care, or children enrolled at a school being provided with education or care before or aft</w:t>
      </w:r>
      <w:r>
        <w:t>er school) under the age of six:</w:t>
      </w:r>
    </w:p>
    <w:p w:rsidR="004A0EE3" w:rsidRDefault="004A0EE3" w:rsidP="004A0EE3">
      <w:pPr>
        <w:spacing w:before="120"/>
        <w:ind w:left="567" w:hanging="567"/>
      </w:pPr>
      <w:r>
        <w:t>(a)</w:t>
      </w:r>
      <w:r>
        <w:tab/>
      </w:r>
      <w:r w:rsidRPr="00D1158F">
        <w:t>by the day or part of a day</w:t>
      </w:r>
    </w:p>
    <w:p w:rsidR="004A0EE3" w:rsidRDefault="004A0EE3" w:rsidP="004A0EE3">
      <w:pPr>
        <w:spacing w:before="120"/>
        <w:ind w:left="567" w:hanging="567"/>
        <w:rPr>
          <w:szCs w:val="24"/>
          <w:lang w:eastAsia="en-NZ"/>
        </w:rPr>
      </w:pPr>
      <w:r>
        <w:rPr>
          <w:szCs w:val="24"/>
          <w:lang w:eastAsia="en-NZ"/>
        </w:rPr>
        <w:t>(b)</w:t>
      </w:r>
      <w:r>
        <w:rPr>
          <w:szCs w:val="24"/>
          <w:lang w:eastAsia="en-NZ"/>
        </w:rPr>
        <w:tab/>
      </w:r>
      <w:r w:rsidRPr="00D1158F">
        <w:rPr>
          <w:szCs w:val="24"/>
          <w:lang w:eastAsia="en-NZ"/>
        </w:rPr>
        <w:t>but not for any continuous period of more than seven days.</w:t>
      </w:r>
    </w:p>
    <w:p w:rsidR="003B22F1" w:rsidRDefault="008D1DCC" w:rsidP="005B6500">
      <w:pPr>
        <w:spacing w:before="180"/>
      </w:pPr>
      <w:r w:rsidRPr="005B6500">
        <w:rPr>
          <w:b/>
        </w:rPr>
        <w:t>Educational institution:</w:t>
      </w:r>
      <w:r w:rsidRPr="005E134B">
        <w:t xml:space="preserve"> Any place where people gather for the purpose of education or training, and </w:t>
      </w:r>
      <w:r>
        <w:t xml:space="preserve">it </w:t>
      </w:r>
      <w:r w:rsidRPr="005E134B">
        <w:t>includes an early childhood education and care centre within the meaning of section 310(1) of the Education Act 1989 (but note that section 310(2) and (4) contain several exception</w:t>
      </w:r>
      <w:r>
        <w:t>s</w:t>
      </w:r>
      <w:r w:rsidRPr="005E134B">
        <w:t xml:space="preserve"> to this general definition).</w:t>
      </w:r>
    </w:p>
    <w:p w:rsidR="008D1DCC" w:rsidRPr="005E134B" w:rsidRDefault="008D1DCC" w:rsidP="005B6500">
      <w:pPr>
        <w:spacing w:before="180"/>
        <w:rPr>
          <w:lang w:eastAsia="en-NZ"/>
        </w:rPr>
      </w:pPr>
      <w:r w:rsidRPr="005B6500">
        <w:rPr>
          <w:b/>
          <w:lang w:eastAsia="en-NZ"/>
        </w:rPr>
        <w:t>Formal contact tracing:</w:t>
      </w:r>
      <w:r>
        <w:rPr>
          <w:lang w:eastAsia="en-NZ"/>
        </w:rPr>
        <w:t xml:space="preserve"> </w:t>
      </w:r>
      <w:r w:rsidRPr="005E134B">
        <w:rPr>
          <w:lang w:eastAsia="en-NZ"/>
        </w:rPr>
        <w:t xml:space="preserve">Contact tracing carried out by a medical officer of health, health protection officer, or suitably qualified health or community worker nominated by a medical officer of health or </w:t>
      </w:r>
      <w:r>
        <w:rPr>
          <w:lang w:eastAsia="en-NZ"/>
        </w:rPr>
        <w:t xml:space="preserve">DHB to contact trace. </w:t>
      </w:r>
      <w:r w:rsidRPr="005E134B">
        <w:rPr>
          <w:lang w:eastAsia="en-NZ"/>
        </w:rPr>
        <w:t>The Health Act empowers a formal contact tracer to require information about contacts from the case.</w:t>
      </w:r>
      <w:r>
        <w:rPr>
          <w:lang w:eastAsia="en-NZ"/>
        </w:rPr>
        <w:t xml:space="preserve"> </w:t>
      </w:r>
      <w:r w:rsidRPr="005E134B">
        <w:rPr>
          <w:lang w:eastAsia="en-NZ"/>
        </w:rPr>
        <w:t>Formal contact tracing is mandatory in nature.</w:t>
      </w:r>
    </w:p>
    <w:p w:rsidR="008D1DCC" w:rsidRPr="005E134B" w:rsidRDefault="008D1DCC" w:rsidP="005B6500">
      <w:pPr>
        <w:spacing w:before="180"/>
      </w:pPr>
      <w:r w:rsidRPr="005B6500">
        <w:rPr>
          <w:b/>
        </w:rPr>
        <w:t>Health practitioner:</w:t>
      </w:r>
      <w:r>
        <w:t xml:space="preserve"> </w:t>
      </w:r>
      <w:r w:rsidRPr="005E134B">
        <w:t>An individual who is, or is deemed to be, registered with an authority as a practitioner of a particular health profession.</w:t>
      </w:r>
      <w:r w:rsidRPr="005B6500">
        <w:rPr>
          <w:rStyle w:val="FootnoteReference"/>
        </w:rPr>
        <w:footnoteReference w:id="166"/>
      </w:r>
    </w:p>
    <w:p w:rsidR="003B22F1" w:rsidRDefault="008D1DCC" w:rsidP="005B6500">
      <w:pPr>
        <w:spacing w:before="180"/>
        <w:rPr>
          <w:szCs w:val="24"/>
        </w:rPr>
      </w:pPr>
      <w:r w:rsidRPr="005B6500">
        <w:rPr>
          <w:b/>
          <w:szCs w:val="24"/>
        </w:rPr>
        <w:t>Infectious diseases:</w:t>
      </w:r>
      <w:r>
        <w:rPr>
          <w:szCs w:val="24"/>
        </w:rPr>
        <w:t xml:space="preserve"> A </w:t>
      </w:r>
      <w:r w:rsidRPr="005E134B">
        <w:rPr>
          <w:szCs w:val="24"/>
        </w:rPr>
        <w:t>notifiable</w:t>
      </w:r>
      <w:r>
        <w:rPr>
          <w:szCs w:val="24"/>
        </w:rPr>
        <w:t>,</w:t>
      </w:r>
      <w:r w:rsidRPr="005E134B">
        <w:rPr>
          <w:szCs w:val="24"/>
        </w:rPr>
        <w:t xml:space="preserve"> or non</w:t>
      </w:r>
      <w:r w:rsidR="00F420AF">
        <w:rPr>
          <w:szCs w:val="24"/>
        </w:rPr>
        <w:t>-</w:t>
      </w:r>
      <w:r w:rsidRPr="005E134B">
        <w:rPr>
          <w:szCs w:val="24"/>
        </w:rPr>
        <w:t>notifiable</w:t>
      </w:r>
      <w:r>
        <w:rPr>
          <w:szCs w:val="24"/>
        </w:rPr>
        <w:t>,</w:t>
      </w:r>
      <w:r w:rsidRPr="005E134B">
        <w:rPr>
          <w:szCs w:val="24"/>
        </w:rPr>
        <w:t xml:space="preserve"> infectious disease listed in Part 1 or 2 of</w:t>
      </w:r>
      <w:r>
        <w:rPr>
          <w:szCs w:val="24"/>
        </w:rPr>
        <w:t xml:space="preserve"> Schedule 1 of</w:t>
      </w:r>
      <w:r w:rsidRPr="005E134B">
        <w:rPr>
          <w:szCs w:val="24"/>
        </w:rPr>
        <w:t xml:space="preserve"> the Health Act.</w:t>
      </w:r>
    </w:p>
    <w:p w:rsidR="008D1DCC" w:rsidRPr="005E134B" w:rsidRDefault="008D1DCC" w:rsidP="005B6500">
      <w:pPr>
        <w:spacing w:before="180"/>
      </w:pPr>
      <w:r w:rsidRPr="005B6500">
        <w:rPr>
          <w:b/>
        </w:rPr>
        <w:t>Informal contact tracing:</w:t>
      </w:r>
      <w:r>
        <w:t xml:space="preserve"> </w:t>
      </w:r>
      <w:r w:rsidRPr="005E134B">
        <w:t>Contact tracing done without a legislative footing, with no legal power to require information from the case. Some primary health providers,</w:t>
      </w:r>
      <w:r>
        <w:t xml:space="preserve"> STI clinics and </w:t>
      </w:r>
      <w:r w:rsidR="005B6500">
        <w:t xml:space="preserve">NGOs </w:t>
      </w:r>
      <w:r w:rsidRPr="005E134B">
        <w:t xml:space="preserve">undertook </w:t>
      </w:r>
      <w:r>
        <w:t xml:space="preserve">informal </w:t>
      </w:r>
      <w:r w:rsidRPr="005E134B">
        <w:t>contact tracing prior to the enactment of new Part 3A of the Health Act and should continue to do so.</w:t>
      </w:r>
    </w:p>
    <w:p w:rsidR="008D1DCC" w:rsidRDefault="008D1DCC" w:rsidP="005B6500">
      <w:pPr>
        <w:spacing w:before="180"/>
        <w:rPr>
          <w:lang w:eastAsia="en-NZ"/>
        </w:rPr>
      </w:pPr>
      <w:r w:rsidRPr="005B6500">
        <w:rPr>
          <w:b/>
          <w:lang w:eastAsia="en-NZ"/>
        </w:rPr>
        <w:t>Medical examination:</w:t>
      </w:r>
      <w:r w:rsidRPr="005E134B">
        <w:rPr>
          <w:lang w:eastAsia="en-NZ"/>
        </w:rPr>
        <w:t xml:space="preserve"> The physical examination or testing of a person for the purpose of determining whether he or she has or is likely to have an infectious disease</w:t>
      </w:r>
      <w:r>
        <w:rPr>
          <w:lang w:eastAsia="en-NZ"/>
        </w:rPr>
        <w:t xml:space="preserve">. </w:t>
      </w:r>
      <w:r w:rsidRPr="005E134B">
        <w:rPr>
          <w:lang w:eastAsia="en-NZ"/>
        </w:rPr>
        <w:t xml:space="preserve">The term </w:t>
      </w:r>
      <w:r>
        <w:rPr>
          <w:lang w:eastAsia="en-NZ"/>
        </w:rPr>
        <w:t>includes:</w:t>
      </w:r>
    </w:p>
    <w:p w:rsidR="008D1DCC" w:rsidRPr="005E134B" w:rsidRDefault="005B6500" w:rsidP="005B6500">
      <w:pPr>
        <w:spacing w:before="120"/>
        <w:ind w:left="567" w:hanging="567"/>
        <w:rPr>
          <w:lang w:eastAsia="en-NZ"/>
        </w:rPr>
      </w:pPr>
      <w:r>
        <w:rPr>
          <w:lang w:eastAsia="en-NZ"/>
        </w:rPr>
        <w:t>(a)</w:t>
      </w:r>
      <w:r>
        <w:rPr>
          <w:lang w:eastAsia="en-NZ"/>
        </w:rPr>
        <w:tab/>
      </w:r>
      <w:r w:rsidR="008D1DCC" w:rsidRPr="005E134B">
        <w:rPr>
          <w:lang w:eastAsia="en-NZ"/>
        </w:rPr>
        <w:t>the taking of a sample of tissue, blood, urine, or other bodily material for medical</w:t>
      </w:r>
      <w:r w:rsidR="008D1DCC">
        <w:rPr>
          <w:lang w:eastAsia="en-NZ"/>
        </w:rPr>
        <w:t xml:space="preserve"> testing</w:t>
      </w:r>
    </w:p>
    <w:p w:rsidR="008D1DCC" w:rsidRPr="005E134B" w:rsidRDefault="005B6500" w:rsidP="005B6500">
      <w:pPr>
        <w:spacing w:before="120"/>
        <w:ind w:left="567" w:hanging="567"/>
        <w:rPr>
          <w:lang w:eastAsia="en-NZ"/>
        </w:rPr>
      </w:pPr>
      <w:r>
        <w:rPr>
          <w:lang w:eastAsia="en-NZ"/>
        </w:rPr>
        <w:t>(b)</w:t>
      </w:r>
      <w:r>
        <w:rPr>
          <w:lang w:eastAsia="en-NZ"/>
        </w:rPr>
        <w:tab/>
      </w:r>
      <w:r w:rsidR="008D1DCC" w:rsidRPr="005E134B">
        <w:rPr>
          <w:lang w:eastAsia="en-NZ"/>
        </w:rPr>
        <w:t>any diagnostic tests required to detect the presence of, or immunity to, an infect</w:t>
      </w:r>
      <w:r w:rsidR="008D1DCC">
        <w:rPr>
          <w:lang w:eastAsia="en-NZ"/>
        </w:rPr>
        <w:t>ious disease in a person</w:t>
      </w:r>
      <w:r>
        <w:rPr>
          <w:lang w:eastAsia="en-NZ"/>
        </w:rPr>
        <w:t>.</w:t>
      </w:r>
    </w:p>
    <w:p w:rsidR="008D1DCC" w:rsidRPr="005E134B" w:rsidRDefault="008D1DCC" w:rsidP="005B6500">
      <w:pPr>
        <w:spacing w:before="180"/>
        <w:rPr>
          <w:lang w:eastAsia="en-NZ"/>
        </w:rPr>
      </w:pPr>
      <w:r w:rsidRPr="005B6500">
        <w:rPr>
          <w:b/>
          <w:lang w:eastAsia="en-NZ"/>
        </w:rPr>
        <w:t>Medical examination order:</w:t>
      </w:r>
      <w:r>
        <w:rPr>
          <w:lang w:eastAsia="en-NZ"/>
        </w:rPr>
        <w:t xml:space="preserve"> </w:t>
      </w:r>
      <w:r w:rsidRPr="005E134B">
        <w:rPr>
          <w:lang w:eastAsia="en-NZ"/>
        </w:rPr>
        <w:t xml:space="preserve">An order made by </w:t>
      </w:r>
      <w:r>
        <w:rPr>
          <w:lang w:eastAsia="en-NZ"/>
        </w:rPr>
        <w:t>the</w:t>
      </w:r>
      <w:r w:rsidRPr="005E134B">
        <w:rPr>
          <w:lang w:eastAsia="en-NZ"/>
        </w:rPr>
        <w:t xml:space="preserve"> District Court on the application of a medical officer of health.</w:t>
      </w:r>
      <w:r w:rsidRPr="005B6500">
        <w:rPr>
          <w:rStyle w:val="FootnoteReference"/>
        </w:rPr>
        <w:footnoteReference w:id="167"/>
      </w:r>
      <w:r>
        <w:rPr>
          <w:lang w:eastAsia="en-NZ"/>
        </w:rPr>
        <w:t xml:space="preserve"> </w:t>
      </w:r>
      <w:r w:rsidRPr="005E134B">
        <w:rPr>
          <w:lang w:eastAsia="en-NZ"/>
        </w:rPr>
        <w:t>The order requires an individual to undergo a medical examination within a specified period to determine whether he or she has a particular infectious disease.</w:t>
      </w:r>
    </w:p>
    <w:p w:rsidR="008D1DCC" w:rsidRPr="005E134B" w:rsidRDefault="008D1DCC" w:rsidP="005B6500">
      <w:pPr>
        <w:spacing w:before="180"/>
        <w:rPr>
          <w:lang w:eastAsia="en-NZ"/>
        </w:rPr>
      </w:pPr>
      <w:r w:rsidRPr="005B6500">
        <w:rPr>
          <w:b/>
          <w:lang w:eastAsia="en-NZ"/>
        </w:rPr>
        <w:t>Notices:</w:t>
      </w:r>
      <w:r>
        <w:rPr>
          <w:lang w:eastAsia="en-NZ"/>
        </w:rPr>
        <w:t xml:space="preserve"> </w:t>
      </w:r>
      <w:r w:rsidRPr="005E134B">
        <w:rPr>
          <w:lang w:eastAsia="en-NZ"/>
        </w:rPr>
        <w:t>A formal document used to convey something in writing, at the discretion of the medical officer of health or health protection officer</w:t>
      </w:r>
      <w:r>
        <w:rPr>
          <w:lang w:eastAsia="en-NZ"/>
        </w:rPr>
        <w:t xml:space="preserve"> (eg</w:t>
      </w:r>
      <w:r w:rsidRPr="005E134B">
        <w:rPr>
          <w:lang w:eastAsia="en-NZ"/>
        </w:rPr>
        <w:t>, a notice to extend, vary or cancel a direction</w:t>
      </w:r>
      <w:r>
        <w:rPr>
          <w:lang w:eastAsia="en-NZ"/>
        </w:rPr>
        <w:t>)</w:t>
      </w:r>
      <w:r w:rsidRPr="005E134B">
        <w:rPr>
          <w:lang w:eastAsia="en-NZ"/>
        </w:rPr>
        <w:t xml:space="preserve">. The Act uses the term </w:t>
      </w:r>
      <w:r w:rsidR="003B22F1">
        <w:rPr>
          <w:lang w:eastAsia="en-NZ"/>
        </w:rPr>
        <w:t>‘</w:t>
      </w:r>
      <w:r w:rsidRPr="005E134B">
        <w:rPr>
          <w:lang w:eastAsia="en-NZ"/>
        </w:rPr>
        <w:t>notice</w:t>
      </w:r>
      <w:r w:rsidR="003B22F1">
        <w:rPr>
          <w:lang w:eastAsia="en-NZ"/>
        </w:rPr>
        <w:t>’</w:t>
      </w:r>
      <w:r w:rsidRPr="005E134B">
        <w:rPr>
          <w:lang w:eastAsia="en-NZ"/>
        </w:rPr>
        <w:t xml:space="preserve"> but does not define or elaborate on it.</w:t>
      </w:r>
    </w:p>
    <w:p w:rsidR="008D1DCC" w:rsidRPr="005E134B" w:rsidRDefault="008D1DCC" w:rsidP="005B6500">
      <w:pPr>
        <w:spacing w:before="180"/>
        <w:rPr>
          <w:lang w:eastAsia="en-NZ"/>
        </w:rPr>
      </w:pPr>
      <w:r w:rsidRPr="005B6500">
        <w:rPr>
          <w:b/>
          <w:szCs w:val="24"/>
        </w:rPr>
        <w:t>Notifiable infectious diseases:</w:t>
      </w:r>
      <w:r>
        <w:rPr>
          <w:szCs w:val="24"/>
        </w:rPr>
        <w:t xml:space="preserve"> </w:t>
      </w:r>
      <w:r w:rsidRPr="005E134B">
        <w:rPr>
          <w:szCs w:val="24"/>
        </w:rPr>
        <w:t xml:space="preserve">Infectious diseases listed in </w:t>
      </w:r>
      <w:r>
        <w:rPr>
          <w:szCs w:val="24"/>
        </w:rPr>
        <w:t xml:space="preserve">Part 1 of Schedule </w:t>
      </w:r>
      <w:r w:rsidRPr="005E134B">
        <w:rPr>
          <w:szCs w:val="24"/>
        </w:rPr>
        <w:t>1 of the Health Act.</w:t>
      </w:r>
    </w:p>
    <w:p w:rsidR="008D1DCC" w:rsidRPr="005E134B" w:rsidRDefault="008D1DCC" w:rsidP="005B6500">
      <w:pPr>
        <w:spacing w:before="180"/>
        <w:rPr>
          <w:lang w:eastAsia="en-NZ"/>
        </w:rPr>
      </w:pPr>
      <w:r w:rsidRPr="005B6500">
        <w:rPr>
          <w:b/>
          <w:szCs w:val="24"/>
        </w:rPr>
        <w:t>Order for contacts:</w:t>
      </w:r>
      <w:r>
        <w:rPr>
          <w:szCs w:val="24"/>
        </w:rPr>
        <w:t xml:space="preserve"> </w:t>
      </w:r>
      <w:r w:rsidRPr="005E134B">
        <w:rPr>
          <w:szCs w:val="24"/>
        </w:rPr>
        <w:t xml:space="preserve">An order made by </w:t>
      </w:r>
      <w:r>
        <w:rPr>
          <w:szCs w:val="24"/>
        </w:rPr>
        <w:t>the</w:t>
      </w:r>
      <w:r w:rsidRPr="005E134B">
        <w:rPr>
          <w:szCs w:val="24"/>
        </w:rPr>
        <w:t xml:space="preserve"> District Court on the application of a medical officer of health.</w:t>
      </w:r>
      <w:r w:rsidRPr="005B6500">
        <w:rPr>
          <w:rStyle w:val="FootnoteReference"/>
        </w:rPr>
        <w:footnoteReference w:id="168"/>
      </w:r>
      <w:r>
        <w:rPr>
          <w:szCs w:val="24"/>
        </w:rPr>
        <w:t xml:space="preserve"> The </w:t>
      </w:r>
      <w:r w:rsidRPr="005E134B">
        <w:rPr>
          <w:szCs w:val="24"/>
        </w:rPr>
        <w:t xml:space="preserve">contact </w:t>
      </w:r>
      <w:r>
        <w:rPr>
          <w:szCs w:val="24"/>
        </w:rPr>
        <w:t xml:space="preserve">must </w:t>
      </w:r>
      <w:r w:rsidRPr="005E134B">
        <w:rPr>
          <w:szCs w:val="24"/>
        </w:rPr>
        <w:t xml:space="preserve">comply with certain requirements to prevent or minimise the public health risk </w:t>
      </w:r>
      <w:r>
        <w:rPr>
          <w:szCs w:val="24"/>
        </w:rPr>
        <w:t xml:space="preserve">he or she </w:t>
      </w:r>
      <w:r w:rsidRPr="005E134B">
        <w:rPr>
          <w:szCs w:val="24"/>
        </w:rPr>
        <w:t>may pose.</w:t>
      </w:r>
    </w:p>
    <w:p w:rsidR="008D1DCC" w:rsidRPr="005E134B" w:rsidRDefault="008D1DCC" w:rsidP="005B6500">
      <w:pPr>
        <w:spacing w:before="180"/>
        <w:rPr>
          <w:szCs w:val="24"/>
        </w:rPr>
      </w:pPr>
      <w:r w:rsidRPr="005B6500">
        <w:rPr>
          <w:b/>
          <w:szCs w:val="24"/>
        </w:rPr>
        <w:t>Other infectious diseases:</w:t>
      </w:r>
      <w:r w:rsidRPr="005E134B">
        <w:rPr>
          <w:szCs w:val="24"/>
        </w:rPr>
        <w:t xml:space="preserve"> Non</w:t>
      </w:r>
      <w:r w:rsidR="005B6500">
        <w:rPr>
          <w:szCs w:val="24"/>
        </w:rPr>
        <w:t>-</w:t>
      </w:r>
      <w:r w:rsidRPr="005E134B">
        <w:rPr>
          <w:szCs w:val="24"/>
        </w:rPr>
        <w:t>notifiable</w:t>
      </w:r>
      <w:r>
        <w:rPr>
          <w:szCs w:val="24"/>
        </w:rPr>
        <w:t>,</w:t>
      </w:r>
      <w:r w:rsidR="00754D64">
        <w:rPr>
          <w:szCs w:val="24"/>
        </w:rPr>
        <w:t xml:space="preserve"> infectious diseases listed in </w:t>
      </w:r>
      <w:r w:rsidRPr="005E134B">
        <w:rPr>
          <w:szCs w:val="24"/>
        </w:rPr>
        <w:t xml:space="preserve">Part 2 of </w:t>
      </w:r>
      <w:r w:rsidR="00754D64">
        <w:rPr>
          <w:szCs w:val="24"/>
        </w:rPr>
        <w:t xml:space="preserve">Schedule 1 of </w:t>
      </w:r>
      <w:r w:rsidRPr="005E134B">
        <w:rPr>
          <w:szCs w:val="24"/>
        </w:rPr>
        <w:t>the Health Act (eg, chlamydia, chancroid, herpes simplex and i</w:t>
      </w:r>
      <w:r>
        <w:rPr>
          <w:szCs w:val="24"/>
        </w:rPr>
        <w:t>nfluenza). N</w:t>
      </w:r>
      <w:r w:rsidRPr="005E134B">
        <w:rPr>
          <w:szCs w:val="24"/>
        </w:rPr>
        <w:t>on-notifiable</w:t>
      </w:r>
      <w:r>
        <w:rPr>
          <w:szCs w:val="24"/>
        </w:rPr>
        <w:t>,</w:t>
      </w:r>
      <w:r w:rsidRPr="005E134B">
        <w:rPr>
          <w:szCs w:val="24"/>
        </w:rPr>
        <w:t xml:space="preserve"> infectious diseases are </w:t>
      </w:r>
      <w:r w:rsidR="005B6500">
        <w:rPr>
          <w:szCs w:val="24"/>
        </w:rPr>
        <w:t>‘</w:t>
      </w:r>
      <w:r w:rsidRPr="005E134B">
        <w:rPr>
          <w:szCs w:val="24"/>
        </w:rPr>
        <w:t>infectious diseases</w:t>
      </w:r>
      <w:r w:rsidR="005B6500">
        <w:rPr>
          <w:szCs w:val="24"/>
        </w:rPr>
        <w:t>’</w:t>
      </w:r>
      <w:r w:rsidRPr="005E134B">
        <w:rPr>
          <w:szCs w:val="24"/>
        </w:rPr>
        <w:t xml:space="preserve"> within the meaning of this term in Part 3A of the Health Act; as such, public health practitioners can apply public health measures to people with or suspected of having these diseases and their contacts.</w:t>
      </w:r>
    </w:p>
    <w:p w:rsidR="008D1DCC" w:rsidRPr="005E134B" w:rsidRDefault="008D1DCC" w:rsidP="005B6500">
      <w:pPr>
        <w:spacing w:before="180"/>
        <w:rPr>
          <w:szCs w:val="24"/>
        </w:rPr>
      </w:pPr>
      <w:r w:rsidRPr="001F594B">
        <w:rPr>
          <w:b/>
          <w:szCs w:val="24"/>
        </w:rPr>
        <w:t>Public health order:</w:t>
      </w:r>
      <w:r>
        <w:rPr>
          <w:szCs w:val="24"/>
        </w:rPr>
        <w:t xml:space="preserve"> </w:t>
      </w:r>
      <w:r w:rsidRPr="005E134B">
        <w:rPr>
          <w:szCs w:val="24"/>
        </w:rPr>
        <w:t xml:space="preserve">An order made by </w:t>
      </w:r>
      <w:r>
        <w:rPr>
          <w:szCs w:val="24"/>
        </w:rPr>
        <w:t>the</w:t>
      </w:r>
      <w:r w:rsidRPr="005E134B">
        <w:rPr>
          <w:szCs w:val="24"/>
        </w:rPr>
        <w:t xml:space="preserve"> District Court, on the application of a medical officer of health,</w:t>
      </w:r>
      <w:r w:rsidRPr="005B6500">
        <w:rPr>
          <w:rStyle w:val="FootnoteReference"/>
        </w:rPr>
        <w:footnoteReference w:id="169"/>
      </w:r>
      <w:r w:rsidRPr="005E134B">
        <w:rPr>
          <w:szCs w:val="24"/>
        </w:rPr>
        <w:t xml:space="preserve"> to comply with certain requirements the court considers necessary to prevent or minimise the public health risk the person may pose.</w:t>
      </w:r>
    </w:p>
    <w:p w:rsidR="003B22F1" w:rsidRDefault="008D1DCC" w:rsidP="005B6500">
      <w:pPr>
        <w:spacing w:before="180"/>
        <w:rPr>
          <w:szCs w:val="24"/>
        </w:rPr>
      </w:pPr>
      <w:r w:rsidRPr="001F594B">
        <w:rPr>
          <w:b/>
          <w:szCs w:val="24"/>
        </w:rPr>
        <w:t>Public health practitioner:</w:t>
      </w:r>
      <w:r>
        <w:rPr>
          <w:szCs w:val="24"/>
        </w:rPr>
        <w:t xml:space="preserve"> </w:t>
      </w:r>
      <w:r w:rsidRPr="005E134B">
        <w:rPr>
          <w:szCs w:val="24"/>
        </w:rPr>
        <w:t>A medical officer of health, health protection officer, or a public health officer designated by the Director-Gener</w:t>
      </w:r>
      <w:r>
        <w:rPr>
          <w:szCs w:val="24"/>
        </w:rPr>
        <w:t xml:space="preserve">al of Health, and includes </w:t>
      </w:r>
      <w:r w:rsidRPr="005E134B">
        <w:rPr>
          <w:szCs w:val="24"/>
        </w:rPr>
        <w:t>public health nurses and others working in public health under supervision.</w:t>
      </w:r>
    </w:p>
    <w:p w:rsidR="008D1DCC" w:rsidRDefault="008D1DCC" w:rsidP="005B6500">
      <w:pPr>
        <w:spacing w:before="180"/>
        <w:rPr>
          <w:szCs w:val="24"/>
        </w:rPr>
      </w:pPr>
      <w:r w:rsidRPr="001F594B">
        <w:rPr>
          <w:b/>
          <w:szCs w:val="24"/>
        </w:rPr>
        <w:t>Public health risk:</w:t>
      </w:r>
      <w:r>
        <w:rPr>
          <w:szCs w:val="24"/>
        </w:rPr>
        <w:t xml:space="preserve"> </w:t>
      </w:r>
      <w:r w:rsidRPr="005E134B">
        <w:rPr>
          <w:szCs w:val="24"/>
        </w:rPr>
        <w:t>A substantial risk of serious harm that one or more individuals who have, or may have, an infectious disease pose to the health or safety of one or more persons because of the infectious disease, having regard to:</w:t>
      </w:r>
    </w:p>
    <w:p w:rsidR="003B22F1" w:rsidRDefault="005B6500" w:rsidP="005B6500">
      <w:pPr>
        <w:spacing w:before="120"/>
        <w:ind w:left="567" w:hanging="567"/>
      </w:pPr>
      <w:r>
        <w:t>(a)</w:t>
      </w:r>
      <w:r>
        <w:tab/>
      </w:r>
      <w:r w:rsidR="008D1DCC" w:rsidRPr="005E134B">
        <w:t>the nature of the infectious disease, including, without limitation, the transmissibility and mode of transmi</w:t>
      </w:r>
      <w:r w:rsidR="008D1DCC">
        <w:t>ssion of the infectious disease</w:t>
      </w:r>
    </w:p>
    <w:p w:rsidR="008D1DCC" w:rsidRPr="005E134B" w:rsidRDefault="005B6500" w:rsidP="005B6500">
      <w:pPr>
        <w:spacing w:before="120"/>
      </w:pPr>
      <w:r>
        <w:t>(b)</w:t>
      </w:r>
      <w:r>
        <w:tab/>
      </w:r>
      <w:r w:rsidR="008D1DCC" w:rsidRPr="005E134B">
        <w:t>the relevant circumstances of the particular case.</w:t>
      </w:r>
    </w:p>
    <w:p w:rsidR="008D1DCC" w:rsidRPr="005E134B" w:rsidRDefault="008D1DCC" w:rsidP="001F594B">
      <w:pPr>
        <w:keepLines/>
        <w:spacing w:before="180"/>
        <w:rPr>
          <w:szCs w:val="24"/>
        </w:rPr>
      </w:pPr>
      <w:r w:rsidRPr="001F594B">
        <w:rPr>
          <w:b/>
          <w:szCs w:val="24"/>
        </w:rPr>
        <w:t>Quarantinable infectious diseases:</w:t>
      </w:r>
      <w:r>
        <w:rPr>
          <w:szCs w:val="24"/>
        </w:rPr>
        <w:t xml:space="preserve"> </w:t>
      </w:r>
      <w:r w:rsidRPr="005E134B">
        <w:rPr>
          <w:szCs w:val="24"/>
        </w:rPr>
        <w:t xml:space="preserve">The diseases </w:t>
      </w:r>
      <w:r>
        <w:rPr>
          <w:szCs w:val="24"/>
        </w:rPr>
        <w:t xml:space="preserve">that are </w:t>
      </w:r>
      <w:r w:rsidRPr="005E134B">
        <w:rPr>
          <w:szCs w:val="24"/>
        </w:rPr>
        <w:t>listed in</w:t>
      </w:r>
      <w:r>
        <w:rPr>
          <w:szCs w:val="24"/>
        </w:rPr>
        <w:t xml:space="preserve"> Part 3 of Schedule 1of the Health Act. </w:t>
      </w:r>
      <w:r w:rsidRPr="005E134B">
        <w:rPr>
          <w:szCs w:val="24"/>
        </w:rPr>
        <w:t>As at January 2017, they are:</w:t>
      </w:r>
      <w:r>
        <w:rPr>
          <w:szCs w:val="24"/>
        </w:rPr>
        <w:t xml:space="preserve"> </w:t>
      </w:r>
      <w:r w:rsidRPr="005E134B">
        <w:rPr>
          <w:szCs w:val="24"/>
        </w:rPr>
        <w:t>avian influenza (capable of being transmitted between human beings), cholera, Middle East respiratory syndrome, non-seasonal influenza (capable of being transmitted between human beings), plague, viral haemorrhagic fevers (capable of being transmitted between human beings), and yellow fever.</w:t>
      </w:r>
    </w:p>
    <w:p w:rsidR="008D1DCC" w:rsidRPr="005E134B" w:rsidRDefault="008D1DCC" w:rsidP="005B6500">
      <w:pPr>
        <w:spacing w:before="180"/>
        <w:rPr>
          <w:szCs w:val="24"/>
        </w:rPr>
      </w:pPr>
      <w:r w:rsidRPr="001F594B">
        <w:rPr>
          <w:b/>
          <w:szCs w:val="24"/>
        </w:rPr>
        <w:t>Section A diseases:</w:t>
      </w:r>
      <w:r w:rsidRPr="005E134B">
        <w:rPr>
          <w:szCs w:val="24"/>
        </w:rPr>
        <w:t xml:space="preserve"> Infectious diseases </w:t>
      </w:r>
      <w:r>
        <w:rPr>
          <w:szCs w:val="24"/>
        </w:rPr>
        <w:t xml:space="preserve">that are </w:t>
      </w:r>
      <w:r w:rsidRPr="005E134B">
        <w:rPr>
          <w:szCs w:val="24"/>
        </w:rPr>
        <w:t xml:space="preserve">notifiable to a medical officer of heath and a </w:t>
      </w:r>
      <w:r>
        <w:rPr>
          <w:szCs w:val="24"/>
        </w:rPr>
        <w:t>local authority that are</w:t>
      </w:r>
      <w:r w:rsidRPr="005E134B">
        <w:rPr>
          <w:szCs w:val="24"/>
        </w:rPr>
        <w:t xml:space="preserve"> listed in</w:t>
      </w:r>
      <w:r>
        <w:rPr>
          <w:szCs w:val="24"/>
        </w:rPr>
        <w:t xml:space="preserve"> Section A of Part 1 of</w:t>
      </w:r>
      <w:r w:rsidRPr="005E134B">
        <w:rPr>
          <w:szCs w:val="24"/>
        </w:rPr>
        <w:t xml:space="preserve"> Schedule 1 of the Health Act (eg, yersiniosis, campylobacteriosis)</w:t>
      </w:r>
      <w:r w:rsidR="005B6500">
        <w:rPr>
          <w:szCs w:val="24"/>
        </w:rPr>
        <w:t>.</w:t>
      </w:r>
    </w:p>
    <w:p w:rsidR="008D1DCC" w:rsidRPr="005E134B" w:rsidRDefault="008D1DCC" w:rsidP="005B6500">
      <w:pPr>
        <w:spacing w:before="180"/>
        <w:rPr>
          <w:szCs w:val="24"/>
        </w:rPr>
      </w:pPr>
      <w:r w:rsidRPr="001F594B">
        <w:rPr>
          <w:b/>
          <w:szCs w:val="24"/>
        </w:rPr>
        <w:t>Section B diseases:</w:t>
      </w:r>
      <w:r>
        <w:rPr>
          <w:szCs w:val="24"/>
        </w:rPr>
        <w:t xml:space="preserve"> </w:t>
      </w:r>
      <w:r w:rsidRPr="005E134B">
        <w:rPr>
          <w:szCs w:val="24"/>
        </w:rPr>
        <w:t>Infectious diseases</w:t>
      </w:r>
      <w:r>
        <w:rPr>
          <w:szCs w:val="24"/>
        </w:rPr>
        <w:t xml:space="preserve"> that are</w:t>
      </w:r>
      <w:r w:rsidRPr="005E134B">
        <w:rPr>
          <w:szCs w:val="24"/>
        </w:rPr>
        <w:t xml:space="preserve"> notifiable to a medical officer of health, listed in</w:t>
      </w:r>
      <w:r>
        <w:rPr>
          <w:szCs w:val="24"/>
        </w:rPr>
        <w:t xml:space="preserve"> Section B of Part 1 of</w:t>
      </w:r>
      <w:r w:rsidRPr="005E134B">
        <w:rPr>
          <w:szCs w:val="24"/>
        </w:rPr>
        <w:t xml:space="preserve"> Schedule 1 of the Health Act (eg, diphtheria and measles)</w:t>
      </w:r>
      <w:r w:rsidR="005B6500">
        <w:rPr>
          <w:szCs w:val="24"/>
        </w:rPr>
        <w:t>.</w:t>
      </w:r>
    </w:p>
    <w:p w:rsidR="008D1DCC" w:rsidRPr="005E134B" w:rsidRDefault="008D1DCC" w:rsidP="005B6500">
      <w:pPr>
        <w:spacing w:before="180"/>
        <w:rPr>
          <w:szCs w:val="24"/>
        </w:rPr>
      </w:pPr>
      <w:r w:rsidRPr="001F594B">
        <w:rPr>
          <w:b/>
          <w:szCs w:val="24"/>
        </w:rPr>
        <w:t>Section C diseases:</w:t>
      </w:r>
      <w:r>
        <w:rPr>
          <w:szCs w:val="24"/>
        </w:rPr>
        <w:t xml:space="preserve"> </w:t>
      </w:r>
      <w:r w:rsidRPr="005E134B">
        <w:rPr>
          <w:szCs w:val="24"/>
        </w:rPr>
        <w:t>Infectious diseases</w:t>
      </w:r>
      <w:r>
        <w:rPr>
          <w:szCs w:val="24"/>
        </w:rPr>
        <w:t xml:space="preserve"> that are</w:t>
      </w:r>
      <w:r w:rsidRPr="005E134B">
        <w:rPr>
          <w:szCs w:val="24"/>
        </w:rPr>
        <w:t xml:space="preserve"> notifiable to a </w:t>
      </w:r>
      <w:r>
        <w:rPr>
          <w:szCs w:val="24"/>
        </w:rPr>
        <w:t>m</w:t>
      </w:r>
      <w:r w:rsidRPr="005E134B">
        <w:rPr>
          <w:szCs w:val="24"/>
        </w:rPr>
        <w:t xml:space="preserve">edical officer of health, listed in </w:t>
      </w:r>
      <w:r>
        <w:rPr>
          <w:szCs w:val="24"/>
        </w:rPr>
        <w:t xml:space="preserve">Section C of Part 1 of </w:t>
      </w:r>
      <w:r w:rsidR="005D1644">
        <w:rPr>
          <w:szCs w:val="24"/>
        </w:rPr>
        <w:t xml:space="preserve">Schedule 1 </w:t>
      </w:r>
      <w:r w:rsidRPr="005E134B">
        <w:rPr>
          <w:szCs w:val="24"/>
        </w:rPr>
        <w:t>of the Health Act.</w:t>
      </w:r>
      <w:r>
        <w:rPr>
          <w:szCs w:val="24"/>
        </w:rPr>
        <w:t xml:space="preserve"> </w:t>
      </w:r>
      <w:r w:rsidRPr="005E134B">
        <w:rPr>
          <w:szCs w:val="24"/>
        </w:rPr>
        <w:t>As at January 2017 they are HIV, AIDS, gonorrhoea and syphilis.</w:t>
      </w:r>
    </w:p>
    <w:p w:rsidR="008D1DCC" w:rsidRDefault="008D1DCC" w:rsidP="005B6500">
      <w:pPr>
        <w:spacing w:before="180"/>
        <w:rPr>
          <w:szCs w:val="24"/>
        </w:rPr>
      </w:pPr>
      <w:r w:rsidRPr="001F594B">
        <w:rPr>
          <w:b/>
          <w:szCs w:val="24"/>
        </w:rPr>
        <w:t>Urgent public health order:</w:t>
      </w:r>
      <w:r w:rsidRPr="005E134B">
        <w:rPr>
          <w:szCs w:val="24"/>
        </w:rPr>
        <w:t xml:space="preserve"> An administrative order </w:t>
      </w:r>
      <w:r>
        <w:rPr>
          <w:szCs w:val="24"/>
        </w:rPr>
        <w:t xml:space="preserve">that a medical officer of health </w:t>
      </w:r>
      <w:r w:rsidRPr="005E134B">
        <w:rPr>
          <w:szCs w:val="24"/>
        </w:rPr>
        <w:t>impose</w:t>
      </w:r>
      <w:r>
        <w:rPr>
          <w:szCs w:val="24"/>
        </w:rPr>
        <w:t>s on an individual,</w:t>
      </w:r>
      <w:r w:rsidRPr="005B6500">
        <w:rPr>
          <w:rStyle w:val="FootnoteReference"/>
        </w:rPr>
        <w:footnoteReference w:id="170"/>
      </w:r>
      <w:r w:rsidRPr="005E134B">
        <w:rPr>
          <w:szCs w:val="24"/>
        </w:rPr>
        <w:t xml:space="preserve"> which has effect for 72 hours from the time it is given and requires the individual to be detained at specified premises or a part of them.</w:t>
      </w:r>
    </w:p>
    <w:p w:rsidR="008D1DCC" w:rsidRPr="005E134B" w:rsidRDefault="008D1DCC" w:rsidP="008D1DCC">
      <w:pPr>
        <w:jc w:val="both"/>
        <w:rPr>
          <w:rFonts w:cs="Arial"/>
          <w:szCs w:val="24"/>
        </w:rPr>
      </w:pPr>
    </w:p>
    <w:p w:rsidR="008D1DCC" w:rsidRPr="002C2D0F" w:rsidRDefault="008D1DCC" w:rsidP="00B80940">
      <w:pPr>
        <w:pStyle w:val="Heading3"/>
      </w:pPr>
      <w:r w:rsidRPr="002C2D0F">
        <w:t>Abbreviations</w:t>
      </w:r>
    </w:p>
    <w:p w:rsidR="005D1644" w:rsidRDefault="008D1DCC" w:rsidP="005B6500">
      <w:pPr>
        <w:spacing w:before="180"/>
      </w:pPr>
      <w:r w:rsidRPr="001F594B">
        <w:rPr>
          <w:b/>
        </w:rPr>
        <w:t>CD Manual:</w:t>
      </w:r>
      <w:r w:rsidRPr="005E134B">
        <w:t xml:space="preserve"> Ministry of Health 2012:</w:t>
      </w:r>
      <w:r w:rsidR="003B22F1">
        <w:t xml:space="preserve"> </w:t>
      </w:r>
      <w:r w:rsidRPr="005E134B">
        <w:t xml:space="preserve">Communicable Disease Control Manual 2012. </w:t>
      </w:r>
      <w:hyperlink r:id="rId84" w:history="1">
        <w:r w:rsidRPr="005E134B">
          <w:rPr>
            <w:rStyle w:val="Hyperlink"/>
            <w:rFonts w:cs="Arial"/>
            <w:szCs w:val="24"/>
          </w:rPr>
          <w:t>www.health.govt.nz/publication/communicable-disease-control-manual-2012</w:t>
        </w:r>
      </w:hyperlink>
      <w:r w:rsidRPr="005E134B">
        <w:t xml:space="preserve">. </w:t>
      </w:r>
    </w:p>
    <w:p w:rsidR="008D1DCC" w:rsidRPr="005E134B" w:rsidRDefault="008D1DCC" w:rsidP="005B6500">
      <w:pPr>
        <w:spacing w:before="180"/>
      </w:pPr>
      <w:r w:rsidRPr="001F594B">
        <w:rPr>
          <w:b/>
        </w:rPr>
        <w:t>EHO:</w:t>
      </w:r>
      <w:r w:rsidRPr="005E134B">
        <w:t xml:space="preserve"> Environmental health officer (appointed by local authorities under the Health Act 1956; the Director-General establishes minimum numbers of EHOs).</w:t>
      </w:r>
    </w:p>
    <w:p w:rsidR="008D1DCC" w:rsidRPr="005E134B" w:rsidRDefault="008D1DCC" w:rsidP="005B6500">
      <w:pPr>
        <w:spacing w:before="180"/>
      </w:pPr>
      <w:r w:rsidRPr="001F594B">
        <w:rPr>
          <w:b/>
        </w:rPr>
        <w:t>EpiSurv:</w:t>
      </w:r>
      <w:r>
        <w:t xml:space="preserve"> T</w:t>
      </w:r>
      <w:r w:rsidRPr="005E134B">
        <w:t xml:space="preserve">he national notifiable disease surveillance database ESR operates on behalf of the Ministry of Health. EpiSurv collates notifiable disease information from </w:t>
      </w:r>
      <w:r>
        <w:t>p</w:t>
      </w:r>
      <w:r w:rsidRPr="005E134B">
        <w:t>ublic health services across the country in real-time.</w:t>
      </w:r>
      <w:r>
        <w:t xml:space="preserve"> </w:t>
      </w:r>
      <w:r w:rsidRPr="005E134B">
        <w:t>Data collected includes case demographics, clinical features and risk factors. EpiSurv incorporates an outbreak functionality that enables cases to be linked via a</w:t>
      </w:r>
      <w:r>
        <w:t xml:space="preserve"> common cause. </w:t>
      </w:r>
      <w:r w:rsidRPr="005E134B">
        <w:t>The information can be viewed via customisable local and national reports and maps.</w:t>
      </w:r>
    </w:p>
    <w:p w:rsidR="008D1DCC" w:rsidRPr="005E134B" w:rsidRDefault="008D1DCC" w:rsidP="005B6500">
      <w:pPr>
        <w:spacing w:before="180"/>
      </w:pPr>
      <w:r w:rsidRPr="001F594B">
        <w:rPr>
          <w:b/>
        </w:rPr>
        <w:t>ESR:</w:t>
      </w:r>
      <w:r>
        <w:t xml:space="preserve"> </w:t>
      </w:r>
      <w:r w:rsidRPr="005E134B">
        <w:t>Institute of Environmental Science and Research.</w:t>
      </w:r>
    </w:p>
    <w:p w:rsidR="008D1DCC" w:rsidRPr="005E134B" w:rsidRDefault="008D1DCC" w:rsidP="005B6500">
      <w:pPr>
        <w:spacing w:before="180"/>
      </w:pPr>
      <w:r w:rsidRPr="001F594B">
        <w:rPr>
          <w:b/>
        </w:rPr>
        <w:t>HIND Regulations:</w:t>
      </w:r>
      <w:r>
        <w:t xml:space="preserve"> </w:t>
      </w:r>
      <w:r w:rsidRPr="005E134B">
        <w:t>The Health (Infectious and Notifiable Diseases) Regulations.</w:t>
      </w:r>
    </w:p>
    <w:p w:rsidR="008D1DCC" w:rsidRPr="005E134B" w:rsidRDefault="008D1DCC" w:rsidP="005B6500">
      <w:pPr>
        <w:spacing w:before="180"/>
      </w:pPr>
      <w:r w:rsidRPr="001F594B">
        <w:rPr>
          <w:b/>
        </w:rPr>
        <w:t>HPO:</w:t>
      </w:r>
      <w:r>
        <w:t xml:space="preserve"> </w:t>
      </w:r>
      <w:r w:rsidRPr="005E134B">
        <w:t>Health protection officer.</w:t>
      </w:r>
    </w:p>
    <w:p w:rsidR="008D1DCC" w:rsidRPr="005E134B" w:rsidRDefault="008D1DCC" w:rsidP="005B6500">
      <w:pPr>
        <w:spacing w:before="180"/>
      </w:pPr>
      <w:r w:rsidRPr="001F594B">
        <w:rPr>
          <w:b/>
        </w:rPr>
        <w:t>STI:</w:t>
      </w:r>
      <w:r>
        <w:t xml:space="preserve"> </w:t>
      </w:r>
      <w:r w:rsidRPr="005E134B">
        <w:t>Sexually transmitted infection.</w:t>
      </w:r>
    </w:p>
    <w:p w:rsidR="008D1DCC" w:rsidRPr="005E134B" w:rsidRDefault="008D1DCC" w:rsidP="005B6500"/>
    <w:p w:rsidR="00B80940" w:rsidRDefault="00B80940" w:rsidP="00B80940">
      <w:r>
        <w:br w:type="page"/>
      </w:r>
    </w:p>
    <w:p w:rsidR="008D1DCC" w:rsidRPr="00853E12" w:rsidRDefault="008D1DCC" w:rsidP="00B80940">
      <w:pPr>
        <w:pStyle w:val="Heading2"/>
        <w:spacing w:before="0"/>
      </w:pPr>
      <w:bookmarkStart w:id="100" w:name="_Toc473538591"/>
      <w:r w:rsidRPr="00853E12">
        <w:t>Appendix 2:</w:t>
      </w:r>
      <w:r w:rsidR="003B22F1">
        <w:t xml:space="preserve"> </w:t>
      </w:r>
      <w:r w:rsidRPr="00853E12">
        <w:t>Notification provisions</w:t>
      </w:r>
      <w:r>
        <w:t xml:space="preserve"> from the Health Act 1956</w:t>
      </w:r>
      <w:r w:rsidRPr="00853E12">
        <w:t xml:space="preserve"> (as at 4 January 2017)</w:t>
      </w:r>
      <w:bookmarkEnd w:id="100"/>
    </w:p>
    <w:p w:rsidR="008D1DCC" w:rsidRPr="001F594B" w:rsidRDefault="008D1DCC" w:rsidP="001F594B">
      <w:pPr>
        <w:pStyle w:val="Heading3"/>
      </w:pPr>
      <w:r w:rsidRPr="001F594B">
        <w:t>74 Health practitioners to give notice of cases of notifiable disease</w:t>
      </w:r>
    </w:p>
    <w:p w:rsidR="008D1DCC" w:rsidRPr="005E134B" w:rsidRDefault="008D1DCC" w:rsidP="001F594B">
      <w:pPr>
        <w:ind w:left="567" w:hanging="567"/>
        <w:rPr>
          <w:lang w:eastAsia="en-NZ"/>
        </w:rPr>
      </w:pPr>
      <w:r w:rsidRPr="005E134B">
        <w:rPr>
          <w:lang w:eastAsia="en-NZ"/>
        </w:rPr>
        <w:t>(1)</w:t>
      </w:r>
      <w:r w:rsidR="001F594B">
        <w:rPr>
          <w:lang w:eastAsia="en-NZ"/>
        </w:rPr>
        <w:tab/>
      </w:r>
      <w:r w:rsidRPr="005E134B">
        <w:rPr>
          <w:lang w:eastAsia="en-NZ"/>
        </w:rPr>
        <w:t>Every health practitioner who has reason to believe that any person professionally attended by him is suffering from a notifiable disease or from any sickness of which the symptoms create a reasonable suspicion that i</w:t>
      </w:r>
      <w:r>
        <w:rPr>
          <w:lang w:eastAsia="en-NZ"/>
        </w:rPr>
        <w:t xml:space="preserve">t is a notifiable disease shall </w:t>
      </w:r>
      <w:r w:rsidR="001F594B">
        <w:rPr>
          <w:lang w:eastAsia="en-NZ"/>
        </w:rPr>
        <w:t>–</w:t>
      </w:r>
    </w:p>
    <w:p w:rsidR="008D1DCC" w:rsidRPr="005E134B" w:rsidRDefault="008D1DCC" w:rsidP="001F594B">
      <w:pPr>
        <w:spacing w:before="120"/>
        <w:ind w:left="1134" w:hanging="567"/>
        <w:rPr>
          <w:lang w:eastAsia="en-NZ"/>
        </w:rPr>
      </w:pPr>
      <w:r w:rsidRPr="005E134B">
        <w:rPr>
          <w:lang w:eastAsia="en-NZ"/>
        </w:rPr>
        <w:t>(a)</w:t>
      </w:r>
      <w:r w:rsidR="001F594B">
        <w:rPr>
          <w:lang w:eastAsia="en-NZ"/>
        </w:rPr>
        <w:tab/>
      </w:r>
      <w:r w:rsidRPr="005E134B">
        <w:rPr>
          <w:lang w:eastAsia="en-NZ"/>
        </w:rPr>
        <w:t>in the case of a notifiable infectious disease, forthwith inform the occupier of the premises and every person nursing or in immediate attendance on the patient of the infectious nature of the disease and the precautions to be taken, and forthwith give notices in the prescribed form to the medical officer of health, and, if the disease is specified in section A of Part 1 of Schedule 1, to the local authority of the district:</w:t>
      </w:r>
    </w:p>
    <w:p w:rsidR="008D1DCC" w:rsidRPr="005E134B" w:rsidRDefault="008D1DCC" w:rsidP="001F594B">
      <w:pPr>
        <w:spacing w:before="120"/>
        <w:ind w:left="1134" w:hanging="567"/>
        <w:rPr>
          <w:lang w:eastAsia="en-NZ"/>
        </w:rPr>
      </w:pPr>
      <w:r w:rsidRPr="005E134B">
        <w:rPr>
          <w:lang w:eastAsia="en-NZ"/>
        </w:rPr>
        <w:t>(b)</w:t>
      </w:r>
      <w:r w:rsidR="001F594B">
        <w:rPr>
          <w:lang w:eastAsia="en-NZ"/>
        </w:rPr>
        <w:tab/>
      </w:r>
      <w:r w:rsidRPr="005E134B">
        <w:rPr>
          <w:lang w:eastAsia="en-NZ"/>
        </w:rPr>
        <w:t>in</w:t>
      </w:r>
      <w:r>
        <w:rPr>
          <w:lang w:eastAsia="en-NZ"/>
        </w:rPr>
        <w:t xml:space="preserve"> </w:t>
      </w:r>
      <w:r w:rsidRPr="005E134B">
        <w:rPr>
          <w:lang w:eastAsia="en-NZ"/>
        </w:rPr>
        <w:t>the case of a notifiable disease other than a notifiable infectious disease, forthwith give notice in the prescribed form to the medical officer of health.</w:t>
      </w:r>
    </w:p>
    <w:p w:rsidR="008D1DCC" w:rsidRPr="005E134B" w:rsidRDefault="008D1DCC" w:rsidP="001F594B">
      <w:pPr>
        <w:spacing w:before="240"/>
        <w:ind w:left="567" w:hanging="567"/>
        <w:rPr>
          <w:lang w:eastAsia="en-NZ"/>
        </w:rPr>
      </w:pPr>
      <w:r w:rsidRPr="005E134B">
        <w:rPr>
          <w:lang w:eastAsia="en-NZ"/>
        </w:rPr>
        <w:t>(2)</w:t>
      </w:r>
      <w:r w:rsidR="001F594B">
        <w:rPr>
          <w:lang w:eastAsia="en-NZ"/>
        </w:rPr>
        <w:tab/>
      </w:r>
      <w:r w:rsidRPr="005E134B">
        <w:rPr>
          <w:lang w:eastAsia="en-NZ"/>
        </w:rPr>
        <w:t>[Repealed]</w:t>
      </w:r>
    </w:p>
    <w:p w:rsidR="008D1DCC" w:rsidRPr="005E134B" w:rsidRDefault="008D1DCC" w:rsidP="001F594B">
      <w:pPr>
        <w:spacing w:before="240"/>
        <w:ind w:left="567" w:hanging="567"/>
        <w:rPr>
          <w:lang w:eastAsia="en-NZ"/>
        </w:rPr>
      </w:pPr>
      <w:r w:rsidRPr="005E134B">
        <w:rPr>
          <w:lang w:eastAsia="en-NZ"/>
        </w:rPr>
        <w:t>(3)</w:t>
      </w:r>
      <w:r w:rsidR="001F594B">
        <w:rPr>
          <w:lang w:eastAsia="en-NZ"/>
        </w:rPr>
        <w:tab/>
      </w:r>
      <w:r w:rsidRPr="005E134B">
        <w:rPr>
          <w:lang w:eastAsia="en-NZ"/>
        </w:rPr>
        <w:t>Every health practitioner who by post-mortem examination or otherwise becomes aware that any deceased person was affected with a notifiable disease shall forthwith give notice in the prescribed form to the medical officer of health.</w:t>
      </w:r>
    </w:p>
    <w:p w:rsidR="008D1DCC" w:rsidRPr="005E134B" w:rsidRDefault="008D1DCC" w:rsidP="001F594B">
      <w:pPr>
        <w:spacing w:before="240"/>
        <w:ind w:left="567" w:hanging="567"/>
        <w:rPr>
          <w:lang w:eastAsia="en-NZ"/>
        </w:rPr>
      </w:pPr>
      <w:r w:rsidRPr="005E134B">
        <w:rPr>
          <w:lang w:eastAsia="en-NZ"/>
        </w:rPr>
        <w:t>(3A)</w:t>
      </w:r>
      <w:r w:rsidR="001F594B">
        <w:rPr>
          <w:lang w:eastAsia="en-NZ"/>
        </w:rPr>
        <w:tab/>
      </w:r>
      <w:r w:rsidRPr="005E134B">
        <w:rPr>
          <w:lang w:eastAsia="en-NZ"/>
        </w:rPr>
        <w:t>A health practitioner who gives notice of a notifiable disease under subsection (1) or (3) must not disclose identifying information of the patient or deceased person if the disease is specified in Section C of Part 1 of Schedule 1.</w:t>
      </w:r>
    </w:p>
    <w:p w:rsidR="008D1DCC" w:rsidRPr="005E134B" w:rsidRDefault="008D1DCC" w:rsidP="001F594B">
      <w:pPr>
        <w:spacing w:before="240"/>
        <w:ind w:left="567" w:hanging="567"/>
        <w:rPr>
          <w:lang w:eastAsia="en-NZ"/>
        </w:rPr>
      </w:pPr>
      <w:r w:rsidRPr="005E134B">
        <w:rPr>
          <w:lang w:eastAsia="en-NZ"/>
        </w:rPr>
        <w:t>(3B)</w:t>
      </w:r>
      <w:r w:rsidR="001F594B">
        <w:rPr>
          <w:lang w:eastAsia="en-NZ"/>
        </w:rPr>
        <w:tab/>
      </w:r>
      <w:r w:rsidRPr="005E134B">
        <w:rPr>
          <w:lang w:eastAsia="en-NZ"/>
        </w:rPr>
        <w:t>Despite subsection (3A), a medical officer of health may require a health practitioner to disclose identifying information of the patient or deceased person if disclosure of the identifying information is necessary to respond effectively to a public health risk.</w:t>
      </w:r>
    </w:p>
    <w:p w:rsidR="008D1DCC" w:rsidRPr="001F594B" w:rsidRDefault="008D1DCC" w:rsidP="001F594B">
      <w:pPr>
        <w:spacing w:before="240"/>
        <w:ind w:left="567" w:hanging="567"/>
      </w:pPr>
      <w:r w:rsidRPr="005E134B">
        <w:rPr>
          <w:lang w:eastAsia="en-NZ"/>
        </w:rPr>
        <w:t>(3C)</w:t>
      </w:r>
      <w:r w:rsidR="001F594B">
        <w:rPr>
          <w:lang w:eastAsia="en-NZ"/>
        </w:rPr>
        <w:tab/>
      </w:r>
      <w:r w:rsidRPr="005E134B">
        <w:rPr>
          <w:lang w:eastAsia="en-NZ"/>
        </w:rPr>
        <w:t>In this section and section 74AA, identifying information, in relation to a</w:t>
      </w:r>
      <w:r w:rsidRPr="005E134B">
        <w:rPr>
          <w:sz w:val="25"/>
          <w:szCs w:val="25"/>
          <w:lang w:eastAsia="en-NZ"/>
        </w:rPr>
        <w:t xml:space="preserve"> </w:t>
      </w:r>
      <w:r w:rsidRPr="001F594B">
        <w:t xml:space="preserve">person means </w:t>
      </w:r>
      <w:r w:rsidR="001F594B">
        <w:t>–</w:t>
      </w:r>
    </w:p>
    <w:p w:rsidR="008D1DCC" w:rsidRPr="005E134B" w:rsidRDefault="001F594B" w:rsidP="001F594B">
      <w:pPr>
        <w:spacing w:before="120"/>
        <w:ind w:left="1134" w:hanging="567"/>
        <w:rPr>
          <w:lang w:eastAsia="en-NZ"/>
        </w:rPr>
      </w:pPr>
      <w:r>
        <w:rPr>
          <w:lang w:eastAsia="en-NZ"/>
        </w:rPr>
        <w:t>(a)</w:t>
      </w:r>
      <w:r>
        <w:rPr>
          <w:lang w:eastAsia="en-NZ"/>
        </w:rPr>
        <w:tab/>
      </w:r>
      <w:r w:rsidR="008D1DCC" w:rsidRPr="005E134B">
        <w:rPr>
          <w:lang w:eastAsia="en-NZ"/>
        </w:rPr>
        <w:t>the person</w:t>
      </w:r>
      <w:r w:rsidR="003B22F1">
        <w:rPr>
          <w:lang w:eastAsia="en-NZ"/>
        </w:rPr>
        <w:t>’</w:t>
      </w:r>
      <w:r w:rsidR="008D1DCC" w:rsidRPr="005E134B">
        <w:rPr>
          <w:lang w:eastAsia="en-NZ"/>
        </w:rPr>
        <w:t>s name, address, and place of work or education; and</w:t>
      </w:r>
    </w:p>
    <w:p w:rsidR="008D1DCC" w:rsidRPr="005E134B" w:rsidRDefault="008D1DCC" w:rsidP="001F594B">
      <w:pPr>
        <w:spacing w:before="120"/>
        <w:ind w:left="1134" w:hanging="567"/>
        <w:rPr>
          <w:lang w:eastAsia="en-NZ"/>
        </w:rPr>
      </w:pPr>
      <w:r w:rsidRPr="005E134B">
        <w:rPr>
          <w:lang w:eastAsia="en-NZ"/>
        </w:rPr>
        <w:t>(b)</w:t>
      </w:r>
      <w:r w:rsidR="001F594B">
        <w:rPr>
          <w:lang w:eastAsia="en-NZ"/>
        </w:rPr>
        <w:tab/>
      </w:r>
      <w:r w:rsidRPr="005E134B">
        <w:rPr>
          <w:lang w:eastAsia="en-NZ"/>
        </w:rPr>
        <w:t>any other information required by regulations made under this Act.</w:t>
      </w:r>
    </w:p>
    <w:p w:rsidR="008D1DCC" w:rsidRPr="005E134B" w:rsidRDefault="008D1DCC" w:rsidP="001F594B">
      <w:pPr>
        <w:spacing w:before="240"/>
        <w:ind w:left="567" w:hanging="567"/>
        <w:rPr>
          <w:lang w:eastAsia="en-NZ"/>
        </w:rPr>
      </w:pPr>
      <w:r w:rsidRPr="005E134B">
        <w:rPr>
          <w:lang w:eastAsia="en-NZ"/>
        </w:rPr>
        <w:t>(4)</w:t>
      </w:r>
      <w:r w:rsidR="001F594B">
        <w:rPr>
          <w:lang w:eastAsia="en-NZ"/>
        </w:rPr>
        <w:tab/>
      </w:r>
      <w:r w:rsidRPr="005E134B">
        <w:rPr>
          <w:lang w:eastAsia="en-NZ"/>
        </w:rPr>
        <w:t>Every health practitioner commits an offence against this Act who fails to comply with the requirements of this section.</w:t>
      </w:r>
    </w:p>
    <w:p w:rsidR="008D1DCC" w:rsidRDefault="008D1DCC" w:rsidP="001F594B">
      <w:pPr>
        <w:spacing w:before="240"/>
        <w:ind w:left="567" w:hanging="567"/>
        <w:rPr>
          <w:lang w:eastAsia="en-NZ"/>
        </w:rPr>
      </w:pPr>
      <w:r w:rsidRPr="005E134B">
        <w:rPr>
          <w:lang w:eastAsia="en-NZ"/>
        </w:rPr>
        <w:t>(5)</w:t>
      </w:r>
      <w:r w:rsidR="001F594B">
        <w:rPr>
          <w:lang w:eastAsia="en-NZ"/>
        </w:rPr>
        <w:tab/>
      </w:r>
      <w:r w:rsidRPr="005E134B">
        <w:rPr>
          <w:lang w:eastAsia="en-NZ"/>
        </w:rPr>
        <w:t>[Repealed].</w:t>
      </w:r>
    </w:p>
    <w:p w:rsidR="001F594B" w:rsidRPr="005E134B" w:rsidRDefault="001F594B" w:rsidP="001F594B">
      <w:pPr>
        <w:rPr>
          <w:lang w:eastAsia="en-NZ"/>
        </w:rPr>
      </w:pPr>
    </w:p>
    <w:p w:rsidR="008D1DCC" w:rsidRPr="007618AB" w:rsidRDefault="008D1DCC" w:rsidP="001F594B">
      <w:pPr>
        <w:pStyle w:val="Heading3"/>
        <w:rPr>
          <w:lang w:eastAsia="en-NZ"/>
        </w:rPr>
      </w:pPr>
      <w:r w:rsidRPr="007618AB">
        <w:rPr>
          <w:lang w:eastAsia="en-NZ"/>
        </w:rPr>
        <w:t>74AA</w:t>
      </w:r>
      <w:r w:rsidR="003B22F1">
        <w:rPr>
          <w:lang w:eastAsia="en-NZ"/>
        </w:rPr>
        <w:t xml:space="preserve"> </w:t>
      </w:r>
      <w:r w:rsidRPr="007618AB">
        <w:rPr>
          <w:lang w:eastAsia="en-NZ"/>
        </w:rPr>
        <w:t>Medical laboratories to give notice of cases of notifiable disease</w:t>
      </w:r>
    </w:p>
    <w:p w:rsidR="008D1DCC" w:rsidRPr="005E134B" w:rsidRDefault="008D1DCC" w:rsidP="001F594B">
      <w:pPr>
        <w:keepNext/>
        <w:ind w:left="567" w:hanging="567"/>
        <w:rPr>
          <w:lang w:eastAsia="en-NZ"/>
        </w:rPr>
      </w:pPr>
      <w:r w:rsidRPr="005E134B">
        <w:rPr>
          <w:lang w:eastAsia="en-NZ"/>
        </w:rPr>
        <w:t>(1)</w:t>
      </w:r>
      <w:r w:rsidR="001F594B">
        <w:rPr>
          <w:lang w:eastAsia="en-NZ"/>
        </w:rPr>
        <w:tab/>
      </w:r>
      <w:r w:rsidRPr="005E134B">
        <w:rPr>
          <w:lang w:eastAsia="en-NZ"/>
        </w:rPr>
        <w:t>The person in charge of a medical laboratory must take all reasonably practicable steps to ensure that there are in place in it efficient systems for reporting to him or her (or to any other person for the time being in charge of it) the results of a test or other procedure undertaken in it that indicate that a person or thing is, has been, or may be or have been, infected with a notifiable disease.</w:t>
      </w:r>
    </w:p>
    <w:p w:rsidR="008D1DCC" w:rsidRPr="005E134B" w:rsidRDefault="008D1DCC" w:rsidP="001F594B">
      <w:pPr>
        <w:keepLines/>
        <w:spacing w:before="240"/>
        <w:ind w:left="567" w:hanging="567"/>
        <w:rPr>
          <w:lang w:eastAsia="en-NZ"/>
        </w:rPr>
      </w:pPr>
      <w:r w:rsidRPr="005E134B">
        <w:rPr>
          <w:lang w:eastAsia="en-NZ"/>
        </w:rPr>
        <w:t>(2)</w:t>
      </w:r>
      <w:r w:rsidR="001F594B">
        <w:rPr>
          <w:lang w:eastAsia="en-NZ"/>
        </w:rPr>
        <w:tab/>
      </w:r>
      <w:r w:rsidRPr="005E134B">
        <w:rPr>
          <w:lang w:eastAsia="en-NZ"/>
        </w:rPr>
        <w:t>The person for the time being in charge of a medical laboratory to whom results are reported under subsection (1) (or who himself or herself becomes aware of results of a kind to which that subsection applies) must immediately tell the health practitioner for whom the test or other procedure concerned was undertaken, and the medical officer of health, of the infectious nature of the disease concerned.</w:t>
      </w:r>
    </w:p>
    <w:p w:rsidR="008D1DCC" w:rsidRPr="005E134B" w:rsidRDefault="008D1DCC" w:rsidP="001F594B">
      <w:pPr>
        <w:spacing w:before="240"/>
        <w:ind w:left="567" w:hanging="567"/>
        <w:rPr>
          <w:lang w:eastAsia="en-NZ"/>
        </w:rPr>
      </w:pPr>
      <w:r w:rsidRPr="005E134B">
        <w:rPr>
          <w:lang w:eastAsia="en-NZ"/>
        </w:rPr>
        <w:t>(2A)</w:t>
      </w:r>
      <w:r w:rsidR="001F594B">
        <w:rPr>
          <w:lang w:eastAsia="en-NZ"/>
        </w:rPr>
        <w:tab/>
      </w:r>
      <w:r w:rsidRPr="005E134B">
        <w:rPr>
          <w:lang w:eastAsia="en-NZ"/>
        </w:rPr>
        <w:t>A person in charge of a medical laboratory who gives notice of a notifiable disease under subsection (2) must not disclose identifying information of a person who is, or has been, or may be or may have been, infected with a disease specified in section C of Part 1 of Schedule 1.</w:t>
      </w:r>
    </w:p>
    <w:p w:rsidR="008D1DCC" w:rsidRPr="005E134B" w:rsidRDefault="008D1DCC" w:rsidP="001F594B">
      <w:pPr>
        <w:spacing w:before="240"/>
        <w:ind w:left="567" w:hanging="567"/>
        <w:rPr>
          <w:lang w:eastAsia="en-NZ"/>
        </w:rPr>
      </w:pPr>
      <w:r w:rsidRPr="005E134B">
        <w:rPr>
          <w:lang w:eastAsia="en-NZ"/>
        </w:rPr>
        <w:t>(2B)</w:t>
      </w:r>
      <w:r w:rsidR="001F594B">
        <w:rPr>
          <w:lang w:eastAsia="en-NZ"/>
        </w:rPr>
        <w:tab/>
      </w:r>
      <w:r w:rsidRPr="005E134B">
        <w:rPr>
          <w:lang w:eastAsia="en-NZ"/>
        </w:rPr>
        <w:t>Despite subsection (2A), a medical officer of health may require a person in charge of a medical laboratory to disclose identifying information of the person who is, or has been, or may be or may have been, infected with a disease if disclosure of the identifying information is necessary to respond effectively to a public health risk.</w:t>
      </w:r>
    </w:p>
    <w:p w:rsidR="008D1DCC" w:rsidRPr="005E134B" w:rsidRDefault="008D1DCC" w:rsidP="001F594B">
      <w:pPr>
        <w:spacing w:before="240"/>
        <w:ind w:left="567" w:hanging="567"/>
        <w:rPr>
          <w:lang w:eastAsia="en-NZ"/>
        </w:rPr>
      </w:pPr>
      <w:r w:rsidRPr="005E134B">
        <w:rPr>
          <w:lang w:eastAsia="en-NZ"/>
        </w:rPr>
        <w:t>(3)</w:t>
      </w:r>
      <w:r w:rsidR="001F594B">
        <w:rPr>
          <w:lang w:eastAsia="en-NZ"/>
        </w:rPr>
        <w:tab/>
      </w:r>
      <w:r w:rsidRPr="005E134B">
        <w:rPr>
          <w:lang w:eastAsia="en-NZ"/>
        </w:rPr>
        <w:t>A person who fails to comply with subsection (2)</w:t>
      </w:r>
      <w:r>
        <w:rPr>
          <w:lang w:eastAsia="en-NZ"/>
        </w:rPr>
        <w:t xml:space="preserve"> </w:t>
      </w:r>
      <w:r w:rsidR="001F594B">
        <w:rPr>
          <w:lang w:eastAsia="en-NZ"/>
        </w:rPr>
        <w:t>–</w:t>
      </w:r>
    </w:p>
    <w:p w:rsidR="008D1DCC" w:rsidRPr="005E134B" w:rsidRDefault="008D1DCC" w:rsidP="001F594B">
      <w:pPr>
        <w:spacing w:before="120"/>
        <w:ind w:left="1134" w:hanging="567"/>
        <w:rPr>
          <w:lang w:eastAsia="en-NZ"/>
        </w:rPr>
      </w:pPr>
      <w:r w:rsidRPr="005E134B">
        <w:rPr>
          <w:szCs w:val="24"/>
          <w:lang w:eastAsia="en-NZ"/>
        </w:rPr>
        <w:t>(a)</w:t>
      </w:r>
      <w:r w:rsidR="001F594B">
        <w:rPr>
          <w:szCs w:val="24"/>
          <w:lang w:eastAsia="en-NZ"/>
        </w:rPr>
        <w:tab/>
      </w:r>
      <w:r w:rsidRPr="005E134B">
        <w:rPr>
          <w:lang w:eastAsia="en-NZ"/>
        </w:rPr>
        <w:t>commits an offence against this Act; and</w:t>
      </w:r>
    </w:p>
    <w:p w:rsidR="008D1DCC" w:rsidRDefault="008D1DCC" w:rsidP="001F594B">
      <w:pPr>
        <w:spacing w:before="120"/>
        <w:ind w:left="1134" w:hanging="567"/>
        <w:rPr>
          <w:lang w:eastAsia="en-NZ"/>
        </w:rPr>
      </w:pPr>
      <w:r w:rsidRPr="005E134B">
        <w:rPr>
          <w:szCs w:val="24"/>
          <w:lang w:eastAsia="en-NZ"/>
        </w:rPr>
        <w:t>(b)</w:t>
      </w:r>
      <w:r w:rsidR="001F594B">
        <w:rPr>
          <w:szCs w:val="24"/>
          <w:lang w:eastAsia="en-NZ"/>
        </w:rPr>
        <w:tab/>
      </w:r>
      <w:r w:rsidRPr="005E134B">
        <w:rPr>
          <w:lang w:eastAsia="en-NZ"/>
        </w:rPr>
        <w:t>is liable on conviction to a fine not exceeding $10,000 and, if the offence is a continuing one, to a further fine not exceeding $500 for every day on which it has continued.</w:t>
      </w:r>
    </w:p>
    <w:p w:rsidR="001F594B" w:rsidRPr="005E134B" w:rsidRDefault="001F594B" w:rsidP="001F594B">
      <w:pPr>
        <w:rPr>
          <w:lang w:eastAsia="en-NZ"/>
        </w:rPr>
      </w:pPr>
    </w:p>
    <w:p w:rsidR="008D1DCC" w:rsidRPr="007618AB" w:rsidRDefault="008D1DCC" w:rsidP="001F594B">
      <w:pPr>
        <w:pStyle w:val="Heading3"/>
        <w:rPr>
          <w:lang w:eastAsia="en-NZ"/>
        </w:rPr>
      </w:pPr>
      <w:r w:rsidRPr="007618AB">
        <w:rPr>
          <w:lang w:eastAsia="en-NZ"/>
        </w:rPr>
        <w:t>74B Medical laboratories may be required to give notice of cases of disease during epidemic</w:t>
      </w:r>
    </w:p>
    <w:p w:rsidR="008D1DCC" w:rsidRPr="005E134B" w:rsidRDefault="008D1DCC" w:rsidP="001F594B">
      <w:pPr>
        <w:ind w:left="567" w:hanging="567"/>
        <w:rPr>
          <w:lang w:eastAsia="en-NZ"/>
        </w:rPr>
      </w:pPr>
      <w:r w:rsidRPr="005E134B">
        <w:rPr>
          <w:lang w:eastAsia="en-NZ"/>
        </w:rPr>
        <w:t>(1)</w:t>
      </w:r>
      <w:r w:rsidR="001F594B">
        <w:rPr>
          <w:lang w:eastAsia="en-NZ"/>
        </w:rPr>
        <w:tab/>
      </w:r>
      <w:r w:rsidRPr="005E134B">
        <w:rPr>
          <w:lang w:eastAsia="en-NZ"/>
        </w:rPr>
        <w:t xml:space="preserve">Before the commencement of </w:t>
      </w:r>
      <w:bookmarkStart w:id="101" w:name="DLM306521"/>
      <w:r w:rsidRPr="005E134B">
        <w:fldChar w:fldCharType="begin"/>
      </w:r>
      <w:r w:rsidRPr="005E134B">
        <w:instrText xml:space="preserve"> HYPERLINK "http://www.legislation.govt.nz/act/public/1956/0065/latest/link.aspx?id=DLM306521" \l "DLM306521" </w:instrText>
      </w:r>
      <w:r w:rsidRPr="005E134B">
        <w:fldChar w:fldCharType="separate"/>
      </w:r>
      <w:r w:rsidRPr="005E134B">
        <w:rPr>
          <w:rStyle w:val="Hyperlink"/>
          <w:rFonts w:cs="Arial"/>
          <w:sz w:val="25"/>
          <w:szCs w:val="25"/>
          <w:lang w:eastAsia="en-NZ"/>
        </w:rPr>
        <w:t>section 8</w:t>
      </w:r>
      <w:r w:rsidRPr="005E134B">
        <w:fldChar w:fldCharType="end"/>
      </w:r>
      <w:bookmarkEnd w:id="101"/>
      <w:r w:rsidRPr="005E134B">
        <w:rPr>
          <w:lang w:eastAsia="en-NZ"/>
        </w:rPr>
        <w:t xml:space="preserve">, an epidemic management notice may provide for this Act to have effect as if </w:t>
      </w:r>
      <w:bookmarkStart w:id="102" w:name="DLM307228"/>
      <w:r w:rsidRPr="005E134B">
        <w:rPr>
          <w:lang w:eastAsia="en-NZ"/>
        </w:rPr>
        <w:fldChar w:fldCharType="begin"/>
      </w:r>
      <w:r w:rsidRPr="005E134B">
        <w:rPr>
          <w:lang w:eastAsia="en-NZ"/>
        </w:rPr>
        <w:instrText xml:space="preserve"> HYPERLINK "http://www.legislation.govt.nz/act/public/1956/0065/latest/link.aspx?id=DLM307228" \l "DLM307228" </w:instrText>
      </w:r>
      <w:r w:rsidRPr="005E134B">
        <w:rPr>
          <w:lang w:eastAsia="en-NZ"/>
        </w:rPr>
        <w:fldChar w:fldCharType="separate"/>
      </w:r>
      <w:r w:rsidRPr="005E134B">
        <w:rPr>
          <w:rStyle w:val="Hyperlink"/>
          <w:rFonts w:cs="Arial"/>
          <w:sz w:val="25"/>
          <w:szCs w:val="25"/>
          <w:lang w:eastAsia="en-NZ"/>
        </w:rPr>
        <w:t>section 74AA</w:t>
      </w:r>
      <w:r w:rsidRPr="005E134B">
        <w:rPr>
          <w:lang w:eastAsia="en-NZ"/>
        </w:rPr>
        <w:fldChar w:fldCharType="end"/>
      </w:r>
      <w:r w:rsidRPr="005E134B">
        <w:rPr>
          <w:lang w:eastAsia="en-NZ"/>
        </w:rPr>
        <w:t xml:space="preserve"> (as to be inserted by that section) were already in force, but in relation only to the disease stated in the notice.</w:t>
      </w:r>
    </w:p>
    <w:p w:rsidR="008D1DCC" w:rsidRPr="005E134B" w:rsidRDefault="008D1DCC" w:rsidP="001F594B">
      <w:pPr>
        <w:spacing w:before="240"/>
        <w:ind w:left="567" w:hanging="567"/>
        <w:rPr>
          <w:lang w:eastAsia="en-NZ"/>
        </w:rPr>
      </w:pPr>
      <w:r w:rsidRPr="005E134B">
        <w:rPr>
          <w:lang w:eastAsia="en-NZ"/>
        </w:rPr>
        <w:t>(2)</w:t>
      </w:r>
      <w:r w:rsidR="001F594B">
        <w:rPr>
          <w:lang w:eastAsia="en-NZ"/>
        </w:rPr>
        <w:tab/>
      </w:r>
      <w:r w:rsidRPr="005E134B">
        <w:rPr>
          <w:lang w:eastAsia="en-NZ"/>
        </w:rPr>
        <w:t xml:space="preserve">Unless the notice provides that </w:t>
      </w:r>
      <w:hyperlink r:id="rId85" w:anchor="DLM307228" w:history="1">
        <w:r w:rsidRPr="005E134B">
          <w:rPr>
            <w:rStyle w:val="Hyperlink"/>
            <w:rFonts w:cs="Arial"/>
            <w:sz w:val="25"/>
            <w:szCs w:val="25"/>
            <w:lang w:eastAsia="en-NZ"/>
          </w:rPr>
          <w:t>section 74AA</w:t>
        </w:r>
      </w:hyperlink>
      <w:r w:rsidRPr="005E134B">
        <w:rPr>
          <w:lang w:eastAsia="en-NZ"/>
        </w:rPr>
        <w:t xml:space="preserve"> is to apply to medical laboratories in stated parts of New Zealand only, the section applies to medical laboratories throughout New Zealand.</w:t>
      </w:r>
    </w:p>
    <w:p w:rsidR="008D1DCC" w:rsidRPr="005E134B" w:rsidRDefault="008D1DCC" w:rsidP="001F594B">
      <w:pPr>
        <w:spacing w:before="240"/>
        <w:ind w:left="567" w:hanging="567"/>
        <w:rPr>
          <w:lang w:eastAsia="en-NZ"/>
        </w:rPr>
      </w:pPr>
      <w:r w:rsidRPr="005E134B">
        <w:rPr>
          <w:lang w:eastAsia="en-NZ"/>
        </w:rPr>
        <w:t>(3)</w:t>
      </w:r>
      <w:r w:rsidR="001F594B">
        <w:rPr>
          <w:lang w:eastAsia="en-NZ"/>
        </w:rPr>
        <w:tab/>
      </w:r>
      <w:r w:rsidRPr="005E134B">
        <w:rPr>
          <w:lang w:eastAsia="en-NZ"/>
        </w:rPr>
        <w:t>While the notice is in force, every provision of this Act (other than this section) has effect</w:t>
      </w:r>
      <w:r w:rsidR="001F594B">
        <w:rPr>
          <w:lang w:eastAsia="en-NZ"/>
        </w:rPr>
        <w:t xml:space="preserve"> –</w:t>
      </w:r>
    </w:p>
    <w:p w:rsidR="008D1DCC" w:rsidRPr="005E134B" w:rsidRDefault="008D1DCC" w:rsidP="001F594B">
      <w:pPr>
        <w:spacing w:before="120"/>
        <w:ind w:left="1134" w:hanging="567"/>
        <w:rPr>
          <w:lang w:eastAsia="en-NZ"/>
        </w:rPr>
      </w:pPr>
      <w:r w:rsidRPr="005E134B">
        <w:rPr>
          <w:sz w:val="20"/>
          <w:lang w:eastAsia="en-NZ"/>
        </w:rPr>
        <w:t>(</w:t>
      </w:r>
      <w:r w:rsidRPr="005E134B">
        <w:rPr>
          <w:szCs w:val="24"/>
          <w:lang w:eastAsia="en-NZ"/>
        </w:rPr>
        <w:t>a)</w:t>
      </w:r>
      <w:r w:rsidR="001F594B">
        <w:rPr>
          <w:szCs w:val="24"/>
          <w:lang w:eastAsia="en-NZ"/>
        </w:rPr>
        <w:tab/>
      </w:r>
      <w:r w:rsidRPr="005E134B">
        <w:rPr>
          <w:lang w:eastAsia="en-NZ"/>
        </w:rPr>
        <w:t xml:space="preserve">as if </w:t>
      </w:r>
      <w:hyperlink r:id="rId86" w:anchor="DLM307228" w:history="1">
        <w:r w:rsidRPr="005E134B">
          <w:rPr>
            <w:rStyle w:val="Hyperlink"/>
            <w:rFonts w:cs="Arial"/>
            <w:sz w:val="25"/>
            <w:szCs w:val="25"/>
            <w:lang w:eastAsia="en-NZ"/>
          </w:rPr>
          <w:t>section 74AA</w:t>
        </w:r>
      </w:hyperlink>
      <w:bookmarkEnd w:id="102"/>
      <w:r w:rsidRPr="005E134B">
        <w:rPr>
          <w:lang w:eastAsia="en-NZ"/>
        </w:rPr>
        <w:t xml:space="preserve"> were in force; but</w:t>
      </w:r>
    </w:p>
    <w:p w:rsidR="008D1DCC" w:rsidRPr="005E134B" w:rsidRDefault="008D1DCC" w:rsidP="001F594B">
      <w:pPr>
        <w:spacing w:before="120"/>
        <w:ind w:left="1134" w:hanging="567"/>
        <w:rPr>
          <w:lang w:eastAsia="en-NZ"/>
        </w:rPr>
      </w:pPr>
      <w:r w:rsidRPr="005E134B">
        <w:rPr>
          <w:szCs w:val="24"/>
          <w:lang w:eastAsia="en-NZ"/>
        </w:rPr>
        <w:t>(b)</w:t>
      </w:r>
      <w:r w:rsidR="001F594B">
        <w:rPr>
          <w:szCs w:val="24"/>
          <w:lang w:eastAsia="en-NZ"/>
        </w:rPr>
        <w:tab/>
      </w:r>
      <w:r w:rsidRPr="005E134B">
        <w:rPr>
          <w:szCs w:val="24"/>
          <w:lang w:eastAsia="en-NZ"/>
        </w:rPr>
        <w:t>as if the references in that section to a notifiable disease were references to the</w:t>
      </w:r>
      <w:r w:rsidRPr="005E134B">
        <w:rPr>
          <w:lang w:eastAsia="en-NZ"/>
        </w:rPr>
        <w:t xml:space="preserve"> quarantinable disease stated in the notice (or, if 2 or more notices are in force, to the quarantinable diseases stated in the notices).</w:t>
      </w:r>
    </w:p>
    <w:p w:rsidR="008D1DCC" w:rsidRDefault="008D1DCC" w:rsidP="001F594B">
      <w:pPr>
        <w:spacing w:before="240"/>
        <w:ind w:left="567" w:hanging="567"/>
        <w:rPr>
          <w:lang w:eastAsia="en-NZ"/>
        </w:rPr>
      </w:pPr>
      <w:r w:rsidRPr="005E134B">
        <w:rPr>
          <w:lang w:eastAsia="en-NZ"/>
        </w:rPr>
        <w:t>(4)</w:t>
      </w:r>
      <w:r w:rsidR="001F594B">
        <w:rPr>
          <w:lang w:eastAsia="en-NZ"/>
        </w:rPr>
        <w:tab/>
      </w:r>
      <w:r w:rsidRPr="005E134B">
        <w:rPr>
          <w:lang w:eastAsia="en-NZ"/>
        </w:rPr>
        <w:t>The fact that the notice has expired does not affect any criminal or civil liability arising while it was in force.</w:t>
      </w:r>
    </w:p>
    <w:p w:rsidR="001F594B" w:rsidRPr="005E134B" w:rsidRDefault="001F594B" w:rsidP="001F594B">
      <w:pPr>
        <w:rPr>
          <w:lang w:eastAsia="en-NZ"/>
        </w:rPr>
      </w:pPr>
    </w:p>
    <w:p w:rsidR="008D1DCC" w:rsidRPr="007618AB" w:rsidRDefault="008D1DCC" w:rsidP="001F594B">
      <w:pPr>
        <w:pStyle w:val="Heading3"/>
      </w:pPr>
      <w:r w:rsidRPr="007618AB">
        <w:t>85 Notice of death from infectious disease</w:t>
      </w:r>
    </w:p>
    <w:p w:rsidR="008D1DCC" w:rsidRPr="005E134B" w:rsidRDefault="008D1DCC" w:rsidP="001F594B">
      <w:pPr>
        <w:ind w:left="567" w:hanging="567"/>
        <w:rPr>
          <w:lang w:eastAsia="en-NZ"/>
        </w:rPr>
      </w:pPr>
      <w:r w:rsidRPr="005E134B">
        <w:rPr>
          <w:lang w:eastAsia="en-NZ"/>
        </w:rPr>
        <w:t>(1)</w:t>
      </w:r>
      <w:r w:rsidR="001F594B">
        <w:rPr>
          <w:lang w:eastAsia="en-NZ"/>
        </w:rPr>
        <w:tab/>
      </w:r>
      <w:r w:rsidRPr="005E134B">
        <w:rPr>
          <w:lang w:eastAsia="en-NZ"/>
        </w:rPr>
        <w:t>When any person has died of an infectious disease, the funeral director or other person having charge of the funeral of the deceased shall forthwith, after having been informed of the cause of death and before the removal of the body from the building or other place in which it may then be, give to the medical officer of health notice in the prescribed form and manner of the fact of the death and the cause thereof.</w:t>
      </w:r>
    </w:p>
    <w:p w:rsidR="008D1DCC" w:rsidRDefault="008D1DCC" w:rsidP="001F594B">
      <w:pPr>
        <w:spacing w:before="240"/>
        <w:ind w:left="567" w:hanging="567"/>
        <w:rPr>
          <w:lang w:eastAsia="en-NZ"/>
        </w:rPr>
      </w:pPr>
      <w:r w:rsidRPr="005E134B">
        <w:rPr>
          <w:lang w:eastAsia="en-NZ"/>
        </w:rPr>
        <w:t>(2)</w:t>
      </w:r>
      <w:r w:rsidR="001F594B">
        <w:rPr>
          <w:lang w:eastAsia="en-NZ"/>
        </w:rPr>
        <w:tab/>
      </w:r>
      <w:r w:rsidRPr="005E134B">
        <w:rPr>
          <w:lang w:eastAsia="en-NZ"/>
        </w:rPr>
        <w:t>[Repealed]</w:t>
      </w:r>
    </w:p>
    <w:p w:rsidR="007E2678" w:rsidRDefault="007E2678">
      <w:pPr>
        <w:spacing w:line="240" w:lineRule="auto"/>
      </w:pPr>
      <w:bookmarkStart w:id="103" w:name="_Toc473538592"/>
      <w:r>
        <w:br w:type="page"/>
      </w:r>
    </w:p>
    <w:p w:rsidR="008D1DCC" w:rsidRPr="007E2678" w:rsidRDefault="008D1DCC" w:rsidP="007E2678">
      <w:pPr>
        <w:rPr>
          <w:b/>
          <w:sz w:val="40"/>
          <w:szCs w:val="40"/>
        </w:rPr>
      </w:pPr>
      <w:r w:rsidRPr="007E2678">
        <w:rPr>
          <w:b/>
          <w:sz w:val="40"/>
          <w:szCs w:val="40"/>
        </w:rPr>
        <w:t>Appendix 3:</w:t>
      </w:r>
      <w:r w:rsidR="003B22F1" w:rsidRPr="007E2678">
        <w:rPr>
          <w:b/>
          <w:sz w:val="40"/>
          <w:szCs w:val="40"/>
        </w:rPr>
        <w:t xml:space="preserve"> </w:t>
      </w:r>
      <w:r w:rsidRPr="007E2678">
        <w:rPr>
          <w:b/>
          <w:sz w:val="40"/>
          <w:szCs w:val="40"/>
        </w:rPr>
        <w:t>Notification provisions and forms from the HIND Regulations 2016 (as at 4</w:t>
      </w:r>
      <w:r w:rsidR="00B80940" w:rsidRPr="007E2678">
        <w:rPr>
          <w:b/>
          <w:sz w:val="40"/>
          <w:szCs w:val="40"/>
        </w:rPr>
        <w:t> </w:t>
      </w:r>
      <w:r w:rsidRPr="007E2678">
        <w:rPr>
          <w:b/>
          <w:sz w:val="40"/>
          <w:szCs w:val="40"/>
        </w:rPr>
        <w:t>January 2017)</w:t>
      </w:r>
      <w:bookmarkEnd w:id="103"/>
    </w:p>
    <w:p w:rsidR="008D1DCC" w:rsidRPr="007618AB" w:rsidRDefault="008D1DCC" w:rsidP="00C76F22">
      <w:pPr>
        <w:pStyle w:val="Heading3"/>
        <w:spacing w:before="240"/>
        <w:rPr>
          <w:lang w:eastAsia="en-NZ"/>
        </w:rPr>
      </w:pPr>
      <w:r w:rsidRPr="007618AB">
        <w:rPr>
          <w:lang w:eastAsia="en-NZ"/>
        </w:rPr>
        <w:t>6 Meaning of identifying information for purposes of notifications to be given on non-identified basis</w:t>
      </w:r>
    </w:p>
    <w:p w:rsidR="008D1DCC" w:rsidRDefault="008D1DCC" w:rsidP="00C76F22">
      <w:pPr>
        <w:rPr>
          <w:lang w:eastAsia="en-NZ"/>
        </w:rPr>
      </w:pPr>
      <w:r w:rsidRPr="005E134B">
        <w:rPr>
          <w:lang w:eastAsia="en-NZ"/>
        </w:rPr>
        <w:t xml:space="preserve">For the purposes of </w:t>
      </w:r>
      <w:bookmarkStart w:id="104" w:name="DLM307220"/>
      <w:r w:rsidRPr="007618AB">
        <w:rPr>
          <w:lang w:eastAsia="en-NZ"/>
        </w:rPr>
        <w:fldChar w:fldCharType="begin"/>
      </w:r>
      <w:r w:rsidRPr="007618AB">
        <w:rPr>
          <w:lang w:eastAsia="en-NZ"/>
        </w:rPr>
        <w:instrText xml:space="preserve"> HYPERLINK "http://www.legislation.govt.nz/regulation/public/2016/0272/latest/link.aspx?id=DLM307220" \l "DLM307220" </w:instrText>
      </w:r>
      <w:r w:rsidRPr="007618AB">
        <w:rPr>
          <w:lang w:eastAsia="en-NZ"/>
        </w:rPr>
        <w:fldChar w:fldCharType="separate"/>
      </w:r>
      <w:r w:rsidRPr="007618AB">
        <w:rPr>
          <w:lang w:eastAsia="en-NZ"/>
        </w:rPr>
        <w:t>section 74(3C)(b)</w:t>
      </w:r>
      <w:r w:rsidRPr="007618AB">
        <w:rPr>
          <w:lang w:eastAsia="en-NZ"/>
        </w:rPr>
        <w:fldChar w:fldCharType="end"/>
      </w:r>
      <w:bookmarkEnd w:id="104"/>
      <w:r w:rsidRPr="005E134B">
        <w:rPr>
          <w:lang w:eastAsia="en-NZ"/>
        </w:rPr>
        <w:t xml:space="preserve"> of the Act, the person</w:t>
      </w:r>
      <w:r w:rsidR="003B22F1">
        <w:rPr>
          <w:lang w:eastAsia="en-NZ"/>
        </w:rPr>
        <w:t>’</w:t>
      </w:r>
      <w:r w:rsidRPr="005E134B">
        <w:rPr>
          <w:lang w:eastAsia="en-NZ"/>
        </w:rPr>
        <w:t xml:space="preserve">s contact details (including phone number, email address, and URL) are identifying information (and accordingly must not be disclosed in notices of diseases listed in section C of </w:t>
      </w:r>
      <w:bookmarkStart w:id="105" w:name="DLM308730"/>
      <w:r w:rsidRPr="007618AB">
        <w:rPr>
          <w:lang w:eastAsia="en-NZ"/>
        </w:rPr>
        <w:fldChar w:fldCharType="begin"/>
      </w:r>
      <w:r w:rsidRPr="007618AB">
        <w:rPr>
          <w:lang w:eastAsia="en-NZ"/>
        </w:rPr>
        <w:instrText xml:space="preserve"> HYPERLINK "http://www.legislation.govt.nz/regulation/public/2016/0272/latest/link.aspx?id=DLM308730" \l "DLM308730" </w:instrText>
      </w:r>
      <w:r w:rsidRPr="007618AB">
        <w:rPr>
          <w:lang w:eastAsia="en-NZ"/>
        </w:rPr>
        <w:fldChar w:fldCharType="separate"/>
      </w:r>
      <w:r w:rsidRPr="007618AB">
        <w:rPr>
          <w:lang w:eastAsia="en-NZ"/>
        </w:rPr>
        <w:t>Part 1</w:t>
      </w:r>
      <w:r w:rsidRPr="007618AB">
        <w:rPr>
          <w:lang w:eastAsia="en-NZ"/>
        </w:rPr>
        <w:fldChar w:fldCharType="end"/>
      </w:r>
      <w:bookmarkEnd w:id="105"/>
      <w:r w:rsidRPr="005E134B">
        <w:rPr>
          <w:lang w:eastAsia="en-NZ"/>
        </w:rPr>
        <w:t xml:space="preserve"> of Schedule 1 of the Act).</w:t>
      </w:r>
    </w:p>
    <w:p w:rsidR="00C76F22" w:rsidRPr="005E134B" w:rsidRDefault="00C76F22" w:rsidP="00C76F22">
      <w:pPr>
        <w:rPr>
          <w:lang w:eastAsia="en-NZ"/>
        </w:rPr>
      </w:pPr>
    </w:p>
    <w:p w:rsidR="008D1DCC" w:rsidRPr="007618AB" w:rsidRDefault="008D1DCC" w:rsidP="00C76F22">
      <w:pPr>
        <w:pStyle w:val="Heading3"/>
        <w:rPr>
          <w:lang w:eastAsia="en-NZ"/>
        </w:rPr>
      </w:pPr>
      <w:r w:rsidRPr="007618AB">
        <w:rPr>
          <w:lang w:eastAsia="en-NZ"/>
        </w:rPr>
        <w:t>7 Form for health practitioners giving notice of notifiable disease</w:t>
      </w:r>
    </w:p>
    <w:p w:rsidR="008D1DCC" w:rsidRPr="00C76F22" w:rsidRDefault="008D1DCC" w:rsidP="00C76F22">
      <w:r w:rsidRPr="00C76F22">
        <w:t>(1)</w:t>
      </w:r>
      <w:r w:rsidR="00C76F22">
        <w:tab/>
      </w:r>
      <w:r w:rsidRPr="00C76F22">
        <w:t xml:space="preserve">Notice of a notifiable disease required by </w:t>
      </w:r>
      <w:hyperlink r:id="rId87" w:anchor="DLM307220" w:history="1">
        <w:r w:rsidRPr="00C76F22">
          <w:t>section 74(1)</w:t>
        </w:r>
      </w:hyperlink>
      <w:r w:rsidRPr="00C76F22">
        <w:t xml:space="preserve"> of the Act must be in </w:t>
      </w:r>
      <w:r w:rsidR="00C76F22" w:rsidRPr="00C76F22">
        <w:t>–</w:t>
      </w:r>
    </w:p>
    <w:p w:rsidR="008D1DCC" w:rsidRPr="00C76F22" w:rsidRDefault="008D1DCC" w:rsidP="004831C9">
      <w:pPr>
        <w:spacing w:before="90"/>
        <w:ind w:left="1134" w:hanging="567"/>
      </w:pPr>
      <w:r w:rsidRPr="005E134B">
        <w:rPr>
          <w:rFonts w:cs="Arial"/>
          <w:sz w:val="20"/>
          <w:lang w:eastAsia="en-NZ"/>
        </w:rPr>
        <w:t>(a)</w:t>
      </w:r>
      <w:r w:rsidR="00C76F22">
        <w:rPr>
          <w:rFonts w:cs="Arial"/>
          <w:sz w:val="20"/>
          <w:lang w:eastAsia="en-NZ"/>
        </w:rPr>
        <w:tab/>
      </w:r>
      <w:hyperlink r:id="rId88" w:anchor="DLM7036108" w:history="1">
        <w:r w:rsidRPr="00C76F22">
          <w:t>form 1 of Schedule 2</w:t>
        </w:r>
      </w:hyperlink>
      <w:r w:rsidRPr="00C76F22">
        <w:t xml:space="preserve"> (if the disease is listed in </w:t>
      </w:r>
      <w:hyperlink r:id="rId89" w:anchor="DLM3533500" w:history="1">
        <w:r w:rsidRPr="00C76F22">
          <w:t>section A</w:t>
        </w:r>
      </w:hyperlink>
      <w:r w:rsidRPr="00C76F22">
        <w:t xml:space="preserve"> or </w:t>
      </w:r>
      <w:hyperlink r:id="rId90" w:anchor="DLM3533501" w:history="1">
        <w:r w:rsidRPr="00C76F22">
          <w:t>B</w:t>
        </w:r>
      </w:hyperlink>
      <w:r w:rsidRPr="00C76F22">
        <w:t xml:space="preserve"> of Part 1 of Schedule 1 of the Act); or</w:t>
      </w:r>
    </w:p>
    <w:p w:rsidR="008D1DCC" w:rsidRPr="00C76F22" w:rsidRDefault="008D1DCC" w:rsidP="004831C9">
      <w:pPr>
        <w:spacing w:before="90"/>
        <w:ind w:left="1134" w:hanging="567"/>
      </w:pPr>
      <w:r w:rsidRPr="005E134B">
        <w:rPr>
          <w:rFonts w:cs="Arial"/>
          <w:sz w:val="20"/>
          <w:lang w:eastAsia="en-NZ"/>
        </w:rPr>
        <w:t>(b)</w:t>
      </w:r>
      <w:r w:rsidR="00C76F22">
        <w:rPr>
          <w:rFonts w:cs="Arial"/>
          <w:sz w:val="20"/>
          <w:lang w:eastAsia="en-NZ"/>
        </w:rPr>
        <w:tab/>
      </w:r>
      <w:hyperlink r:id="rId91" w:anchor="DLM7036110" w:history="1">
        <w:r w:rsidRPr="00C76F22">
          <w:t>form 2 of Schedule 2</w:t>
        </w:r>
      </w:hyperlink>
      <w:r w:rsidRPr="00C76F22">
        <w:t xml:space="preserve"> (if the disease is listed in section C of </w:t>
      </w:r>
      <w:hyperlink r:id="rId92" w:anchor="DLM308730" w:history="1">
        <w:r w:rsidRPr="00C76F22">
          <w:t>Part 1</w:t>
        </w:r>
      </w:hyperlink>
      <w:r w:rsidRPr="00C76F22">
        <w:t xml:space="preserve"> of Schedule 1 of the Act).</w:t>
      </w:r>
    </w:p>
    <w:p w:rsidR="008D1DCC" w:rsidRPr="00C76F22" w:rsidRDefault="008D1DCC" w:rsidP="004831C9">
      <w:pPr>
        <w:spacing w:before="180"/>
        <w:ind w:left="567" w:hanging="567"/>
      </w:pPr>
      <w:r w:rsidRPr="00C76F22">
        <w:t>(2)</w:t>
      </w:r>
      <w:r w:rsidR="00C76F22">
        <w:tab/>
      </w:r>
      <w:r w:rsidRPr="00C76F22">
        <w:t xml:space="preserve">Notice of a notifiable disease required by </w:t>
      </w:r>
      <w:hyperlink r:id="rId93" w:anchor="DLM307220" w:history="1">
        <w:r w:rsidRPr="00C76F22">
          <w:t>section 74(3)</w:t>
        </w:r>
      </w:hyperlink>
      <w:r w:rsidRPr="00C76F22">
        <w:t xml:space="preserve"> of the Act must be in—</w:t>
      </w:r>
    </w:p>
    <w:p w:rsidR="008D1DCC" w:rsidRPr="00C76F22" w:rsidRDefault="008D1DCC" w:rsidP="004831C9">
      <w:pPr>
        <w:spacing w:before="90"/>
        <w:ind w:left="1134" w:hanging="567"/>
      </w:pPr>
      <w:r w:rsidRPr="005E134B">
        <w:rPr>
          <w:rFonts w:cs="Arial"/>
          <w:sz w:val="20"/>
          <w:lang w:eastAsia="en-NZ"/>
        </w:rPr>
        <w:t>(a</w:t>
      </w:r>
      <w:r w:rsidRPr="00C76F22">
        <w:t>)</w:t>
      </w:r>
      <w:r w:rsidR="00C76F22">
        <w:tab/>
      </w:r>
      <w:hyperlink r:id="rId94" w:anchor="DLM7036112" w:history="1">
        <w:r w:rsidRPr="00C76F22">
          <w:t>form 3 of Schedule 2</w:t>
        </w:r>
      </w:hyperlink>
      <w:r w:rsidRPr="00C76F22">
        <w:t xml:space="preserve"> (if the disease is listed in </w:t>
      </w:r>
      <w:hyperlink r:id="rId95" w:anchor="DLM3533500" w:history="1">
        <w:r w:rsidRPr="00C76F22">
          <w:t>section A</w:t>
        </w:r>
      </w:hyperlink>
      <w:r w:rsidRPr="00C76F22">
        <w:t xml:space="preserve"> or </w:t>
      </w:r>
      <w:hyperlink r:id="rId96" w:anchor="DLM3533501" w:history="1">
        <w:r w:rsidRPr="00C76F22">
          <w:t>B</w:t>
        </w:r>
      </w:hyperlink>
      <w:r w:rsidRPr="00C76F22">
        <w:t xml:space="preserve"> of Part 1 of Schedule 1 of the Act); or</w:t>
      </w:r>
    </w:p>
    <w:p w:rsidR="008D1DCC" w:rsidRPr="00C76F22" w:rsidRDefault="008D1DCC" w:rsidP="004831C9">
      <w:pPr>
        <w:spacing w:before="90"/>
        <w:ind w:left="1134" w:hanging="567"/>
      </w:pPr>
      <w:r w:rsidRPr="005E134B">
        <w:rPr>
          <w:rFonts w:cs="Arial"/>
          <w:sz w:val="20"/>
          <w:lang w:eastAsia="en-NZ"/>
        </w:rPr>
        <w:t>(b)</w:t>
      </w:r>
      <w:r w:rsidR="00C76F22">
        <w:rPr>
          <w:rFonts w:cs="Arial"/>
          <w:sz w:val="20"/>
          <w:lang w:eastAsia="en-NZ"/>
        </w:rPr>
        <w:tab/>
      </w:r>
      <w:hyperlink r:id="rId97" w:anchor="DLM7036114" w:history="1">
        <w:r w:rsidRPr="00C76F22">
          <w:t>form 4 of Schedule 2</w:t>
        </w:r>
      </w:hyperlink>
      <w:r w:rsidRPr="00C76F22">
        <w:t xml:space="preserve"> (if the disease is listed in section C of </w:t>
      </w:r>
      <w:hyperlink r:id="rId98" w:anchor="DLM308730" w:history="1">
        <w:r w:rsidRPr="00C76F22">
          <w:t>Part 1</w:t>
        </w:r>
      </w:hyperlink>
      <w:r w:rsidRPr="00C76F22">
        <w:t xml:space="preserve"> of Schedule 1 of the Act).</w:t>
      </w:r>
    </w:p>
    <w:p w:rsidR="00C76F22" w:rsidRPr="005E134B" w:rsidRDefault="00C76F22" w:rsidP="00C76F22">
      <w:pPr>
        <w:rPr>
          <w:lang w:eastAsia="en-NZ"/>
        </w:rPr>
      </w:pPr>
    </w:p>
    <w:p w:rsidR="008D1DCC" w:rsidRPr="007618AB" w:rsidRDefault="008D1DCC" w:rsidP="00C76F22">
      <w:pPr>
        <w:pStyle w:val="Heading3"/>
        <w:rPr>
          <w:lang w:eastAsia="en-NZ"/>
        </w:rPr>
      </w:pPr>
      <w:r w:rsidRPr="007618AB">
        <w:rPr>
          <w:lang w:eastAsia="en-NZ"/>
        </w:rPr>
        <w:t>8 Requirements for medical laboratories giving notice of notifiable disease</w:t>
      </w:r>
    </w:p>
    <w:p w:rsidR="008D1DCC" w:rsidRDefault="008D1DCC" w:rsidP="00C76F22">
      <w:pPr>
        <w:rPr>
          <w:lang w:eastAsia="en-NZ"/>
        </w:rPr>
      </w:pPr>
      <w:r w:rsidRPr="005E134B">
        <w:rPr>
          <w:lang w:eastAsia="en-NZ"/>
        </w:rPr>
        <w:t xml:space="preserve">Notice of a notifiable disease required by </w:t>
      </w:r>
      <w:hyperlink r:id="rId99" w:anchor="DLM307228" w:history="1">
        <w:r w:rsidRPr="00C76F22">
          <w:t>section 74AA(2)</w:t>
        </w:r>
      </w:hyperlink>
      <w:r w:rsidRPr="00C76F22">
        <w:t xml:space="preserve"> of the Act mus</w:t>
      </w:r>
      <w:r w:rsidRPr="005E134B">
        <w:rPr>
          <w:lang w:eastAsia="en-NZ"/>
        </w:rPr>
        <w:t xml:space="preserve">t include, at a minimum, the information set out in </w:t>
      </w:r>
      <w:bookmarkStart w:id="106" w:name="DLM7036127"/>
      <w:r w:rsidRPr="007618AB">
        <w:rPr>
          <w:lang w:eastAsia="en-NZ"/>
        </w:rPr>
        <w:fldChar w:fldCharType="begin"/>
      </w:r>
      <w:r w:rsidRPr="007618AB">
        <w:rPr>
          <w:lang w:eastAsia="en-NZ"/>
        </w:rPr>
        <w:instrText xml:space="preserve"> HYPERLINK "http://www.legislation.govt.nz/regulation/public/2016/0272/latest/link.aspx?id=DLM7036127" \l "DLM7036127" </w:instrText>
      </w:r>
      <w:r w:rsidRPr="007618AB">
        <w:rPr>
          <w:lang w:eastAsia="en-NZ"/>
        </w:rPr>
        <w:fldChar w:fldCharType="separate"/>
      </w:r>
      <w:r w:rsidRPr="007618AB">
        <w:rPr>
          <w:lang w:eastAsia="en-NZ"/>
        </w:rPr>
        <w:t>Schedule 3</w:t>
      </w:r>
      <w:r w:rsidRPr="007618AB">
        <w:rPr>
          <w:lang w:eastAsia="en-NZ"/>
        </w:rPr>
        <w:fldChar w:fldCharType="end"/>
      </w:r>
      <w:bookmarkEnd w:id="106"/>
      <w:r w:rsidRPr="007618AB">
        <w:rPr>
          <w:lang w:eastAsia="en-NZ"/>
        </w:rPr>
        <w:t>.</w:t>
      </w:r>
    </w:p>
    <w:p w:rsidR="00C76F22" w:rsidRPr="005E134B" w:rsidRDefault="00C76F22" w:rsidP="00C76F22">
      <w:pPr>
        <w:rPr>
          <w:rFonts w:cs="Arial"/>
          <w:sz w:val="25"/>
          <w:szCs w:val="25"/>
          <w:lang w:eastAsia="en-NZ"/>
        </w:rPr>
      </w:pPr>
    </w:p>
    <w:p w:rsidR="008D1DCC" w:rsidRPr="007618AB" w:rsidRDefault="008D1DCC" w:rsidP="00C76F22">
      <w:pPr>
        <w:pStyle w:val="Heading3"/>
        <w:rPr>
          <w:lang w:eastAsia="en-NZ"/>
        </w:rPr>
      </w:pPr>
      <w:r w:rsidRPr="007618AB">
        <w:rPr>
          <w:lang w:eastAsia="en-NZ"/>
        </w:rPr>
        <w:t>9 Form for funeral director, etc, giving notice of death from infectious disease</w:t>
      </w:r>
    </w:p>
    <w:p w:rsidR="008D1DCC" w:rsidRPr="00C76F22" w:rsidRDefault="008D1DCC" w:rsidP="00C76F22">
      <w:r w:rsidRPr="00C76F22">
        <w:t xml:space="preserve">Notice of a death from an infectious disease required by </w:t>
      </w:r>
      <w:bookmarkStart w:id="107" w:name="DLM307271"/>
      <w:r w:rsidRPr="00C76F22">
        <w:fldChar w:fldCharType="begin"/>
      </w:r>
      <w:r w:rsidRPr="00C76F22">
        <w:instrText xml:space="preserve"> HYPERLINK "http://www.legislation.govt.nz/regulation/public/2016/0272/latest/link.aspx?id=DLM307271" \l "DLM307271" </w:instrText>
      </w:r>
      <w:r w:rsidRPr="00C76F22">
        <w:fldChar w:fldCharType="separate"/>
      </w:r>
      <w:r w:rsidRPr="00C76F22">
        <w:t>section 85</w:t>
      </w:r>
      <w:r w:rsidRPr="00C76F22">
        <w:fldChar w:fldCharType="end"/>
      </w:r>
      <w:bookmarkEnd w:id="107"/>
      <w:r w:rsidRPr="00C76F22">
        <w:t xml:space="preserve"> of the Act must be in </w:t>
      </w:r>
      <w:r w:rsidR="00C76F22" w:rsidRPr="00C76F22">
        <w:t>–</w:t>
      </w:r>
    </w:p>
    <w:p w:rsidR="008D1DCC" w:rsidRPr="00C76F22" w:rsidRDefault="008D1DCC" w:rsidP="00C76F22">
      <w:pPr>
        <w:spacing w:before="120"/>
        <w:ind w:left="567" w:hanging="567"/>
      </w:pPr>
      <w:r w:rsidRPr="005E134B">
        <w:rPr>
          <w:rFonts w:cs="Arial"/>
          <w:sz w:val="20"/>
          <w:lang w:eastAsia="en-NZ"/>
        </w:rPr>
        <w:t>(a)</w:t>
      </w:r>
      <w:r w:rsidR="00C76F22">
        <w:rPr>
          <w:rFonts w:cs="Arial"/>
          <w:sz w:val="20"/>
          <w:lang w:eastAsia="en-NZ"/>
        </w:rPr>
        <w:tab/>
      </w:r>
      <w:bookmarkStart w:id="108" w:name="DLM7036116"/>
      <w:r w:rsidRPr="00C76F22">
        <w:fldChar w:fldCharType="begin"/>
      </w:r>
      <w:r w:rsidRPr="00C76F22">
        <w:instrText xml:space="preserve"> HYPERLINK "http://www.legislation.govt.nz/regulation/public/2016/0272/latest/link.aspx?id=DLM7036116" \l "DLM7036116" </w:instrText>
      </w:r>
      <w:r w:rsidRPr="00C76F22">
        <w:fldChar w:fldCharType="separate"/>
      </w:r>
      <w:r w:rsidRPr="00C76F22">
        <w:t>form 5 of Schedule 2</w:t>
      </w:r>
      <w:r w:rsidRPr="00C76F22">
        <w:fldChar w:fldCharType="end"/>
      </w:r>
      <w:bookmarkEnd w:id="108"/>
      <w:r w:rsidRPr="00C76F22">
        <w:t xml:space="preserve"> (if the disease is listed in </w:t>
      </w:r>
      <w:hyperlink r:id="rId100" w:anchor="DLM3533500" w:history="1">
        <w:r w:rsidRPr="00C76F22">
          <w:t>section A</w:t>
        </w:r>
      </w:hyperlink>
      <w:r w:rsidRPr="00C76F22">
        <w:t xml:space="preserve"> or </w:t>
      </w:r>
      <w:hyperlink r:id="rId101" w:anchor="DLM3533501" w:history="1">
        <w:r w:rsidRPr="00C76F22">
          <w:t>B</w:t>
        </w:r>
      </w:hyperlink>
      <w:r w:rsidRPr="00C76F22">
        <w:t xml:space="preserve"> of Part 1 of Schedule 1 of the Act); or</w:t>
      </w:r>
    </w:p>
    <w:p w:rsidR="008D1DCC" w:rsidRPr="00C76F22" w:rsidRDefault="008D1DCC" w:rsidP="00C76F22">
      <w:pPr>
        <w:spacing w:before="120"/>
        <w:ind w:left="567" w:hanging="567"/>
      </w:pPr>
      <w:r w:rsidRPr="005E134B">
        <w:rPr>
          <w:rFonts w:cs="Arial"/>
          <w:sz w:val="20"/>
          <w:lang w:eastAsia="en-NZ"/>
        </w:rPr>
        <w:t>(b)</w:t>
      </w:r>
      <w:r w:rsidR="00C76F22">
        <w:rPr>
          <w:rFonts w:cs="Arial"/>
          <w:sz w:val="20"/>
          <w:lang w:eastAsia="en-NZ"/>
        </w:rPr>
        <w:tab/>
      </w:r>
      <w:hyperlink r:id="rId102" w:anchor="DLM7036118" w:history="1">
        <w:r w:rsidRPr="00C76F22">
          <w:t>form 6 of Schedule 2</w:t>
        </w:r>
      </w:hyperlink>
      <w:r w:rsidRPr="005E134B">
        <w:rPr>
          <w:rFonts w:cs="Arial"/>
          <w:sz w:val="25"/>
          <w:szCs w:val="25"/>
          <w:lang w:eastAsia="en-NZ"/>
        </w:rPr>
        <w:t xml:space="preserve"> </w:t>
      </w:r>
      <w:r w:rsidRPr="00C76F22">
        <w:t xml:space="preserve">(if the disease is listed in section C of </w:t>
      </w:r>
      <w:hyperlink r:id="rId103" w:anchor="DLM308730" w:history="1">
        <w:r w:rsidRPr="00C76F22">
          <w:t>Part 1</w:t>
        </w:r>
      </w:hyperlink>
      <w:r w:rsidRPr="00C76F22">
        <w:t xml:space="preserve"> of Schedule 1 of the Act).</w:t>
      </w:r>
    </w:p>
    <w:p w:rsidR="00C76F22" w:rsidRPr="005E134B" w:rsidRDefault="00C76F22" w:rsidP="00C76F22">
      <w:pPr>
        <w:rPr>
          <w:lang w:eastAsia="en-NZ"/>
        </w:rPr>
      </w:pPr>
    </w:p>
    <w:p w:rsidR="008D1DCC" w:rsidRPr="007618AB" w:rsidRDefault="008D1DCC" w:rsidP="00C76F22">
      <w:pPr>
        <w:pStyle w:val="Heading3"/>
        <w:rPr>
          <w:lang w:eastAsia="en-NZ"/>
        </w:rPr>
      </w:pPr>
      <w:r w:rsidRPr="007618AB">
        <w:rPr>
          <w:lang w:eastAsia="en-NZ"/>
        </w:rPr>
        <w:t>10 How notifications must be given</w:t>
      </w:r>
    </w:p>
    <w:p w:rsidR="008D1DCC" w:rsidRPr="00C76F22" w:rsidRDefault="008D1DCC" w:rsidP="00C76F22">
      <w:r w:rsidRPr="00C76F22">
        <w:t>(1)</w:t>
      </w:r>
      <w:r w:rsidR="00C76F22">
        <w:tab/>
      </w:r>
      <w:r w:rsidRPr="00C76F22">
        <w:t xml:space="preserve">A notice required by </w:t>
      </w:r>
      <w:hyperlink r:id="rId104" w:anchor="DLM307220" w:history="1">
        <w:r w:rsidRPr="00C76F22">
          <w:t>section 74</w:t>
        </w:r>
      </w:hyperlink>
      <w:r w:rsidRPr="00C76F22">
        <w:t xml:space="preserve"> or </w:t>
      </w:r>
      <w:hyperlink r:id="rId105" w:anchor="DLM307271" w:history="1">
        <w:r w:rsidRPr="00C76F22">
          <w:t>85</w:t>
        </w:r>
      </w:hyperlink>
      <w:r w:rsidRPr="00C76F22">
        <w:t xml:space="preserve"> of the Act must be given—</w:t>
      </w:r>
    </w:p>
    <w:p w:rsidR="008D1DCC" w:rsidRPr="00C76F22" w:rsidRDefault="008D1DCC" w:rsidP="004831C9">
      <w:pPr>
        <w:shd w:val="clear" w:color="auto" w:fill="FFFFFF"/>
        <w:spacing w:before="90"/>
        <w:ind w:left="1134" w:hanging="567"/>
      </w:pPr>
      <w:r w:rsidRPr="005E134B">
        <w:rPr>
          <w:rFonts w:cs="Arial"/>
          <w:sz w:val="20"/>
          <w:lang w:eastAsia="en-NZ"/>
        </w:rPr>
        <w:t>(a)</w:t>
      </w:r>
      <w:r w:rsidR="00C76F22">
        <w:rPr>
          <w:rFonts w:cs="Arial"/>
          <w:sz w:val="20"/>
          <w:lang w:eastAsia="en-NZ"/>
        </w:rPr>
        <w:tab/>
      </w:r>
      <w:r w:rsidRPr="00C76F22">
        <w:t>by electronic means (for example, by email or fax); or</w:t>
      </w:r>
    </w:p>
    <w:p w:rsidR="008D1DCC" w:rsidRPr="00C76F22" w:rsidRDefault="008D1DCC" w:rsidP="004831C9">
      <w:pPr>
        <w:shd w:val="clear" w:color="auto" w:fill="FFFFFF"/>
        <w:spacing w:before="90"/>
        <w:ind w:left="1134" w:hanging="567"/>
      </w:pPr>
      <w:r w:rsidRPr="005E134B">
        <w:rPr>
          <w:rFonts w:cs="Arial"/>
          <w:sz w:val="20"/>
          <w:lang w:eastAsia="en-NZ"/>
        </w:rPr>
        <w:t>(b)</w:t>
      </w:r>
      <w:r w:rsidR="00C76F22">
        <w:rPr>
          <w:rFonts w:cs="Arial"/>
          <w:sz w:val="20"/>
          <w:lang w:eastAsia="en-NZ"/>
        </w:rPr>
        <w:tab/>
      </w:r>
      <w:r w:rsidRPr="00C76F22">
        <w:t>if it is not reasonably practicable to give it by electronic means, by post or delivery.</w:t>
      </w:r>
    </w:p>
    <w:p w:rsidR="008D1DCC" w:rsidRDefault="008D1DCC" w:rsidP="004831C9">
      <w:pPr>
        <w:shd w:val="clear" w:color="auto" w:fill="FFFFFF"/>
        <w:spacing w:before="180"/>
        <w:ind w:left="567" w:hanging="567"/>
      </w:pPr>
      <w:r w:rsidRPr="00C76F22">
        <w:t>(2)</w:t>
      </w:r>
      <w:r w:rsidR="00C76F22">
        <w:tab/>
      </w:r>
      <w:r w:rsidRPr="00C76F22">
        <w:t xml:space="preserve">This regulation does not apply to notices under </w:t>
      </w:r>
      <w:hyperlink r:id="rId106" w:anchor="DLM307228" w:history="1">
        <w:r w:rsidRPr="00C76F22">
          <w:t>section 74AA</w:t>
        </w:r>
      </w:hyperlink>
      <w:r w:rsidRPr="00C76F22">
        <w:t xml:space="preserve"> (which may be given orally or by any other means under that section).</w:t>
      </w:r>
    </w:p>
    <w:p w:rsidR="004831C9" w:rsidRPr="00C76F22" w:rsidRDefault="004831C9" w:rsidP="004831C9"/>
    <w:p w:rsidR="007E2678" w:rsidRDefault="007E2678" w:rsidP="007E2678">
      <w:pPr>
        <w:pBdr>
          <w:bottom w:val="single" w:sz="12" w:space="4" w:color="CCCCCC"/>
        </w:pBdr>
        <w:shd w:val="clear" w:color="auto" w:fill="FFFFFF"/>
        <w:spacing w:before="284" w:line="288" w:lineRule="atLeast"/>
        <w:jc w:val="center"/>
        <w:outlineLvl w:val="2"/>
        <w:rPr>
          <w:b/>
          <w:bCs/>
          <w:sz w:val="28"/>
          <w:szCs w:val="28"/>
          <w:lang w:eastAsia="en-NZ"/>
        </w:rPr>
      </w:pPr>
      <w:bookmarkStart w:id="109" w:name="_Toc473538593"/>
      <w:r>
        <w:rPr>
          <w:b/>
          <w:bCs/>
          <w:sz w:val="28"/>
          <w:szCs w:val="28"/>
          <w:lang w:eastAsia="en-NZ"/>
        </w:rPr>
        <w:t>Schedule 2 Forms</w:t>
      </w:r>
    </w:p>
    <w:bookmarkStart w:id="110" w:name="DLM7036503"/>
    <w:p w:rsidR="007E2678" w:rsidRDefault="007E2678" w:rsidP="007E2678">
      <w:pPr>
        <w:shd w:val="clear" w:color="auto" w:fill="FFFFFF"/>
        <w:spacing w:before="83" w:after="216" w:line="288" w:lineRule="atLeast"/>
        <w:jc w:val="right"/>
        <w:rPr>
          <w:rFonts w:cs="Arial"/>
          <w:b/>
          <w:sz w:val="28"/>
          <w:szCs w:val="28"/>
          <w:lang w:eastAsia="en-NZ"/>
        </w:rPr>
      </w:pPr>
      <w:r>
        <w:fldChar w:fldCharType="begin"/>
      </w:r>
      <w:r>
        <w:instrText xml:space="preserve"> HYPERLINK "http://www.legislation.govt.nz/regulation/public/2016/0272/latest/link.aspx?id=DLM7036503" \l "DLM7036503" </w:instrText>
      </w:r>
      <w:r>
        <w:fldChar w:fldCharType="separate"/>
      </w:r>
      <w:r>
        <w:rPr>
          <w:rStyle w:val="Hyperlink"/>
          <w:rFonts w:cs="Arial"/>
          <w:b/>
          <w:sz w:val="28"/>
          <w:szCs w:val="28"/>
          <w:lang w:eastAsia="en-NZ"/>
        </w:rPr>
        <w:t>rr 7</w:t>
      </w:r>
      <w:r>
        <w:fldChar w:fldCharType="end"/>
      </w:r>
      <w:bookmarkEnd w:id="110"/>
      <w:r>
        <w:rPr>
          <w:rFonts w:cs="Arial"/>
          <w:b/>
          <w:sz w:val="28"/>
          <w:szCs w:val="28"/>
          <w:lang w:eastAsia="en-NZ"/>
        </w:rPr>
        <w:t xml:space="preserve">, </w:t>
      </w:r>
      <w:bookmarkStart w:id="111" w:name="DLM7036505"/>
      <w:r>
        <w:rPr>
          <w:rFonts w:cs="Arial"/>
          <w:b/>
          <w:sz w:val="28"/>
          <w:szCs w:val="28"/>
          <w:lang w:eastAsia="en-NZ"/>
        </w:rPr>
        <w:fldChar w:fldCharType="begin"/>
      </w:r>
      <w:r>
        <w:rPr>
          <w:rFonts w:cs="Arial"/>
          <w:b/>
          <w:sz w:val="28"/>
          <w:szCs w:val="28"/>
          <w:lang w:eastAsia="en-NZ"/>
        </w:rPr>
        <w:instrText xml:space="preserve"> HYPERLINK "http://www.legislation.govt.nz/regulation/public/2016/0272/latest/link.aspx?id=DLM7036505" \l "DLM7036505" </w:instrText>
      </w:r>
      <w:r>
        <w:rPr>
          <w:rFonts w:cs="Arial"/>
          <w:b/>
          <w:sz w:val="28"/>
          <w:szCs w:val="28"/>
          <w:lang w:eastAsia="en-NZ"/>
        </w:rPr>
        <w:fldChar w:fldCharType="separate"/>
      </w:r>
      <w:r>
        <w:rPr>
          <w:rStyle w:val="Hyperlink"/>
          <w:rFonts w:cs="Arial"/>
          <w:b/>
          <w:sz w:val="28"/>
          <w:szCs w:val="28"/>
          <w:lang w:eastAsia="en-NZ"/>
        </w:rPr>
        <w:t>9</w:t>
      </w:r>
      <w:r>
        <w:rPr>
          <w:rFonts w:cs="Arial"/>
          <w:b/>
          <w:sz w:val="28"/>
          <w:szCs w:val="28"/>
          <w:lang w:eastAsia="en-NZ"/>
        </w:rPr>
        <w:fldChar w:fldCharType="end"/>
      </w:r>
      <w:bookmarkEnd w:id="111"/>
    </w:p>
    <w:p w:rsidR="007E2678" w:rsidRPr="007E2678" w:rsidRDefault="007E2678" w:rsidP="007E2678">
      <w:pPr>
        <w:shd w:val="clear" w:color="auto" w:fill="FFFFFF"/>
        <w:spacing w:before="192" w:after="100" w:afterAutospacing="1" w:line="288" w:lineRule="atLeast"/>
        <w:jc w:val="center"/>
        <w:outlineLvl w:val="4"/>
        <w:rPr>
          <w:rFonts w:ascii="Arial" w:hAnsi="Arial" w:cs="Arial"/>
          <w:b/>
          <w:sz w:val="28"/>
          <w:szCs w:val="28"/>
          <w:lang w:eastAsia="en-NZ"/>
        </w:rPr>
      </w:pPr>
      <w:r w:rsidRPr="007E2678">
        <w:rPr>
          <w:rFonts w:cs="Arial"/>
          <w:b/>
          <w:sz w:val="28"/>
          <w:szCs w:val="28"/>
          <w:lang w:eastAsia="en-NZ"/>
        </w:rPr>
        <w:t>Form 1 Health practitioner notice of notifiable disease (identified basis)</w:t>
      </w:r>
    </w:p>
    <w:p w:rsidR="007E2678" w:rsidRDefault="007528CD" w:rsidP="007E2678">
      <w:pPr>
        <w:shd w:val="clear" w:color="auto" w:fill="FFFFFF"/>
        <w:spacing w:before="83" w:after="216" w:line="240" w:lineRule="atLeast"/>
        <w:jc w:val="center"/>
        <w:rPr>
          <w:rFonts w:cs="Arial"/>
          <w:i/>
          <w:iCs/>
          <w:sz w:val="20"/>
          <w:lang w:eastAsia="en-NZ"/>
        </w:rPr>
      </w:pPr>
      <w:hyperlink r:id="rId107" w:anchor="DLM307220" w:history="1">
        <w:r w:rsidR="007E2678">
          <w:rPr>
            <w:rStyle w:val="Hyperlink"/>
            <w:rFonts w:cs="Arial"/>
            <w:i/>
            <w:iCs/>
            <w:sz w:val="20"/>
            <w:lang w:eastAsia="en-NZ"/>
          </w:rPr>
          <w:t>Section 74(1)</w:t>
        </w:r>
      </w:hyperlink>
      <w:r w:rsidR="007E2678">
        <w:rPr>
          <w:rFonts w:cs="Arial"/>
          <w:i/>
          <w:iCs/>
          <w:sz w:val="20"/>
          <w:lang w:eastAsia="en-NZ"/>
        </w:rPr>
        <w:t>, Health Act 1956</w:t>
      </w:r>
    </w:p>
    <w:p w:rsidR="007E2678" w:rsidRDefault="007E2678" w:rsidP="007E2678">
      <w:pPr>
        <w:shd w:val="clear" w:color="auto" w:fill="FFFFFF"/>
        <w:spacing w:after="216" w:line="288" w:lineRule="atLeast"/>
        <w:rPr>
          <w:rFonts w:cs="Arial"/>
          <w:sz w:val="24"/>
          <w:szCs w:val="24"/>
          <w:lang w:eastAsia="en-NZ"/>
        </w:rPr>
      </w:pPr>
      <w:r>
        <w:rPr>
          <w:rFonts w:cs="Arial"/>
          <w:b/>
          <w:bCs/>
          <w:szCs w:val="24"/>
          <w:lang w:eastAsia="en-NZ"/>
        </w:rPr>
        <w:t>To</w:t>
      </w:r>
      <w:r>
        <w:rPr>
          <w:rFonts w:cs="Arial"/>
          <w:szCs w:val="24"/>
          <w:lang w:eastAsia="en-NZ"/>
        </w:rPr>
        <w:t xml:space="preserve"> the medical officer of health for [</w:t>
      </w:r>
      <w:r>
        <w:rPr>
          <w:rFonts w:cs="Arial"/>
          <w:i/>
          <w:iCs/>
          <w:szCs w:val="24"/>
          <w:lang w:eastAsia="en-NZ"/>
        </w:rPr>
        <w:t>district</w:t>
      </w:r>
      <w:r>
        <w:rPr>
          <w:rFonts w:cs="Arial"/>
          <w:szCs w:val="24"/>
          <w:lang w:eastAsia="en-NZ"/>
        </w:rPr>
        <w:t>]</w:t>
      </w:r>
    </w:p>
    <w:p w:rsidR="007E2678" w:rsidRDefault="007E2678" w:rsidP="007E2678">
      <w:pPr>
        <w:shd w:val="clear" w:color="auto" w:fill="FFFFFF"/>
        <w:spacing w:line="288" w:lineRule="atLeast"/>
        <w:rPr>
          <w:rFonts w:cs="Arial"/>
          <w:szCs w:val="24"/>
          <w:lang w:eastAsia="en-NZ"/>
        </w:rPr>
      </w:pPr>
      <w:r>
        <w:rPr>
          <w:rFonts w:cs="Arial"/>
          <w:b/>
          <w:bCs/>
          <w:szCs w:val="24"/>
          <w:lang w:eastAsia="en-NZ"/>
        </w:rPr>
        <w:t>*And to</w:t>
      </w:r>
      <w:r>
        <w:rPr>
          <w:rFonts w:cs="Arial"/>
          <w:szCs w:val="24"/>
          <w:lang w:eastAsia="en-NZ"/>
        </w:rPr>
        <w:t xml:space="preserve"> [</w:t>
      </w:r>
      <w:r>
        <w:rPr>
          <w:rFonts w:cs="Arial"/>
          <w:i/>
          <w:iCs/>
          <w:szCs w:val="24"/>
          <w:lang w:eastAsia="en-NZ"/>
        </w:rPr>
        <w:t>name of local authority</w:t>
      </w:r>
      <w:r>
        <w:rPr>
          <w:rFonts w:cs="Arial"/>
          <w:szCs w:val="24"/>
          <w:lang w:eastAsia="en-NZ"/>
        </w:rPr>
        <w:t>]</w:t>
      </w:r>
    </w:p>
    <w:tbl>
      <w:tblPr>
        <w:tblW w:w="5000" w:type="pct"/>
        <w:tblCellSpacing w:w="15" w:type="dxa"/>
        <w:tblLook w:val="04A0" w:firstRow="1" w:lastRow="0" w:firstColumn="1" w:lastColumn="0" w:noHBand="0" w:noVBand="1"/>
        <w:tblDescription w:val=" "/>
      </w:tblPr>
      <w:tblGrid>
        <w:gridCol w:w="9355"/>
      </w:tblGrid>
      <w:tr w:rsidR="007E2678" w:rsidTr="007E2678">
        <w:trPr>
          <w:tblCellSpacing w:w="15" w:type="dxa"/>
        </w:trPr>
        <w:tc>
          <w:tcPr>
            <w:tcW w:w="0" w:type="auto"/>
            <w:tcMar>
              <w:top w:w="15" w:type="dxa"/>
              <w:left w:w="15" w:type="dxa"/>
              <w:bottom w:w="15" w:type="dxa"/>
              <w:right w:w="15" w:type="dxa"/>
            </w:tcMar>
            <w:hideMark/>
          </w:tcPr>
          <w:p w:rsidR="007E2678" w:rsidRDefault="007E2678">
            <w:pPr>
              <w:spacing w:before="83" w:line="240" w:lineRule="auto"/>
              <w:rPr>
                <w:rFonts w:cs="Arial"/>
                <w:szCs w:val="24"/>
                <w:lang w:eastAsia="en-NZ"/>
              </w:rPr>
            </w:pPr>
            <w:r>
              <w:rPr>
                <w:rFonts w:cs="Arial"/>
                <w:szCs w:val="24"/>
                <w:lang w:eastAsia="en-NZ"/>
              </w:rPr>
              <w:t xml:space="preserve">*This notice needs to be given to the local authority only if the notified disease is listed in </w:t>
            </w:r>
            <w:bookmarkStart w:id="112" w:name="DLM3533500"/>
            <w:r>
              <w:fldChar w:fldCharType="begin"/>
            </w:r>
            <w:r>
              <w:instrText xml:space="preserve"> HYPERLINK "http://www.legislation.govt.nz/regulation/public/2016/0272/latest/link.aspx?id=DLM3533500" \l "DLM3533500" </w:instrText>
            </w:r>
            <w:r>
              <w:fldChar w:fldCharType="separate"/>
            </w:r>
            <w:r>
              <w:rPr>
                <w:rStyle w:val="Hyperlink"/>
                <w:rFonts w:cs="Arial"/>
                <w:szCs w:val="24"/>
                <w:lang w:eastAsia="en-NZ"/>
              </w:rPr>
              <w:t>section A</w:t>
            </w:r>
            <w:bookmarkEnd w:id="112"/>
            <w:r>
              <w:fldChar w:fldCharType="end"/>
            </w:r>
            <w:r>
              <w:rPr>
                <w:rFonts w:cs="Arial"/>
                <w:szCs w:val="24"/>
                <w:lang w:eastAsia="en-NZ"/>
              </w:rPr>
              <w:t xml:space="preserve"> of Part 1 of Schedule 1 of the Act.</w:t>
            </w:r>
          </w:p>
        </w:tc>
      </w:tr>
    </w:tbl>
    <w:p w:rsidR="007E2678" w:rsidRDefault="007E2678" w:rsidP="007E2678">
      <w:pPr>
        <w:shd w:val="clear" w:color="auto" w:fill="FFFFFF"/>
        <w:spacing w:after="216" w:line="288" w:lineRule="atLeast"/>
        <w:rPr>
          <w:rFonts w:ascii="Arial" w:hAnsi="Arial" w:cs="Arial"/>
          <w:szCs w:val="24"/>
          <w:lang w:eastAsia="en-NZ"/>
        </w:rPr>
      </w:pPr>
      <w:r>
        <w:rPr>
          <w:rFonts w:cs="Arial"/>
          <w:szCs w:val="24"/>
          <w:lang w:eastAsia="en-NZ"/>
        </w:rPr>
        <w:t>Date:</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1 Patient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National health index number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birth: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 (if applicable):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Sex:</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Ethnicity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Nature of work or education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Recent travel history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2 Details of disease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Disease or suspected disease being notified:</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onset of illness (approximately):</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Laboratory tests done or ordered (if any):</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Results of laboratory tests (if available):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Has the patient been hospitalised? Yes/No</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If the patient has been hospitalised, the name of the hospital and date of the admission: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Any other information relevant to the risk of the patient having or transmitting the disease (for example, vaccine history, sexual behaviour or activity, or sex of partner or partners,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3 Details of notifying health practitioner</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Phone number:</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Email address:</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Instructions on use:</w:t>
      </w:r>
      <w:r>
        <w:rPr>
          <w:rFonts w:cs="Arial"/>
          <w:szCs w:val="24"/>
          <w:lang w:eastAsia="en-NZ"/>
        </w:rPr>
        <w:t xml:space="preserve"> This form must not be used to notify diseases listed in </w:t>
      </w:r>
      <w:bookmarkStart w:id="113" w:name="DLM7086812"/>
      <w:r>
        <w:fldChar w:fldCharType="begin"/>
      </w:r>
      <w:r>
        <w:instrText xml:space="preserve"> HYPERLINK "http://www.legislation.govt.nz/regulation/public/2016/0272/latest/link.aspx?id=DLM7086812" \l "DLM7086812" </w:instrText>
      </w:r>
      <w:r>
        <w:fldChar w:fldCharType="separate"/>
      </w:r>
      <w:r>
        <w:rPr>
          <w:rStyle w:val="Hyperlink"/>
          <w:rFonts w:cs="Arial"/>
          <w:szCs w:val="24"/>
          <w:lang w:eastAsia="en-NZ"/>
        </w:rPr>
        <w:t>section C</w:t>
      </w:r>
      <w:r>
        <w:fldChar w:fldCharType="end"/>
      </w:r>
      <w:r>
        <w:rPr>
          <w:rFonts w:cs="Arial"/>
          <w:szCs w:val="24"/>
          <w:lang w:eastAsia="en-NZ"/>
        </w:rPr>
        <w:t xml:space="preserve"> of Part 1 of Schedule 1 of the Act. Those diseases must be notified using </w:t>
      </w:r>
      <w:bookmarkStart w:id="114" w:name="DLM7036110"/>
      <w:r>
        <w:fldChar w:fldCharType="begin"/>
      </w:r>
      <w:r>
        <w:instrText xml:space="preserve"> HYPERLINK "http://www.legislation.govt.nz/regulation/public/2016/0272/latest/link.aspx?id=DLM7036110" \l "DLM7036110" </w:instrText>
      </w:r>
      <w:r>
        <w:fldChar w:fldCharType="separate"/>
      </w:r>
      <w:r>
        <w:rPr>
          <w:rStyle w:val="Hyperlink"/>
          <w:rFonts w:cs="Arial"/>
          <w:szCs w:val="24"/>
          <w:lang w:eastAsia="en-NZ"/>
        </w:rPr>
        <w:t>form 2</w:t>
      </w:r>
      <w:r>
        <w:fldChar w:fldCharType="end"/>
      </w:r>
      <w:bookmarkEnd w:id="114"/>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p>
    <w:p w:rsidR="007E2678" w:rsidRPr="007E2678" w:rsidRDefault="007E2678" w:rsidP="007E2678">
      <w:pPr>
        <w:shd w:val="clear" w:color="auto" w:fill="FFFFFF"/>
        <w:spacing w:before="192" w:after="100" w:afterAutospacing="1" w:line="288" w:lineRule="atLeast"/>
        <w:jc w:val="center"/>
        <w:outlineLvl w:val="4"/>
        <w:rPr>
          <w:rFonts w:cs="Arial"/>
          <w:b/>
          <w:sz w:val="28"/>
          <w:szCs w:val="28"/>
          <w:lang w:eastAsia="en-NZ"/>
        </w:rPr>
      </w:pPr>
      <w:r w:rsidRPr="007E2678">
        <w:rPr>
          <w:rFonts w:cs="Arial"/>
          <w:b/>
          <w:sz w:val="28"/>
          <w:szCs w:val="28"/>
          <w:lang w:eastAsia="en-NZ"/>
        </w:rPr>
        <w:t>Form 2 Health practitioner notice of notifiable disease (non-identified basis)</w:t>
      </w:r>
    </w:p>
    <w:p w:rsidR="007E2678" w:rsidRDefault="007528CD" w:rsidP="007E2678">
      <w:pPr>
        <w:shd w:val="clear" w:color="auto" w:fill="FFFFFF"/>
        <w:spacing w:before="83" w:after="216" w:line="240" w:lineRule="atLeast"/>
        <w:jc w:val="center"/>
        <w:rPr>
          <w:rFonts w:cs="Arial"/>
          <w:i/>
          <w:iCs/>
          <w:szCs w:val="24"/>
          <w:lang w:eastAsia="en-NZ"/>
        </w:rPr>
      </w:pPr>
      <w:hyperlink r:id="rId108" w:anchor="DLM307220" w:history="1">
        <w:r w:rsidR="007E2678">
          <w:rPr>
            <w:rStyle w:val="Hyperlink"/>
            <w:rFonts w:cs="Arial"/>
            <w:i/>
            <w:iCs/>
            <w:szCs w:val="24"/>
            <w:lang w:eastAsia="en-NZ"/>
          </w:rPr>
          <w:t>Section 74(1) and (3A)</w:t>
        </w:r>
      </w:hyperlink>
      <w:r w:rsidR="007E2678">
        <w:rPr>
          <w:rFonts w:cs="Arial"/>
          <w:i/>
          <w:iCs/>
          <w:szCs w:val="24"/>
          <w:lang w:eastAsia="en-NZ"/>
        </w:rPr>
        <w:t>, Health Act 1956</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To</w:t>
      </w:r>
      <w:r>
        <w:rPr>
          <w:rFonts w:cs="Arial"/>
          <w:szCs w:val="24"/>
          <w:lang w:eastAsia="en-NZ"/>
        </w:rPr>
        <w:t xml:space="preserve"> the medical officer of health for [</w:t>
      </w:r>
      <w:r>
        <w:rPr>
          <w:rFonts w:cs="Arial"/>
          <w:i/>
          <w:iCs/>
          <w:szCs w:val="24"/>
          <w:lang w:eastAsia="en-NZ"/>
        </w:rPr>
        <w:t>district</w:t>
      </w:r>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1 Patient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First 2 letters of surname and the first letter of first 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National health index number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DHB district of usual 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birth: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 (if applicable):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Sex:</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Ethnicity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Nature of work or education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Recent travel history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2 Details of disease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Disease or suspected disease being notified:</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onset of illness (approximately):</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Laboratory tests done or ordered (if any):</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Results of laboratory tests (if available):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If the disease or suspected disease is HIV or AIDS, whether or not there is laboratory evidence of newly acquired HIV infection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If the disease or suspected disease is HIV, AIDS, or syphilis, the date and place of last negative laboratory test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Has the patient been hospitalised? Yes/No</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If the patient has been hospitalised, the name of the hospital and date of the admission: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If the disease or suspected disease is HIV, AIDS, or syphilis, has the patient been referred to specialist care? Yes/No</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Any other information relevant to the risk of the patient having or transmitting the disease (for example, vaccine history, sexual behaviour or activity, or sex of partner or partners,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3 Contact tracing</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Are there other persons infected or likely to have been infected with the disease? Yes/No</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If not already referred to contact tracing, do you consider contact tracing is required? Yes/No</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4 Notifying health practitioner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Phone number:</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Email address:</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Instructions on use:</w:t>
      </w:r>
      <w:r>
        <w:rPr>
          <w:rFonts w:cs="Arial"/>
          <w:szCs w:val="24"/>
          <w:lang w:eastAsia="en-NZ"/>
        </w:rPr>
        <w:t xml:space="preserve"> This form is for notification of diseases listed in </w:t>
      </w:r>
      <w:hyperlink r:id="rId109" w:anchor="DLM7086812" w:history="1">
        <w:r>
          <w:rPr>
            <w:rStyle w:val="Hyperlink"/>
            <w:rFonts w:cs="Arial"/>
            <w:szCs w:val="24"/>
            <w:lang w:eastAsia="en-NZ"/>
          </w:rPr>
          <w:t>section C</w:t>
        </w:r>
      </w:hyperlink>
      <w:r>
        <w:rPr>
          <w:rFonts w:cs="Arial"/>
          <w:szCs w:val="24"/>
          <w:lang w:eastAsia="en-NZ"/>
        </w:rPr>
        <w:t xml:space="preserve"> of Part 1 of Schedule 1 of the Act. The name, address, and other contact details of the patient must not be included in this form. However, a medical officer of health may require disclosure of those matters if necessary under </w:t>
      </w:r>
      <w:hyperlink r:id="rId110" w:anchor="DLM307220" w:history="1">
        <w:r>
          <w:rPr>
            <w:rStyle w:val="Hyperlink"/>
            <w:rFonts w:cs="Arial"/>
            <w:szCs w:val="24"/>
            <w:lang w:eastAsia="en-NZ"/>
          </w:rPr>
          <w:t>section 74(3B)</w:t>
        </w:r>
      </w:hyperlink>
      <w:r>
        <w:rPr>
          <w:rFonts w:cs="Arial"/>
          <w:szCs w:val="24"/>
          <w:lang w:eastAsia="en-NZ"/>
        </w:rPr>
        <w:t xml:space="preserve"> of the Act.</w:t>
      </w:r>
    </w:p>
    <w:p w:rsidR="007E2678" w:rsidRDefault="007E2678" w:rsidP="007E2678">
      <w:pPr>
        <w:shd w:val="clear" w:color="auto" w:fill="FFFFFF"/>
        <w:spacing w:after="216" w:line="288" w:lineRule="atLeast"/>
        <w:rPr>
          <w:rFonts w:cs="Arial"/>
          <w:szCs w:val="24"/>
          <w:lang w:eastAsia="en-NZ"/>
        </w:rPr>
      </w:pPr>
    </w:p>
    <w:p w:rsidR="007E2678" w:rsidRPr="007E2678" w:rsidRDefault="007E2678" w:rsidP="007E2678">
      <w:pPr>
        <w:shd w:val="clear" w:color="auto" w:fill="FFFFFF"/>
        <w:spacing w:before="192" w:after="100" w:afterAutospacing="1" w:line="288" w:lineRule="atLeast"/>
        <w:jc w:val="center"/>
        <w:outlineLvl w:val="4"/>
        <w:rPr>
          <w:rFonts w:cs="Arial"/>
          <w:b/>
          <w:sz w:val="28"/>
          <w:szCs w:val="28"/>
          <w:lang w:eastAsia="en-NZ"/>
        </w:rPr>
      </w:pPr>
      <w:r w:rsidRPr="007E2678">
        <w:rPr>
          <w:rFonts w:cs="Arial"/>
          <w:b/>
          <w:sz w:val="28"/>
          <w:szCs w:val="28"/>
          <w:lang w:eastAsia="en-NZ"/>
        </w:rPr>
        <w:t>Form 3 Health practitioner post-mortem notice of notifiable disease (identified basis)</w:t>
      </w:r>
    </w:p>
    <w:p w:rsidR="007E2678" w:rsidRDefault="007528CD" w:rsidP="007E2678">
      <w:pPr>
        <w:shd w:val="clear" w:color="auto" w:fill="FFFFFF"/>
        <w:spacing w:before="83" w:after="216" w:line="240" w:lineRule="atLeast"/>
        <w:jc w:val="center"/>
        <w:rPr>
          <w:rFonts w:cs="Arial"/>
          <w:i/>
          <w:iCs/>
          <w:sz w:val="20"/>
          <w:lang w:eastAsia="en-NZ"/>
        </w:rPr>
      </w:pPr>
      <w:hyperlink r:id="rId111" w:anchor="DLM307220" w:history="1">
        <w:r w:rsidR="007E2678">
          <w:rPr>
            <w:rStyle w:val="Hyperlink"/>
            <w:rFonts w:cs="Arial"/>
            <w:i/>
            <w:iCs/>
            <w:sz w:val="20"/>
            <w:lang w:eastAsia="en-NZ"/>
          </w:rPr>
          <w:t>Section 74(3)</w:t>
        </w:r>
      </w:hyperlink>
      <w:r w:rsidR="007E2678">
        <w:rPr>
          <w:rFonts w:cs="Arial"/>
          <w:i/>
          <w:iCs/>
          <w:sz w:val="20"/>
          <w:lang w:eastAsia="en-NZ"/>
        </w:rPr>
        <w:t>, Health Act 1956</w:t>
      </w:r>
    </w:p>
    <w:p w:rsidR="007E2678" w:rsidRDefault="007E2678" w:rsidP="007E2678">
      <w:pPr>
        <w:shd w:val="clear" w:color="auto" w:fill="FFFFFF"/>
        <w:spacing w:after="216" w:line="288" w:lineRule="atLeast"/>
        <w:rPr>
          <w:rFonts w:cs="Arial"/>
          <w:sz w:val="24"/>
          <w:szCs w:val="24"/>
          <w:lang w:eastAsia="en-NZ"/>
        </w:rPr>
      </w:pPr>
      <w:r>
        <w:rPr>
          <w:rFonts w:cs="Arial"/>
          <w:b/>
          <w:bCs/>
          <w:szCs w:val="24"/>
          <w:lang w:eastAsia="en-NZ"/>
        </w:rPr>
        <w:t>To</w:t>
      </w:r>
      <w:r>
        <w:rPr>
          <w:rFonts w:cs="Arial"/>
          <w:szCs w:val="24"/>
          <w:lang w:eastAsia="en-NZ"/>
        </w:rPr>
        <w:t xml:space="preserve"> the medical officer of health for [</w:t>
      </w:r>
      <w:r>
        <w:rPr>
          <w:rFonts w:cs="Arial"/>
          <w:i/>
          <w:iCs/>
          <w:szCs w:val="24"/>
          <w:lang w:eastAsia="en-NZ"/>
        </w:rPr>
        <w:t>district</w:t>
      </w:r>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1 Patient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National health index number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birth: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 of place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Sex:</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Ethnicity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Nature of work or education (if known and relevant to public health risk):</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Recent travel history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2 Details of disease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Disease or suspected disease being notified:</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3 Notifying health practitioner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Phone number:</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Email address:</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Instructions on use:</w:t>
      </w:r>
      <w:r>
        <w:rPr>
          <w:rFonts w:cs="Arial"/>
          <w:szCs w:val="24"/>
          <w:lang w:eastAsia="en-NZ"/>
        </w:rPr>
        <w:t xml:space="preserve"> This form must not be used to notify diseases listed in </w:t>
      </w:r>
      <w:hyperlink r:id="rId112" w:anchor="DLM7086812" w:history="1">
        <w:r>
          <w:rPr>
            <w:rStyle w:val="Hyperlink"/>
            <w:rFonts w:cs="Arial"/>
            <w:szCs w:val="24"/>
            <w:lang w:eastAsia="en-NZ"/>
          </w:rPr>
          <w:t>section C</w:t>
        </w:r>
      </w:hyperlink>
      <w:r>
        <w:rPr>
          <w:rFonts w:cs="Arial"/>
          <w:szCs w:val="24"/>
          <w:lang w:eastAsia="en-NZ"/>
        </w:rPr>
        <w:t xml:space="preserve"> of Part 1 of Schedule 1 of the Act. Those diseases must be notified using </w:t>
      </w:r>
      <w:bookmarkStart w:id="115" w:name="DLM7036114"/>
      <w:r>
        <w:fldChar w:fldCharType="begin"/>
      </w:r>
      <w:r>
        <w:instrText xml:space="preserve"> HYPERLINK "http://www.legislation.govt.nz/regulation/public/2016/0272/latest/link.aspx?id=DLM7036114" \l "DLM7036114" </w:instrText>
      </w:r>
      <w:r>
        <w:fldChar w:fldCharType="separate"/>
      </w:r>
      <w:r>
        <w:rPr>
          <w:rStyle w:val="Hyperlink"/>
          <w:rFonts w:cs="Arial"/>
          <w:szCs w:val="24"/>
          <w:lang w:eastAsia="en-NZ"/>
        </w:rPr>
        <w:t>form 4</w:t>
      </w:r>
      <w:r>
        <w:fldChar w:fldCharType="end"/>
      </w:r>
      <w:bookmarkEnd w:id="115"/>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p>
    <w:p w:rsidR="007E2678" w:rsidRPr="007E2678" w:rsidRDefault="007E2678" w:rsidP="007E2678">
      <w:pPr>
        <w:shd w:val="clear" w:color="auto" w:fill="FFFFFF"/>
        <w:spacing w:before="192" w:after="100" w:afterAutospacing="1" w:line="288" w:lineRule="atLeast"/>
        <w:jc w:val="center"/>
        <w:outlineLvl w:val="4"/>
        <w:rPr>
          <w:rFonts w:cs="Arial"/>
          <w:b/>
          <w:sz w:val="28"/>
          <w:szCs w:val="28"/>
          <w:lang w:eastAsia="en-NZ"/>
        </w:rPr>
      </w:pPr>
      <w:r w:rsidRPr="007E2678">
        <w:rPr>
          <w:rFonts w:cs="Arial"/>
          <w:b/>
          <w:sz w:val="28"/>
          <w:szCs w:val="28"/>
          <w:lang w:eastAsia="en-NZ"/>
        </w:rPr>
        <w:t>Form 4 Health practitioner post-mortem notice of notifiable disease (non-identified basis)</w:t>
      </w:r>
    </w:p>
    <w:p w:rsidR="007E2678" w:rsidRDefault="007528CD" w:rsidP="007E2678">
      <w:pPr>
        <w:shd w:val="clear" w:color="auto" w:fill="FFFFFF"/>
        <w:spacing w:before="83" w:after="216" w:line="240" w:lineRule="atLeast"/>
        <w:jc w:val="center"/>
        <w:rPr>
          <w:rFonts w:cs="Arial"/>
          <w:i/>
          <w:iCs/>
          <w:szCs w:val="24"/>
          <w:lang w:eastAsia="en-NZ"/>
        </w:rPr>
      </w:pPr>
      <w:hyperlink r:id="rId113" w:anchor="DLM307220" w:history="1">
        <w:r w:rsidR="007E2678">
          <w:rPr>
            <w:rStyle w:val="Hyperlink"/>
            <w:rFonts w:cs="Arial"/>
            <w:i/>
            <w:iCs/>
            <w:szCs w:val="24"/>
            <w:lang w:eastAsia="en-NZ"/>
          </w:rPr>
          <w:t>Section 74(3) and (3A)</w:t>
        </w:r>
      </w:hyperlink>
      <w:r w:rsidR="007E2678">
        <w:rPr>
          <w:rFonts w:cs="Arial"/>
          <w:i/>
          <w:iCs/>
          <w:szCs w:val="24"/>
          <w:lang w:eastAsia="en-NZ"/>
        </w:rPr>
        <w:t>, Health Act 1956</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To</w:t>
      </w:r>
      <w:r>
        <w:rPr>
          <w:rFonts w:cs="Arial"/>
          <w:szCs w:val="24"/>
          <w:lang w:eastAsia="en-NZ"/>
        </w:rPr>
        <w:t xml:space="preserve"> the medical officer of health in [</w:t>
      </w:r>
      <w:r>
        <w:rPr>
          <w:rFonts w:cs="Arial"/>
          <w:i/>
          <w:iCs/>
          <w:szCs w:val="24"/>
          <w:lang w:eastAsia="en-NZ"/>
        </w:rPr>
        <w:t>district</w:t>
      </w:r>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1 Patient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First 2 letters of surname and the first letter of first 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National health index number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DHB district of usual 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birth: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DHB district of place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Sex:</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Ethnicity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Nature of work or education (if known and relevant to public health risk):</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Recent travel history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2 Details of disease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Disease or suspected disease being notified:</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3 Contact tracing</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Are there other persons infected or likely to have been infected with the disease? Yes/No</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If not already referred to contact tracing, do you consider contact tracing is required? Yes/No</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4 Notifying health practitioner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Phone number:</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Email address:</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Instructions on use:</w:t>
      </w:r>
      <w:r>
        <w:rPr>
          <w:rFonts w:cs="Arial"/>
          <w:szCs w:val="24"/>
          <w:lang w:eastAsia="en-NZ"/>
        </w:rPr>
        <w:t xml:space="preserve"> This form is for notification of diseases listed in </w:t>
      </w:r>
      <w:hyperlink r:id="rId114" w:anchor="DLM7086812" w:history="1">
        <w:r>
          <w:rPr>
            <w:rStyle w:val="Hyperlink"/>
            <w:rFonts w:cs="Arial"/>
            <w:szCs w:val="24"/>
            <w:lang w:eastAsia="en-NZ"/>
          </w:rPr>
          <w:t>section C</w:t>
        </w:r>
      </w:hyperlink>
      <w:r>
        <w:rPr>
          <w:rFonts w:cs="Arial"/>
          <w:szCs w:val="24"/>
          <w:lang w:eastAsia="en-NZ"/>
        </w:rPr>
        <w:t xml:space="preserve"> of Part 1 of Schedule 1 of the Act. The name, address, and other contact details of the patient must not be included in this form. However, a medical officer of health may require disclosure of those matters if necessary under </w:t>
      </w:r>
      <w:hyperlink r:id="rId115" w:anchor="DLM307220" w:history="1">
        <w:r>
          <w:rPr>
            <w:rStyle w:val="Hyperlink"/>
            <w:rFonts w:cs="Arial"/>
            <w:szCs w:val="24"/>
            <w:lang w:eastAsia="en-NZ"/>
          </w:rPr>
          <w:t>section 74(3B)</w:t>
        </w:r>
      </w:hyperlink>
      <w:r>
        <w:rPr>
          <w:rFonts w:cs="Arial"/>
          <w:szCs w:val="24"/>
          <w:lang w:eastAsia="en-NZ"/>
        </w:rPr>
        <w:t xml:space="preserve"> of the Act.</w:t>
      </w:r>
    </w:p>
    <w:p w:rsidR="007E2678" w:rsidRDefault="007E2678" w:rsidP="007E2678">
      <w:pPr>
        <w:shd w:val="clear" w:color="auto" w:fill="FFFFFF"/>
        <w:spacing w:after="216" w:line="288" w:lineRule="atLeast"/>
        <w:rPr>
          <w:rFonts w:cs="Arial"/>
          <w:szCs w:val="24"/>
          <w:lang w:eastAsia="en-NZ"/>
        </w:rPr>
      </w:pPr>
    </w:p>
    <w:p w:rsidR="007E2678" w:rsidRPr="007E2678" w:rsidRDefault="007E2678" w:rsidP="007E2678">
      <w:pPr>
        <w:shd w:val="clear" w:color="auto" w:fill="FFFFFF"/>
        <w:spacing w:before="192" w:after="100" w:afterAutospacing="1" w:line="288" w:lineRule="atLeast"/>
        <w:jc w:val="center"/>
        <w:outlineLvl w:val="4"/>
        <w:rPr>
          <w:rFonts w:cs="Arial"/>
          <w:b/>
          <w:sz w:val="28"/>
          <w:szCs w:val="28"/>
          <w:lang w:eastAsia="en-NZ"/>
        </w:rPr>
      </w:pPr>
      <w:r w:rsidRPr="007E2678">
        <w:rPr>
          <w:rFonts w:cs="Arial"/>
          <w:b/>
          <w:sz w:val="28"/>
          <w:szCs w:val="28"/>
          <w:lang w:eastAsia="en-NZ"/>
        </w:rPr>
        <w:t>Form 5 Funeral director, etc, notice of death from infectious disease (identified basis)</w:t>
      </w:r>
    </w:p>
    <w:p w:rsidR="007E2678" w:rsidRDefault="007528CD" w:rsidP="007E2678">
      <w:pPr>
        <w:shd w:val="clear" w:color="auto" w:fill="FFFFFF"/>
        <w:spacing w:before="83" w:after="216" w:line="240" w:lineRule="atLeast"/>
        <w:jc w:val="center"/>
        <w:rPr>
          <w:rFonts w:cs="Arial"/>
          <w:i/>
          <w:iCs/>
          <w:szCs w:val="24"/>
          <w:lang w:eastAsia="en-NZ"/>
        </w:rPr>
      </w:pPr>
      <w:hyperlink r:id="rId116" w:anchor="DLM307271" w:history="1">
        <w:r w:rsidR="007E2678">
          <w:rPr>
            <w:rStyle w:val="Hyperlink"/>
            <w:rFonts w:cs="Arial"/>
            <w:i/>
            <w:iCs/>
            <w:szCs w:val="24"/>
            <w:lang w:eastAsia="en-NZ"/>
          </w:rPr>
          <w:t>Section 85</w:t>
        </w:r>
      </w:hyperlink>
      <w:r w:rsidR="007E2678">
        <w:rPr>
          <w:rFonts w:cs="Arial"/>
          <w:i/>
          <w:iCs/>
          <w:szCs w:val="24"/>
          <w:lang w:eastAsia="en-NZ"/>
        </w:rPr>
        <w:t>, Health Act 1956</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To</w:t>
      </w:r>
      <w:r>
        <w:rPr>
          <w:rFonts w:cs="Arial"/>
          <w:szCs w:val="24"/>
          <w:lang w:eastAsia="en-NZ"/>
        </w:rPr>
        <w:t xml:space="preserve"> the medical officer of health for [</w:t>
      </w:r>
      <w:r>
        <w:rPr>
          <w:rFonts w:cs="Arial"/>
          <w:i/>
          <w:iCs/>
          <w:szCs w:val="24"/>
          <w:lang w:eastAsia="en-NZ"/>
        </w:rPr>
        <w:t>district</w:t>
      </w:r>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1 Deceased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National health index number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birth: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Place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 of health practitioner who signed death certificate: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 certificate: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Sex:</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Ethnicity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2 Details of disease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Disease or suspected disease being notified:</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3 Details of notifying funeral director (or other person in charge of funeral)</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Phone number:</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Email address:</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Instructions on use:</w:t>
      </w:r>
      <w:r>
        <w:rPr>
          <w:rFonts w:cs="Arial"/>
          <w:szCs w:val="24"/>
          <w:lang w:eastAsia="en-NZ"/>
        </w:rPr>
        <w:t xml:space="preserve"> This form must not be used to notify diseases listed in </w:t>
      </w:r>
      <w:hyperlink r:id="rId117" w:anchor="DLM7086812" w:history="1">
        <w:r>
          <w:rPr>
            <w:rStyle w:val="Hyperlink"/>
            <w:rFonts w:cs="Arial"/>
            <w:szCs w:val="24"/>
            <w:lang w:eastAsia="en-NZ"/>
          </w:rPr>
          <w:t>section C</w:t>
        </w:r>
      </w:hyperlink>
      <w:r>
        <w:rPr>
          <w:rFonts w:cs="Arial"/>
          <w:szCs w:val="24"/>
          <w:lang w:eastAsia="en-NZ"/>
        </w:rPr>
        <w:t xml:space="preserve"> of Part 1 of Schedule 1 of the Act. Those diseases must be notified using </w:t>
      </w:r>
      <w:hyperlink r:id="rId118" w:anchor="DLM7036118" w:history="1">
        <w:r>
          <w:rPr>
            <w:rStyle w:val="Hyperlink"/>
            <w:rFonts w:cs="Arial"/>
            <w:szCs w:val="24"/>
            <w:lang w:eastAsia="en-NZ"/>
          </w:rPr>
          <w:t>form 6</w:t>
        </w:r>
      </w:hyperlink>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p>
    <w:p w:rsidR="007E2678" w:rsidRPr="007E2678" w:rsidRDefault="007E2678" w:rsidP="007E2678">
      <w:pPr>
        <w:shd w:val="clear" w:color="auto" w:fill="FFFFFF"/>
        <w:spacing w:before="192" w:after="100" w:afterAutospacing="1" w:line="288" w:lineRule="atLeast"/>
        <w:jc w:val="center"/>
        <w:outlineLvl w:val="4"/>
        <w:rPr>
          <w:rFonts w:cs="Arial"/>
          <w:b/>
          <w:sz w:val="28"/>
          <w:szCs w:val="28"/>
          <w:lang w:eastAsia="en-NZ"/>
        </w:rPr>
      </w:pPr>
      <w:r w:rsidRPr="007E2678">
        <w:rPr>
          <w:rFonts w:cs="Arial"/>
          <w:b/>
          <w:sz w:val="28"/>
          <w:szCs w:val="28"/>
          <w:lang w:eastAsia="en-NZ"/>
        </w:rPr>
        <w:t>Form 6 Funeral director, etc, notice of death from infectious disease (non-identified basis)</w:t>
      </w:r>
    </w:p>
    <w:p w:rsidR="007E2678" w:rsidRDefault="007528CD" w:rsidP="007E2678">
      <w:pPr>
        <w:shd w:val="clear" w:color="auto" w:fill="FFFFFF"/>
        <w:spacing w:before="83" w:after="216" w:line="240" w:lineRule="atLeast"/>
        <w:jc w:val="center"/>
        <w:rPr>
          <w:rFonts w:cs="Arial"/>
          <w:i/>
          <w:iCs/>
          <w:szCs w:val="24"/>
          <w:lang w:eastAsia="en-NZ"/>
        </w:rPr>
      </w:pPr>
      <w:hyperlink r:id="rId119" w:anchor="DLM307271" w:history="1">
        <w:r w:rsidR="007E2678">
          <w:rPr>
            <w:rStyle w:val="Hyperlink"/>
            <w:rFonts w:cs="Arial"/>
            <w:i/>
            <w:iCs/>
            <w:szCs w:val="24"/>
            <w:lang w:eastAsia="en-NZ"/>
          </w:rPr>
          <w:t>Section 85</w:t>
        </w:r>
      </w:hyperlink>
      <w:r w:rsidR="007E2678">
        <w:rPr>
          <w:rFonts w:cs="Arial"/>
          <w:i/>
          <w:iCs/>
          <w:szCs w:val="24"/>
          <w:lang w:eastAsia="en-NZ"/>
        </w:rPr>
        <w:t>, Health Act 1956</w:t>
      </w:r>
    </w:p>
    <w:p w:rsidR="007E2678" w:rsidRDefault="007E2678" w:rsidP="007E2678">
      <w:pPr>
        <w:shd w:val="clear" w:color="auto" w:fill="FFFFFF"/>
        <w:spacing w:after="216" w:line="288" w:lineRule="atLeast"/>
        <w:rPr>
          <w:rFonts w:cs="Arial"/>
          <w:szCs w:val="24"/>
          <w:lang w:eastAsia="en-NZ"/>
        </w:rPr>
      </w:pPr>
      <w:r>
        <w:rPr>
          <w:rFonts w:cs="Arial"/>
          <w:b/>
          <w:bCs/>
          <w:szCs w:val="24"/>
          <w:lang w:eastAsia="en-NZ"/>
        </w:rPr>
        <w:t>To</w:t>
      </w:r>
      <w:r>
        <w:rPr>
          <w:rFonts w:cs="Arial"/>
          <w:szCs w:val="24"/>
          <w:lang w:eastAsia="en-NZ"/>
        </w:rPr>
        <w:t xml:space="preserve"> the medical officer of health for [</w:t>
      </w:r>
      <w:r>
        <w:rPr>
          <w:rFonts w:cs="Arial"/>
          <w:i/>
          <w:iCs/>
          <w:szCs w:val="24"/>
          <w:lang w:eastAsia="en-NZ"/>
        </w:rPr>
        <w:t>district</w:t>
      </w:r>
      <w:r>
        <w:rPr>
          <w:rFonts w:cs="Arial"/>
          <w:szCs w:val="24"/>
          <w:lang w:eastAsia="en-NZ"/>
        </w:rPr>
        <w:t>]</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1 Deceased details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First 2 letters of surname and the first letter of first 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National health index number (if known):</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birth: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DHB district of place of death:</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 of health practitioner who signed death certificate: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Date of death certificate: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Sex:</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Ethnicity (if known):</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2 Details of disease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Disease or suspected disease being notified:</w:t>
      </w:r>
    </w:p>
    <w:p w:rsidR="007E2678" w:rsidRDefault="007E2678" w:rsidP="007E2678">
      <w:pPr>
        <w:shd w:val="clear" w:color="auto" w:fill="FFFFFF"/>
        <w:spacing w:before="209" w:after="100" w:afterAutospacing="1" w:line="288" w:lineRule="atLeast"/>
        <w:outlineLvl w:val="5"/>
        <w:rPr>
          <w:rFonts w:cs="Arial"/>
          <w:b/>
          <w:bCs/>
          <w:szCs w:val="24"/>
          <w:lang w:eastAsia="en-NZ"/>
        </w:rPr>
      </w:pPr>
      <w:r>
        <w:rPr>
          <w:rFonts w:cs="Arial"/>
          <w:b/>
          <w:bCs/>
          <w:szCs w:val="24"/>
          <w:lang w:eastAsia="en-NZ"/>
        </w:rPr>
        <w:t>3 Details of notifying funeral director (or other person in charge of funeral)</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Name:</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Phone number:</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Address:</w:t>
      </w:r>
    </w:p>
    <w:p w:rsidR="007E2678" w:rsidRDefault="007E2678" w:rsidP="007E2678">
      <w:pPr>
        <w:shd w:val="clear" w:color="auto" w:fill="FFFFFF"/>
        <w:spacing w:after="216" w:line="288" w:lineRule="atLeast"/>
        <w:rPr>
          <w:rFonts w:cs="Arial"/>
          <w:szCs w:val="24"/>
          <w:lang w:eastAsia="en-NZ"/>
        </w:rPr>
      </w:pPr>
      <w:r>
        <w:rPr>
          <w:rFonts w:cs="Arial"/>
          <w:szCs w:val="24"/>
          <w:lang w:eastAsia="en-NZ"/>
        </w:rPr>
        <w:t>Email address:</w:t>
      </w:r>
    </w:p>
    <w:p w:rsidR="007E2678" w:rsidRDefault="007E2678" w:rsidP="007E2678">
      <w:pPr>
        <w:shd w:val="clear" w:color="auto" w:fill="FFFFFF"/>
        <w:spacing w:line="288" w:lineRule="atLeast"/>
        <w:rPr>
          <w:rFonts w:cs="Arial"/>
          <w:szCs w:val="24"/>
          <w:lang w:eastAsia="en-NZ"/>
        </w:rPr>
      </w:pPr>
      <w:r>
        <w:rPr>
          <w:rFonts w:cs="Arial"/>
          <w:b/>
          <w:bCs/>
          <w:szCs w:val="24"/>
          <w:lang w:eastAsia="en-NZ"/>
        </w:rPr>
        <w:t>Instructions on use:</w:t>
      </w:r>
      <w:r>
        <w:rPr>
          <w:rFonts w:cs="Arial"/>
          <w:szCs w:val="24"/>
          <w:lang w:eastAsia="en-NZ"/>
        </w:rPr>
        <w:t xml:space="preserve"> This form is for notification of diseases listed in </w:t>
      </w:r>
      <w:hyperlink r:id="rId120" w:anchor="DLM7086812" w:history="1">
        <w:r>
          <w:rPr>
            <w:rStyle w:val="Hyperlink"/>
            <w:rFonts w:cs="Arial"/>
            <w:szCs w:val="24"/>
            <w:lang w:eastAsia="en-NZ"/>
          </w:rPr>
          <w:t>section C</w:t>
        </w:r>
      </w:hyperlink>
      <w:bookmarkEnd w:id="113"/>
      <w:r>
        <w:rPr>
          <w:rFonts w:cs="Arial"/>
          <w:szCs w:val="24"/>
          <w:lang w:eastAsia="en-NZ"/>
        </w:rPr>
        <w:t xml:space="preserve"> of Part 1 of Schedule 1 of the Act. The name, address, and other contact details of the deceased must not be included in this form.</w:t>
      </w:r>
    </w:p>
    <w:p w:rsidR="007E2678" w:rsidRDefault="007E2678" w:rsidP="007E2678">
      <w:pPr>
        <w:shd w:val="clear" w:color="auto" w:fill="FFFFFF"/>
        <w:spacing w:line="288" w:lineRule="atLeast"/>
        <w:rPr>
          <w:rFonts w:cs="Arial"/>
          <w:szCs w:val="24"/>
          <w:lang w:eastAsia="en-NZ"/>
        </w:rPr>
      </w:pPr>
    </w:p>
    <w:p w:rsidR="007E2678" w:rsidRDefault="007E2678" w:rsidP="007E2678">
      <w:pPr>
        <w:pBdr>
          <w:bottom w:val="single" w:sz="12" w:space="4" w:color="CCCCCC"/>
        </w:pBdr>
        <w:shd w:val="clear" w:color="auto" w:fill="FFFFFF"/>
        <w:spacing w:before="284" w:line="288" w:lineRule="atLeast"/>
        <w:jc w:val="center"/>
        <w:outlineLvl w:val="2"/>
        <w:rPr>
          <w:b/>
          <w:bCs/>
          <w:sz w:val="28"/>
          <w:szCs w:val="28"/>
          <w:lang w:eastAsia="en-NZ"/>
        </w:rPr>
      </w:pPr>
      <w:r>
        <w:rPr>
          <w:b/>
          <w:bCs/>
          <w:sz w:val="28"/>
          <w:szCs w:val="28"/>
          <w:lang w:eastAsia="en-NZ"/>
        </w:rPr>
        <w:t>Schedule 3 Minimum information requirements for notice of notifiable disease by medical laboratory</w:t>
      </w:r>
    </w:p>
    <w:bookmarkStart w:id="116" w:name="DLM7036524"/>
    <w:p w:rsidR="007E2678" w:rsidRDefault="007E2678" w:rsidP="007E2678">
      <w:pPr>
        <w:shd w:val="clear" w:color="auto" w:fill="FFFFFF"/>
        <w:spacing w:before="83" w:after="216" w:line="288" w:lineRule="atLeast"/>
        <w:jc w:val="right"/>
        <w:rPr>
          <w:rFonts w:ascii="Arial" w:hAnsi="Arial" w:cs="Arial"/>
          <w:sz w:val="20"/>
          <w:lang w:eastAsia="en-NZ"/>
        </w:rPr>
      </w:pPr>
      <w:r>
        <w:fldChar w:fldCharType="begin"/>
      </w:r>
      <w:r>
        <w:instrText xml:space="preserve"> HYPERLINK "http://www.legislation.govt.nz/regulation/public/2016/0272/latest/link.aspx?id=DLM7036524" \l "DLM7036524" </w:instrText>
      </w:r>
      <w:r>
        <w:fldChar w:fldCharType="separate"/>
      </w:r>
      <w:r>
        <w:rPr>
          <w:rStyle w:val="Hyperlink"/>
          <w:rFonts w:cs="Arial"/>
          <w:sz w:val="20"/>
          <w:lang w:eastAsia="en-NZ"/>
        </w:rPr>
        <w:t>r 8</w:t>
      </w:r>
      <w:r>
        <w:fldChar w:fldCharType="end"/>
      </w:r>
      <w:bookmarkEnd w:id="116"/>
    </w:p>
    <w:p w:rsidR="007E2678" w:rsidRDefault="007E2678" w:rsidP="007E2678">
      <w:pPr>
        <w:shd w:val="clear" w:color="auto" w:fill="FFFFFF"/>
        <w:spacing w:before="209" w:after="100" w:afterAutospacing="1" w:line="288" w:lineRule="atLeast"/>
        <w:outlineLvl w:val="5"/>
        <w:rPr>
          <w:rFonts w:ascii="Times New Roman" w:hAnsi="Times New Roman"/>
          <w:b/>
          <w:bCs/>
          <w:sz w:val="30"/>
          <w:szCs w:val="30"/>
          <w:lang w:eastAsia="en-NZ"/>
        </w:rPr>
      </w:pPr>
      <w:r>
        <w:rPr>
          <w:rFonts w:ascii="Times New Roman" w:hAnsi="Times New Roman"/>
          <w:b/>
          <w:bCs/>
          <w:sz w:val="30"/>
          <w:szCs w:val="30"/>
          <w:lang w:eastAsia="en-NZ"/>
        </w:rPr>
        <w:t>1 Patient details</w:t>
      </w:r>
    </w:p>
    <w:p w:rsidR="007E2678" w:rsidRDefault="007E2678" w:rsidP="007E2678">
      <w:pPr>
        <w:shd w:val="clear" w:color="auto" w:fill="FFFFFF"/>
        <w:spacing w:after="216" w:line="288" w:lineRule="atLeast"/>
        <w:rPr>
          <w:rFonts w:ascii="Arial" w:hAnsi="Arial" w:cs="Arial"/>
          <w:sz w:val="25"/>
          <w:szCs w:val="25"/>
          <w:lang w:eastAsia="en-NZ"/>
        </w:rPr>
      </w:pPr>
      <w:r>
        <w:rPr>
          <w:rFonts w:cs="Arial"/>
          <w:sz w:val="25"/>
          <w:szCs w:val="25"/>
          <w:lang w:eastAsia="en-NZ"/>
        </w:rPr>
        <w:t>The following information must be provided about the patient:</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(a) </w:t>
      </w:r>
      <w:r>
        <w:rPr>
          <w:rFonts w:cs="Arial"/>
          <w:sz w:val="25"/>
          <w:szCs w:val="25"/>
          <w:lang w:eastAsia="en-NZ"/>
        </w:rPr>
        <w:t>either—</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(i) </w:t>
      </w:r>
      <w:r>
        <w:rPr>
          <w:rFonts w:cs="Arial"/>
          <w:sz w:val="25"/>
          <w:szCs w:val="25"/>
          <w:lang w:eastAsia="en-NZ"/>
        </w:rPr>
        <w:t>the patient’s name; or</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(ii) </w:t>
      </w:r>
      <w:r>
        <w:rPr>
          <w:rFonts w:cs="Arial"/>
          <w:sz w:val="25"/>
          <w:szCs w:val="25"/>
          <w:lang w:eastAsia="en-NZ"/>
        </w:rPr>
        <w:t xml:space="preserve">(if the disease is listed in </w:t>
      </w:r>
      <w:hyperlink r:id="rId121" w:anchor="DLM7086812" w:history="1">
        <w:r>
          <w:rPr>
            <w:rStyle w:val="Hyperlink"/>
            <w:rFonts w:cs="Arial"/>
            <w:sz w:val="25"/>
            <w:szCs w:val="25"/>
            <w:lang w:eastAsia="en-NZ"/>
          </w:rPr>
          <w:t>section C</w:t>
        </w:r>
      </w:hyperlink>
      <w:r>
        <w:rPr>
          <w:rFonts w:cs="Arial"/>
          <w:sz w:val="25"/>
          <w:szCs w:val="25"/>
          <w:lang w:eastAsia="en-NZ"/>
        </w:rPr>
        <w:t xml:space="preserve"> of Part 1 of Schedule 1 of the Act) the first 2 letters of the patient’s surname and first letter of the patient’s first name:</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(b) </w:t>
      </w:r>
      <w:r>
        <w:rPr>
          <w:rFonts w:cs="Arial"/>
          <w:sz w:val="25"/>
          <w:szCs w:val="25"/>
          <w:lang w:eastAsia="en-NZ"/>
        </w:rPr>
        <w:t>national health index number (if known):</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(c) </w:t>
      </w:r>
      <w:r>
        <w:rPr>
          <w:rFonts w:cs="Arial"/>
          <w:sz w:val="25"/>
          <w:szCs w:val="25"/>
          <w:lang w:eastAsia="en-NZ"/>
        </w:rPr>
        <w:t xml:space="preserve">address or (if the disease is listed in </w:t>
      </w:r>
      <w:hyperlink r:id="rId122" w:anchor="DLM7086812" w:history="1">
        <w:r>
          <w:rPr>
            <w:rStyle w:val="Hyperlink"/>
            <w:rFonts w:cs="Arial"/>
            <w:sz w:val="25"/>
            <w:szCs w:val="25"/>
            <w:lang w:eastAsia="en-NZ"/>
          </w:rPr>
          <w:t>section C</w:t>
        </w:r>
      </w:hyperlink>
      <w:r>
        <w:rPr>
          <w:rFonts w:cs="Arial"/>
          <w:sz w:val="25"/>
          <w:szCs w:val="25"/>
          <w:lang w:eastAsia="en-NZ"/>
        </w:rPr>
        <w:t xml:space="preserve"> of Part 1 of Schedule 1 of the Act) the DHB district of usual address:</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(d) </w:t>
      </w:r>
      <w:r>
        <w:rPr>
          <w:rFonts w:cs="Arial"/>
          <w:sz w:val="25"/>
          <w:szCs w:val="25"/>
          <w:lang w:eastAsia="en-NZ"/>
        </w:rPr>
        <w:t>date of birth:</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(e) </w:t>
      </w:r>
      <w:r>
        <w:rPr>
          <w:rFonts w:cs="Arial"/>
          <w:sz w:val="25"/>
          <w:szCs w:val="25"/>
          <w:lang w:eastAsia="en-NZ"/>
        </w:rPr>
        <w:t>date of death and cause of death (if applicable):</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(f) </w:t>
      </w:r>
      <w:r>
        <w:rPr>
          <w:rFonts w:cs="Arial"/>
          <w:sz w:val="25"/>
          <w:szCs w:val="25"/>
          <w:lang w:eastAsia="en-NZ"/>
        </w:rPr>
        <w:t>sex:</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(g) </w:t>
      </w:r>
      <w:r>
        <w:rPr>
          <w:rFonts w:cs="Arial"/>
          <w:sz w:val="25"/>
          <w:szCs w:val="25"/>
          <w:lang w:eastAsia="en-NZ"/>
        </w:rPr>
        <w:t>ethnicity (if known).</w:t>
      </w:r>
    </w:p>
    <w:p w:rsidR="007E2678" w:rsidRDefault="007E2678" w:rsidP="007E2678">
      <w:pPr>
        <w:shd w:val="clear" w:color="auto" w:fill="FFFFFF"/>
        <w:spacing w:before="209" w:after="100" w:afterAutospacing="1" w:line="288" w:lineRule="atLeast"/>
        <w:outlineLvl w:val="5"/>
        <w:rPr>
          <w:rFonts w:ascii="Times New Roman" w:hAnsi="Times New Roman"/>
          <w:b/>
          <w:bCs/>
          <w:sz w:val="30"/>
          <w:szCs w:val="30"/>
          <w:lang w:eastAsia="en-NZ"/>
        </w:rPr>
      </w:pPr>
      <w:r>
        <w:rPr>
          <w:rFonts w:ascii="Times New Roman" w:hAnsi="Times New Roman"/>
          <w:b/>
          <w:bCs/>
          <w:sz w:val="30"/>
          <w:szCs w:val="30"/>
          <w:lang w:eastAsia="en-NZ"/>
        </w:rPr>
        <w:t>2 Details of disease</w:t>
      </w:r>
    </w:p>
    <w:p w:rsidR="007E2678" w:rsidRDefault="007E2678" w:rsidP="007E2678">
      <w:pPr>
        <w:shd w:val="clear" w:color="auto" w:fill="FFFFFF"/>
        <w:spacing w:after="216" w:line="288" w:lineRule="atLeast"/>
        <w:rPr>
          <w:rFonts w:ascii="Arial" w:hAnsi="Arial" w:cs="Arial"/>
          <w:sz w:val="25"/>
          <w:szCs w:val="25"/>
          <w:lang w:eastAsia="en-NZ"/>
        </w:rPr>
      </w:pPr>
      <w:r>
        <w:rPr>
          <w:rFonts w:cs="Arial"/>
          <w:sz w:val="25"/>
          <w:szCs w:val="25"/>
          <w:lang w:eastAsia="en-NZ"/>
        </w:rPr>
        <w:t>The following information must be provided about the disease or suspected disease being notified by the medical laboratory:</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(a) </w:t>
      </w:r>
      <w:r>
        <w:rPr>
          <w:rFonts w:cs="Arial"/>
          <w:sz w:val="25"/>
          <w:szCs w:val="25"/>
          <w:lang w:eastAsia="en-NZ"/>
        </w:rPr>
        <w:t>name of disease or suspected disease:</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(b) </w:t>
      </w:r>
      <w:r>
        <w:rPr>
          <w:rFonts w:cs="Arial"/>
          <w:sz w:val="25"/>
          <w:szCs w:val="25"/>
          <w:lang w:eastAsia="en-NZ"/>
        </w:rPr>
        <w:t>laboratory tests done or ordered by it:</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(c) </w:t>
      </w:r>
      <w:r>
        <w:rPr>
          <w:rFonts w:cs="Arial"/>
          <w:sz w:val="25"/>
          <w:szCs w:val="25"/>
          <w:lang w:eastAsia="en-NZ"/>
        </w:rPr>
        <w:t>results of laboratory tests (if available):</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(d) </w:t>
      </w:r>
      <w:r>
        <w:rPr>
          <w:rFonts w:cs="Arial"/>
          <w:sz w:val="25"/>
          <w:szCs w:val="25"/>
          <w:lang w:eastAsia="en-NZ"/>
        </w:rPr>
        <w:t>for all specimens taken for testing,—</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(i) </w:t>
      </w:r>
      <w:r>
        <w:rPr>
          <w:rFonts w:cs="Arial"/>
          <w:sz w:val="25"/>
          <w:szCs w:val="25"/>
          <w:lang w:eastAsia="en-NZ"/>
        </w:rPr>
        <w:t>site of specimens:</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(ii) </w:t>
      </w:r>
      <w:r>
        <w:rPr>
          <w:rFonts w:cs="Arial"/>
          <w:sz w:val="25"/>
          <w:szCs w:val="25"/>
          <w:lang w:eastAsia="en-NZ"/>
        </w:rPr>
        <w:t>type of specimens:</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(iii) </w:t>
      </w:r>
      <w:r>
        <w:rPr>
          <w:rFonts w:cs="Arial"/>
          <w:sz w:val="25"/>
          <w:szCs w:val="25"/>
          <w:lang w:eastAsia="en-NZ"/>
        </w:rPr>
        <w:t>date taken.</w:t>
      </w:r>
    </w:p>
    <w:p w:rsidR="007E2678" w:rsidRDefault="007E2678" w:rsidP="007E2678">
      <w:pPr>
        <w:shd w:val="clear" w:color="auto" w:fill="FFFFFF"/>
        <w:spacing w:before="209" w:after="100" w:afterAutospacing="1" w:line="288" w:lineRule="atLeast"/>
        <w:outlineLvl w:val="5"/>
        <w:rPr>
          <w:rFonts w:ascii="Times New Roman" w:hAnsi="Times New Roman"/>
          <w:b/>
          <w:bCs/>
          <w:sz w:val="30"/>
          <w:szCs w:val="30"/>
          <w:lang w:eastAsia="en-NZ"/>
        </w:rPr>
      </w:pPr>
      <w:r>
        <w:rPr>
          <w:rFonts w:ascii="Times New Roman" w:hAnsi="Times New Roman"/>
          <w:b/>
          <w:bCs/>
          <w:sz w:val="30"/>
          <w:szCs w:val="30"/>
          <w:lang w:eastAsia="en-NZ"/>
        </w:rPr>
        <w:t>3 Details of person in charge of laboratory and relevant health practitioner</w:t>
      </w:r>
    </w:p>
    <w:p w:rsidR="007E2678" w:rsidRDefault="007E2678" w:rsidP="007E2678">
      <w:pPr>
        <w:shd w:val="clear" w:color="auto" w:fill="FFFFFF"/>
        <w:spacing w:after="216" w:line="288" w:lineRule="atLeast"/>
        <w:rPr>
          <w:rFonts w:ascii="Arial" w:hAnsi="Arial" w:cs="Arial"/>
          <w:sz w:val="25"/>
          <w:szCs w:val="25"/>
          <w:lang w:eastAsia="en-NZ"/>
        </w:rPr>
      </w:pPr>
      <w:r>
        <w:rPr>
          <w:rFonts w:cs="Arial"/>
          <w:sz w:val="25"/>
          <w:szCs w:val="25"/>
          <w:lang w:eastAsia="en-NZ"/>
        </w:rPr>
        <w:t>The following information must be provided:</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(a) </w:t>
      </w:r>
      <w:r>
        <w:rPr>
          <w:rFonts w:cs="Arial"/>
          <w:sz w:val="25"/>
          <w:szCs w:val="25"/>
          <w:lang w:eastAsia="en-NZ"/>
        </w:rPr>
        <w:t>name of the person in charge of the medical laboratory and his or her phone number, address, and email address:</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(b) </w:t>
      </w:r>
      <w:r>
        <w:rPr>
          <w:rFonts w:cs="Arial"/>
          <w:sz w:val="25"/>
          <w:szCs w:val="25"/>
          <w:lang w:eastAsia="en-NZ"/>
        </w:rPr>
        <w:t>name of the clinical microbiologist or technician and his or her phone number, address, and email address:</w:t>
      </w:r>
    </w:p>
    <w:p w:rsidR="007E2678" w:rsidRDefault="007E2678" w:rsidP="007E2678">
      <w:pPr>
        <w:shd w:val="clear" w:color="auto" w:fill="FFFFFF"/>
        <w:spacing w:before="83" w:after="100" w:afterAutospacing="1" w:line="288" w:lineRule="atLeast"/>
        <w:jc w:val="both"/>
        <w:outlineLvl w:val="5"/>
        <w:rPr>
          <w:rFonts w:cs="Arial"/>
          <w:sz w:val="25"/>
          <w:szCs w:val="25"/>
          <w:lang w:eastAsia="en-NZ"/>
        </w:rPr>
      </w:pPr>
      <w:r>
        <w:rPr>
          <w:rFonts w:ascii="Times New Roman" w:hAnsi="Times New Roman"/>
          <w:sz w:val="20"/>
          <w:lang w:eastAsia="en-NZ"/>
        </w:rPr>
        <w:t xml:space="preserve">(c) </w:t>
      </w:r>
      <w:r>
        <w:rPr>
          <w:rFonts w:cs="Arial"/>
          <w:sz w:val="25"/>
          <w:szCs w:val="25"/>
          <w:lang w:eastAsia="en-NZ"/>
        </w:rPr>
        <w:t>name of the health practitioner ordering laboratory tests and his or her phone number, address, and email address.</w:t>
      </w:r>
    </w:p>
    <w:p w:rsidR="007E2678" w:rsidRDefault="007E2678">
      <w:pPr>
        <w:spacing w:line="240" w:lineRule="auto"/>
        <w:rPr>
          <w:b/>
          <w:sz w:val="40"/>
        </w:rPr>
      </w:pPr>
      <w:r>
        <w:br w:type="page"/>
      </w:r>
    </w:p>
    <w:p w:rsidR="008D1DCC" w:rsidRPr="007618AB" w:rsidRDefault="008D1DCC" w:rsidP="00B80940">
      <w:pPr>
        <w:pStyle w:val="Heading2"/>
        <w:spacing w:before="0"/>
        <w:rPr>
          <w:lang w:eastAsia="en-NZ"/>
        </w:rPr>
      </w:pPr>
      <w:r w:rsidRPr="007618AB">
        <w:t>Appendix</w:t>
      </w:r>
      <w:r>
        <w:t xml:space="preserve"> 4: The </w:t>
      </w:r>
      <w:r w:rsidRPr="007618AB">
        <w:t>Ministry of Health</w:t>
      </w:r>
      <w:r w:rsidR="003B22F1">
        <w:t>’</w:t>
      </w:r>
      <w:r>
        <w:t>s</w:t>
      </w:r>
      <w:r w:rsidRPr="007618AB">
        <w:t xml:space="preserve"> Prosecution Policy</w:t>
      </w:r>
      <w:bookmarkEnd w:id="109"/>
    </w:p>
    <w:p w:rsidR="003B22F1" w:rsidRDefault="008D1DCC" w:rsidP="00B80940">
      <w:pPr>
        <w:pStyle w:val="Heading3"/>
        <w:rPr>
          <w:lang w:eastAsia="en-NZ"/>
        </w:rPr>
      </w:pPr>
      <w:r w:rsidRPr="007618AB">
        <w:rPr>
          <w:lang w:eastAsia="en-NZ"/>
        </w:rPr>
        <w:t>Background</w:t>
      </w:r>
    </w:p>
    <w:p w:rsidR="003B22F1" w:rsidRDefault="008D1DCC" w:rsidP="00B80940">
      <w:pPr>
        <w:rPr>
          <w:lang w:eastAsia="en-NZ"/>
        </w:rPr>
      </w:pPr>
      <w:r w:rsidRPr="007618AB">
        <w:rPr>
          <w:lang w:eastAsia="en-NZ"/>
        </w:rPr>
        <w:t xml:space="preserve">Pursuant to the New Zealand Public Health and Disability Act 2000 the Ministry </w:t>
      </w:r>
      <w:r>
        <w:rPr>
          <w:lang w:eastAsia="en-NZ"/>
        </w:rPr>
        <w:t xml:space="preserve">of Health </w:t>
      </w:r>
      <w:r w:rsidRPr="007618AB">
        <w:rPr>
          <w:lang w:eastAsia="en-NZ"/>
        </w:rPr>
        <w:t xml:space="preserve">is charged with important responsibilities regarding the health of New Zealanders. This includes entering into agreements under which the Crown provides money in return for provision of, or arrangement for the provision of, health services or disability support services. The Ministry must also oversee a number of matters controlled by </w:t>
      </w:r>
      <w:r>
        <w:rPr>
          <w:lang w:eastAsia="en-NZ"/>
        </w:rPr>
        <w:t>r</w:t>
      </w:r>
      <w:r w:rsidRPr="007618AB">
        <w:rPr>
          <w:lang w:eastAsia="en-NZ"/>
        </w:rPr>
        <w:t>egulation, through legislation which the Ministry is responsible for administering.</w:t>
      </w:r>
    </w:p>
    <w:p w:rsidR="008D1DCC" w:rsidRPr="007618AB" w:rsidRDefault="008D1DCC" w:rsidP="00B80940">
      <w:pPr>
        <w:rPr>
          <w:lang w:eastAsia="en-NZ"/>
        </w:rPr>
      </w:pPr>
    </w:p>
    <w:p w:rsidR="003B22F1" w:rsidRDefault="008D1DCC" w:rsidP="00B80940">
      <w:pPr>
        <w:pStyle w:val="Heading3"/>
        <w:rPr>
          <w:lang w:eastAsia="en-NZ"/>
        </w:rPr>
      </w:pPr>
      <w:r w:rsidRPr="007618AB">
        <w:rPr>
          <w:lang w:eastAsia="en-NZ"/>
        </w:rPr>
        <w:t xml:space="preserve">Enforcement </w:t>
      </w:r>
      <w:r>
        <w:rPr>
          <w:lang w:eastAsia="en-NZ"/>
        </w:rPr>
        <w:t>a</w:t>
      </w:r>
      <w:r w:rsidRPr="007618AB">
        <w:rPr>
          <w:lang w:eastAsia="en-NZ"/>
        </w:rPr>
        <w:t>ctivities</w:t>
      </w:r>
    </w:p>
    <w:p w:rsidR="003B22F1" w:rsidRDefault="008D1DCC" w:rsidP="00B80940">
      <w:pPr>
        <w:rPr>
          <w:lang w:eastAsia="en-NZ"/>
        </w:rPr>
      </w:pPr>
      <w:r w:rsidRPr="007618AB">
        <w:rPr>
          <w:lang w:eastAsia="en-NZ"/>
        </w:rPr>
        <w:t>The Ministry must pursue its health objectives to the extent that they are reasonably achievable within the f</w:t>
      </w:r>
      <w:r w:rsidR="005D1644">
        <w:rPr>
          <w:lang w:eastAsia="en-NZ"/>
        </w:rPr>
        <w:t>u</w:t>
      </w:r>
      <w:r w:rsidRPr="007618AB">
        <w:rPr>
          <w:lang w:eastAsia="en-NZ"/>
        </w:rPr>
        <w:t>nding provided. The Ministry therefore wants to ensure that it is obtaining value for money and provide assurance that public funds are appropriately expended. The Ministry must also ensure that there is compliance with regulatory provisions for which it is responsible to protect the public and maintain public confidence in the regulatory system.</w:t>
      </w:r>
    </w:p>
    <w:p w:rsidR="00B80940" w:rsidRDefault="00B80940" w:rsidP="00B80940">
      <w:pPr>
        <w:rPr>
          <w:lang w:eastAsia="en-NZ"/>
        </w:rPr>
      </w:pPr>
    </w:p>
    <w:p w:rsidR="003B22F1" w:rsidRDefault="008D1DCC" w:rsidP="00B80940">
      <w:pPr>
        <w:rPr>
          <w:lang w:eastAsia="en-NZ"/>
        </w:rPr>
      </w:pPr>
      <w:r w:rsidRPr="007618AB">
        <w:rPr>
          <w:lang w:eastAsia="en-NZ"/>
        </w:rPr>
        <w:t>The Ministry aims to act fairly and consistently and will in each case identify the appropriate enforcement response.</w:t>
      </w:r>
    </w:p>
    <w:p w:rsidR="008D1DCC" w:rsidRPr="007618AB" w:rsidRDefault="008D1DCC" w:rsidP="00B80940">
      <w:pPr>
        <w:rPr>
          <w:lang w:eastAsia="en-NZ"/>
        </w:rPr>
      </w:pPr>
    </w:p>
    <w:p w:rsidR="003B22F1" w:rsidRDefault="008D1DCC" w:rsidP="00B80940">
      <w:pPr>
        <w:rPr>
          <w:lang w:eastAsia="en-NZ"/>
        </w:rPr>
      </w:pPr>
      <w:r w:rsidRPr="007618AB">
        <w:rPr>
          <w:lang w:eastAsia="en-NZ"/>
        </w:rPr>
        <w:t>The Ministry conducts its assurance activities in a number of ways. These include:</w:t>
      </w:r>
    </w:p>
    <w:p w:rsidR="008D1DCC" w:rsidRPr="007618AB" w:rsidRDefault="008D1DCC" w:rsidP="00B80940">
      <w:pPr>
        <w:pStyle w:val="Bullet"/>
        <w:rPr>
          <w:lang w:eastAsia="en-NZ"/>
        </w:rPr>
      </w:pPr>
      <w:r>
        <w:rPr>
          <w:lang w:eastAsia="en-NZ"/>
        </w:rPr>
        <w:t>e</w:t>
      </w:r>
      <w:r w:rsidRPr="007618AB">
        <w:rPr>
          <w:lang w:eastAsia="en-NZ"/>
        </w:rPr>
        <w:t>ducational activity to make service providers and those covered by regulation a</w:t>
      </w:r>
      <w:r>
        <w:rPr>
          <w:lang w:eastAsia="en-NZ"/>
        </w:rPr>
        <w:t>ware of their responsibilities</w:t>
      </w:r>
    </w:p>
    <w:p w:rsidR="008D1DCC" w:rsidRPr="007618AB" w:rsidRDefault="008D1DCC" w:rsidP="00B80940">
      <w:pPr>
        <w:pStyle w:val="Bullet"/>
        <w:rPr>
          <w:lang w:eastAsia="en-NZ"/>
        </w:rPr>
      </w:pPr>
      <w:r>
        <w:rPr>
          <w:lang w:eastAsia="en-NZ"/>
        </w:rPr>
        <w:t>r</w:t>
      </w:r>
      <w:r w:rsidRPr="007618AB">
        <w:rPr>
          <w:lang w:eastAsia="en-NZ"/>
        </w:rPr>
        <w:t xml:space="preserve">ecovering funding that has been overpaid or taking other </w:t>
      </w:r>
      <w:r>
        <w:rPr>
          <w:lang w:eastAsia="en-NZ"/>
        </w:rPr>
        <w:t>relevant contractual action</w:t>
      </w:r>
    </w:p>
    <w:p w:rsidR="003B22F1" w:rsidRDefault="008D1DCC" w:rsidP="00B80940">
      <w:pPr>
        <w:pStyle w:val="Bullet"/>
        <w:rPr>
          <w:lang w:eastAsia="en-NZ"/>
        </w:rPr>
      </w:pPr>
      <w:r>
        <w:rPr>
          <w:lang w:eastAsia="en-NZ"/>
        </w:rPr>
        <w:t>r</w:t>
      </w:r>
      <w:r w:rsidRPr="007618AB">
        <w:rPr>
          <w:lang w:eastAsia="en-NZ"/>
        </w:rPr>
        <w:t>eferring matters to relevant professional bodies or other Government agencies</w:t>
      </w:r>
    </w:p>
    <w:p w:rsidR="003B22F1" w:rsidRDefault="008D1DCC" w:rsidP="00B80940">
      <w:pPr>
        <w:pStyle w:val="Bullet"/>
        <w:rPr>
          <w:lang w:eastAsia="en-NZ"/>
        </w:rPr>
      </w:pPr>
      <w:r>
        <w:rPr>
          <w:lang w:eastAsia="en-NZ"/>
        </w:rPr>
        <w:t>p</w:t>
      </w:r>
      <w:r w:rsidRPr="007618AB">
        <w:rPr>
          <w:lang w:eastAsia="en-NZ"/>
        </w:rPr>
        <w:t>rosecution action where appropriate.</w:t>
      </w:r>
    </w:p>
    <w:p w:rsidR="008D1DCC" w:rsidRPr="007618AB" w:rsidRDefault="008D1DCC" w:rsidP="00B80940">
      <w:pPr>
        <w:rPr>
          <w:lang w:eastAsia="en-NZ"/>
        </w:rPr>
      </w:pPr>
    </w:p>
    <w:p w:rsidR="003B22F1" w:rsidRDefault="008D1DCC" w:rsidP="00B80940">
      <w:pPr>
        <w:pStyle w:val="Heading3"/>
        <w:rPr>
          <w:lang w:eastAsia="en-NZ"/>
        </w:rPr>
      </w:pPr>
      <w:r w:rsidRPr="007618AB">
        <w:rPr>
          <w:lang w:eastAsia="en-NZ"/>
        </w:rPr>
        <w:t>Prosecution</w:t>
      </w:r>
    </w:p>
    <w:p w:rsidR="003B22F1" w:rsidRDefault="008D1DCC" w:rsidP="00B80940">
      <w:pPr>
        <w:rPr>
          <w:lang w:eastAsia="en-NZ"/>
        </w:rPr>
      </w:pPr>
      <w:r w:rsidRPr="007618AB">
        <w:rPr>
          <w:lang w:eastAsia="en-NZ"/>
        </w:rPr>
        <w:t>The prosecution policy relates specifically to those situations were prosecution may be appropriate. These situations include a breach of regulation, or activity that could be prosecuted in criminal courts. The policy is designed to establish and maintain cost-effective, consistent and fair management of prosecution action taken by the Ministry. Each case will be considered individually on its facts, but in the context of this Ministry-wide policy.</w:t>
      </w:r>
    </w:p>
    <w:p w:rsidR="008D1DCC" w:rsidRDefault="008D1DCC" w:rsidP="00B80940">
      <w:pPr>
        <w:rPr>
          <w:lang w:eastAsia="en-NZ"/>
        </w:rPr>
      </w:pPr>
    </w:p>
    <w:p w:rsidR="003B22F1" w:rsidRDefault="008D1DCC" w:rsidP="00B80940">
      <w:pPr>
        <w:rPr>
          <w:lang w:eastAsia="en-NZ"/>
        </w:rPr>
      </w:pPr>
      <w:r w:rsidRPr="007618AB">
        <w:rPr>
          <w:lang w:eastAsia="en-NZ"/>
        </w:rPr>
        <w:t>The Ministry notes that it relies on the Prosecution Guidelines issued by Crown Law from time to time to assist it in determining:</w:t>
      </w:r>
    </w:p>
    <w:p w:rsidR="008D1DCC" w:rsidRPr="007618AB" w:rsidRDefault="008D1DCC" w:rsidP="00B80940">
      <w:pPr>
        <w:rPr>
          <w:lang w:eastAsia="en-NZ"/>
        </w:rPr>
      </w:pPr>
    </w:p>
    <w:p w:rsidR="003B22F1" w:rsidRDefault="008D1DCC" w:rsidP="00B80940">
      <w:pPr>
        <w:pStyle w:val="Heading4"/>
        <w:rPr>
          <w:lang w:eastAsia="en-NZ"/>
        </w:rPr>
      </w:pPr>
      <w:r w:rsidRPr="007618AB">
        <w:rPr>
          <w:lang w:eastAsia="en-NZ"/>
        </w:rPr>
        <w:t>1</w:t>
      </w:r>
      <w:r w:rsidR="00B80940">
        <w:rPr>
          <w:lang w:eastAsia="en-NZ"/>
        </w:rPr>
        <w:tab/>
      </w:r>
      <w:r w:rsidRPr="007618AB">
        <w:rPr>
          <w:lang w:eastAsia="en-NZ"/>
        </w:rPr>
        <w:t>Whether criminal proceedings should be commenced</w:t>
      </w:r>
    </w:p>
    <w:p w:rsidR="003B22F1" w:rsidRDefault="008D1DCC" w:rsidP="00B80940">
      <w:pPr>
        <w:rPr>
          <w:lang w:eastAsia="en-NZ"/>
        </w:rPr>
      </w:pPr>
      <w:r w:rsidRPr="007618AB">
        <w:rPr>
          <w:lang w:eastAsia="en-NZ"/>
        </w:rPr>
        <w:t>The test prior to commencing prosecution will be to determine first, whether evidence can be adduced in court that is sufficient to provide a reasonable prospect of conviction (the evidential test) and second, whether prosecution is required in the public interest (the public interest test). Consideration must also be given to the cost-effectiveness of the prosecution.</w:t>
      </w:r>
    </w:p>
    <w:p w:rsidR="008D1DCC" w:rsidRPr="007618AB" w:rsidRDefault="008D1DCC" w:rsidP="00B80940">
      <w:pPr>
        <w:rPr>
          <w:lang w:eastAsia="en-NZ"/>
        </w:rPr>
      </w:pPr>
    </w:p>
    <w:p w:rsidR="003B22F1" w:rsidRDefault="008D1DCC" w:rsidP="00B80940">
      <w:pPr>
        <w:keepNext/>
        <w:rPr>
          <w:lang w:eastAsia="en-NZ"/>
        </w:rPr>
      </w:pPr>
      <w:r w:rsidRPr="007618AB">
        <w:rPr>
          <w:lang w:eastAsia="en-NZ"/>
        </w:rPr>
        <w:t>Some of the matters the Ministry may consider when determining the public interest test include:</w:t>
      </w:r>
    </w:p>
    <w:p w:rsidR="008D1DCC" w:rsidRDefault="008D1DCC" w:rsidP="00B80940">
      <w:pPr>
        <w:pStyle w:val="Bullet"/>
        <w:rPr>
          <w:lang w:eastAsia="en-NZ"/>
        </w:rPr>
      </w:pPr>
      <w:r w:rsidRPr="007618AB">
        <w:rPr>
          <w:lang w:eastAsia="en-NZ"/>
        </w:rPr>
        <w:t>the seriousness of the offence. There is a strong public interest if a conviction is likely to result in a significant penalty</w:t>
      </w:r>
    </w:p>
    <w:p w:rsidR="008D1DCC" w:rsidRDefault="008D1DCC" w:rsidP="00B80940">
      <w:pPr>
        <w:pStyle w:val="Bullet"/>
        <w:rPr>
          <w:lang w:eastAsia="en-NZ"/>
        </w:rPr>
      </w:pPr>
      <w:r w:rsidRPr="007618AB">
        <w:rPr>
          <w:lang w:eastAsia="en-NZ"/>
        </w:rPr>
        <w:t>any breach of trust (such as false claiming under the honesty based payment system) and the need to ensure public accountability. The expectations of the Office of the Auditor-General in the context of suspected fraud will be</w:t>
      </w:r>
      <w:r>
        <w:rPr>
          <w:lang w:eastAsia="en-NZ"/>
        </w:rPr>
        <w:t xml:space="preserve"> addressed where applicable</w:t>
      </w:r>
    </w:p>
    <w:p w:rsidR="008D1DCC" w:rsidRDefault="008D1DCC" w:rsidP="00B80940">
      <w:pPr>
        <w:pStyle w:val="Bullet"/>
        <w:rPr>
          <w:lang w:eastAsia="en-NZ"/>
        </w:rPr>
      </w:pPr>
      <w:r>
        <w:rPr>
          <w:lang w:eastAsia="en-NZ"/>
        </w:rPr>
        <w:t>w</w:t>
      </w:r>
      <w:r w:rsidRPr="007618AB">
        <w:rPr>
          <w:lang w:eastAsia="en-NZ"/>
        </w:rPr>
        <w:t>hether the defendant was in a position of authority (such as being or representing him or herself as a qua</w:t>
      </w:r>
      <w:r>
        <w:rPr>
          <w:lang w:eastAsia="en-NZ"/>
        </w:rPr>
        <w:t>lified health professional)</w:t>
      </w:r>
    </w:p>
    <w:p w:rsidR="003B22F1" w:rsidRDefault="008D1DCC" w:rsidP="00B80940">
      <w:pPr>
        <w:pStyle w:val="Bullet"/>
        <w:rPr>
          <w:lang w:eastAsia="en-NZ"/>
        </w:rPr>
      </w:pPr>
      <w:r>
        <w:rPr>
          <w:lang w:eastAsia="en-NZ"/>
        </w:rPr>
        <w:t>p</w:t>
      </w:r>
      <w:r w:rsidRPr="007618AB">
        <w:rPr>
          <w:lang w:eastAsia="en-NZ"/>
        </w:rPr>
        <w:t>remeditation, length and scale of offending.</w:t>
      </w:r>
    </w:p>
    <w:p w:rsidR="008D1DCC" w:rsidRPr="007618AB" w:rsidRDefault="008D1DCC" w:rsidP="008D1DCC">
      <w:pPr>
        <w:autoSpaceDE w:val="0"/>
        <w:autoSpaceDN w:val="0"/>
        <w:adjustRightInd w:val="0"/>
        <w:spacing w:line="240" w:lineRule="auto"/>
        <w:rPr>
          <w:rFonts w:cs="Arial"/>
          <w:szCs w:val="24"/>
          <w:lang w:eastAsia="en-NZ"/>
        </w:rPr>
      </w:pPr>
    </w:p>
    <w:p w:rsidR="003B22F1" w:rsidRDefault="008D1DCC" w:rsidP="00B80940">
      <w:pPr>
        <w:pStyle w:val="Heading4"/>
        <w:rPr>
          <w:lang w:eastAsia="en-NZ"/>
        </w:rPr>
      </w:pPr>
      <w:r w:rsidRPr="007618AB">
        <w:rPr>
          <w:lang w:eastAsia="en-NZ"/>
        </w:rPr>
        <w:t>2</w:t>
      </w:r>
      <w:r w:rsidR="00B80940">
        <w:rPr>
          <w:lang w:eastAsia="en-NZ"/>
        </w:rPr>
        <w:tab/>
      </w:r>
      <w:r w:rsidRPr="007618AB">
        <w:rPr>
          <w:lang w:eastAsia="en-NZ"/>
        </w:rPr>
        <w:t>What charging document(s) should be filed</w:t>
      </w:r>
    </w:p>
    <w:p w:rsidR="003B22F1" w:rsidRDefault="008D1DCC" w:rsidP="00B80940">
      <w:pPr>
        <w:rPr>
          <w:lang w:eastAsia="en-NZ"/>
        </w:rPr>
      </w:pPr>
      <w:r w:rsidRPr="007618AB">
        <w:rPr>
          <w:lang w:eastAsia="en-NZ"/>
        </w:rPr>
        <w:t>If specific charges are provided under legislation these are the charges that will be pursued unless it is determined that it is in the public interest that alternative charges be filed (such as under the Crimes Act).</w:t>
      </w:r>
    </w:p>
    <w:p w:rsidR="008D1DCC" w:rsidRPr="007618AB" w:rsidRDefault="008D1DCC" w:rsidP="00B80940">
      <w:pPr>
        <w:rPr>
          <w:lang w:eastAsia="en-NZ"/>
        </w:rPr>
      </w:pPr>
    </w:p>
    <w:p w:rsidR="003B22F1" w:rsidRDefault="008D1DCC" w:rsidP="00B80940">
      <w:pPr>
        <w:rPr>
          <w:lang w:eastAsia="en-NZ"/>
        </w:rPr>
      </w:pPr>
      <w:r w:rsidRPr="007618AB">
        <w:rPr>
          <w:lang w:eastAsia="en-NZ"/>
        </w:rPr>
        <w:t>The identity of the appropriate defendant(s) may be a matter on which legal advice is sought (for example multiple possible defendants or company versus individual defendant).</w:t>
      </w:r>
    </w:p>
    <w:p w:rsidR="008D1DCC" w:rsidRPr="007618AB" w:rsidRDefault="008D1DCC" w:rsidP="00B80940">
      <w:pPr>
        <w:rPr>
          <w:lang w:eastAsia="en-NZ"/>
        </w:rPr>
      </w:pPr>
    </w:p>
    <w:p w:rsidR="003B22F1" w:rsidRDefault="008D1DCC" w:rsidP="00B80940">
      <w:pPr>
        <w:pStyle w:val="Heading4"/>
        <w:ind w:left="567" w:hanging="567"/>
        <w:rPr>
          <w:lang w:eastAsia="en-NZ"/>
        </w:rPr>
      </w:pPr>
      <w:r w:rsidRPr="007618AB">
        <w:rPr>
          <w:lang w:eastAsia="en-NZ"/>
        </w:rPr>
        <w:t>3</w:t>
      </w:r>
      <w:r w:rsidR="00B80940">
        <w:rPr>
          <w:lang w:eastAsia="en-NZ"/>
        </w:rPr>
        <w:tab/>
      </w:r>
      <w:r w:rsidRPr="007618AB">
        <w:rPr>
          <w:lang w:eastAsia="en-NZ"/>
        </w:rPr>
        <w:t>Whether, if commenced, criminal proceedings should be continued or discontinued</w:t>
      </w:r>
    </w:p>
    <w:p w:rsidR="003B22F1" w:rsidRDefault="008D1DCC" w:rsidP="00B80940">
      <w:pPr>
        <w:rPr>
          <w:lang w:eastAsia="en-NZ"/>
        </w:rPr>
      </w:pPr>
      <w:r w:rsidRPr="007618AB">
        <w:rPr>
          <w:lang w:eastAsia="en-NZ"/>
        </w:rPr>
        <w:t xml:space="preserve">The Ministry will seek legal assistance from either Health Legal or a Crown </w:t>
      </w:r>
      <w:r w:rsidR="00B80940">
        <w:rPr>
          <w:lang w:eastAsia="en-NZ"/>
        </w:rPr>
        <w:t>s</w:t>
      </w:r>
      <w:r w:rsidRPr="007618AB">
        <w:rPr>
          <w:lang w:eastAsia="en-NZ"/>
        </w:rPr>
        <w:t>olicitor (as appropriate) in making these determinations. The decision, and the reasons for it, shall be documented.</w:t>
      </w:r>
    </w:p>
    <w:p w:rsidR="008D1DCC" w:rsidRPr="007618AB" w:rsidRDefault="008D1DCC" w:rsidP="00B80940">
      <w:pPr>
        <w:rPr>
          <w:lang w:eastAsia="en-NZ"/>
        </w:rPr>
      </w:pPr>
    </w:p>
    <w:p w:rsidR="003B22F1" w:rsidRDefault="008D1DCC" w:rsidP="00B80940">
      <w:pPr>
        <w:rPr>
          <w:lang w:eastAsia="en-NZ"/>
        </w:rPr>
      </w:pPr>
      <w:r w:rsidRPr="007618AB">
        <w:rPr>
          <w:lang w:eastAsia="en-NZ"/>
        </w:rPr>
        <w:t>The</w:t>
      </w:r>
      <w:r w:rsidRPr="00B80940">
        <w:t xml:space="preserve"> </w:t>
      </w:r>
      <w:r w:rsidRPr="007618AB">
        <w:rPr>
          <w:lang w:eastAsia="en-NZ"/>
        </w:rPr>
        <w:t>Ministry will comply with the requirements of the Criminal Disclosure Act 2008 whenever applicable.</w:t>
      </w:r>
    </w:p>
    <w:p w:rsidR="008D1DCC" w:rsidRDefault="008D1DCC" w:rsidP="00B80940">
      <w:pPr>
        <w:rPr>
          <w:lang w:eastAsia="en-NZ"/>
        </w:rPr>
      </w:pPr>
    </w:p>
    <w:p w:rsidR="003B22F1" w:rsidRDefault="008D1DCC" w:rsidP="00B80940">
      <w:pPr>
        <w:rPr>
          <w:lang w:eastAsia="en-NZ"/>
        </w:rPr>
      </w:pPr>
      <w:r w:rsidRPr="007618AB">
        <w:rPr>
          <w:lang w:eastAsia="en-NZ"/>
        </w:rPr>
        <w:t xml:space="preserve">Appeals will be considered in consultation with a Crown </w:t>
      </w:r>
      <w:r w:rsidR="00B80940">
        <w:rPr>
          <w:lang w:eastAsia="en-NZ"/>
        </w:rPr>
        <w:t>s</w:t>
      </w:r>
      <w:r w:rsidRPr="007618AB">
        <w:rPr>
          <w:lang w:eastAsia="en-NZ"/>
        </w:rPr>
        <w:t>olicitor.</w:t>
      </w:r>
    </w:p>
    <w:p w:rsidR="008D1DCC" w:rsidRPr="007618AB" w:rsidRDefault="008D1DCC" w:rsidP="00B80940">
      <w:pPr>
        <w:rPr>
          <w:lang w:eastAsia="en-NZ"/>
        </w:rPr>
      </w:pPr>
    </w:p>
    <w:p w:rsidR="008D1DCC" w:rsidRPr="007618AB" w:rsidRDefault="008D1DCC" w:rsidP="00B80940">
      <w:r w:rsidRPr="007618AB">
        <w:rPr>
          <w:lang w:eastAsia="en-NZ"/>
        </w:rPr>
        <w:t>If other agencies are involved in parallel or related investigations into a defendants activities the Ministry may work with those other agencies and may decide which agency should be the lead agency (depending on circumstances).</w:t>
      </w:r>
    </w:p>
    <w:p w:rsidR="008D1DCC" w:rsidRPr="007618AB" w:rsidRDefault="008D1DCC" w:rsidP="00B80940"/>
    <w:sectPr w:rsidR="008D1DCC" w:rsidRPr="007618AB" w:rsidSect="009D5125">
      <w:headerReference w:type="default" r:id="rId123"/>
      <w:footerReference w:type="default" r:id="rId124"/>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4B" w:rsidRDefault="00B7194B">
      <w:pPr>
        <w:spacing w:line="240" w:lineRule="auto"/>
      </w:pPr>
      <w:r>
        <w:separator/>
      </w:r>
    </w:p>
    <w:p w:rsidR="00B7194B" w:rsidRDefault="00B7194B"/>
  </w:endnote>
  <w:endnote w:type="continuationSeparator" w:id="0">
    <w:p w:rsidR="00B7194B" w:rsidRDefault="00B7194B">
      <w:pPr>
        <w:spacing w:line="240" w:lineRule="auto"/>
      </w:pPr>
      <w:r>
        <w:continuationSeparator/>
      </w:r>
    </w:p>
    <w:p w:rsidR="00B7194B" w:rsidRDefault="00B71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Pr="00581136" w:rsidRDefault="00746C14"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Pr="00275D08" w:rsidRDefault="00746C1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528CD">
      <w:rPr>
        <w:rStyle w:val="PageNumber"/>
        <w:noProof/>
      </w:rPr>
      <w:t>94</w:t>
    </w:r>
    <w:r w:rsidRPr="00FC46E7">
      <w:rPr>
        <w:rStyle w:val="PageNumber"/>
      </w:rPr>
      <w:fldChar w:fldCharType="end"/>
    </w:r>
    <w:r>
      <w:tab/>
      <w:t>Guidance on Infectious Disease Management under the Health Act 1956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rsidP="00533B90">
    <w:pPr>
      <w:pStyle w:val="RectoFooter"/>
    </w:pPr>
    <w:r>
      <w:tab/>
      <w:t>Guidance on Infectious Disease Management under the Health Act 1956</w:t>
    </w:r>
    <w:r>
      <w:tab/>
    </w:r>
    <w:r>
      <w:rPr>
        <w:rStyle w:val="PageNumber"/>
      </w:rPr>
      <w:fldChar w:fldCharType="begin"/>
    </w:r>
    <w:r>
      <w:rPr>
        <w:rStyle w:val="PageNumber"/>
      </w:rPr>
      <w:instrText xml:space="preserve"> PAGE </w:instrText>
    </w:r>
    <w:r>
      <w:rPr>
        <w:rStyle w:val="PageNumber"/>
      </w:rPr>
      <w:fldChar w:fldCharType="separate"/>
    </w:r>
    <w:r w:rsidR="007528CD">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rsidP="009E3C8C">
    <w:pPr>
      <w:pStyle w:val="RectoFooter"/>
    </w:pPr>
    <w:r>
      <w:tab/>
      <w:t>Guidance on Infectious Disease Management under the Health Act 1956</w:t>
    </w:r>
    <w:r>
      <w:tab/>
    </w:r>
    <w:r>
      <w:rPr>
        <w:rStyle w:val="PageNumber"/>
      </w:rPr>
      <w:fldChar w:fldCharType="begin"/>
    </w:r>
    <w:r>
      <w:rPr>
        <w:rStyle w:val="PageNumber"/>
      </w:rPr>
      <w:instrText xml:space="preserve"> PAGE </w:instrText>
    </w:r>
    <w:r>
      <w:rPr>
        <w:rStyle w:val="PageNumber"/>
      </w:rPr>
      <w:fldChar w:fldCharType="separate"/>
    </w:r>
    <w:r w:rsidR="007528CD">
      <w:rPr>
        <w:rStyle w:val="PageNumber"/>
        <w:noProof/>
      </w:rPr>
      <w:t>93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4B" w:rsidRPr="00A26E6B" w:rsidRDefault="00B7194B" w:rsidP="00A26E6B"/>
  </w:footnote>
  <w:footnote w:type="continuationSeparator" w:id="0">
    <w:p w:rsidR="00B7194B" w:rsidRDefault="00B7194B">
      <w:pPr>
        <w:spacing w:line="240" w:lineRule="auto"/>
      </w:pPr>
      <w:r>
        <w:continuationSeparator/>
      </w:r>
    </w:p>
    <w:p w:rsidR="00B7194B" w:rsidRDefault="00B7194B"/>
  </w:footnote>
  <w:footnote w:id="1">
    <w:p w:rsidR="00746C14" w:rsidRPr="00E2483E" w:rsidRDefault="00746C14" w:rsidP="00E2483E">
      <w:pPr>
        <w:pStyle w:val="FootnoteText"/>
      </w:pPr>
      <w:r w:rsidRPr="00E2483E">
        <w:rPr>
          <w:rStyle w:val="FootnoteReference"/>
        </w:rPr>
        <w:footnoteRef/>
      </w:r>
      <w:r>
        <w:tab/>
      </w:r>
      <w:r w:rsidRPr="00E6790A">
        <w:t>The Health (Protection) Amendment Bill was enacted on 30 June 2016</w:t>
      </w:r>
      <w:r>
        <w:t>. It</w:t>
      </w:r>
      <w:r w:rsidRPr="00E6790A">
        <w:t xml:space="preserve"> recei</w:t>
      </w:r>
      <w:r>
        <w:t>ved Royal Assent on 4 July 2016. See sections 74 and 74AA and Part 3A of the Health Act, available on</w:t>
      </w:r>
      <w:r w:rsidRPr="00E6790A">
        <w:t xml:space="preserve"> </w:t>
      </w:r>
      <w:hyperlink r:id="rId1" w:history="1">
        <w:r w:rsidRPr="00E2483E">
          <w:rPr>
            <w:rStyle w:val="Hyperlink"/>
          </w:rPr>
          <w:t>www.legislation.govt.nz</w:t>
        </w:r>
      </w:hyperlink>
    </w:p>
  </w:footnote>
  <w:footnote w:id="2">
    <w:p w:rsidR="00746C14" w:rsidRDefault="00746C14" w:rsidP="00E2483E">
      <w:pPr>
        <w:pStyle w:val="FootnoteText"/>
      </w:pPr>
      <w:r w:rsidRPr="00E2483E">
        <w:rPr>
          <w:rStyle w:val="FootnoteReference"/>
        </w:rPr>
        <w:footnoteRef/>
      </w:r>
      <w:r>
        <w:tab/>
        <w:t>Although the legislation refers to medical officers of health imposing measures, in reality health protection officers and public health nurses will often be supporting this, and may be the public health practitioners conveying much of the information.</w:t>
      </w:r>
    </w:p>
  </w:footnote>
  <w:footnote w:id="3">
    <w:p w:rsidR="00746C14" w:rsidRDefault="00746C14" w:rsidP="00E2483E">
      <w:pPr>
        <w:pStyle w:val="FootnoteText"/>
      </w:pPr>
      <w:r w:rsidRPr="00E2483E">
        <w:rPr>
          <w:rStyle w:val="FootnoteReference"/>
        </w:rPr>
        <w:footnoteRef/>
      </w:r>
      <w:r>
        <w:tab/>
        <w:t>These disease categories are in Part 1 of Schedule 1 of the Health Act and are described in the Glossary in chapter 12 of this guidance.</w:t>
      </w:r>
    </w:p>
  </w:footnote>
  <w:footnote w:id="4">
    <w:p w:rsidR="00746C14" w:rsidRPr="00E6790A" w:rsidRDefault="00746C14" w:rsidP="00E2483E">
      <w:pPr>
        <w:pStyle w:val="FootnoteText"/>
      </w:pPr>
      <w:r w:rsidRPr="00E2483E">
        <w:rPr>
          <w:rStyle w:val="FootnoteReference"/>
        </w:rPr>
        <w:footnoteRef/>
      </w:r>
      <w:r>
        <w:tab/>
        <w:t>T</w:t>
      </w:r>
      <w:r w:rsidRPr="00E6790A">
        <w:t>here are four domains of competence for the nurse practitioner scope of practice:</w:t>
      </w:r>
      <w:r>
        <w:t xml:space="preserve"> p</w:t>
      </w:r>
      <w:r w:rsidRPr="00E6790A">
        <w:t>rofessional responsibility and leadership; management of nursing care; inter-</w:t>
      </w:r>
      <w:r>
        <w:t>personal</w:t>
      </w:r>
      <w:r w:rsidRPr="00E6790A">
        <w:t xml:space="preserve"> and inter-professional care and quality improvement; and prescribing practice.</w:t>
      </w:r>
    </w:p>
  </w:footnote>
  <w:footnote w:id="5">
    <w:p w:rsidR="00746C14" w:rsidRDefault="00746C14" w:rsidP="00E2483E">
      <w:pPr>
        <w:pStyle w:val="FootnoteText"/>
      </w:pPr>
      <w:r w:rsidRPr="00E2483E">
        <w:rPr>
          <w:rStyle w:val="FootnoteReference"/>
        </w:rPr>
        <w:footnoteRef/>
      </w:r>
      <w:r>
        <w:tab/>
        <w:t>Section 199 of the Health and Safety at Work Act 2015 requires medical officers of health to notify WorkSafe New Zealand of work related notifiable diseases or hazardous substances injuries.</w:t>
      </w:r>
    </w:p>
  </w:footnote>
  <w:footnote w:id="6">
    <w:p w:rsidR="00746C14" w:rsidRPr="00E6790A" w:rsidRDefault="00746C14" w:rsidP="00E2483E">
      <w:pPr>
        <w:pStyle w:val="FootnoteText"/>
      </w:pPr>
      <w:r w:rsidRPr="00E2483E">
        <w:rPr>
          <w:rStyle w:val="FootnoteReference"/>
        </w:rPr>
        <w:footnoteRef/>
      </w:r>
      <w:r>
        <w:tab/>
      </w:r>
      <w:r w:rsidRPr="00E6790A">
        <w:t>Section 74(3).</w:t>
      </w:r>
    </w:p>
  </w:footnote>
  <w:footnote w:id="7">
    <w:p w:rsidR="00746C14" w:rsidRPr="00E2483E" w:rsidRDefault="00746C14" w:rsidP="00E2483E">
      <w:pPr>
        <w:pStyle w:val="FootnoteText"/>
      </w:pPr>
      <w:r w:rsidRPr="00E2483E">
        <w:rPr>
          <w:rStyle w:val="FootnoteReference"/>
        </w:rPr>
        <w:footnoteRef/>
      </w:r>
      <w:r>
        <w:tab/>
      </w:r>
      <w:r w:rsidRPr="00E6790A">
        <w:t xml:space="preserve">Sections 74 and </w:t>
      </w:r>
      <w:r>
        <w:t>74AA. N</w:t>
      </w:r>
      <w:r w:rsidRPr="00E6790A">
        <w:t>on</w:t>
      </w:r>
      <w:r>
        <w:t>-</w:t>
      </w:r>
      <w:r w:rsidRPr="00E6790A">
        <w:t>communicable diseases</w:t>
      </w:r>
      <w:r>
        <w:t xml:space="preserve"> listed in Schedule 2 of the Act</w:t>
      </w:r>
      <w:r w:rsidRPr="00E6790A">
        <w:t xml:space="preserve"> are notifiable, but are outside the scope of this </w:t>
      </w:r>
      <w:r>
        <w:t>g</w:t>
      </w:r>
      <w:r w:rsidRPr="00E6790A">
        <w:t>uidance.</w:t>
      </w:r>
    </w:p>
  </w:footnote>
  <w:footnote w:id="8">
    <w:p w:rsidR="00746C14" w:rsidRDefault="00746C14" w:rsidP="00E2483E">
      <w:pPr>
        <w:pStyle w:val="FootnoteText"/>
      </w:pPr>
      <w:r w:rsidRPr="00E2483E">
        <w:rPr>
          <w:rStyle w:val="FootnoteReference"/>
        </w:rPr>
        <w:footnoteRef/>
      </w:r>
      <w:r>
        <w:tab/>
        <w:t>Section 85(1). This provision does not appear to be much used in practice. In most relevant cases the deceased’s condition will have already been notified by a health practitioner or laboratory, although the requirement may still be useful when the circumstances suggest otherwise. It would be useful in a pandemic.</w:t>
      </w:r>
    </w:p>
  </w:footnote>
  <w:footnote w:id="9">
    <w:p w:rsidR="00746C14" w:rsidRPr="00D479D7" w:rsidRDefault="00746C14" w:rsidP="00E2483E">
      <w:pPr>
        <w:pStyle w:val="FootnoteText"/>
      </w:pPr>
      <w:r w:rsidRPr="00E2483E">
        <w:rPr>
          <w:rStyle w:val="FootnoteReference"/>
        </w:rPr>
        <w:footnoteRef/>
      </w:r>
      <w:r>
        <w:tab/>
      </w:r>
      <w:r w:rsidRPr="00D479D7">
        <w:t>Laboratory heads</w:t>
      </w:r>
      <w:r>
        <w:t>,</w:t>
      </w:r>
      <w:r w:rsidRPr="00D479D7">
        <w:t xml:space="preserve"> rather than </w:t>
      </w:r>
      <w:r>
        <w:t xml:space="preserve">their </w:t>
      </w:r>
      <w:r w:rsidRPr="00D479D7">
        <w:t>staff</w:t>
      </w:r>
      <w:r>
        <w:t>,</w:t>
      </w:r>
      <w:r w:rsidRPr="00D479D7">
        <w:t xml:space="preserve"> can be pro</w:t>
      </w:r>
      <w:r>
        <w:t xml:space="preserve">secuted for an offence under section 74AA(3). </w:t>
      </w:r>
      <w:r w:rsidRPr="00D479D7">
        <w:t>To our knowledge, a prosecution has never been brought.</w:t>
      </w:r>
    </w:p>
  </w:footnote>
  <w:footnote w:id="10">
    <w:p w:rsidR="00746C14" w:rsidRDefault="00746C14" w:rsidP="00E2483E">
      <w:pPr>
        <w:pStyle w:val="FootnoteText"/>
      </w:pPr>
      <w:r w:rsidRPr="00E2483E">
        <w:rPr>
          <w:rStyle w:val="FootnoteReference"/>
        </w:rPr>
        <w:footnoteRef/>
      </w:r>
      <w:r>
        <w:tab/>
        <w:t>Set out in Schedule 3 of the HIND Regulations 2016.</w:t>
      </w:r>
    </w:p>
  </w:footnote>
  <w:footnote w:id="11">
    <w:p w:rsidR="00746C14" w:rsidRPr="00D479D7" w:rsidRDefault="00746C14" w:rsidP="00E2483E">
      <w:pPr>
        <w:pStyle w:val="FootnoteText"/>
      </w:pPr>
      <w:r w:rsidRPr="00E2483E">
        <w:rPr>
          <w:rStyle w:val="FootnoteReference"/>
        </w:rPr>
        <w:footnoteRef/>
      </w:r>
      <w:r>
        <w:tab/>
        <w:t xml:space="preserve">The </w:t>
      </w:r>
      <w:r w:rsidRPr="00D479D7">
        <w:t>V</w:t>
      </w:r>
      <w:r>
        <w:t xml:space="preserve">enereal </w:t>
      </w:r>
      <w:r w:rsidRPr="00D479D7">
        <w:t>D</w:t>
      </w:r>
      <w:r>
        <w:t>iseases</w:t>
      </w:r>
      <w:r w:rsidRPr="00D479D7">
        <w:t xml:space="preserve"> Regulations </w:t>
      </w:r>
      <w:r>
        <w:t xml:space="preserve">1982 </w:t>
      </w:r>
      <w:r w:rsidRPr="00D479D7">
        <w:t xml:space="preserve">confined </w:t>
      </w:r>
      <w:r>
        <w:t>notification responsibilities to</w:t>
      </w:r>
      <w:r w:rsidRPr="00D479D7">
        <w:t xml:space="preserve"> chancroid, gonorrhoea, </w:t>
      </w:r>
      <w:r>
        <w:t>syphilis and venereal granuloma when the person had not turned up for treatment within a specified time.</w:t>
      </w:r>
    </w:p>
  </w:footnote>
  <w:footnote w:id="12">
    <w:p w:rsidR="00746C14" w:rsidRPr="00E2483E" w:rsidRDefault="00746C14" w:rsidP="00E2483E">
      <w:pPr>
        <w:pStyle w:val="FootnoteText"/>
      </w:pPr>
      <w:r w:rsidRPr="00E2483E">
        <w:rPr>
          <w:rStyle w:val="FootnoteReference"/>
        </w:rPr>
        <w:footnoteRef/>
      </w:r>
      <w:r>
        <w:tab/>
      </w:r>
      <w:r w:rsidRPr="00D479D7">
        <w:t>Chlamydia, gonorrhoea, genital herpes, genital warts, syphilis and non–specific urethritis.</w:t>
      </w:r>
    </w:p>
  </w:footnote>
  <w:footnote w:id="13">
    <w:p w:rsidR="00746C14" w:rsidRPr="00D479D7" w:rsidRDefault="00746C14" w:rsidP="00E2483E">
      <w:pPr>
        <w:pStyle w:val="FootnoteText"/>
      </w:pPr>
      <w:r w:rsidRPr="00E2483E">
        <w:rPr>
          <w:rStyle w:val="FootnoteReference"/>
        </w:rPr>
        <w:footnoteRef/>
      </w:r>
      <w:r>
        <w:tab/>
      </w:r>
      <w:r w:rsidRPr="00D479D7">
        <w:t>Section C</w:t>
      </w:r>
      <w:r>
        <w:t xml:space="preserve"> is in</w:t>
      </w:r>
      <w:r w:rsidRPr="00D479D7">
        <w:t xml:space="preserve"> </w:t>
      </w:r>
      <w:r>
        <w:t>Part 1 of</w:t>
      </w:r>
      <w:r w:rsidRPr="00D479D7">
        <w:t xml:space="preserve"> Schedule 1 of the Health Act.</w:t>
      </w:r>
    </w:p>
  </w:footnote>
  <w:footnote w:id="14">
    <w:p w:rsidR="00746C14" w:rsidRPr="00D479D7" w:rsidRDefault="00746C14" w:rsidP="00E2483E">
      <w:pPr>
        <w:pStyle w:val="FootnoteText"/>
      </w:pPr>
      <w:r w:rsidRPr="00E2483E">
        <w:rPr>
          <w:rStyle w:val="FootnoteReference"/>
        </w:rPr>
        <w:footnoteRef/>
      </w:r>
      <w:r>
        <w:tab/>
      </w:r>
      <w:r w:rsidRPr="00D479D7">
        <w:t>This will apply to any other infectious diseases added to Section C over time.</w:t>
      </w:r>
    </w:p>
  </w:footnote>
  <w:footnote w:id="15">
    <w:p w:rsidR="00746C14" w:rsidRPr="00D479D7" w:rsidRDefault="00746C14" w:rsidP="00E2483E">
      <w:pPr>
        <w:pStyle w:val="FootnoteText"/>
      </w:pPr>
      <w:r w:rsidRPr="00E2483E">
        <w:rPr>
          <w:rStyle w:val="FootnoteReference"/>
        </w:rPr>
        <w:footnoteRef/>
      </w:r>
      <w:r>
        <w:tab/>
        <w:t>Sections 74(3A) and (3C</w:t>
      </w:r>
      <w:r w:rsidRPr="00D479D7">
        <w:t>) and 74AA(2A) and Regulation 6 of the HIND Regulations 2016.</w:t>
      </w:r>
    </w:p>
  </w:footnote>
  <w:footnote w:id="16">
    <w:p w:rsidR="00746C14" w:rsidRPr="00E2483E" w:rsidRDefault="00746C14" w:rsidP="00E2483E">
      <w:pPr>
        <w:pStyle w:val="FootnoteText"/>
      </w:pPr>
      <w:r w:rsidRPr="00E2483E">
        <w:rPr>
          <w:rStyle w:val="FootnoteReference"/>
        </w:rPr>
        <w:footnoteRef/>
      </w:r>
      <w:r>
        <w:tab/>
      </w:r>
      <w:r w:rsidRPr="00D479D7">
        <w:t>Sections 74(3B) and 74AA(2B); and overrides the Privacy Act and Health Information Privacy Code in this context.</w:t>
      </w:r>
    </w:p>
  </w:footnote>
  <w:footnote w:id="17">
    <w:p w:rsidR="00746C14" w:rsidRPr="00E6790A" w:rsidRDefault="00746C14" w:rsidP="00E2483E">
      <w:pPr>
        <w:pStyle w:val="FootnoteText"/>
      </w:pPr>
      <w:r w:rsidRPr="00E2483E">
        <w:rPr>
          <w:rStyle w:val="FootnoteReference"/>
        </w:rPr>
        <w:footnoteRef/>
      </w:r>
      <w:r>
        <w:tab/>
        <w:t xml:space="preserve">Part 2 of </w:t>
      </w:r>
      <w:r w:rsidRPr="00E6790A">
        <w:t>Schedule 1</w:t>
      </w:r>
      <w:r>
        <w:t xml:space="preserve"> of </w:t>
      </w:r>
      <w:r w:rsidRPr="00E6790A">
        <w:t>the Health Act.</w:t>
      </w:r>
      <w:r>
        <w:t xml:space="preserve"> Part 2 contains diseases such as herpes, venereal warts, impetigo contagiosa and influenza.</w:t>
      </w:r>
    </w:p>
  </w:footnote>
  <w:footnote w:id="18">
    <w:p w:rsidR="00746C14" w:rsidRPr="00447819" w:rsidRDefault="00746C14" w:rsidP="00E2483E">
      <w:pPr>
        <w:pStyle w:val="FootnoteText"/>
      </w:pPr>
      <w:r w:rsidRPr="00E2483E">
        <w:rPr>
          <w:rStyle w:val="FootnoteReference"/>
        </w:rPr>
        <w:footnoteRef/>
      </w:r>
      <w:r>
        <w:tab/>
        <w:t>Notification is un</w:t>
      </w:r>
      <w:r w:rsidRPr="00E6790A">
        <w:t xml:space="preserve">der section 74(1)(b) of the </w:t>
      </w:r>
      <w:r>
        <w:t xml:space="preserve">Health </w:t>
      </w:r>
      <w:r w:rsidRPr="00E6790A">
        <w:t>Act.</w:t>
      </w:r>
      <w:r>
        <w:t xml:space="preserve"> These diseases include, for example,</w:t>
      </w:r>
      <w:r w:rsidRPr="00E6790A">
        <w:t xml:space="preserve"> decompression sickness and lead absorption.</w:t>
      </w:r>
      <w:r>
        <w:t xml:space="preserve"> Form 1 of Schedule 2 of the HIND Regulations 2016 can be used for both notifiable infectious and non-infectious diseases, other than Section C diseases.</w:t>
      </w:r>
    </w:p>
  </w:footnote>
  <w:footnote w:id="19">
    <w:p w:rsidR="00746C14" w:rsidRPr="00D479D7" w:rsidRDefault="00746C14" w:rsidP="00E2483E">
      <w:pPr>
        <w:pStyle w:val="FootnoteText"/>
      </w:pPr>
      <w:r w:rsidRPr="00E2483E">
        <w:rPr>
          <w:rStyle w:val="FootnoteReference"/>
        </w:rPr>
        <w:footnoteRef/>
      </w:r>
      <w:r>
        <w:tab/>
      </w:r>
      <w:r w:rsidRPr="00D479D7">
        <w:t>In sections 88</w:t>
      </w:r>
      <w:r>
        <w:t xml:space="preserve">–92 of the Health Act and the </w:t>
      </w:r>
      <w:r w:rsidRPr="00D479D7">
        <w:t>Venereal Diseases Regulations 1982.</w:t>
      </w:r>
    </w:p>
  </w:footnote>
  <w:footnote w:id="20">
    <w:p w:rsidR="00746C14" w:rsidRDefault="00746C14" w:rsidP="00E2483E">
      <w:pPr>
        <w:pStyle w:val="FootnoteText"/>
      </w:pPr>
      <w:r w:rsidRPr="00E2483E">
        <w:rPr>
          <w:rStyle w:val="FootnoteReference"/>
        </w:rPr>
        <w:footnoteRef/>
      </w:r>
      <w:r>
        <w:tab/>
        <w:t>For example, in regulation 10 of the HIND Regulations 1966 contacts and carriers were obliged to submit to compulsory examination and treatment when a medical officer of health required this.</w:t>
      </w:r>
    </w:p>
  </w:footnote>
  <w:footnote w:id="21">
    <w:p w:rsidR="00746C14" w:rsidRPr="00E2483E" w:rsidRDefault="00746C14" w:rsidP="00E2483E">
      <w:pPr>
        <w:pStyle w:val="FootnoteText"/>
      </w:pPr>
      <w:r w:rsidRPr="00E2483E">
        <w:rPr>
          <w:rStyle w:val="FootnoteReference"/>
        </w:rPr>
        <w:footnoteRef/>
      </w:r>
      <w:r>
        <w:tab/>
      </w:r>
      <w:r w:rsidRPr="00D479D7">
        <w:t>Specifically in section 92I</w:t>
      </w:r>
      <w:r>
        <w:t xml:space="preserve">(4)(b), (6) and (7) </w:t>
      </w:r>
      <w:r w:rsidRPr="00D479D7">
        <w:t xml:space="preserve">for cases; section 92J(4)(b) </w:t>
      </w:r>
      <w:r>
        <w:t>,</w:t>
      </w:r>
      <w:r w:rsidRPr="00D479D7">
        <w:t xml:space="preserve">(6) and (7) for contacts; section 92K for directions for </w:t>
      </w:r>
      <w:r>
        <w:t>medical</w:t>
      </w:r>
      <w:r w:rsidRPr="00D479D7">
        <w:t xml:space="preserve"> examination; and section 92L for directions involving people attending educational institutions.</w:t>
      </w:r>
    </w:p>
  </w:footnote>
  <w:footnote w:id="22">
    <w:p w:rsidR="00746C14" w:rsidRPr="00E6790A" w:rsidRDefault="00746C14" w:rsidP="00170DAC">
      <w:pPr>
        <w:pStyle w:val="FootnoteText"/>
      </w:pPr>
      <w:r w:rsidRPr="00170DAC">
        <w:rPr>
          <w:rStyle w:val="FootnoteReference"/>
        </w:rPr>
        <w:footnoteRef/>
      </w:r>
      <w:r>
        <w:tab/>
        <w:t>In section 2(1) of the Health Act, and reproduced in the Glossary in Appendix 1.</w:t>
      </w:r>
    </w:p>
  </w:footnote>
  <w:footnote w:id="23">
    <w:p w:rsidR="00746C14" w:rsidRPr="00E6790A" w:rsidRDefault="00746C14" w:rsidP="00170DAC">
      <w:pPr>
        <w:pStyle w:val="FootnoteText"/>
      </w:pPr>
      <w:r w:rsidRPr="00170DAC">
        <w:rPr>
          <w:rStyle w:val="FootnoteReference"/>
        </w:rPr>
        <w:footnoteRef/>
      </w:r>
      <w:r>
        <w:tab/>
      </w:r>
      <w:r w:rsidRPr="00E6790A">
        <w:t>Section 92ZB.</w:t>
      </w:r>
    </w:p>
  </w:footnote>
  <w:footnote w:id="24">
    <w:p w:rsidR="00746C14" w:rsidRPr="00170DAC" w:rsidRDefault="00746C14" w:rsidP="00170DAC">
      <w:pPr>
        <w:pStyle w:val="FootnoteText"/>
      </w:pPr>
      <w:r w:rsidRPr="00170DAC">
        <w:rPr>
          <w:rStyle w:val="FootnoteReference"/>
        </w:rPr>
        <w:footnoteRef/>
      </w:r>
      <w:r>
        <w:tab/>
      </w:r>
      <w:r w:rsidRPr="00E6790A">
        <w:t>Apart from contact tracing which is dealt with in a separate chapter.</w:t>
      </w:r>
    </w:p>
  </w:footnote>
  <w:footnote w:id="25">
    <w:p w:rsidR="00746C14" w:rsidRDefault="00746C14" w:rsidP="00170DAC">
      <w:pPr>
        <w:pStyle w:val="FootnoteText"/>
      </w:pPr>
      <w:r w:rsidRPr="00170DAC">
        <w:rPr>
          <w:rStyle w:val="FootnoteReference"/>
        </w:rPr>
        <w:footnoteRef/>
      </w:r>
      <w:r>
        <w:tab/>
        <w:t>In Parts 3 and 7.</w:t>
      </w:r>
    </w:p>
  </w:footnote>
  <w:footnote w:id="26">
    <w:p w:rsidR="00746C14" w:rsidRPr="00E6790A" w:rsidRDefault="00746C14" w:rsidP="00170DAC">
      <w:pPr>
        <w:pStyle w:val="FootnoteText"/>
      </w:pPr>
      <w:r w:rsidRPr="00170DAC">
        <w:rPr>
          <w:rStyle w:val="FootnoteReference"/>
        </w:rPr>
        <w:footnoteRef/>
      </w:r>
      <w:r>
        <w:tab/>
      </w:r>
      <w:r w:rsidRPr="00E6790A">
        <w:t>Under section 92N(2).</w:t>
      </w:r>
    </w:p>
  </w:footnote>
  <w:footnote w:id="27">
    <w:p w:rsidR="00746C14" w:rsidRDefault="00746C14" w:rsidP="00170DAC">
      <w:pPr>
        <w:pStyle w:val="FootnoteText"/>
      </w:pPr>
      <w:r w:rsidRPr="00170DAC">
        <w:rPr>
          <w:rStyle w:val="FootnoteReference"/>
        </w:rPr>
        <w:footnoteRef/>
      </w:r>
      <w:r>
        <w:tab/>
        <w:t>Regulation 11 of the HIND Regulations 2016 sets out the EHOs’ infectious disease management role in more detail.</w:t>
      </w:r>
    </w:p>
  </w:footnote>
  <w:footnote w:id="28">
    <w:p w:rsidR="00746C14" w:rsidRDefault="00746C14" w:rsidP="00170DAC">
      <w:pPr>
        <w:pStyle w:val="FootnoteText"/>
      </w:pPr>
      <w:r w:rsidRPr="00170DAC">
        <w:rPr>
          <w:rStyle w:val="FootnoteReference"/>
        </w:rPr>
        <w:footnoteRef/>
      </w:r>
      <w:r>
        <w:tab/>
      </w:r>
      <w:r w:rsidRPr="00E6790A">
        <w:t>Section 7A(7) of the Health Act.</w:t>
      </w:r>
    </w:p>
  </w:footnote>
  <w:footnote w:id="29">
    <w:p w:rsidR="00746C14" w:rsidRDefault="00746C14" w:rsidP="00170DAC">
      <w:pPr>
        <w:pStyle w:val="FootnoteText"/>
      </w:pPr>
      <w:r w:rsidRPr="00170DAC">
        <w:rPr>
          <w:rStyle w:val="FootnoteReference"/>
        </w:rPr>
        <w:footnoteRef/>
      </w:r>
      <w:r>
        <w:tab/>
        <w:t>Section 129 of the Health Act.</w:t>
      </w:r>
    </w:p>
  </w:footnote>
  <w:footnote w:id="30">
    <w:p w:rsidR="00746C14" w:rsidRPr="004F3091" w:rsidRDefault="00746C14" w:rsidP="00170DAC">
      <w:pPr>
        <w:pStyle w:val="FootnoteText"/>
      </w:pPr>
      <w:r w:rsidRPr="00170DAC">
        <w:rPr>
          <w:rStyle w:val="FootnoteReference"/>
        </w:rPr>
        <w:footnoteRef/>
      </w:r>
      <w:r>
        <w:tab/>
        <w:t>Parts 1 and 2 of S</w:t>
      </w:r>
      <w:r w:rsidRPr="004F3091">
        <w:t>chedule 1 of the Health Act.</w:t>
      </w:r>
    </w:p>
  </w:footnote>
  <w:footnote w:id="31">
    <w:p w:rsidR="00746C14" w:rsidRDefault="00746C14" w:rsidP="00170DAC">
      <w:pPr>
        <w:pStyle w:val="FootnoteText"/>
      </w:pPr>
      <w:r w:rsidRPr="00170DAC">
        <w:rPr>
          <w:rStyle w:val="FootnoteReference"/>
        </w:rPr>
        <w:footnoteRef/>
      </w:r>
      <w:r>
        <w:tab/>
      </w:r>
      <w:r w:rsidRPr="004F3091">
        <w:t xml:space="preserve">Currently, </w:t>
      </w:r>
      <w:r w:rsidRPr="004F3091">
        <w:rPr>
          <w:lang w:eastAsia="en-NZ"/>
        </w:rPr>
        <w:t xml:space="preserve">people </w:t>
      </w:r>
      <w:r>
        <w:rPr>
          <w:lang w:eastAsia="en-NZ"/>
        </w:rPr>
        <w:t xml:space="preserve">with HIV </w:t>
      </w:r>
      <w:r w:rsidRPr="004F3091">
        <w:rPr>
          <w:lang w:eastAsia="en-NZ"/>
        </w:rPr>
        <w:t>are only eligible for PHARMAC funded anti-retrovirals once their CD4 counts reduce below 400</w:t>
      </w:r>
      <w:r>
        <w:rPr>
          <w:lang w:eastAsia="en-NZ"/>
        </w:rPr>
        <w:t xml:space="preserve"> – </w:t>
      </w:r>
      <w:r w:rsidRPr="004F3091">
        <w:rPr>
          <w:lang w:eastAsia="en-NZ"/>
        </w:rPr>
        <w:t>when they have been infectious for several years and are on a declining clinical path.</w:t>
      </w:r>
    </w:p>
  </w:footnote>
  <w:footnote w:id="32">
    <w:p w:rsidR="00746C14" w:rsidRDefault="00746C14" w:rsidP="00170DAC">
      <w:pPr>
        <w:pStyle w:val="FootnoteText"/>
      </w:pPr>
      <w:r w:rsidRPr="00170DAC">
        <w:rPr>
          <w:rStyle w:val="FootnoteReference"/>
        </w:rPr>
        <w:footnoteRef/>
      </w:r>
      <w:r>
        <w:tab/>
        <w:t>This discussion refers to DHBs because public health units are not separate legal entities, and public health units are funded differently from DHBs via a separate contract with the Ministry of Health.</w:t>
      </w:r>
    </w:p>
  </w:footnote>
  <w:footnote w:id="33">
    <w:p w:rsidR="00746C14" w:rsidRPr="00E6790A" w:rsidRDefault="00746C14" w:rsidP="00916B56">
      <w:pPr>
        <w:pStyle w:val="FootnoteText"/>
      </w:pPr>
      <w:r w:rsidRPr="00916B56">
        <w:rPr>
          <w:rStyle w:val="FootnoteReference"/>
        </w:rPr>
        <w:footnoteRef/>
      </w:r>
      <w:r>
        <w:tab/>
        <w:t>Note that, in carrying out their own contact tracing, individuals are not specifically responsible for applying the overarching principles. Also, the</w:t>
      </w:r>
      <w:r w:rsidRPr="00E6790A">
        <w:t xml:space="preserve"> principles do not apply to other parts of the Health Act, such as the notification pro</w:t>
      </w:r>
      <w:r>
        <w:t>visions in sections 74 and 74AA</w:t>
      </w:r>
      <w:r w:rsidRPr="00E6790A">
        <w:t>.</w:t>
      </w:r>
    </w:p>
  </w:footnote>
  <w:footnote w:id="34">
    <w:p w:rsidR="00746C14" w:rsidRDefault="00746C14" w:rsidP="00916B56">
      <w:pPr>
        <w:pStyle w:val="FootnoteText"/>
      </w:pPr>
      <w:r w:rsidRPr="00916B56">
        <w:rPr>
          <w:rStyle w:val="FootnoteReference"/>
        </w:rPr>
        <w:footnoteRef/>
      </w:r>
      <w:r>
        <w:tab/>
      </w:r>
      <w:r w:rsidRPr="00E6790A">
        <w:t>Section 92B</w:t>
      </w:r>
      <w:r>
        <w:t xml:space="preserve"> of the Health Act</w:t>
      </w:r>
      <w:r w:rsidRPr="00E6790A">
        <w:t>.</w:t>
      </w:r>
    </w:p>
  </w:footnote>
  <w:footnote w:id="35">
    <w:p w:rsidR="00746C14" w:rsidRPr="00D479D7" w:rsidRDefault="00746C14" w:rsidP="00916B56">
      <w:pPr>
        <w:pStyle w:val="FootnoteText"/>
      </w:pPr>
      <w:r w:rsidRPr="00916B56">
        <w:rPr>
          <w:rStyle w:val="FootnoteReference"/>
        </w:rPr>
        <w:footnoteRef/>
      </w:r>
      <w:r>
        <w:tab/>
        <w:t>This is where</w:t>
      </w:r>
      <w:r w:rsidRPr="00D479D7">
        <w:t xml:space="preserve"> people</w:t>
      </w:r>
      <w:r>
        <w:t xml:space="preserve"> are</w:t>
      </w:r>
      <w:r w:rsidRPr="00D479D7">
        <w:t xml:space="preserve"> given power of attorney for people lacking legal capacity under the Protection of Personal Property Rights Act 1988.</w:t>
      </w:r>
      <w:r>
        <w:t xml:space="preserve"> The duty, in section 92X of the Health Act, replaces section 90 of that Act, and extends it beyond children to people lacking legal capacity.</w:t>
      </w:r>
    </w:p>
  </w:footnote>
  <w:footnote w:id="36">
    <w:p w:rsidR="00746C14" w:rsidRPr="00D479D7" w:rsidRDefault="00746C14" w:rsidP="00916B56">
      <w:pPr>
        <w:pStyle w:val="FootnoteText"/>
      </w:pPr>
      <w:r w:rsidRPr="00916B56">
        <w:rPr>
          <w:rStyle w:val="FootnoteReference"/>
        </w:rPr>
        <w:footnoteRef/>
      </w:r>
      <w:r>
        <w:tab/>
      </w:r>
      <w:r w:rsidRPr="00D479D7">
        <w:t xml:space="preserve">The term </w:t>
      </w:r>
      <w:r>
        <w:t>‘medical</w:t>
      </w:r>
      <w:r w:rsidRPr="00D479D7">
        <w:t xml:space="preserve"> practitioner</w:t>
      </w:r>
      <w:r>
        <w:t>’ is used advisedly,</w:t>
      </w:r>
      <w:r w:rsidRPr="00D479D7">
        <w:t xml:space="preserve"> </w:t>
      </w:r>
      <w:r>
        <w:t>as it is used in</w:t>
      </w:r>
      <w:r w:rsidRPr="00D479D7">
        <w:t xml:space="preserve"> section 92X(2)(a)</w:t>
      </w:r>
      <w:r>
        <w:t xml:space="preserve"> rather than ‘health practitioner’.</w:t>
      </w:r>
    </w:p>
  </w:footnote>
  <w:footnote w:id="37">
    <w:p w:rsidR="00746C14" w:rsidRPr="00D479D7" w:rsidRDefault="00746C14" w:rsidP="008D1DCC">
      <w:pPr>
        <w:pStyle w:val="FootnoteText"/>
        <w:rPr>
          <w:rFonts w:cs="Arial"/>
        </w:rPr>
      </w:pPr>
      <w:r w:rsidRPr="00916B56">
        <w:rPr>
          <w:rStyle w:val="FootnoteReference"/>
        </w:rPr>
        <w:footnoteRef/>
      </w:r>
      <w:r>
        <w:rPr>
          <w:rFonts w:cs="Arial"/>
        </w:rPr>
        <w:tab/>
      </w:r>
      <w:r w:rsidRPr="00D479D7">
        <w:rPr>
          <w:rFonts w:cs="Arial"/>
        </w:rPr>
        <w:t>The diseases to which these duties</w:t>
      </w:r>
      <w:r>
        <w:rPr>
          <w:rFonts w:cs="Arial"/>
        </w:rPr>
        <w:t xml:space="preserve"> </w:t>
      </w:r>
      <w:r w:rsidRPr="00D479D7">
        <w:rPr>
          <w:rFonts w:cs="Arial"/>
        </w:rPr>
        <w:t>apply are in Schedule 1 of the Health Act.</w:t>
      </w:r>
    </w:p>
  </w:footnote>
  <w:footnote w:id="38">
    <w:p w:rsidR="00746C14" w:rsidRDefault="00746C14" w:rsidP="00916B56">
      <w:pPr>
        <w:pStyle w:val="FootnoteText"/>
      </w:pPr>
      <w:r w:rsidRPr="00916B56">
        <w:rPr>
          <w:rStyle w:val="FootnoteReference"/>
        </w:rPr>
        <w:footnoteRef/>
      </w:r>
      <w:r>
        <w:tab/>
      </w:r>
      <w:r w:rsidRPr="00D479D7">
        <w:t>Sections 92W and 92ZX.</w:t>
      </w:r>
      <w:r>
        <w:t xml:space="preserve"> For example, those behaviours could include lying about test results or about whether the person has been tested or has taken medication.</w:t>
      </w:r>
    </w:p>
  </w:footnote>
  <w:footnote w:id="39">
    <w:p w:rsidR="00746C14" w:rsidRPr="00D479D7" w:rsidRDefault="00746C14" w:rsidP="0019695B">
      <w:pPr>
        <w:pStyle w:val="FootnoteText"/>
      </w:pPr>
      <w:r w:rsidRPr="0019695B">
        <w:rPr>
          <w:rStyle w:val="FootnoteReference"/>
        </w:rPr>
        <w:footnoteRef/>
      </w:r>
      <w:r>
        <w:tab/>
      </w:r>
      <w:r w:rsidRPr="00D479D7">
        <w:t>92ZZC.</w:t>
      </w:r>
    </w:p>
  </w:footnote>
  <w:footnote w:id="40">
    <w:p w:rsidR="00746C14" w:rsidRDefault="00746C14" w:rsidP="0019695B">
      <w:pPr>
        <w:pStyle w:val="FootnoteText"/>
      </w:pPr>
      <w:r w:rsidRPr="0019695B">
        <w:rPr>
          <w:rStyle w:val="FootnoteReference"/>
        </w:rPr>
        <w:footnoteRef/>
      </w:r>
      <w:r>
        <w:tab/>
      </w:r>
      <w:r w:rsidRPr="00D479D7">
        <w:t>Section 92ZZA.</w:t>
      </w:r>
    </w:p>
  </w:footnote>
  <w:footnote w:id="41">
    <w:p w:rsidR="00746C14" w:rsidRPr="00E6790A" w:rsidRDefault="00746C14" w:rsidP="0019695B">
      <w:pPr>
        <w:pStyle w:val="FootnoteText"/>
      </w:pPr>
      <w:r w:rsidRPr="0019695B">
        <w:rPr>
          <w:rStyle w:val="FootnoteReference"/>
        </w:rPr>
        <w:footnoteRef/>
      </w:r>
      <w:r>
        <w:tab/>
      </w:r>
      <w:r w:rsidRPr="00E6790A">
        <w:t>Section 92ZY</w:t>
      </w:r>
      <w:r>
        <w:t xml:space="preserve"> of the Health Act.</w:t>
      </w:r>
    </w:p>
  </w:footnote>
  <w:footnote w:id="42">
    <w:p w:rsidR="00746C14" w:rsidRPr="00E6790A" w:rsidRDefault="00746C14" w:rsidP="0019695B">
      <w:pPr>
        <w:pStyle w:val="FootnoteText"/>
      </w:pPr>
      <w:r w:rsidRPr="0019695B">
        <w:rPr>
          <w:rStyle w:val="FootnoteReference"/>
        </w:rPr>
        <w:footnoteRef/>
      </w:r>
      <w:r>
        <w:tab/>
      </w:r>
      <w:r w:rsidRPr="00E6790A">
        <w:t>Section 92ZY</w:t>
      </w:r>
      <w:r>
        <w:t>. In contrast, informal contact tracing is not necessarily confined to scheduled infectious diseases.</w:t>
      </w:r>
    </w:p>
  </w:footnote>
  <w:footnote w:id="43">
    <w:p w:rsidR="00746C14" w:rsidRDefault="00746C14" w:rsidP="0019695B">
      <w:pPr>
        <w:pStyle w:val="FootnoteText"/>
      </w:pPr>
      <w:r w:rsidRPr="0019695B">
        <w:rPr>
          <w:rStyle w:val="FootnoteReference"/>
        </w:rPr>
        <w:footnoteRef/>
      </w:r>
      <w:r>
        <w:tab/>
        <w:t>Schedule 1 of the Health Act.</w:t>
      </w:r>
    </w:p>
  </w:footnote>
  <w:footnote w:id="44">
    <w:p w:rsidR="00746C14" w:rsidRPr="00E6790A" w:rsidRDefault="00746C14" w:rsidP="0019695B">
      <w:pPr>
        <w:pStyle w:val="FootnoteText"/>
      </w:pPr>
      <w:r w:rsidRPr="0019695B">
        <w:rPr>
          <w:rStyle w:val="FootnoteReference"/>
        </w:rPr>
        <w:footnoteRef/>
      </w:r>
      <w:r>
        <w:tab/>
      </w:r>
      <w:r w:rsidRPr="00E6790A">
        <w:t>Decreased immunity may arise from repeated or untreated infections, or the presence of long</w:t>
      </w:r>
      <w:r>
        <w:t>-</w:t>
      </w:r>
      <w:r w:rsidRPr="00E6790A">
        <w:t>term conditions, among other things</w:t>
      </w:r>
      <w:r>
        <w:t>.</w:t>
      </w:r>
    </w:p>
  </w:footnote>
  <w:footnote w:id="45">
    <w:p w:rsidR="00746C14" w:rsidRPr="00BD78BE" w:rsidRDefault="00746C14" w:rsidP="0019695B">
      <w:pPr>
        <w:pStyle w:val="FootnoteText"/>
        <w:rPr>
          <w:rFonts w:ascii="Arial" w:hAnsi="Arial"/>
        </w:rPr>
      </w:pPr>
      <w:r w:rsidRPr="0019695B">
        <w:rPr>
          <w:rStyle w:val="FootnoteReference"/>
        </w:rPr>
        <w:footnoteRef/>
      </w:r>
      <w:r>
        <w:tab/>
      </w:r>
      <w:r w:rsidRPr="00E6790A">
        <w:t>www.health.govt.nz/publication/communicable-disease-control-manual-2012</w:t>
      </w:r>
    </w:p>
  </w:footnote>
  <w:footnote w:id="46">
    <w:p w:rsidR="00746C14" w:rsidRDefault="00746C14" w:rsidP="0019695B">
      <w:pPr>
        <w:pStyle w:val="FootnoteText"/>
      </w:pPr>
      <w:r w:rsidRPr="0019695B">
        <w:rPr>
          <w:rStyle w:val="FootnoteReference"/>
        </w:rPr>
        <w:footnoteRef/>
      </w:r>
      <w:r>
        <w:tab/>
        <w:t>Section 92ZZC(2) of the Health Act.</w:t>
      </w:r>
    </w:p>
  </w:footnote>
  <w:footnote w:id="47">
    <w:p w:rsidR="00746C14" w:rsidRDefault="00746C14" w:rsidP="0019695B">
      <w:pPr>
        <w:pStyle w:val="FootnoteText"/>
      </w:pPr>
      <w:r w:rsidRPr="0019695B">
        <w:rPr>
          <w:rStyle w:val="FootnoteReference"/>
        </w:rPr>
        <w:footnoteRef/>
      </w:r>
      <w:r>
        <w:tab/>
        <w:t>Section 92ZZB(2) of the Health Act.</w:t>
      </w:r>
    </w:p>
  </w:footnote>
  <w:footnote w:id="48">
    <w:p w:rsidR="00746C14" w:rsidRDefault="00746C14" w:rsidP="0019695B">
      <w:pPr>
        <w:pStyle w:val="FootnoteText"/>
      </w:pPr>
      <w:r w:rsidRPr="0019695B">
        <w:rPr>
          <w:rStyle w:val="FootnoteReference"/>
        </w:rPr>
        <w:footnoteRef/>
      </w:r>
      <w:r>
        <w:tab/>
        <w:t>Section 92ZZA(1) of the Health Act.</w:t>
      </w:r>
    </w:p>
  </w:footnote>
  <w:footnote w:id="49">
    <w:p w:rsidR="00746C14" w:rsidRPr="00E6790A" w:rsidRDefault="00746C14" w:rsidP="0019695B">
      <w:pPr>
        <w:pStyle w:val="FootnoteText"/>
      </w:pPr>
      <w:r w:rsidRPr="0019695B">
        <w:rPr>
          <w:rStyle w:val="FootnoteReference"/>
        </w:rPr>
        <w:footnoteRef/>
      </w:r>
      <w:r>
        <w:tab/>
        <w:t>S</w:t>
      </w:r>
      <w:r w:rsidRPr="00E6790A">
        <w:t>e</w:t>
      </w:r>
      <w:r>
        <w:t>ction 92A(3) of the Health Act says: “</w:t>
      </w:r>
      <w:r w:rsidRPr="00E6790A">
        <w:t>To avoid doubt, an individual undertaking contact tracing in response to a request under section 92ZZD(2) is not performing a function under this Part</w:t>
      </w:r>
      <w:r>
        <w:t>”</w:t>
      </w:r>
      <w:r w:rsidRPr="00E6790A">
        <w:t>.</w:t>
      </w:r>
    </w:p>
  </w:footnote>
  <w:footnote w:id="50">
    <w:p w:rsidR="00746C14" w:rsidRDefault="00746C14" w:rsidP="0019695B">
      <w:pPr>
        <w:pStyle w:val="FootnoteText"/>
      </w:pPr>
      <w:r w:rsidRPr="0019695B">
        <w:rPr>
          <w:rStyle w:val="FootnoteReference"/>
        </w:rPr>
        <w:footnoteRef/>
      </w:r>
      <w:r>
        <w:tab/>
        <w:t>Section 92ZZD(2).</w:t>
      </w:r>
    </w:p>
  </w:footnote>
  <w:footnote w:id="51">
    <w:p w:rsidR="00746C14" w:rsidRDefault="00746C14" w:rsidP="0019695B">
      <w:pPr>
        <w:pStyle w:val="FootnoteText"/>
      </w:pPr>
      <w:r w:rsidRPr="0019695B">
        <w:rPr>
          <w:rStyle w:val="FootnoteReference"/>
        </w:rPr>
        <w:footnoteRef/>
      </w:r>
      <w:r>
        <w:tab/>
        <w:t>Section 92ZZ(e) of the Health Act expressly recognises that contact tracing contacts of the contact is part of formal contact tracing.</w:t>
      </w:r>
    </w:p>
  </w:footnote>
  <w:footnote w:id="52">
    <w:p w:rsidR="00746C14" w:rsidRDefault="00746C14">
      <w:pPr>
        <w:pStyle w:val="FootnoteText"/>
      </w:pPr>
      <w:r>
        <w:rPr>
          <w:rStyle w:val="FootnoteReference"/>
        </w:rPr>
        <w:footnoteRef/>
      </w:r>
      <w:r>
        <w:t xml:space="preserve"> </w:t>
      </w:r>
      <w:r>
        <w:tab/>
        <w:t>The voluntary compliance principle in section 92D applies.</w:t>
      </w:r>
    </w:p>
  </w:footnote>
  <w:footnote w:id="53">
    <w:p w:rsidR="00746C14" w:rsidRDefault="00746C14" w:rsidP="0019695B">
      <w:pPr>
        <w:pStyle w:val="FootnoteText"/>
      </w:pPr>
      <w:r w:rsidRPr="0019695B">
        <w:rPr>
          <w:rStyle w:val="FootnoteReference"/>
        </w:rPr>
        <w:footnoteRef/>
      </w:r>
      <w:r>
        <w:tab/>
        <w:t>Section 92ZZC(4) of the Health Act and regulation 6 of the HIND Regulations 2016.</w:t>
      </w:r>
    </w:p>
  </w:footnote>
  <w:footnote w:id="54">
    <w:p w:rsidR="00746C14" w:rsidRDefault="00746C14" w:rsidP="0019695B">
      <w:pPr>
        <w:pStyle w:val="FootnoteText"/>
      </w:pPr>
      <w:r w:rsidRPr="0019695B">
        <w:rPr>
          <w:rStyle w:val="FootnoteReference"/>
        </w:rPr>
        <w:footnoteRef/>
      </w:r>
      <w:r>
        <w:tab/>
        <w:t>Regulation 14(2) of the HIND Regulations 2016.</w:t>
      </w:r>
    </w:p>
  </w:footnote>
  <w:footnote w:id="55">
    <w:p w:rsidR="00746C14" w:rsidRPr="00E6790A" w:rsidRDefault="00746C14" w:rsidP="0019695B">
      <w:pPr>
        <w:pStyle w:val="FootnoteText"/>
      </w:pPr>
      <w:r w:rsidRPr="0019695B">
        <w:rPr>
          <w:rStyle w:val="FootnoteReference"/>
        </w:rPr>
        <w:footnoteRef/>
      </w:r>
      <w:r>
        <w:tab/>
      </w:r>
      <w:r w:rsidRPr="00E6790A">
        <w:t>Section 92E</w:t>
      </w:r>
      <w:r>
        <w:t xml:space="preserve"> of the Health Act.</w:t>
      </w:r>
    </w:p>
  </w:footnote>
  <w:footnote w:id="56">
    <w:p w:rsidR="00746C14" w:rsidRPr="00E6790A" w:rsidRDefault="00746C14" w:rsidP="0019695B">
      <w:pPr>
        <w:pStyle w:val="FootnoteText"/>
      </w:pPr>
      <w:r w:rsidRPr="0019695B">
        <w:rPr>
          <w:rStyle w:val="FootnoteReference"/>
        </w:rPr>
        <w:footnoteRef/>
      </w:r>
      <w:r>
        <w:tab/>
      </w:r>
      <w:r w:rsidRPr="00E6790A">
        <w:t>Section 22C(4).</w:t>
      </w:r>
    </w:p>
  </w:footnote>
  <w:footnote w:id="57">
    <w:p w:rsidR="00746C14" w:rsidRPr="00E6790A" w:rsidRDefault="00746C14" w:rsidP="0019695B">
      <w:pPr>
        <w:pStyle w:val="FootnoteText"/>
        <w:rPr>
          <w:color w:val="000000"/>
        </w:rPr>
      </w:pPr>
      <w:r w:rsidRPr="0019695B">
        <w:rPr>
          <w:rStyle w:val="FootnoteReference"/>
        </w:rPr>
        <w:footnoteRef/>
      </w:r>
      <w:r>
        <w:tab/>
        <w:t>Relevant principles of the Health Information Privacy Code (summarised here) include the following</w:t>
      </w:r>
      <w:r w:rsidRPr="00E6790A">
        <w:rPr>
          <w:color w:val="000000"/>
        </w:rPr>
        <w:t>:</w:t>
      </w:r>
    </w:p>
    <w:p w:rsidR="00746C14" w:rsidRPr="00E6790A" w:rsidRDefault="00746C14" w:rsidP="00C61E8E">
      <w:pPr>
        <w:pStyle w:val="FootnoteText"/>
        <w:spacing w:before="0"/>
        <w:ind w:left="709" w:hanging="284"/>
      </w:pPr>
      <w:r>
        <w:t>1</w:t>
      </w:r>
      <w:r>
        <w:tab/>
      </w:r>
      <w:r w:rsidRPr="00E6790A">
        <w:t>Only collect health information if you really need it.</w:t>
      </w:r>
    </w:p>
    <w:p w:rsidR="00746C14" w:rsidRPr="00E6790A" w:rsidRDefault="00746C14" w:rsidP="00C61E8E">
      <w:pPr>
        <w:pStyle w:val="FootnoteText"/>
        <w:spacing w:before="0"/>
        <w:ind w:left="709" w:hanging="284"/>
      </w:pPr>
      <w:r>
        <w:t>2</w:t>
      </w:r>
      <w:r>
        <w:tab/>
      </w:r>
      <w:r w:rsidRPr="00E6790A">
        <w:t>Get it straight from the people concerned.</w:t>
      </w:r>
    </w:p>
    <w:p w:rsidR="00746C14" w:rsidRPr="00E6790A" w:rsidRDefault="00746C14" w:rsidP="00C61E8E">
      <w:pPr>
        <w:pStyle w:val="FootnoteText"/>
        <w:spacing w:before="0"/>
        <w:ind w:left="709" w:hanging="284"/>
      </w:pPr>
      <w:r>
        <w:t>3</w:t>
      </w:r>
      <w:r>
        <w:tab/>
      </w:r>
      <w:r w:rsidRPr="00E6790A">
        <w:t>Tell them what you are going to do with it.</w:t>
      </w:r>
    </w:p>
    <w:p w:rsidR="00746C14" w:rsidRPr="00E6790A" w:rsidRDefault="00746C14" w:rsidP="00C61E8E">
      <w:pPr>
        <w:pStyle w:val="FootnoteText"/>
        <w:spacing w:before="0"/>
        <w:ind w:left="709" w:hanging="284"/>
      </w:pPr>
      <w:r>
        <w:t>4</w:t>
      </w:r>
      <w:r>
        <w:tab/>
      </w:r>
      <w:r w:rsidRPr="00E6790A">
        <w:t>Be considerate when you are getting it.</w:t>
      </w:r>
    </w:p>
    <w:p w:rsidR="00746C14" w:rsidRPr="00E6790A" w:rsidRDefault="00746C14" w:rsidP="00C61E8E">
      <w:pPr>
        <w:pStyle w:val="FootnoteText"/>
        <w:spacing w:before="0"/>
        <w:ind w:left="709" w:hanging="284"/>
      </w:pPr>
      <w:r>
        <w:t>5</w:t>
      </w:r>
      <w:r>
        <w:tab/>
      </w:r>
      <w:r w:rsidRPr="00E6790A">
        <w:t>Take care of it once you</w:t>
      </w:r>
      <w:r>
        <w:t>’</w:t>
      </w:r>
      <w:r w:rsidRPr="00E6790A">
        <w:t>ve got it.</w:t>
      </w:r>
    </w:p>
    <w:p w:rsidR="00746C14" w:rsidRPr="00E6790A" w:rsidRDefault="00746C14" w:rsidP="00C61E8E">
      <w:pPr>
        <w:pStyle w:val="FootnoteText"/>
        <w:spacing w:before="0"/>
        <w:ind w:left="709" w:hanging="284"/>
      </w:pPr>
      <w:r>
        <w:t>6</w:t>
      </w:r>
      <w:r>
        <w:tab/>
        <w:t xml:space="preserve">Let people </w:t>
      </w:r>
      <w:r w:rsidRPr="00E6790A">
        <w:t>see their health information if they want to.</w:t>
      </w:r>
    </w:p>
    <w:p w:rsidR="00746C14" w:rsidRPr="00E6790A" w:rsidRDefault="00746C14" w:rsidP="00C61E8E">
      <w:pPr>
        <w:pStyle w:val="FootnoteText"/>
        <w:spacing w:before="0"/>
        <w:ind w:left="709" w:hanging="284"/>
      </w:pPr>
      <w:r>
        <w:t>7</w:t>
      </w:r>
      <w:r>
        <w:tab/>
        <w:t xml:space="preserve">Let people </w:t>
      </w:r>
      <w:r w:rsidRPr="00E6790A">
        <w:t>correct it if it is wrong.</w:t>
      </w:r>
    </w:p>
    <w:p w:rsidR="00746C14" w:rsidRPr="00E6790A" w:rsidRDefault="00746C14" w:rsidP="00C61E8E">
      <w:pPr>
        <w:pStyle w:val="FootnoteText"/>
        <w:spacing w:before="0"/>
        <w:ind w:left="709" w:hanging="284"/>
      </w:pPr>
      <w:r>
        <w:t>8</w:t>
      </w:r>
      <w:r>
        <w:tab/>
      </w:r>
      <w:r w:rsidRPr="00E6790A">
        <w:t>Make sure health information is correct before you use it.</w:t>
      </w:r>
    </w:p>
    <w:p w:rsidR="00746C14" w:rsidRPr="00E6790A" w:rsidRDefault="00746C14" w:rsidP="00C61E8E">
      <w:pPr>
        <w:pStyle w:val="FootnoteText"/>
        <w:spacing w:before="0"/>
        <w:ind w:left="709" w:hanging="284"/>
      </w:pPr>
      <w:r>
        <w:t>9</w:t>
      </w:r>
      <w:r>
        <w:tab/>
      </w:r>
      <w:r w:rsidRPr="00E6790A">
        <w:t>Get rid of it when you are done with it.</w:t>
      </w:r>
    </w:p>
    <w:p w:rsidR="00746C14" w:rsidRPr="00E6790A" w:rsidRDefault="00746C14" w:rsidP="00C61E8E">
      <w:pPr>
        <w:pStyle w:val="FootnoteText"/>
        <w:spacing w:before="0"/>
        <w:ind w:left="709" w:hanging="284"/>
      </w:pPr>
      <w:r>
        <w:t>10</w:t>
      </w:r>
      <w:r>
        <w:tab/>
      </w:r>
      <w:r w:rsidRPr="00E6790A">
        <w:t>Use it for the purpose you got it.</w:t>
      </w:r>
    </w:p>
    <w:p w:rsidR="00746C14" w:rsidRPr="00E6790A" w:rsidRDefault="00746C14" w:rsidP="00C61E8E">
      <w:pPr>
        <w:pStyle w:val="FootnoteText"/>
        <w:spacing w:before="0"/>
        <w:ind w:left="709" w:hanging="284"/>
      </w:pPr>
      <w:r>
        <w:t>11</w:t>
      </w:r>
      <w:r>
        <w:tab/>
      </w:r>
      <w:r w:rsidRPr="00E6790A">
        <w:t>Only disclose it if you have a good reason (eg,</w:t>
      </w:r>
      <w:r>
        <w:t xml:space="preserve"> where it is</w:t>
      </w:r>
      <w:r w:rsidRPr="00E6790A">
        <w:t xml:space="preserve"> necessary to prevent or lessen a serious and imminent threat to </w:t>
      </w:r>
      <w:r>
        <w:t xml:space="preserve">the </w:t>
      </w:r>
      <w:r w:rsidRPr="00E6790A">
        <w:t>life or health of an individual)</w:t>
      </w:r>
      <w:r>
        <w:t>.</w:t>
      </w:r>
    </w:p>
    <w:p w:rsidR="00746C14" w:rsidRPr="00E6790A" w:rsidRDefault="00746C14" w:rsidP="00C61E8E">
      <w:pPr>
        <w:pStyle w:val="FootnoteText"/>
        <w:spacing w:before="0"/>
        <w:ind w:left="709" w:hanging="284"/>
      </w:pPr>
      <w:r>
        <w:t>12</w:t>
      </w:r>
      <w:r>
        <w:tab/>
      </w:r>
      <w:r w:rsidRPr="00E6790A">
        <w:t>Only assign unique identifier where permitted.</w:t>
      </w:r>
    </w:p>
  </w:footnote>
  <w:footnote w:id="58">
    <w:p w:rsidR="00746C14" w:rsidRPr="00E6790A" w:rsidRDefault="00746C14" w:rsidP="00C61E8E">
      <w:pPr>
        <w:pStyle w:val="FootnoteText"/>
      </w:pPr>
      <w:r w:rsidRPr="00C61E8E">
        <w:rPr>
          <w:rStyle w:val="FootnoteReference"/>
        </w:rPr>
        <w:footnoteRef/>
      </w:r>
      <w:r>
        <w:tab/>
      </w:r>
      <w:r w:rsidRPr="00E6790A">
        <w:t>Section 92ZZG.</w:t>
      </w:r>
    </w:p>
  </w:footnote>
  <w:footnote w:id="59">
    <w:p w:rsidR="00746C14" w:rsidRPr="00E6790A" w:rsidRDefault="00746C14" w:rsidP="00C61E8E">
      <w:pPr>
        <w:pStyle w:val="FootnoteText"/>
      </w:pPr>
      <w:r w:rsidRPr="00C61E8E">
        <w:rPr>
          <w:rStyle w:val="FootnoteReference"/>
        </w:rPr>
        <w:footnoteRef/>
      </w:r>
      <w:r>
        <w:tab/>
        <w:t>The people are specified in section 92ZZF(1</w:t>
      </w:r>
      <w:r w:rsidRPr="00E6790A">
        <w:t>).</w:t>
      </w:r>
    </w:p>
  </w:footnote>
  <w:footnote w:id="60">
    <w:p w:rsidR="00746C14" w:rsidRDefault="00746C14" w:rsidP="00C61E8E">
      <w:pPr>
        <w:pStyle w:val="FootnoteText"/>
      </w:pPr>
      <w:r w:rsidRPr="00C61E8E">
        <w:rPr>
          <w:rStyle w:val="FootnoteReference"/>
        </w:rPr>
        <w:footnoteRef/>
      </w:r>
      <w:r>
        <w:tab/>
        <w:t>Section 92ZZF(2) of the Health Act.</w:t>
      </w:r>
    </w:p>
  </w:footnote>
  <w:footnote w:id="61">
    <w:p w:rsidR="00746C14" w:rsidRDefault="00746C14" w:rsidP="00C61E8E">
      <w:pPr>
        <w:pStyle w:val="FootnoteText"/>
      </w:pPr>
      <w:r w:rsidRPr="00C61E8E">
        <w:rPr>
          <w:rStyle w:val="FootnoteReference"/>
        </w:rPr>
        <w:footnoteRef/>
      </w:r>
      <w:r>
        <w:tab/>
        <w:t>This is taking into account that the paramount consideration is protection of public health.</w:t>
      </w:r>
    </w:p>
  </w:footnote>
  <w:footnote w:id="62">
    <w:p w:rsidR="00746C14" w:rsidRDefault="00746C14" w:rsidP="00C61E8E">
      <w:pPr>
        <w:pStyle w:val="FootnoteText"/>
      </w:pPr>
      <w:r w:rsidRPr="00C61E8E">
        <w:rPr>
          <w:rStyle w:val="FootnoteReference"/>
        </w:rPr>
        <w:footnoteRef/>
      </w:r>
      <w:r>
        <w:tab/>
      </w:r>
      <w:r w:rsidRPr="00E6790A">
        <w:t>Section 92ZZH</w:t>
      </w:r>
      <w:r>
        <w:t xml:space="preserve"> of the Health Act</w:t>
      </w:r>
      <w:r w:rsidRPr="00E6790A">
        <w:t>.</w:t>
      </w:r>
    </w:p>
  </w:footnote>
  <w:footnote w:id="63">
    <w:p w:rsidR="00746C14" w:rsidRPr="00161054" w:rsidRDefault="00746C14" w:rsidP="00C61E8E">
      <w:pPr>
        <w:pStyle w:val="FootnoteText"/>
      </w:pPr>
      <w:r w:rsidRPr="00C61E8E">
        <w:rPr>
          <w:rStyle w:val="FootnoteReference"/>
        </w:rPr>
        <w:footnoteRef/>
      </w:r>
      <w:r>
        <w:tab/>
      </w:r>
      <w:r w:rsidRPr="00161054">
        <w:t xml:space="preserve">Please refer to regulation 14 of the HIND Regulations 2016, or the discussion under the </w:t>
      </w:r>
      <w:r w:rsidRPr="00E61AFD">
        <w:t xml:space="preserve">heading </w:t>
      </w:r>
      <w:r>
        <w:t>‘</w:t>
      </w:r>
      <w:r w:rsidRPr="00E61AFD">
        <w:t>Information from the individual</w:t>
      </w:r>
      <w:r>
        <w:t>’</w:t>
      </w:r>
      <w:r w:rsidRPr="00E61AFD">
        <w:t xml:space="preserve"> </w:t>
      </w:r>
      <w:r w:rsidRPr="00161054">
        <w:t>in this chapter.</w:t>
      </w:r>
    </w:p>
  </w:footnote>
  <w:footnote w:id="64">
    <w:p w:rsidR="00746C14" w:rsidRDefault="00746C14" w:rsidP="00C61E8E">
      <w:pPr>
        <w:pStyle w:val="FootnoteText"/>
      </w:pPr>
      <w:r w:rsidRPr="00C61E8E">
        <w:rPr>
          <w:rStyle w:val="FootnoteReference"/>
        </w:rPr>
        <w:footnoteRef/>
      </w:r>
      <w:r>
        <w:tab/>
        <w:t>Some of this material has not been traversed in this chapter on contact tracing, but is covered in general terms by succeeding chapters on directions and court orders, and will be relevant in some situations when formal contact tracing takes place.</w:t>
      </w:r>
    </w:p>
  </w:footnote>
  <w:footnote w:id="65">
    <w:p w:rsidR="00746C14" w:rsidRDefault="00746C14" w:rsidP="00E23FB9">
      <w:pPr>
        <w:pStyle w:val="FootnoteText"/>
      </w:pPr>
      <w:r w:rsidRPr="00E23FB9">
        <w:rPr>
          <w:rStyle w:val="FootnoteReference"/>
        </w:rPr>
        <w:footnoteRef/>
      </w:r>
      <w:r>
        <w:tab/>
        <w:t>This is an excerpt from a table presented by Geoffrey Roche, a member of the Communicable Diseases Team in the Ministry of Health’s Public Health Group.</w:t>
      </w:r>
    </w:p>
  </w:footnote>
  <w:footnote w:id="66">
    <w:p w:rsidR="00746C14" w:rsidRDefault="00746C14" w:rsidP="00E23FB9">
      <w:pPr>
        <w:pStyle w:val="FootnoteText"/>
      </w:pPr>
      <w:r w:rsidRPr="00E23FB9">
        <w:rPr>
          <w:rStyle w:val="FootnoteReference"/>
        </w:rPr>
        <w:footnoteRef/>
      </w:r>
      <w:r>
        <w:tab/>
        <w:t>See section 92ZB of the Health Act in relation to matters the District Court may take into account in assessing the public health risk.</w:t>
      </w:r>
    </w:p>
  </w:footnote>
  <w:footnote w:id="67">
    <w:p w:rsidR="00746C14" w:rsidRPr="00E6790A" w:rsidRDefault="00746C14" w:rsidP="00E23FB9">
      <w:pPr>
        <w:pStyle w:val="FootnoteText"/>
      </w:pPr>
      <w:r w:rsidRPr="00E23FB9">
        <w:rPr>
          <w:rStyle w:val="FootnoteReference"/>
        </w:rPr>
        <w:footnoteRef/>
      </w:r>
      <w:r>
        <w:tab/>
        <w:t>These requirements arise from the informati</w:t>
      </w:r>
      <w:r w:rsidRPr="00E6790A">
        <w:t>on principle in section 92E and</w:t>
      </w:r>
      <w:r>
        <w:t xml:space="preserve"> the list in</w:t>
      </w:r>
      <w:r w:rsidRPr="00E6790A">
        <w:t xml:space="preserve"> regulation 12 of the HIND Regulations</w:t>
      </w:r>
      <w:r>
        <w:t xml:space="preserve"> 2016</w:t>
      </w:r>
      <w:r w:rsidRPr="00E6790A">
        <w:t>.</w:t>
      </w:r>
    </w:p>
  </w:footnote>
  <w:footnote w:id="68">
    <w:p w:rsidR="00746C14" w:rsidRPr="00E6790A" w:rsidRDefault="00746C14" w:rsidP="00E23FB9">
      <w:pPr>
        <w:pStyle w:val="FootnoteText"/>
      </w:pPr>
      <w:r w:rsidRPr="00E23FB9">
        <w:rPr>
          <w:rStyle w:val="FootnoteReference"/>
        </w:rPr>
        <w:footnoteRef/>
      </w:r>
      <w:r>
        <w:tab/>
      </w:r>
      <w:r w:rsidRPr="00E6790A">
        <w:t>In any</w:t>
      </w:r>
      <w:r>
        <w:t xml:space="preserve"> of sections 92T, 92ZT and 92ZU of the Health Act.</w:t>
      </w:r>
    </w:p>
  </w:footnote>
  <w:footnote w:id="69">
    <w:p w:rsidR="00746C14" w:rsidRPr="00E23FB9" w:rsidRDefault="00746C14" w:rsidP="00E23FB9">
      <w:pPr>
        <w:pStyle w:val="FootnoteText"/>
      </w:pPr>
      <w:r w:rsidRPr="00E23FB9">
        <w:rPr>
          <w:rStyle w:val="FootnoteReference"/>
        </w:rPr>
        <w:footnoteRef/>
      </w:r>
      <w:r>
        <w:tab/>
        <w:t xml:space="preserve">This list appears </w:t>
      </w:r>
      <w:r w:rsidRPr="00E6790A">
        <w:t>in regulation 12 of the HIND Regulations 2016. The</w:t>
      </w:r>
      <w:r>
        <w:t xml:space="preserve"> information accompanying the </w:t>
      </w:r>
      <w:r w:rsidRPr="00E6790A">
        <w:t>template</w:t>
      </w:r>
      <w:r>
        <w:t>s</w:t>
      </w:r>
      <w:r w:rsidRPr="00E6790A">
        <w:t xml:space="preserve"> refers to </w:t>
      </w:r>
      <w:r>
        <w:t xml:space="preserve">the Ministry of Justice’s information on legal help for going to court </w:t>
      </w:r>
      <w:hyperlink r:id="rId2" w:history="1">
        <w:r w:rsidRPr="005A7117">
          <w:rPr>
            <w:rStyle w:val="Hyperlink"/>
            <w:rFonts w:cs="Arial"/>
          </w:rPr>
          <w:t>www.justice.govt.nz/Courts/going-to-court/legal-aid/legal-help</w:t>
        </w:r>
      </w:hyperlink>
      <w:r>
        <w:t xml:space="preserve"> and to agencies that provide ‘advocacy’ support.</w:t>
      </w:r>
    </w:p>
  </w:footnote>
  <w:footnote w:id="70">
    <w:p w:rsidR="00746C14" w:rsidRPr="00D479D7" w:rsidRDefault="00746C14" w:rsidP="00E23FB9">
      <w:pPr>
        <w:pStyle w:val="FootnoteText"/>
      </w:pPr>
      <w:r w:rsidRPr="00E23FB9">
        <w:rPr>
          <w:rStyle w:val="FootnoteReference"/>
        </w:rPr>
        <w:footnoteRef/>
      </w:r>
      <w:r>
        <w:tab/>
      </w:r>
      <w:r w:rsidRPr="00D479D7">
        <w:t>The Health and Disability Commissioner</w:t>
      </w:r>
      <w:r>
        <w:t>’</w:t>
      </w:r>
      <w:r w:rsidRPr="00D479D7">
        <w:t>s Code of Consumers</w:t>
      </w:r>
      <w:r>
        <w:t>’</w:t>
      </w:r>
      <w:r w:rsidRPr="00D479D7">
        <w:t xml:space="preserve"> Rights Regulations 1996 </w:t>
      </w:r>
      <w:r>
        <w:t xml:space="preserve">sets out </w:t>
      </w:r>
      <w:r w:rsidRPr="00D479D7">
        <w:t>consumers</w:t>
      </w:r>
      <w:r>
        <w:t>’</w:t>
      </w:r>
      <w:r w:rsidRPr="00D479D7">
        <w:t xml:space="preserve"> rights and the duties of providers (eg, </w:t>
      </w:r>
      <w:r>
        <w:t>the</w:t>
      </w:r>
      <w:r w:rsidRPr="00D479D7">
        <w:t xml:space="preserve"> right to make informed choices and give informed consent).</w:t>
      </w:r>
    </w:p>
    <w:p w:rsidR="00746C14" w:rsidRPr="00D479D7" w:rsidRDefault="00746C14" w:rsidP="00E23FB9">
      <w:pPr>
        <w:pStyle w:val="FootnoteText"/>
        <w:ind w:firstLine="0"/>
      </w:pPr>
      <w:r>
        <w:t xml:space="preserve">The Health Literacy Framework (Ministry of Health, 2015: </w:t>
      </w:r>
      <w:r w:rsidRPr="00CC2C0C">
        <w:rPr>
          <w:i/>
        </w:rPr>
        <w:t>A Framework for Health Literacy</w:t>
      </w:r>
      <w:r>
        <w:rPr>
          <w:i/>
        </w:rPr>
        <w:t xml:space="preserve">, </w:t>
      </w:r>
      <w:r w:rsidRPr="00CC2C0C">
        <w:t>Wellington:</w:t>
      </w:r>
      <w:r>
        <w:t xml:space="preserve"> </w:t>
      </w:r>
      <w:r w:rsidRPr="00CC2C0C">
        <w:t>Ministry of Health</w:t>
      </w:r>
      <w:r>
        <w:t xml:space="preserve">. URL: </w:t>
      </w:r>
      <w:hyperlink r:id="rId3" w:history="1">
        <w:r w:rsidRPr="001D3967">
          <w:rPr>
            <w:rStyle w:val="Hyperlink"/>
            <w:rFonts w:cs="Arial"/>
          </w:rPr>
          <w:t>www.health.govt.nz/publication/framework-health-literacy</w:t>
        </w:r>
      </w:hyperlink>
      <w:r w:rsidRPr="00CC2C0C">
        <w:t xml:space="preserve"> </w:t>
      </w:r>
      <w:r w:rsidRPr="00D479D7">
        <w:t>reflects how each part of the health system can contribute to building health literacy so that all New Zealanders can make informed decisions about managing their health, or the health of those they care for</w:t>
      </w:r>
      <w:r>
        <w:t>)</w:t>
      </w:r>
      <w:r w:rsidRPr="00D479D7">
        <w:t>.</w:t>
      </w:r>
    </w:p>
  </w:footnote>
  <w:footnote w:id="71">
    <w:p w:rsidR="00746C14" w:rsidRPr="00D479D7" w:rsidRDefault="00746C14" w:rsidP="00E23FB9">
      <w:pPr>
        <w:pStyle w:val="FootnoteText"/>
      </w:pPr>
      <w:r w:rsidRPr="00E23FB9">
        <w:rPr>
          <w:rStyle w:val="FootnoteReference"/>
        </w:rPr>
        <w:footnoteRef/>
      </w:r>
      <w:r>
        <w:tab/>
      </w:r>
      <w:r w:rsidRPr="00D479D7">
        <w:t>Section 92ZZF</w:t>
      </w:r>
      <w:r>
        <w:t xml:space="preserve"> of the Health Act</w:t>
      </w:r>
      <w:r w:rsidRPr="00D479D7">
        <w:t>.</w:t>
      </w:r>
    </w:p>
  </w:footnote>
  <w:footnote w:id="72">
    <w:p w:rsidR="00746C14" w:rsidRPr="00D479D7" w:rsidRDefault="00746C14" w:rsidP="00E23FB9">
      <w:pPr>
        <w:pStyle w:val="FootnoteText"/>
      </w:pPr>
      <w:r w:rsidRPr="00E23FB9">
        <w:rPr>
          <w:rStyle w:val="FootnoteReference"/>
        </w:rPr>
        <w:footnoteRef/>
      </w:r>
      <w:r>
        <w:tab/>
        <w:t>‘</w:t>
      </w:r>
      <w:r w:rsidRPr="00D479D7">
        <w:t>Health provider</w:t>
      </w:r>
      <w:r>
        <w:t>’</w:t>
      </w:r>
      <w:r w:rsidRPr="00D479D7">
        <w:t xml:space="preserve"> is defined in section </w:t>
      </w:r>
      <w:r>
        <w:t xml:space="preserve">2(1) </w:t>
      </w:r>
      <w:r w:rsidRPr="00D479D7">
        <w:t xml:space="preserve">of the Health Act as </w:t>
      </w:r>
      <w:r>
        <w:t>“</w:t>
      </w:r>
      <w:r w:rsidRPr="00D479D7">
        <w:t>a person or an organisation that provides, or arranges the provision of, personal health services or public health services</w:t>
      </w:r>
      <w:r>
        <w:t>”</w:t>
      </w:r>
      <w:r w:rsidRPr="00D479D7">
        <w:t>.</w:t>
      </w:r>
    </w:p>
  </w:footnote>
  <w:footnote w:id="73">
    <w:p w:rsidR="00746C14" w:rsidRDefault="00746C14" w:rsidP="00E23FB9">
      <w:pPr>
        <w:pStyle w:val="FootnoteText"/>
      </w:pPr>
      <w:r w:rsidRPr="00E23FB9">
        <w:rPr>
          <w:rStyle w:val="FootnoteReference"/>
        </w:rPr>
        <w:footnoteRef/>
      </w:r>
      <w:r>
        <w:tab/>
        <w:t>For example, this could comprise a direction to stay away from the local pool, or a concert, or any number of public settings.</w:t>
      </w:r>
    </w:p>
  </w:footnote>
  <w:footnote w:id="74">
    <w:p w:rsidR="00746C14" w:rsidRDefault="00746C14" w:rsidP="00E23FB9">
      <w:pPr>
        <w:pStyle w:val="FootnoteText"/>
      </w:pPr>
      <w:r w:rsidRPr="00E23FB9">
        <w:rPr>
          <w:rStyle w:val="FootnoteReference"/>
        </w:rPr>
        <w:footnoteRef/>
      </w:r>
      <w:r>
        <w:tab/>
        <w:t>For example</w:t>
      </w:r>
      <w:r w:rsidRPr="00D479D7">
        <w:t xml:space="preserve">, depending on the nature of the risk, </w:t>
      </w:r>
      <w:r>
        <w:t xml:space="preserve">a </w:t>
      </w:r>
      <w:r w:rsidRPr="00D479D7">
        <w:t>class</w:t>
      </w:r>
      <w:r>
        <w:t xml:space="preserve"> of persons</w:t>
      </w:r>
      <w:r w:rsidRPr="00D479D7">
        <w:t xml:space="preserve"> may include sex workers, drug users, those most susceptible to infection, children who have not been immunised in a school</w:t>
      </w:r>
      <w:r>
        <w:t xml:space="preserve"> or</w:t>
      </w:r>
      <w:r w:rsidRPr="00D479D7">
        <w:t xml:space="preserve"> classmates</w:t>
      </w:r>
      <w:r>
        <w:t>.</w:t>
      </w:r>
    </w:p>
  </w:footnote>
  <w:footnote w:id="75">
    <w:p w:rsidR="00746C14" w:rsidRPr="00E6790A" w:rsidRDefault="00746C14" w:rsidP="008A44A7">
      <w:pPr>
        <w:pStyle w:val="FootnoteText"/>
      </w:pPr>
      <w:r w:rsidRPr="008A44A7">
        <w:rPr>
          <w:rStyle w:val="FootnoteReference"/>
        </w:rPr>
        <w:footnoteRef/>
      </w:r>
      <w:r>
        <w:tab/>
      </w:r>
      <w:r w:rsidRPr="00E6790A">
        <w:t xml:space="preserve">The power to contact a </w:t>
      </w:r>
      <w:r>
        <w:t xml:space="preserve">person </w:t>
      </w:r>
      <w:r w:rsidRPr="00E6790A">
        <w:t>in a position of responsibility in relation to the activity is only provided in respect of directions imposed under section 92I(4)(b)</w:t>
      </w:r>
      <w:r>
        <w:t xml:space="preserve"> of the Health Act</w:t>
      </w:r>
      <w:r w:rsidRPr="00E6790A">
        <w:t xml:space="preserve"> – to refrain from carrying out specified activities, and does not apply to directions under others of the paragraphs.</w:t>
      </w:r>
    </w:p>
  </w:footnote>
  <w:footnote w:id="76">
    <w:p w:rsidR="00746C14" w:rsidRDefault="00746C14" w:rsidP="008A44A7">
      <w:pPr>
        <w:pStyle w:val="FootnoteText"/>
      </w:pPr>
      <w:r w:rsidRPr="008A44A7">
        <w:rPr>
          <w:rStyle w:val="FootnoteReference"/>
        </w:rPr>
        <w:footnoteRef/>
      </w:r>
      <w:r>
        <w:tab/>
        <w:t>The rarely used special powers in section 70(1)(la) or (m) of the Health Act do allow a medical officer of health to close premises or other places where people congregate, by written order or public broadcast.</w:t>
      </w:r>
    </w:p>
  </w:footnote>
  <w:footnote w:id="77">
    <w:p w:rsidR="00746C14" w:rsidRPr="00E6790A" w:rsidRDefault="00746C14" w:rsidP="008A44A7">
      <w:pPr>
        <w:pStyle w:val="FootnoteText"/>
      </w:pPr>
      <w:r w:rsidRPr="008A44A7">
        <w:rPr>
          <w:rStyle w:val="FootnoteReference"/>
        </w:rPr>
        <w:footnoteRef/>
      </w:r>
      <w:r>
        <w:tab/>
      </w:r>
      <w:r w:rsidRPr="00E6790A">
        <w:t>Right 7:</w:t>
      </w:r>
      <w:r>
        <w:t xml:space="preserve"> </w:t>
      </w:r>
      <w:r w:rsidRPr="00E6790A">
        <w:t>Right to make an informed choice and give informed consent.</w:t>
      </w:r>
    </w:p>
  </w:footnote>
  <w:footnote w:id="78">
    <w:p w:rsidR="00746C14" w:rsidRDefault="00746C14" w:rsidP="008A44A7">
      <w:pPr>
        <w:pStyle w:val="FootnoteText"/>
      </w:pPr>
      <w:r w:rsidRPr="008A44A7">
        <w:rPr>
          <w:rStyle w:val="FootnoteReference"/>
        </w:rPr>
        <w:footnoteRef/>
      </w:r>
      <w:r>
        <w:tab/>
        <w:t>That is the implication from section 92K(3)’s referenced to “until those examinations are completed …” referring back to subsection (2).</w:t>
      </w:r>
    </w:p>
  </w:footnote>
  <w:footnote w:id="79">
    <w:p w:rsidR="00746C14" w:rsidRDefault="00746C14" w:rsidP="008A44A7">
      <w:pPr>
        <w:pStyle w:val="FootnoteText"/>
      </w:pPr>
      <w:r w:rsidRPr="008A44A7">
        <w:rPr>
          <w:rStyle w:val="FootnoteReference"/>
        </w:rPr>
        <w:footnoteRef/>
      </w:r>
      <w:r>
        <w:tab/>
      </w:r>
      <w:r w:rsidRPr="00E6790A">
        <w:t>Section 92K</w:t>
      </w:r>
      <w:r>
        <w:t xml:space="preserve"> of the Health Act</w:t>
      </w:r>
      <w:r w:rsidRPr="00E6790A">
        <w:t>.</w:t>
      </w:r>
    </w:p>
  </w:footnote>
  <w:footnote w:id="80">
    <w:p w:rsidR="00746C14" w:rsidRDefault="00746C14" w:rsidP="008A44A7">
      <w:pPr>
        <w:pStyle w:val="FootnoteText"/>
      </w:pPr>
      <w:r w:rsidRPr="008A44A7">
        <w:rPr>
          <w:rStyle w:val="FootnoteReference"/>
        </w:rPr>
        <w:footnoteRef/>
      </w:r>
      <w:r>
        <w:tab/>
        <w:t>Section 92K(8).</w:t>
      </w:r>
    </w:p>
  </w:footnote>
  <w:footnote w:id="81">
    <w:p w:rsidR="00746C14" w:rsidRDefault="00746C14" w:rsidP="008A44A7">
      <w:pPr>
        <w:pStyle w:val="FootnoteText"/>
      </w:pPr>
      <w:r w:rsidRPr="008A44A7">
        <w:rPr>
          <w:rStyle w:val="FootnoteReference"/>
        </w:rPr>
        <w:footnoteRef/>
      </w:r>
      <w:r>
        <w:tab/>
        <w:t>Section 92K(5) and (6) of the Health Act.</w:t>
      </w:r>
    </w:p>
  </w:footnote>
  <w:footnote w:id="82">
    <w:p w:rsidR="00746C14" w:rsidRPr="00AB2B91" w:rsidRDefault="00746C14" w:rsidP="008A44A7">
      <w:pPr>
        <w:pStyle w:val="FootnoteText"/>
      </w:pPr>
      <w:r w:rsidRPr="008A44A7">
        <w:rPr>
          <w:rStyle w:val="FootnoteReference"/>
        </w:rPr>
        <w:footnoteRef/>
      </w:r>
      <w:r>
        <w:tab/>
      </w:r>
      <w:r w:rsidRPr="00AB2B91">
        <w:t>Section 2</w:t>
      </w:r>
      <w:r>
        <w:t>(1) of the Health Act</w:t>
      </w:r>
      <w:r w:rsidRPr="00AB2B91">
        <w:t>.</w:t>
      </w:r>
    </w:p>
  </w:footnote>
  <w:footnote w:id="83">
    <w:p w:rsidR="00746C14" w:rsidRPr="00AB2B91" w:rsidRDefault="00746C14" w:rsidP="008A44A7">
      <w:pPr>
        <w:pStyle w:val="FootnoteText"/>
      </w:pPr>
      <w:r w:rsidRPr="008A44A7">
        <w:rPr>
          <w:rStyle w:val="FootnoteReference"/>
        </w:rPr>
        <w:footnoteRef/>
      </w:r>
      <w:r>
        <w:tab/>
      </w:r>
      <w:r w:rsidRPr="00AB2B91">
        <w:t>Section 92L</w:t>
      </w:r>
      <w:r>
        <w:t xml:space="preserve"> of the Health Act.</w:t>
      </w:r>
    </w:p>
  </w:footnote>
  <w:footnote w:id="84">
    <w:p w:rsidR="00746C14" w:rsidRDefault="00746C14" w:rsidP="008A44A7">
      <w:pPr>
        <w:pStyle w:val="FootnoteText"/>
      </w:pPr>
      <w:r w:rsidRPr="008A44A7">
        <w:rPr>
          <w:rStyle w:val="FootnoteReference"/>
        </w:rPr>
        <w:footnoteRef/>
      </w:r>
      <w:r>
        <w:tab/>
      </w:r>
      <w:r w:rsidRPr="00AB2B91">
        <w:t xml:space="preserve">Formerly, specified periods applied to a small number of diseases which were listed on Schedule 2 of the HIND </w:t>
      </w:r>
      <w:r>
        <w:t xml:space="preserve">Regulations </w:t>
      </w:r>
      <w:r w:rsidRPr="00AB2B91">
        <w:t xml:space="preserve">1966. For some diseases, the Schedule specified periods of time for which students should be kept </w:t>
      </w:r>
      <w:r w:rsidRPr="006F3C4E">
        <w:rPr>
          <w:spacing w:val="-2"/>
        </w:rPr>
        <w:t>away from school. That Schedule has now been revoked, in favour of more comprehensive and up to date coverage</w:t>
      </w:r>
      <w:r w:rsidRPr="00AB2B91">
        <w:t xml:space="preserve"> in the CD Manual.</w:t>
      </w:r>
      <w:r>
        <w:t xml:space="preserve"> </w:t>
      </w:r>
      <w:hyperlink r:id="rId4" w:history="1">
        <w:r w:rsidRPr="005349A7">
          <w:rPr>
            <w:rStyle w:val="Hyperlink"/>
            <w:rFonts w:cs="Arial"/>
          </w:rPr>
          <w:t>www.health.govt.nz/publication/communicable-disease-control-manual-2012</w:t>
        </w:r>
      </w:hyperlink>
    </w:p>
  </w:footnote>
  <w:footnote w:id="85">
    <w:p w:rsidR="00746C14" w:rsidRPr="00AB2B91" w:rsidRDefault="00746C14" w:rsidP="0010024D">
      <w:pPr>
        <w:pStyle w:val="FootnoteText"/>
      </w:pPr>
      <w:r w:rsidRPr="0010024D">
        <w:rPr>
          <w:rStyle w:val="FootnoteReference"/>
        </w:rPr>
        <w:footnoteRef/>
      </w:r>
      <w:r>
        <w:tab/>
      </w:r>
      <w:r w:rsidRPr="00AB2B91">
        <w:t>Under sections 92I to 92L</w:t>
      </w:r>
      <w:r>
        <w:t xml:space="preserve"> of the Health Act</w:t>
      </w:r>
      <w:r w:rsidRPr="00AB2B91">
        <w:t>.</w:t>
      </w:r>
    </w:p>
  </w:footnote>
  <w:footnote w:id="86">
    <w:p w:rsidR="00746C14" w:rsidRPr="006F3C4E" w:rsidRDefault="00746C14" w:rsidP="0010024D">
      <w:pPr>
        <w:pStyle w:val="FootnoteText"/>
      </w:pPr>
      <w:r w:rsidRPr="0010024D">
        <w:rPr>
          <w:rStyle w:val="FootnoteReference"/>
        </w:rPr>
        <w:footnoteRef/>
      </w:r>
      <w:r>
        <w:tab/>
        <w:t>Section 92N of the Health Act.</w:t>
      </w:r>
    </w:p>
  </w:footnote>
  <w:footnote w:id="87">
    <w:p w:rsidR="00746C14" w:rsidRPr="00D479D7" w:rsidRDefault="00746C14" w:rsidP="0010024D">
      <w:pPr>
        <w:pStyle w:val="FootnoteText"/>
      </w:pPr>
      <w:r w:rsidRPr="0010024D">
        <w:rPr>
          <w:rStyle w:val="FootnoteReference"/>
        </w:rPr>
        <w:footnoteRef/>
      </w:r>
      <w:r>
        <w:tab/>
      </w:r>
      <w:r w:rsidRPr="00D479D7">
        <w:t>Section 92N(2)</w:t>
      </w:r>
      <w:r>
        <w:t xml:space="preserve"> of the Health Act</w:t>
      </w:r>
      <w:r w:rsidRPr="00D479D7">
        <w:t>.</w:t>
      </w:r>
    </w:p>
  </w:footnote>
  <w:footnote w:id="88">
    <w:p w:rsidR="00746C14" w:rsidRPr="00D479D7" w:rsidRDefault="00746C14" w:rsidP="0010024D">
      <w:pPr>
        <w:pStyle w:val="FootnoteText"/>
      </w:pPr>
      <w:r w:rsidRPr="0010024D">
        <w:rPr>
          <w:rStyle w:val="FootnoteReference"/>
        </w:rPr>
        <w:footnoteRef/>
      </w:r>
      <w:r>
        <w:tab/>
      </w:r>
      <w:r w:rsidRPr="00D479D7">
        <w:t>Sections 92Y, 92I(5), 92J(5) and 92K(4).</w:t>
      </w:r>
    </w:p>
  </w:footnote>
  <w:footnote w:id="89">
    <w:p w:rsidR="00746C14" w:rsidRPr="006F3C4E" w:rsidRDefault="00746C14" w:rsidP="0010024D">
      <w:pPr>
        <w:pStyle w:val="FootnoteText"/>
      </w:pPr>
      <w:r w:rsidRPr="0010024D">
        <w:rPr>
          <w:rStyle w:val="FootnoteReference"/>
        </w:rPr>
        <w:footnoteRef/>
      </w:r>
      <w:r>
        <w:tab/>
      </w:r>
      <w:r w:rsidRPr="00D479D7">
        <w:t>Section 92V contains the offence of failing to comply with directions and section 92W the offence to obstruct compliance with directions.</w:t>
      </w:r>
    </w:p>
  </w:footnote>
  <w:footnote w:id="90">
    <w:p w:rsidR="00746C14" w:rsidRPr="00AB2B91" w:rsidRDefault="00746C14" w:rsidP="0010024D">
      <w:pPr>
        <w:pStyle w:val="FootnoteText"/>
      </w:pPr>
      <w:r w:rsidRPr="0010024D">
        <w:rPr>
          <w:rStyle w:val="FootnoteReference"/>
        </w:rPr>
        <w:footnoteRef/>
      </w:r>
      <w:r>
        <w:tab/>
      </w:r>
      <w:r w:rsidRPr="00AB2B91">
        <w:t>Section 92M.</w:t>
      </w:r>
    </w:p>
  </w:footnote>
  <w:footnote w:id="91">
    <w:p w:rsidR="00746C14" w:rsidRPr="00AB2B91" w:rsidRDefault="00746C14" w:rsidP="0010024D">
      <w:pPr>
        <w:pStyle w:val="FootnoteText"/>
      </w:pPr>
      <w:r w:rsidRPr="0010024D">
        <w:rPr>
          <w:rStyle w:val="FootnoteReference"/>
        </w:rPr>
        <w:footnoteRef/>
      </w:r>
      <w:r>
        <w:tab/>
      </w:r>
      <w:r w:rsidRPr="00AB2B91">
        <w:t>Sections 92I(3) and 92J(3).</w:t>
      </w:r>
    </w:p>
  </w:footnote>
  <w:footnote w:id="92">
    <w:p w:rsidR="00746C14" w:rsidRPr="00AB2B91" w:rsidRDefault="00746C14" w:rsidP="0010024D">
      <w:pPr>
        <w:pStyle w:val="FootnoteText"/>
      </w:pPr>
      <w:r w:rsidRPr="0010024D">
        <w:rPr>
          <w:rStyle w:val="FootnoteReference"/>
        </w:rPr>
        <w:footnoteRef/>
      </w:r>
      <w:r>
        <w:tab/>
      </w:r>
      <w:r w:rsidRPr="00AB2B91">
        <w:t>Section 92P.</w:t>
      </w:r>
    </w:p>
  </w:footnote>
  <w:footnote w:id="93">
    <w:p w:rsidR="00746C14" w:rsidRPr="00AB2B91" w:rsidRDefault="00746C14" w:rsidP="0010024D">
      <w:pPr>
        <w:pStyle w:val="FootnoteText"/>
      </w:pPr>
      <w:r w:rsidRPr="0010024D">
        <w:rPr>
          <w:rStyle w:val="FootnoteReference"/>
        </w:rPr>
        <w:footnoteRef/>
      </w:r>
      <w:r>
        <w:tab/>
      </w:r>
      <w:r w:rsidRPr="00AB2B91">
        <w:t>Section 92Q</w:t>
      </w:r>
      <w:r>
        <w:t>(1) of the Health Act.</w:t>
      </w:r>
    </w:p>
  </w:footnote>
  <w:footnote w:id="94">
    <w:p w:rsidR="00746C14" w:rsidRPr="0010024D" w:rsidRDefault="00746C14" w:rsidP="0010024D">
      <w:pPr>
        <w:pStyle w:val="FootnoteText"/>
      </w:pPr>
      <w:r w:rsidRPr="0010024D">
        <w:rPr>
          <w:rStyle w:val="FootnoteReference"/>
        </w:rPr>
        <w:footnoteRef/>
      </w:r>
      <w:r>
        <w:tab/>
      </w:r>
      <w:r w:rsidRPr="00AB2B91">
        <w:t xml:space="preserve">Along with other information requirements in section 92E </w:t>
      </w:r>
      <w:r>
        <w:t xml:space="preserve">of the Health Act </w:t>
      </w:r>
      <w:r w:rsidRPr="00AB2B91">
        <w:t>and regula</w:t>
      </w:r>
      <w:r>
        <w:t>tion 12 of the HIND Regulations 2016.</w:t>
      </w:r>
    </w:p>
  </w:footnote>
  <w:footnote w:id="95">
    <w:p w:rsidR="00746C14" w:rsidRDefault="00746C14" w:rsidP="0010024D">
      <w:pPr>
        <w:pStyle w:val="FootnoteText"/>
      </w:pPr>
      <w:r w:rsidRPr="0010024D">
        <w:rPr>
          <w:rStyle w:val="FootnoteReference"/>
        </w:rPr>
        <w:footnoteRef/>
      </w:r>
      <w:r>
        <w:tab/>
        <w:t>Section 92R of the Health Act.</w:t>
      </w:r>
    </w:p>
  </w:footnote>
  <w:footnote w:id="96">
    <w:p w:rsidR="00746C14" w:rsidRPr="00AB2B91" w:rsidRDefault="00746C14" w:rsidP="0010024D">
      <w:pPr>
        <w:pStyle w:val="FootnoteText"/>
      </w:pPr>
      <w:r w:rsidRPr="0010024D">
        <w:rPr>
          <w:rStyle w:val="FootnoteReference"/>
        </w:rPr>
        <w:footnoteRef/>
      </w:r>
      <w:r>
        <w:tab/>
      </w:r>
      <w:r w:rsidRPr="00AB2B91">
        <w:t>Section 92T</w:t>
      </w:r>
      <w:r>
        <w:t xml:space="preserve"> of the Health Act</w:t>
      </w:r>
      <w:r w:rsidRPr="00AB2B91">
        <w:t>.</w:t>
      </w:r>
    </w:p>
  </w:footnote>
  <w:footnote w:id="97">
    <w:p w:rsidR="00746C14" w:rsidRPr="00AB2B91" w:rsidRDefault="00746C14" w:rsidP="0010024D">
      <w:pPr>
        <w:pStyle w:val="FootnoteText"/>
      </w:pPr>
      <w:r w:rsidRPr="0010024D">
        <w:rPr>
          <w:rStyle w:val="FootnoteReference"/>
        </w:rPr>
        <w:footnoteRef/>
      </w:r>
      <w:r>
        <w:tab/>
      </w:r>
      <w:r w:rsidRPr="00AB2B91">
        <w:t>Rule 18.4</w:t>
      </w:r>
      <w:r>
        <w:t xml:space="preserve"> of the District Court Rules refers to timing and rule 18.6 to service obligations.</w:t>
      </w:r>
    </w:p>
  </w:footnote>
  <w:footnote w:id="98">
    <w:p w:rsidR="00746C14" w:rsidRPr="00AB2B91" w:rsidRDefault="00746C14" w:rsidP="0010024D">
      <w:pPr>
        <w:pStyle w:val="FootnoteText"/>
      </w:pPr>
      <w:r w:rsidRPr="0010024D">
        <w:rPr>
          <w:rStyle w:val="FootnoteReference"/>
        </w:rPr>
        <w:footnoteRef/>
      </w:r>
      <w:r>
        <w:tab/>
      </w:r>
      <w:r w:rsidRPr="00AB2B91">
        <w:t>Rule 18.8</w:t>
      </w:r>
      <w:r>
        <w:t xml:space="preserve"> of the </w:t>
      </w:r>
      <w:r w:rsidRPr="00AB2B91">
        <w:t>District Court Rules.</w:t>
      </w:r>
    </w:p>
  </w:footnote>
  <w:footnote w:id="99">
    <w:p w:rsidR="00746C14" w:rsidRPr="00AB2B91" w:rsidRDefault="00746C14" w:rsidP="0010024D">
      <w:pPr>
        <w:pStyle w:val="FootnoteText"/>
      </w:pPr>
      <w:r w:rsidRPr="0010024D">
        <w:rPr>
          <w:rStyle w:val="FootnoteReference"/>
        </w:rPr>
        <w:footnoteRef/>
      </w:r>
      <w:r>
        <w:tab/>
      </w:r>
      <w:r w:rsidRPr="00AB2B91">
        <w:t>Section 92ZT</w:t>
      </w:r>
      <w:r>
        <w:t>(7</w:t>
      </w:r>
      <w:r w:rsidRPr="00AB2B91">
        <w:t>)</w:t>
      </w:r>
      <w:r>
        <w:t xml:space="preserve"> of the Health Act</w:t>
      </w:r>
      <w:r w:rsidRPr="00AB2B91">
        <w:t>.</w:t>
      </w:r>
    </w:p>
  </w:footnote>
  <w:footnote w:id="100">
    <w:p w:rsidR="00746C14" w:rsidRPr="0010024D" w:rsidRDefault="00746C14" w:rsidP="0010024D">
      <w:pPr>
        <w:pStyle w:val="FootnoteText"/>
      </w:pPr>
      <w:r w:rsidRPr="0010024D">
        <w:rPr>
          <w:rStyle w:val="FootnoteReference"/>
        </w:rPr>
        <w:footnoteRef/>
      </w:r>
      <w:r>
        <w:tab/>
      </w:r>
      <w:r w:rsidRPr="00AB2B91">
        <w:t>Section 92V</w:t>
      </w:r>
      <w:r>
        <w:t xml:space="preserve"> of the Health Act</w:t>
      </w:r>
      <w:r w:rsidRPr="00AB2B91">
        <w:t>.</w:t>
      </w:r>
    </w:p>
  </w:footnote>
  <w:footnote w:id="101">
    <w:p w:rsidR="00746C14" w:rsidRPr="00AB2B91" w:rsidRDefault="00746C14" w:rsidP="0010024D">
      <w:pPr>
        <w:pStyle w:val="FootnoteText"/>
      </w:pPr>
      <w:r w:rsidRPr="0010024D">
        <w:rPr>
          <w:rStyle w:val="FootnoteReference"/>
        </w:rPr>
        <w:footnoteRef/>
      </w:r>
      <w:r>
        <w:tab/>
        <w:t>Section 133 of the Health Act states: “</w:t>
      </w:r>
      <w:r w:rsidRPr="00AB2B91">
        <w:t xml:space="preserve">Every </w:t>
      </w:r>
      <w:r>
        <w:t xml:space="preserve">person </w:t>
      </w:r>
      <w:r w:rsidRPr="00AB2B91">
        <w:t xml:space="preserve">commits an offence against this Act who wilfully obstructs, hinders, or resists any </w:t>
      </w:r>
      <w:r>
        <w:t>person</w:t>
      </w:r>
      <w:r w:rsidRPr="00AB2B91">
        <w:t xml:space="preserve"> in the execution of any powers conferred on him or her pursuant to this Act</w:t>
      </w:r>
      <w:r>
        <w:t>”</w:t>
      </w:r>
      <w:r w:rsidRPr="00AB2B91">
        <w:t>.</w:t>
      </w:r>
    </w:p>
  </w:footnote>
  <w:footnote w:id="102">
    <w:p w:rsidR="00746C14" w:rsidRDefault="00746C14" w:rsidP="0010024D">
      <w:pPr>
        <w:pStyle w:val="FootnoteText"/>
      </w:pPr>
      <w:r w:rsidRPr="0010024D">
        <w:rPr>
          <w:rStyle w:val="FootnoteReference"/>
        </w:rPr>
        <w:footnoteRef/>
      </w:r>
      <w:r>
        <w:tab/>
      </w:r>
      <w:r w:rsidRPr="00AB2B91">
        <w:t>Section 92W</w:t>
      </w:r>
      <w:r>
        <w:t xml:space="preserve"> of the Health Act</w:t>
      </w:r>
      <w:r w:rsidRPr="00AB2B91">
        <w:t>.</w:t>
      </w:r>
    </w:p>
  </w:footnote>
  <w:footnote w:id="103">
    <w:p w:rsidR="00746C14" w:rsidRPr="00AB2B91" w:rsidRDefault="00746C14" w:rsidP="0010024D">
      <w:pPr>
        <w:pStyle w:val="FootnoteText"/>
      </w:pPr>
      <w:r w:rsidRPr="0010024D">
        <w:rPr>
          <w:rStyle w:val="FootnoteReference"/>
        </w:rPr>
        <w:footnoteRef/>
      </w:r>
      <w:r>
        <w:tab/>
        <w:t>Sections 22C(4) and 92U of the Health Act.</w:t>
      </w:r>
    </w:p>
  </w:footnote>
  <w:footnote w:id="104">
    <w:p w:rsidR="00746C14" w:rsidRPr="00AB2B91" w:rsidRDefault="00746C14" w:rsidP="0010024D">
      <w:pPr>
        <w:pStyle w:val="FootnoteText"/>
      </w:pPr>
      <w:r w:rsidRPr="0010024D">
        <w:rPr>
          <w:rStyle w:val="FootnoteReference"/>
        </w:rPr>
        <w:footnoteRef/>
      </w:r>
      <w:r>
        <w:tab/>
      </w:r>
      <w:r w:rsidRPr="00AB2B91">
        <w:t xml:space="preserve">Section 22C(3) of the Health Act says that: </w:t>
      </w:r>
      <w:r>
        <w:t>“</w:t>
      </w:r>
      <w:r w:rsidRPr="00AB2B91">
        <w:t>Information provided or obtained under Part 3A may not be used or disclosed by anyone except as authorised or r</w:t>
      </w:r>
      <w:r>
        <w:t>equired under a provision of this Act</w:t>
      </w:r>
      <w:r w:rsidRPr="00AB2B91">
        <w:t xml:space="preserve"> or another Act</w:t>
      </w:r>
      <w:r>
        <w:t>”</w:t>
      </w:r>
      <w:r w:rsidRPr="00AB2B91">
        <w:t>.</w:t>
      </w:r>
    </w:p>
  </w:footnote>
  <w:footnote w:id="105">
    <w:p w:rsidR="00746C14" w:rsidRPr="0010024D" w:rsidRDefault="00746C14" w:rsidP="0010024D">
      <w:pPr>
        <w:pStyle w:val="FootnoteText"/>
      </w:pPr>
      <w:r w:rsidRPr="0010024D">
        <w:rPr>
          <w:rStyle w:val="FootnoteReference"/>
        </w:rPr>
        <w:footnoteRef/>
      </w:r>
      <w:r>
        <w:tab/>
      </w:r>
      <w:r w:rsidRPr="00AB2B91">
        <w:t>Sections 92I(9), 92J(9)</w:t>
      </w:r>
      <w:r>
        <w:t xml:space="preserve"> and</w:t>
      </w:r>
      <w:r w:rsidRPr="00AB2B91">
        <w:t xml:space="preserve"> 92K(9)</w:t>
      </w:r>
      <w:r>
        <w:t xml:space="preserve"> of the Health Act</w:t>
      </w:r>
      <w:r w:rsidRPr="00AB2B91">
        <w:t>.</w:t>
      </w:r>
    </w:p>
  </w:footnote>
  <w:footnote w:id="106">
    <w:p w:rsidR="00746C14" w:rsidRDefault="00746C14" w:rsidP="005270CC">
      <w:pPr>
        <w:pStyle w:val="FootnoteText"/>
      </w:pPr>
      <w:r w:rsidRPr="005270CC">
        <w:rPr>
          <w:rStyle w:val="FootnoteReference"/>
        </w:rPr>
        <w:footnoteRef/>
      </w:r>
      <w:r>
        <w:tab/>
        <w:t>Defined in section 2(1) of the Health Act, and referred to in the Glossary in Appendix 1.</w:t>
      </w:r>
    </w:p>
  </w:footnote>
  <w:footnote w:id="107">
    <w:p w:rsidR="00746C14" w:rsidRDefault="00746C14" w:rsidP="005270CC">
      <w:pPr>
        <w:pStyle w:val="FootnoteText"/>
      </w:pPr>
      <w:r w:rsidRPr="005270CC">
        <w:rPr>
          <w:rStyle w:val="FootnoteReference"/>
        </w:rPr>
        <w:footnoteRef/>
      </w:r>
      <w:r>
        <w:tab/>
        <w:t>Section 92ZO of the Health Act.</w:t>
      </w:r>
    </w:p>
  </w:footnote>
  <w:footnote w:id="108">
    <w:p w:rsidR="00746C14" w:rsidRPr="00AB2B91" w:rsidRDefault="00746C14" w:rsidP="005270CC">
      <w:pPr>
        <w:pStyle w:val="FootnoteText"/>
      </w:pPr>
      <w:r w:rsidRPr="005270CC">
        <w:rPr>
          <w:rStyle w:val="FootnoteReference"/>
        </w:rPr>
        <w:footnoteRef/>
      </w:r>
      <w:r>
        <w:tab/>
      </w:r>
      <w:r w:rsidRPr="00AB2B91">
        <w:t>Section 92ZA(3)</w:t>
      </w:r>
      <w:r>
        <w:t xml:space="preserve"> of the Health Act</w:t>
      </w:r>
      <w:r w:rsidRPr="00AB2B91">
        <w:t>.</w:t>
      </w:r>
    </w:p>
  </w:footnote>
  <w:footnote w:id="109">
    <w:p w:rsidR="00746C14" w:rsidRPr="00AB2B91" w:rsidRDefault="00746C14" w:rsidP="005270CC">
      <w:pPr>
        <w:pStyle w:val="FootnoteText"/>
      </w:pPr>
      <w:r w:rsidRPr="005270CC">
        <w:rPr>
          <w:rStyle w:val="FootnoteReference"/>
        </w:rPr>
        <w:footnoteRef/>
      </w:r>
      <w:r>
        <w:tab/>
      </w:r>
      <w:r w:rsidRPr="00AB2B91">
        <w:t>Section 92ZO</w:t>
      </w:r>
      <w:r>
        <w:t xml:space="preserve"> of the Health Act</w:t>
      </w:r>
      <w:r w:rsidRPr="00AB2B91">
        <w:t>.</w:t>
      </w:r>
    </w:p>
  </w:footnote>
  <w:footnote w:id="110">
    <w:p w:rsidR="00746C14" w:rsidRPr="005270CC" w:rsidRDefault="00746C14" w:rsidP="005270CC">
      <w:pPr>
        <w:pStyle w:val="FootnoteText"/>
      </w:pPr>
      <w:r w:rsidRPr="005270CC">
        <w:rPr>
          <w:rStyle w:val="FootnoteReference"/>
        </w:rPr>
        <w:footnoteRef/>
      </w:r>
      <w:r>
        <w:tab/>
        <w:t>Section 92B of the Health Act.</w:t>
      </w:r>
    </w:p>
  </w:footnote>
  <w:footnote w:id="111">
    <w:p w:rsidR="00746C14" w:rsidRPr="00AB2B91" w:rsidRDefault="00746C14" w:rsidP="005270CC">
      <w:pPr>
        <w:pStyle w:val="FootnoteText"/>
      </w:pPr>
      <w:r w:rsidRPr="005270CC">
        <w:rPr>
          <w:rStyle w:val="FootnoteReference"/>
        </w:rPr>
        <w:footnoteRef/>
      </w:r>
      <w:r>
        <w:tab/>
      </w:r>
      <w:r w:rsidRPr="00AB2B91">
        <w:t>Section 92ZP</w:t>
      </w:r>
      <w:r>
        <w:t xml:space="preserve"> of the Health Act</w:t>
      </w:r>
      <w:r w:rsidRPr="00AB2B91">
        <w:t>.</w:t>
      </w:r>
    </w:p>
  </w:footnote>
  <w:footnote w:id="112">
    <w:p w:rsidR="00746C14" w:rsidRDefault="00746C14" w:rsidP="005270CC">
      <w:pPr>
        <w:pStyle w:val="FootnoteText"/>
      </w:pPr>
      <w:r w:rsidRPr="005270CC">
        <w:rPr>
          <w:rStyle w:val="FootnoteReference"/>
        </w:rPr>
        <w:footnoteRef/>
      </w:r>
      <w:r>
        <w:tab/>
      </w:r>
      <w:r w:rsidRPr="00AB2B91">
        <w:t>Section 92E sets out the range of information requirements which must be covered.</w:t>
      </w:r>
      <w:r>
        <w:t xml:space="preserve"> </w:t>
      </w:r>
      <w:r w:rsidRPr="00AB2B91">
        <w:t>These are</w:t>
      </w:r>
      <w:r>
        <w:t xml:space="preserve"> </w:t>
      </w:r>
      <w:r w:rsidRPr="00AB2B91">
        <w:t xml:space="preserve">supplemented by the HIND Regulations </w:t>
      </w:r>
      <w:r>
        <w:t xml:space="preserve">2016 </w:t>
      </w:r>
      <w:r w:rsidRPr="00AB2B91">
        <w:t>– regulation 12.</w:t>
      </w:r>
    </w:p>
  </w:footnote>
  <w:footnote w:id="113">
    <w:p w:rsidR="00746C14" w:rsidRPr="00AB2B91" w:rsidRDefault="00746C14" w:rsidP="005270CC">
      <w:pPr>
        <w:pStyle w:val="FootnoteText"/>
      </w:pPr>
      <w:r w:rsidRPr="005270CC">
        <w:rPr>
          <w:rStyle w:val="FootnoteReference"/>
        </w:rPr>
        <w:footnoteRef/>
      </w:r>
      <w:r>
        <w:tab/>
      </w:r>
      <w:r w:rsidRPr="00AB2B91">
        <w:t xml:space="preserve">Section 92E </w:t>
      </w:r>
      <w:r>
        <w:t xml:space="preserve">of the Health Act </w:t>
      </w:r>
      <w:r w:rsidRPr="00AB2B91">
        <w:t>and regulation 12 of the HIND Regulations 2016.</w:t>
      </w:r>
    </w:p>
  </w:footnote>
  <w:footnote w:id="114">
    <w:p w:rsidR="00746C14" w:rsidRPr="00AB2B91" w:rsidRDefault="00746C14" w:rsidP="005270CC">
      <w:pPr>
        <w:pStyle w:val="FootnoteText"/>
      </w:pPr>
      <w:r w:rsidRPr="005270CC">
        <w:rPr>
          <w:rStyle w:val="FootnoteReference"/>
        </w:rPr>
        <w:footnoteRef/>
      </w:r>
      <w:r>
        <w:tab/>
      </w:r>
      <w:r w:rsidRPr="00AB2B91">
        <w:t>In section 92ZT or 92ZU</w:t>
      </w:r>
      <w:r>
        <w:t xml:space="preserve"> of the Health Act</w:t>
      </w:r>
      <w:r w:rsidRPr="00AB2B91">
        <w:t>.</w:t>
      </w:r>
    </w:p>
  </w:footnote>
  <w:footnote w:id="115">
    <w:p w:rsidR="00746C14" w:rsidRPr="005270CC" w:rsidRDefault="00746C14" w:rsidP="005270CC">
      <w:pPr>
        <w:pStyle w:val="FootnoteText"/>
      </w:pPr>
      <w:r w:rsidRPr="005270CC">
        <w:rPr>
          <w:rStyle w:val="FootnoteReference"/>
        </w:rPr>
        <w:footnoteRef/>
      </w:r>
      <w:r>
        <w:tab/>
      </w:r>
      <w:r w:rsidRPr="00AB2B91">
        <w:t>The</w:t>
      </w:r>
      <w:r>
        <w:t xml:space="preserve"> templates for</w:t>
      </w:r>
      <w:r w:rsidRPr="00AB2B91">
        <w:t xml:space="preserve"> </w:t>
      </w:r>
      <w:r>
        <w:t xml:space="preserve">directions and urgent public health orders in chapter 11 </w:t>
      </w:r>
      <w:r w:rsidRPr="00AB2B91">
        <w:t xml:space="preserve">of this </w:t>
      </w:r>
      <w:r>
        <w:t>g</w:t>
      </w:r>
      <w:r w:rsidRPr="00AB2B91">
        <w:t xml:space="preserve">uidance refer to </w:t>
      </w:r>
      <w:r>
        <w:t>the Ministry of Justice’s information on legal help for going to court (</w:t>
      </w:r>
      <w:r w:rsidRPr="00AB2B91">
        <w:t>www.justice.govt.nz/Courts/going-to-court/legal-aid/legal-help</w:t>
      </w:r>
      <w:r>
        <w:t>)</w:t>
      </w:r>
      <w:r w:rsidRPr="00AB2B91">
        <w:t>.</w:t>
      </w:r>
    </w:p>
  </w:footnote>
  <w:footnote w:id="116">
    <w:p w:rsidR="00746C14" w:rsidRDefault="00746C14" w:rsidP="005270CC">
      <w:pPr>
        <w:pStyle w:val="FootnoteText"/>
      </w:pPr>
      <w:r w:rsidRPr="005270CC">
        <w:rPr>
          <w:rStyle w:val="FootnoteReference"/>
        </w:rPr>
        <w:footnoteRef/>
      </w:r>
      <w:r>
        <w:tab/>
      </w:r>
      <w:r w:rsidRPr="00AB2B91">
        <w:t>In section 92ZB</w:t>
      </w:r>
      <w:r>
        <w:t xml:space="preserve"> of the Health Act</w:t>
      </w:r>
      <w:r w:rsidRPr="00AB2B91">
        <w:t>.</w:t>
      </w:r>
    </w:p>
  </w:footnote>
  <w:footnote w:id="117">
    <w:p w:rsidR="00746C14" w:rsidRPr="005270CC" w:rsidRDefault="00746C14" w:rsidP="005270CC">
      <w:pPr>
        <w:pStyle w:val="FootnoteText"/>
      </w:pPr>
      <w:r w:rsidRPr="005270CC">
        <w:rPr>
          <w:rStyle w:val="FootnoteReference"/>
        </w:rPr>
        <w:footnoteRef/>
      </w:r>
      <w:r>
        <w:tab/>
        <w:t>Section 92ZH of the Health Act.</w:t>
      </w:r>
    </w:p>
  </w:footnote>
  <w:footnote w:id="118">
    <w:p w:rsidR="00746C14" w:rsidRDefault="00746C14" w:rsidP="005270CC">
      <w:pPr>
        <w:pStyle w:val="FootnoteText"/>
      </w:pPr>
      <w:r w:rsidRPr="005270CC">
        <w:rPr>
          <w:rStyle w:val="FootnoteReference"/>
        </w:rPr>
        <w:footnoteRef/>
      </w:r>
      <w:r>
        <w:tab/>
        <w:t>Section 92ZH (6).</w:t>
      </w:r>
    </w:p>
  </w:footnote>
  <w:footnote w:id="119">
    <w:p w:rsidR="00746C14" w:rsidRDefault="00746C14" w:rsidP="00B628FC">
      <w:pPr>
        <w:pStyle w:val="FootnoteText"/>
      </w:pPr>
      <w:r w:rsidRPr="00B628FC">
        <w:rPr>
          <w:rStyle w:val="FootnoteReference"/>
        </w:rPr>
        <w:footnoteRef/>
      </w:r>
      <w:r>
        <w:tab/>
        <w:t>Section 92ZH(1).</w:t>
      </w:r>
    </w:p>
  </w:footnote>
  <w:footnote w:id="120">
    <w:p w:rsidR="00746C14" w:rsidRPr="00D479D7" w:rsidRDefault="00746C14" w:rsidP="00E15AC0">
      <w:pPr>
        <w:pStyle w:val="FootnoteText"/>
      </w:pPr>
      <w:r w:rsidRPr="00E15AC0">
        <w:rPr>
          <w:rStyle w:val="FootnoteReference"/>
        </w:rPr>
        <w:footnoteRef/>
      </w:r>
      <w:r>
        <w:tab/>
      </w:r>
      <w:r w:rsidRPr="00D479D7">
        <w:t>Section 92Z</w:t>
      </w:r>
      <w:r>
        <w:t>J(2).</w:t>
      </w:r>
    </w:p>
  </w:footnote>
  <w:footnote w:id="121">
    <w:p w:rsidR="00746C14" w:rsidRPr="00AB2B91" w:rsidRDefault="00746C14" w:rsidP="00E15AC0">
      <w:pPr>
        <w:pStyle w:val="FootnoteText"/>
      </w:pPr>
      <w:r w:rsidRPr="00E15AC0">
        <w:rPr>
          <w:rStyle w:val="FootnoteReference"/>
        </w:rPr>
        <w:footnoteRef/>
      </w:r>
      <w:r>
        <w:tab/>
        <w:t>R</w:t>
      </w:r>
      <w:r w:rsidRPr="00AB2B91">
        <w:t>ule 20.13(1)(O)</w:t>
      </w:r>
      <w:r>
        <w:t xml:space="preserve"> of the</w:t>
      </w:r>
      <w:r w:rsidRPr="00AB2B91">
        <w:t xml:space="preserve"> District Court Rules 2014 provides for orders sought under Part 3A of the Health Act to be commenced by way of originating application.</w:t>
      </w:r>
    </w:p>
  </w:footnote>
  <w:footnote w:id="122">
    <w:p w:rsidR="00746C14" w:rsidRPr="00AB2B91" w:rsidRDefault="00746C14" w:rsidP="00E15AC0">
      <w:pPr>
        <w:pStyle w:val="FootnoteText"/>
      </w:pPr>
      <w:r w:rsidRPr="00E15AC0">
        <w:rPr>
          <w:rStyle w:val="FootnoteReference"/>
        </w:rPr>
        <w:footnoteRef/>
      </w:r>
      <w:r>
        <w:tab/>
      </w:r>
      <w:r w:rsidRPr="00AB2B91">
        <w:t>Section 92ZK</w:t>
      </w:r>
      <w:r>
        <w:t>(1) of the Health Act says that the District Court has jurisdiction. Subsection (2) provides that every proceeding for appeals and applications for orders under Part 3A must , if practicable, having regard to the time required and to the availability of Judges and court staff and resources, be heard and determined by a Family Court Judge.</w:t>
      </w:r>
    </w:p>
  </w:footnote>
  <w:footnote w:id="123">
    <w:p w:rsidR="00746C14" w:rsidRPr="00AB2B91" w:rsidRDefault="00746C14" w:rsidP="00E15AC0">
      <w:pPr>
        <w:pStyle w:val="FootnoteText"/>
      </w:pPr>
      <w:r w:rsidRPr="00E15AC0">
        <w:rPr>
          <w:rStyle w:val="FootnoteReference"/>
        </w:rPr>
        <w:footnoteRef/>
      </w:r>
      <w:r>
        <w:tab/>
        <w:t>Two such are the Ministry of Justice’s website</w:t>
      </w:r>
      <w:r w:rsidRPr="00E764F3">
        <w:t xml:space="preserve"> (</w:t>
      </w:r>
      <w:hyperlink r:id="rId5" w:history="1">
        <w:r w:rsidRPr="00E764F3">
          <w:rPr>
            <w:rStyle w:val="Hyperlink"/>
            <w:rFonts w:cs="Arial"/>
          </w:rPr>
          <w:t>www.justice.govt.nz</w:t>
        </w:r>
      </w:hyperlink>
      <w:r w:rsidRPr="00E764F3">
        <w:rPr>
          <w:rStyle w:val="Hyperlink"/>
          <w:rFonts w:cs="Arial"/>
        </w:rPr>
        <w:t>) and the Courts of New Zealand website (</w:t>
      </w:r>
      <w:hyperlink r:id="rId6" w:history="1">
        <w:r w:rsidRPr="00E764F3">
          <w:rPr>
            <w:rStyle w:val="Hyperlink"/>
            <w:rFonts w:cs="Arial"/>
          </w:rPr>
          <w:t>www.Courtsofnz.govt.nz</w:t>
        </w:r>
      </w:hyperlink>
      <w:r w:rsidRPr="00E764F3">
        <w:rPr>
          <w:rStyle w:val="Hyperlink"/>
          <w:rFonts w:cs="Arial"/>
        </w:rPr>
        <w:t>)</w:t>
      </w:r>
      <w:r w:rsidRPr="00E764F3">
        <w:t>.</w:t>
      </w:r>
    </w:p>
  </w:footnote>
  <w:footnote w:id="124">
    <w:p w:rsidR="00746C14" w:rsidRPr="00AB2B91" w:rsidRDefault="00746C14" w:rsidP="00E15AC0">
      <w:pPr>
        <w:pStyle w:val="FootnoteText"/>
      </w:pPr>
      <w:r w:rsidRPr="00E15AC0">
        <w:rPr>
          <w:rStyle w:val="FootnoteReference"/>
        </w:rPr>
        <w:footnoteRef/>
      </w:r>
      <w:r>
        <w:tab/>
        <w:t>Section 92ZN(3) of the Health Act.</w:t>
      </w:r>
    </w:p>
  </w:footnote>
  <w:footnote w:id="125">
    <w:p w:rsidR="00746C14" w:rsidRPr="00AB2B91" w:rsidRDefault="00746C14" w:rsidP="00E15AC0">
      <w:pPr>
        <w:pStyle w:val="FootnoteText"/>
      </w:pPr>
      <w:r w:rsidRPr="00E15AC0">
        <w:rPr>
          <w:rStyle w:val="FootnoteReference"/>
        </w:rPr>
        <w:footnoteRef/>
      </w:r>
      <w:r>
        <w:tab/>
      </w:r>
      <w:r w:rsidRPr="00AB2B91">
        <w:t>Section 92ZN(2).</w:t>
      </w:r>
    </w:p>
  </w:footnote>
  <w:footnote w:id="126">
    <w:p w:rsidR="00746C14" w:rsidRPr="00AB2B91" w:rsidRDefault="00746C14" w:rsidP="00E15AC0">
      <w:pPr>
        <w:pStyle w:val="FootnoteText"/>
      </w:pPr>
      <w:r w:rsidRPr="00E15AC0">
        <w:rPr>
          <w:rStyle w:val="FootnoteReference"/>
        </w:rPr>
        <w:footnoteRef/>
      </w:r>
      <w:r>
        <w:tab/>
      </w:r>
      <w:r w:rsidRPr="00AB2B91">
        <w:t>Section 92</w:t>
      </w:r>
      <w:r>
        <w:t>ZE(2) of the Health Act</w:t>
      </w:r>
      <w:r w:rsidRPr="00AB2B91">
        <w:t>.</w:t>
      </w:r>
    </w:p>
  </w:footnote>
  <w:footnote w:id="127">
    <w:p w:rsidR="00746C14" w:rsidRPr="00B42C53" w:rsidRDefault="00746C14" w:rsidP="00E15AC0">
      <w:pPr>
        <w:pStyle w:val="FootnoteText"/>
        <w:rPr>
          <w:rFonts w:ascii="Arial" w:hAnsi="Arial"/>
        </w:rPr>
      </w:pPr>
      <w:r w:rsidRPr="00E15AC0">
        <w:rPr>
          <w:rStyle w:val="FootnoteReference"/>
        </w:rPr>
        <w:footnoteRef/>
      </w:r>
      <w:r>
        <w:tab/>
      </w:r>
      <w:r w:rsidRPr="00AB2B91">
        <w:t>Section 92</w:t>
      </w:r>
      <w:r>
        <w:t>ZE</w:t>
      </w:r>
      <w:r w:rsidRPr="00AB2B91">
        <w:t>(</w:t>
      </w:r>
      <w:r>
        <w:t>4</w:t>
      </w:r>
      <w:r w:rsidRPr="00AB2B91">
        <w:t>).</w:t>
      </w:r>
    </w:p>
  </w:footnote>
  <w:footnote w:id="128">
    <w:p w:rsidR="00746C14" w:rsidRPr="00D479D7" w:rsidRDefault="00746C14" w:rsidP="00E15AC0">
      <w:pPr>
        <w:pStyle w:val="FootnoteText"/>
      </w:pPr>
      <w:r w:rsidRPr="00E15AC0">
        <w:rPr>
          <w:rStyle w:val="FootnoteReference"/>
        </w:rPr>
        <w:footnoteRef/>
      </w:r>
      <w:r>
        <w:tab/>
        <w:t>On o</w:t>
      </w:r>
      <w:r w:rsidRPr="00D479D7">
        <w:t>rder</w:t>
      </w:r>
      <w:r>
        <w:t>s</w:t>
      </w:r>
      <w:r w:rsidRPr="00D479D7">
        <w:t xml:space="preserve"> for contact, see section 92ZJ</w:t>
      </w:r>
      <w:r>
        <w:t xml:space="preserve"> of the Health Act</w:t>
      </w:r>
      <w:r w:rsidRPr="00D479D7">
        <w:t>.</w:t>
      </w:r>
      <w:r>
        <w:t xml:space="preserve"> On e</w:t>
      </w:r>
      <w:r w:rsidRPr="00D479D7">
        <w:t>xamination order</w:t>
      </w:r>
      <w:r>
        <w:t>s</w:t>
      </w:r>
      <w:r w:rsidRPr="00D479D7">
        <w:t xml:space="preserve"> see section 92ZH</w:t>
      </w:r>
      <w:r>
        <w:t xml:space="preserve"> of the Act</w:t>
      </w:r>
      <w:r w:rsidRPr="00D479D7">
        <w:t>.</w:t>
      </w:r>
    </w:p>
  </w:footnote>
  <w:footnote w:id="129">
    <w:p w:rsidR="00746C14" w:rsidRPr="00D479D7" w:rsidRDefault="00746C14" w:rsidP="00E15AC0">
      <w:pPr>
        <w:pStyle w:val="FootnoteText"/>
      </w:pPr>
      <w:r w:rsidRPr="00E15AC0">
        <w:rPr>
          <w:rStyle w:val="FootnoteReference"/>
        </w:rPr>
        <w:footnoteRef/>
      </w:r>
      <w:r>
        <w:tab/>
      </w:r>
      <w:r w:rsidRPr="00D479D7">
        <w:t xml:space="preserve">See sections 92ZH(3) and 92ZJ(2) </w:t>
      </w:r>
      <w:r>
        <w:t xml:space="preserve">of the Health Act </w:t>
      </w:r>
      <w:r w:rsidRPr="00D479D7">
        <w:t xml:space="preserve">which apply several of the conditions in a public health order under section 92ZA to </w:t>
      </w:r>
      <w:r>
        <w:t>medical</w:t>
      </w:r>
      <w:r w:rsidRPr="00D479D7">
        <w:t xml:space="preserve"> examination orders and orders for contacts, respectively.</w:t>
      </w:r>
    </w:p>
  </w:footnote>
  <w:footnote w:id="130">
    <w:p w:rsidR="00746C14" w:rsidRDefault="00746C14" w:rsidP="00E15AC0">
      <w:pPr>
        <w:pStyle w:val="FootnoteText"/>
      </w:pPr>
      <w:r w:rsidRPr="00E15AC0">
        <w:rPr>
          <w:rStyle w:val="FootnoteReference"/>
        </w:rPr>
        <w:footnoteRef/>
      </w:r>
      <w:r>
        <w:tab/>
        <w:t>Section 92ZQ of the Health Act.</w:t>
      </w:r>
    </w:p>
  </w:footnote>
  <w:footnote w:id="131">
    <w:p w:rsidR="00746C14" w:rsidRPr="00E15AC0" w:rsidRDefault="00746C14" w:rsidP="00E15AC0">
      <w:pPr>
        <w:pStyle w:val="FootnoteText"/>
      </w:pPr>
      <w:r w:rsidRPr="00E15AC0">
        <w:rPr>
          <w:rStyle w:val="FootnoteReference"/>
        </w:rPr>
        <w:footnoteRef/>
      </w:r>
      <w:r>
        <w:tab/>
        <w:t>Section 92ZN of the Health Act.</w:t>
      </w:r>
    </w:p>
  </w:footnote>
  <w:footnote w:id="132">
    <w:p w:rsidR="00746C14" w:rsidRDefault="00746C14" w:rsidP="00E15AC0">
      <w:pPr>
        <w:pStyle w:val="FootnoteText"/>
      </w:pPr>
      <w:r w:rsidRPr="00E15AC0">
        <w:rPr>
          <w:rStyle w:val="FootnoteReference"/>
        </w:rPr>
        <w:footnoteRef/>
      </w:r>
      <w:r>
        <w:tab/>
        <w:t>Section 92ZD of the Health Act refers to extensions and only refers to public health orders; section 92ZR of the Act refers to cancelling or varying and applies to orders generally.</w:t>
      </w:r>
    </w:p>
  </w:footnote>
  <w:footnote w:id="133">
    <w:p w:rsidR="00746C14" w:rsidRDefault="00746C14" w:rsidP="00E15AC0">
      <w:pPr>
        <w:pStyle w:val="FootnoteText"/>
      </w:pPr>
      <w:r w:rsidRPr="00E15AC0">
        <w:rPr>
          <w:rStyle w:val="FootnoteReference"/>
        </w:rPr>
        <w:footnoteRef/>
      </w:r>
      <w:r>
        <w:tab/>
        <w:t>Section 92ZR(1) and (2) provide for variation and cancellation but not extension. Although section 92ZQ(3), relating to extensions, is not on its face limited to public health orders, its cross-reference to section 92ZD, which only refers to public health orders, suggests that medical examination orders and orders for contacts cannot be extended.</w:t>
      </w:r>
    </w:p>
  </w:footnote>
  <w:footnote w:id="134">
    <w:p w:rsidR="00746C14" w:rsidRDefault="00746C14" w:rsidP="0021341E">
      <w:pPr>
        <w:pStyle w:val="FootnoteText"/>
      </w:pPr>
      <w:r w:rsidRPr="0021341E">
        <w:rPr>
          <w:rStyle w:val="FootnoteReference"/>
        </w:rPr>
        <w:footnoteRef/>
      </w:r>
      <w:r>
        <w:tab/>
        <w:t>Section 92ZR(4) (variations).</w:t>
      </w:r>
    </w:p>
  </w:footnote>
  <w:footnote w:id="135">
    <w:p w:rsidR="00746C14" w:rsidRPr="00D479D7" w:rsidRDefault="00746C14" w:rsidP="0021341E">
      <w:pPr>
        <w:pStyle w:val="FootnoteText"/>
      </w:pPr>
      <w:r w:rsidRPr="0021341E">
        <w:rPr>
          <w:rStyle w:val="FootnoteReference"/>
        </w:rPr>
        <w:footnoteRef/>
      </w:r>
      <w:r>
        <w:tab/>
      </w:r>
      <w:r w:rsidRPr="00D479D7">
        <w:t>S</w:t>
      </w:r>
      <w:r>
        <w:t>ee s</w:t>
      </w:r>
      <w:r w:rsidRPr="00D479D7">
        <w:t xml:space="preserve">ection 92ZC(3)(d) </w:t>
      </w:r>
      <w:r>
        <w:t xml:space="preserve">on </w:t>
      </w:r>
      <w:r w:rsidRPr="00D479D7">
        <w:t xml:space="preserve">public health orders and section 92ZJ(4) </w:t>
      </w:r>
      <w:r>
        <w:t xml:space="preserve">on </w:t>
      </w:r>
      <w:r w:rsidRPr="00D479D7">
        <w:t xml:space="preserve">orders for contacts. An application to cancel a </w:t>
      </w:r>
      <w:r>
        <w:t>medical</w:t>
      </w:r>
      <w:r w:rsidRPr="00D479D7">
        <w:t xml:space="preserve"> examination order is not</w:t>
      </w:r>
      <w:r>
        <w:t xml:space="preserve"> necessary because, according to section 92ZH(6), the order </w:t>
      </w:r>
      <w:r w:rsidRPr="00D479D7">
        <w:t xml:space="preserve">will lapse once the individual has been examined and </w:t>
      </w:r>
      <w:r>
        <w:t xml:space="preserve">the disease’s presence or absence </w:t>
      </w:r>
      <w:r w:rsidRPr="00D479D7">
        <w:t>has been established.</w:t>
      </w:r>
    </w:p>
  </w:footnote>
  <w:footnote w:id="136">
    <w:p w:rsidR="00746C14" w:rsidRPr="0021341E" w:rsidRDefault="00746C14" w:rsidP="0021341E">
      <w:pPr>
        <w:pStyle w:val="FootnoteText"/>
      </w:pPr>
      <w:r w:rsidRPr="0021341E">
        <w:rPr>
          <w:rStyle w:val="FootnoteReference"/>
        </w:rPr>
        <w:footnoteRef/>
      </w:r>
      <w:r>
        <w:tab/>
      </w:r>
      <w:r w:rsidRPr="00D479D7">
        <w:t>Section 92ZR(5).</w:t>
      </w:r>
    </w:p>
  </w:footnote>
  <w:footnote w:id="137">
    <w:p w:rsidR="00746C14" w:rsidRPr="0021341E" w:rsidRDefault="00746C14" w:rsidP="0021341E">
      <w:pPr>
        <w:pStyle w:val="FootnoteText"/>
      </w:pPr>
      <w:r w:rsidRPr="0021341E">
        <w:rPr>
          <w:rStyle w:val="FootnoteReference"/>
        </w:rPr>
        <w:footnoteRef/>
      </w:r>
      <w:r>
        <w:tab/>
      </w:r>
      <w:r w:rsidRPr="00AB2B91">
        <w:t>This is the effect of section 92ZR(3).</w:t>
      </w:r>
    </w:p>
  </w:footnote>
  <w:footnote w:id="138">
    <w:p w:rsidR="00746C14" w:rsidRPr="00AB2B91" w:rsidRDefault="00746C14" w:rsidP="0021341E">
      <w:pPr>
        <w:pStyle w:val="FootnoteText"/>
      </w:pPr>
      <w:r w:rsidRPr="0021341E">
        <w:rPr>
          <w:rStyle w:val="FootnoteReference"/>
        </w:rPr>
        <w:footnoteRef/>
      </w:r>
      <w:r>
        <w:tab/>
      </w:r>
      <w:r w:rsidRPr="00AB2B91">
        <w:t>Section 92ZH(3) contemplates that conditions will only apply until examinations are completed</w:t>
      </w:r>
      <w:r>
        <w:t xml:space="preserve"> and diagnosis confirmed</w:t>
      </w:r>
      <w:r w:rsidRPr="00AB2B91">
        <w:t>.</w:t>
      </w:r>
    </w:p>
  </w:footnote>
  <w:footnote w:id="139">
    <w:p w:rsidR="00746C14" w:rsidRDefault="00746C14" w:rsidP="0021341E">
      <w:pPr>
        <w:pStyle w:val="FootnoteText"/>
      </w:pPr>
      <w:r w:rsidRPr="0021341E">
        <w:rPr>
          <w:rStyle w:val="FootnoteReference"/>
        </w:rPr>
        <w:footnoteRef/>
      </w:r>
      <w:r>
        <w:tab/>
        <w:t>Section 92ZR.</w:t>
      </w:r>
    </w:p>
  </w:footnote>
  <w:footnote w:id="140">
    <w:p w:rsidR="00746C14" w:rsidRPr="00AB2B91" w:rsidRDefault="00746C14" w:rsidP="0021341E">
      <w:pPr>
        <w:pStyle w:val="FootnoteText"/>
      </w:pPr>
      <w:r w:rsidRPr="0021341E">
        <w:rPr>
          <w:rStyle w:val="FootnoteReference"/>
        </w:rPr>
        <w:footnoteRef/>
      </w:r>
      <w:r>
        <w:tab/>
      </w:r>
      <w:r w:rsidRPr="00AB2B91">
        <w:t>Section 92ZT(3).</w:t>
      </w:r>
    </w:p>
  </w:footnote>
  <w:footnote w:id="141">
    <w:p w:rsidR="00746C14" w:rsidRPr="00AB2B91" w:rsidRDefault="00746C14" w:rsidP="0021341E">
      <w:pPr>
        <w:pStyle w:val="FootnoteText"/>
      </w:pPr>
      <w:r w:rsidRPr="0021341E">
        <w:rPr>
          <w:rStyle w:val="FootnoteReference"/>
        </w:rPr>
        <w:footnoteRef/>
      </w:r>
      <w:r>
        <w:tab/>
        <w:t>For example, under</w:t>
      </w:r>
      <w:r w:rsidRPr="00AB2B91">
        <w:t xml:space="preserve"> rule 20.10(1) and (2) </w:t>
      </w:r>
      <w:r>
        <w:t>of the High Court Rules 2016.</w:t>
      </w:r>
    </w:p>
  </w:footnote>
  <w:footnote w:id="142">
    <w:p w:rsidR="00746C14" w:rsidRDefault="00746C14" w:rsidP="0021341E">
      <w:pPr>
        <w:pStyle w:val="FootnoteText"/>
      </w:pPr>
      <w:r w:rsidRPr="0021341E">
        <w:rPr>
          <w:rStyle w:val="FootnoteReference"/>
        </w:rPr>
        <w:footnoteRef/>
      </w:r>
      <w:r>
        <w:tab/>
      </w:r>
      <w:r w:rsidRPr="00AB2B91">
        <w:t>Section 92ZT(7).</w:t>
      </w:r>
    </w:p>
  </w:footnote>
  <w:footnote w:id="143">
    <w:p w:rsidR="00746C14" w:rsidRPr="00AB2B91" w:rsidRDefault="00746C14" w:rsidP="0021341E">
      <w:pPr>
        <w:pStyle w:val="FootnoteText"/>
      </w:pPr>
      <w:r w:rsidRPr="0021341E">
        <w:rPr>
          <w:rStyle w:val="FootnoteReference"/>
        </w:rPr>
        <w:footnoteRef/>
      </w:r>
      <w:r>
        <w:tab/>
      </w:r>
      <w:r w:rsidRPr="00AB2B91">
        <w:t>Rules 20.4-5 High Court Rules.</w:t>
      </w:r>
      <w:r>
        <w:t xml:space="preserve"> </w:t>
      </w:r>
      <w:r w:rsidRPr="00AB2B91">
        <w:t>In the case of appeals to the H</w:t>
      </w:r>
      <w:r>
        <w:t>igh Court, sections 124 to 130 of the District Court</w:t>
      </w:r>
      <w:r w:rsidRPr="00AB2B91">
        <w:t>s Act</w:t>
      </w:r>
      <w:r>
        <w:t xml:space="preserve"> 20</w:t>
      </w:r>
      <w:r w:rsidRPr="00AB2B91">
        <w:t>1</w:t>
      </w:r>
      <w:r>
        <w:t>6</w:t>
      </w:r>
      <w:r w:rsidRPr="00AB2B91">
        <w:t>, and Part 20 of the High Court Rules apply.</w:t>
      </w:r>
    </w:p>
  </w:footnote>
  <w:footnote w:id="144">
    <w:p w:rsidR="00746C14" w:rsidRPr="00AB2B91" w:rsidRDefault="00746C14" w:rsidP="0021341E">
      <w:pPr>
        <w:pStyle w:val="FootnoteText"/>
      </w:pPr>
      <w:r w:rsidRPr="0021341E">
        <w:rPr>
          <w:rStyle w:val="FootnoteReference"/>
        </w:rPr>
        <w:footnoteRef/>
      </w:r>
      <w:r>
        <w:tab/>
      </w:r>
      <w:r w:rsidRPr="00AB2B91">
        <w:t>Extensions are dealt with in rule</w:t>
      </w:r>
      <w:r>
        <w:t>s</w:t>
      </w:r>
      <w:r w:rsidRPr="00AB2B91">
        <w:t xml:space="preserve"> 29A, 29(1)(b) and 14(2).</w:t>
      </w:r>
    </w:p>
  </w:footnote>
  <w:footnote w:id="145">
    <w:p w:rsidR="00746C14" w:rsidRPr="00AB2B91" w:rsidRDefault="00746C14" w:rsidP="0021341E">
      <w:pPr>
        <w:pStyle w:val="FootnoteText"/>
      </w:pPr>
      <w:r w:rsidRPr="0021341E">
        <w:rPr>
          <w:rStyle w:val="FootnoteReference"/>
        </w:rPr>
        <w:footnoteRef/>
      </w:r>
      <w:r>
        <w:tab/>
      </w:r>
      <w:r w:rsidRPr="00AB2B91">
        <w:t>Section 92ZT</w:t>
      </w:r>
      <w:r>
        <w:t xml:space="preserve"> of the Health Act</w:t>
      </w:r>
      <w:r w:rsidRPr="00AB2B91">
        <w:t>.</w:t>
      </w:r>
    </w:p>
  </w:footnote>
  <w:footnote w:id="146">
    <w:p w:rsidR="00746C14" w:rsidRPr="00AB2B91" w:rsidRDefault="00746C14" w:rsidP="0021341E">
      <w:pPr>
        <w:pStyle w:val="FootnoteText"/>
      </w:pPr>
      <w:r w:rsidRPr="0021341E">
        <w:rPr>
          <w:rStyle w:val="FootnoteReference"/>
        </w:rPr>
        <w:footnoteRef/>
      </w:r>
      <w:r>
        <w:tab/>
      </w:r>
      <w:r w:rsidRPr="00AB2B91">
        <w:t>Rule 20.9.</w:t>
      </w:r>
    </w:p>
  </w:footnote>
  <w:footnote w:id="147">
    <w:p w:rsidR="00746C14" w:rsidRPr="0021341E" w:rsidRDefault="00746C14" w:rsidP="0021341E">
      <w:pPr>
        <w:pStyle w:val="FootnoteText"/>
      </w:pPr>
      <w:r w:rsidRPr="0021341E">
        <w:rPr>
          <w:rStyle w:val="FootnoteReference"/>
        </w:rPr>
        <w:footnoteRef/>
      </w:r>
      <w:r>
        <w:tab/>
      </w:r>
      <w:r w:rsidRPr="00AB2B91">
        <w:t>Section 92ZT(</w:t>
      </w:r>
      <w:r>
        <w:t>5</w:t>
      </w:r>
      <w:r w:rsidRPr="00304B4F">
        <w:t>).</w:t>
      </w:r>
    </w:p>
  </w:footnote>
  <w:footnote w:id="148">
    <w:p w:rsidR="00746C14" w:rsidRDefault="00746C14" w:rsidP="0021341E">
      <w:pPr>
        <w:pStyle w:val="FootnoteText"/>
      </w:pPr>
      <w:r w:rsidRPr="0021341E">
        <w:rPr>
          <w:rStyle w:val="FootnoteReference"/>
        </w:rPr>
        <w:footnoteRef/>
      </w:r>
      <w:r>
        <w:tab/>
        <w:t>Rule 29 of the Court of Appeal (Civil) Rules 2005.</w:t>
      </w:r>
    </w:p>
  </w:footnote>
  <w:footnote w:id="149">
    <w:p w:rsidR="00746C14" w:rsidRPr="00D479D7" w:rsidRDefault="00746C14" w:rsidP="0021341E">
      <w:pPr>
        <w:pStyle w:val="FootnoteText"/>
      </w:pPr>
      <w:r w:rsidRPr="0021341E">
        <w:rPr>
          <w:rStyle w:val="FootnoteReference"/>
        </w:rPr>
        <w:footnoteRef/>
      </w:r>
      <w:r>
        <w:tab/>
      </w:r>
      <w:r w:rsidRPr="00D479D7">
        <w:t>Section 92ZU(3)</w:t>
      </w:r>
      <w:r>
        <w:t xml:space="preserve"> of the Health Act</w:t>
      </w:r>
      <w:r w:rsidRPr="00D479D7">
        <w:t>.</w:t>
      </w:r>
    </w:p>
  </w:footnote>
  <w:footnote w:id="150">
    <w:p w:rsidR="00746C14" w:rsidRPr="00D479D7" w:rsidRDefault="00746C14" w:rsidP="0021341E">
      <w:pPr>
        <w:pStyle w:val="FootnoteText"/>
      </w:pPr>
      <w:r w:rsidRPr="0021341E">
        <w:rPr>
          <w:rStyle w:val="FootnoteReference"/>
        </w:rPr>
        <w:footnoteRef/>
      </w:r>
      <w:r>
        <w:tab/>
      </w:r>
      <w:r w:rsidRPr="00D479D7">
        <w:t>Under section 92ZW.</w:t>
      </w:r>
    </w:p>
  </w:footnote>
  <w:footnote w:id="151">
    <w:p w:rsidR="00746C14" w:rsidRDefault="00746C14" w:rsidP="00B33AED">
      <w:pPr>
        <w:pStyle w:val="FootnoteText"/>
      </w:pPr>
      <w:r w:rsidRPr="00B33AED">
        <w:rPr>
          <w:rStyle w:val="FootnoteReference"/>
        </w:rPr>
        <w:footnoteRef/>
      </w:r>
      <w:r>
        <w:tab/>
      </w:r>
      <w:r w:rsidRPr="00D479D7">
        <w:t>Section 92ZX.</w:t>
      </w:r>
    </w:p>
  </w:footnote>
  <w:footnote w:id="152">
    <w:p w:rsidR="00746C14" w:rsidRPr="00AB2B91" w:rsidRDefault="00746C14" w:rsidP="00B33AED">
      <w:pPr>
        <w:pStyle w:val="FootnoteText"/>
      </w:pPr>
      <w:r w:rsidRPr="00B33AED">
        <w:rPr>
          <w:rStyle w:val="FootnoteReference"/>
        </w:rPr>
        <w:footnoteRef/>
      </w:r>
      <w:r>
        <w:tab/>
        <w:t>Section 92ZV of the Health Act.</w:t>
      </w:r>
    </w:p>
  </w:footnote>
  <w:footnote w:id="153">
    <w:p w:rsidR="00746C14" w:rsidRPr="00AB2B91" w:rsidRDefault="00746C14" w:rsidP="00B33AED">
      <w:pPr>
        <w:pStyle w:val="FootnoteText"/>
      </w:pPr>
      <w:r w:rsidRPr="00B33AED">
        <w:rPr>
          <w:rStyle w:val="FootnoteReference"/>
        </w:rPr>
        <w:footnoteRef/>
      </w:r>
      <w:r>
        <w:tab/>
        <w:t>The latter of which</w:t>
      </w:r>
      <w:r w:rsidRPr="00AB2B91">
        <w:t xml:space="preserve"> can be imposed under section 92ZA(1)(f).</w:t>
      </w:r>
    </w:p>
  </w:footnote>
  <w:footnote w:id="154">
    <w:p w:rsidR="00746C14" w:rsidRPr="00B33AED" w:rsidRDefault="00746C14" w:rsidP="00B33AED">
      <w:pPr>
        <w:pStyle w:val="FootnoteText"/>
      </w:pPr>
      <w:r w:rsidRPr="00B33AED">
        <w:rPr>
          <w:rStyle w:val="FootnoteReference"/>
        </w:rPr>
        <w:footnoteRef/>
      </w:r>
      <w:r>
        <w:tab/>
      </w:r>
      <w:r w:rsidRPr="00AB2B91">
        <w:t>Section 92ZS.</w:t>
      </w:r>
    </w:p>
  </w:footnote>
  <w:footnote w:id="155">
    <w:p w:rsidR="00746C14" w:rsidRPr="00AB2B91" w:rsidRDefault="00746C14" w:rsidP="00B33AED">
      <w:pPr>
        <w:pStyle w:val="FootnoteText"/>
      </w:pPr>
      <w:r w:rsidRPr="00B33AED">
        <w:rPr>
          <w:rStyle w:val="FootnoteReference"/>
        </w:rPr>
        <w:footnoteRef/>
      </w:r>
      <w:r>
        <w:tab/>
      </w:r>
      <w:r w:rsidRPr="00AB2B91">
        <w:t>Section 92ZL</w:t>
      </w:r>
      <w:r>
        <w:t>(1).</w:t>
      </w:r>
    </w:p>
  </w:footnote>
  <w:footnote w:id="156">
    <w:p w:rsidR="00746C14" w:rsidRPr="00D479D7" w:rsidRDefault="00746C14" w:rsidP="006A1A99">
      <w:pPr>
        <w:pStyle w:val="FootnoteText"/>
      </w:pPr>
      <w:r w:rsidRPr="006A1A99">
        <w:rPr>
          <w:rStyle w:val="FootnoteReference"/>
        </w:rPr>
        <w:footnoteRef/>
      </w:r>
      <w:r>
        <w:tab/>
        <w:t>Section 92ZF of the Health Act.</w:t>
      </w:r>
    </w:p>
  </w:footnote>
  <w:footnote w:id="157">
    <w:p w:rsidR="00746C14" w:rsidRPr="006A1A99" w:rsidRDefault="00746C14" w:rsidP="006A1A99">
      <w:pPr>
        <w:pStyle w:val="FootnoteText"/>
      </w:pPr>
      <w:r w:rsidRPr="006A1A99">
        <w:rPr>
          <w:rStyle w:val="FootnoteReference"/>
        </w:rPr>
        <w:footnoteRef/>
      </w:r>
      <w:r>
        <w:tab/>
        <w:t>U</w:t>
      </w:r>
      <w:r w:rsidRPr="00D479D7">
        <w:t>nder section 92ZA(1)(a) or (b)</w:t>
      </w:r>
      <w:r>
        <w:t xml:space="preserve"> </w:t>
      </w:r>
      <w:r w:rsidRPr="00D479D7">
        <w:t>–</w:t>
      </w:r>
      <w:r>
        <w:t xml:space="preserve"> concerning an order </w:t>
      </w:r>
      <w:r w:rsidRPr="00D479D7">
        <w:t>to be detained in a hospital or to stay at a specified place of residence.</w:t>
      </w:r>
    </w:p>
  </w:footnote>
  <w:footnote w:id="158">
    <w:p w:rsidR="00746C14" w:rsidRPr="00D479D7" w:rsidRDefault="00746C14" w:rsidP="006A1A99">
      <w:pPr>
        <w:pStyle w:val="FootnoteText"/>
      </w:pPr>
      <w:r w:rsidRPr="006A1A99">
        <w:rPr>
          <w:rStyle w:val="FootnoteReference"/>
        </w:rPr>
        <w:footnoteRef/>
      </w:r>
      <w:r>
        <w:tab/>
        <w:t>Under section 92ZG</w:t>
      </w:r>
      <w:r w:rsidRPr="00D479D7">
        <w:t>.</w:t>
      </w:r>
    </w:p>
  </w:footnote>
  <w:footnote w:id="159">
    <w:p w:rsidR="00746C14" w:rsidRDefault="00746C14" w:rsidP="006A1A99">
      <w:pPr>
        <w:pStyle w:val="FootnoteText"/>
      </w:pPr>
      <w:r w:rsidRPr="006A1A99">
        <w:rPr>
          <w:rStyle w:val="FootnoteReference"/>
        </w:rPr>
        <w:footnoteRef/>
      </w:r>
      <w:r>
        <w:tab/>
        <w:t>Set out in section 92E of the Health Act and regulation 12 of the HIND Regulations 2016.</w:t>
      </w:r>
    </w:p>
  </w:footnote>
  <w:footnote w:id="160">
    <w:p w:rsidR="00746C14" w:rsidRDefault="00746C14" w:rsidP="006A1A99">
      <w:pPr>
        <w:pStyle w:val="FootnoteText"/>
      </w:pPr>
      <w:r w:rsidRPr="006A1A99">
        <w:rPr>
          <w:rStyle w:val="FootnoteReference"/>
        </w:rPr>
        <w:footnoteRef/>
      </w:r>
      <w:r>
        <w:tab/>
        <w:t>A writ of habeas corpus is a court order to a person or agency detaining another person to release that person. The High Court hears the application for the writ, and the Habeas Corpus Act 2001 applies.</w:t>
      </w:r>
    </w:p>
  </w:footnote>
  <w:footnote w:id="161">
    <w:p w:rsidR="00746C14" w:rsidRPr="00D86339" w:rsidRDefault="00746C14" w:rsidP="006A1A99">
      <w:pPr>
        <w:pStyle w:val="FootnoteText"/>
        <w:rPr>
          <w:rFonts w:ascii="Arial" w:hAnsi="Arial"/>
        </w:rPr>
      </w:pPr>
      <w:r w:rsidRPr="006A1A99">
        <w:rPr>
          <w:rStyle w:val="FootnoteReference"/>
        </w:rPr>
        <w:footnoteRef/>
      </w:r>
      <w:r>
        <w:tab/>
      </w:r>
      <w:r w:rsidRPr="00A84863">
        <w:t>The template refers to</w:t>
      </w:r>
      <w:r>
        <w:t xml:space="preserve"> these matters.</w:t>
      </w:r>
    </w:p>
  </w:footnote>
  <w:footnote w:id="162">
    <w:p w:rsidR="00746C14" w:rsidRDefault="00746C14" w:rsidP="006A1A99">
      <w:pPr>
        <w:pStyle w:val="FootnoteText"/>
      </w:pPr>
      <w:r w:rsidRPr="006A1A99">
        <w:rPr>
          <w:rStyle w:val="FootnoteReference"/>
        </w:rPr>
        <w:footnoteRef/>
      </w:r>
      <w:r>
        <w:tab/>
        <w:t>Under section 92ZF(2) of the Health Act and regulation 13(b) of the HIND Regulations 2016.</w:t>
      </w:r>
    </w:p>
  </w:footnote>
  <w:footnote w:id="163">
    <w:p w:rsidR="00746C14" w:rsidRDefault="00746C14" w:rsidP="006A1A99">
      <w:pPr>
        <w:pStyle w:val="FootnoteText"/>
      </w:pPr>
      <w:r w:rsidRPr="006A1A99">
        <w:rPr>
          <w:rStyle w:val="FootnoteReference"/>
        </w:rPr>
        <w:footnoteRef/>
      </w:r>
      <w:r>
        <w:tab/>
        <w:t>The Mantoux test is a screening tool for tuberculosis (TB)).</w:t>
      </w:r>
    </w:p>
  </w:footnote>
  <w:footnote w:id="164">
    <w:p w:rsidR="00746C14" w:rsidRDefault="00746C14" w:rsidP="006834A2">
      <w:pPr>
        <w:pStyle w:val="FootnoteText"/>
      </w:pPr>
      <w:r w:rsidRPr="006834A2">
        <w:rPr>
          <w:rStyle w:val="FootnoteReference"/>
        </w:rPr>
        <w:footnoteRef/>
      </w:r>
      <w:r>
        <w:tab/>
        <w:t>Defined in section 2(1) Health Act: (a) means any place where people gather for the purpose of education or training; and (b) includes an early childhood education and care centre within the meaning of section 310(1) of the Education Act 1989.</w:t>
      </w:r>
    </w:p>
  </w:footnote>
  <w:footnote w:id="165">
    <w:p w:rsidR="00746C14" w:rsidRPr="00E6790A" w:rsidRDefault="00746C14" w:rsidP="005B6500">
      <w:pPr>
        <w:pStyle w:val="FootnoteText"/>
      </w:pPr>
      <w:r w:rsidRPr="005B6500">
        <w:rPr>
          <w:rStyle w:val="FootnoteReference"/>
        </w:rPr>
        <w:footnoteRef/>
      </w:r>
      <w:r>
        <w:tab/>
        <w:t xml:space="preserve">Sections 92I </w:t>
      </w:r>
      <w:r w:rsidRPr="00E6790A">
        <w:t>to 92L.</w:t>
      </w:r>
    </w:p>
  </w:footnote>
  <w:footnote w:id="166">
    <w:p w:rsidR="00746C14" w:rsidRPr="005B6500" w:rsidRDefault="00746C14" w:rsidP="005B6500">
      <w:pPr>
        <w:pStyle w:val="FootnoteText"/>
      </w:pPr>
      <w:r w:rsidRPr="005B6500">
        <w:rPr>
          <w:rStyle w:val="FootnoteReference"/>
        </w:rPr>
        <w:footnoteRef/>
      </w:r>
      <w:r>
        <w:tab/>
        <w:t>Section 5(1) of the</w:t>
      </w:r>
      <w:r w:rsidRPr="00E6790A">
        <w:t xml:space="preserve"> Health Practitioners Competence Assurance Act 2003</w:t>
      </w:r>
      <w:r w:rsidRPr="005B6500">
        <w:t>.</w:t>
      </w:r>
    </w:p>
  </w:footnote>
  <w:footnote w:id="167">
    <w:p w:rsidR="00746C14" w:rsidRPr="00E6790A" w:rsidRDefault="00746C14" w:rsidP="005B6500">
      <w:pPr>
        <w:pStyle w:val="FootnoteText"/>
      </w:pPr>
      <w:r w:rsidRPr="005B6500">
        <w:rPr>
          <w:rStyle w:val="FootnoteReference"/>
        </w:rPr>
        <w:footnoteRef/>
      </w:r>
      <w:r>
        <w:tab/>
      </w:r>
      <w:r w:rsidRPr="00E6790A">
        <w:t>Under section 92ZH of the Health Act.</w:t>
      </w:r>
    </w:p>
  </w:footnote>
  <w:footnote w:id="168">
    <w:p w:rsidR="00746C14" w:rsidRDefault="00746C14" w:rsidP="005B6500">
      <w:pPr>
        <w:pStyle w:val="FootnoteText"/>
      </w:pPr>
      <w:r w:rsidRPr="005B6500">
        <w:rPr>
          <w:rStyle w:val="FootnoteReference"/>
        </w:rPr>
        <w:footnoteRef/>
      </w:r>
      <w:r>
        <w:tab/>
        <w:t>Under section 92ZJ of the Health Act.</w:t>
      </w:r>
    </w:p>
  </w:footnote>
  <w:footnote w:id="169">
    <w:p w:rsidR="00746C14" w:rsidRDefault="00746C14" w:rsidP="005B6500">
      <w:pPr>
        <w:pStyle w:val="FootnoteText"/>
      </w:pPr>
      <w:r w:rsidRPr="005B6500">
        <w:rPr>
          <w:rStyle w:val="FootnoteReference"/>
        </w:rPr>
        <w:footnoteRef/>
      </w:r>
      <w:r>
        <w:tab/>
        <w:t>Under section 92Z of the Health Act.</w:t>
      </w:r>
    </w:p>
  </w:footnote>
  <w:footnote w:id="170">
    <w:p w:rsidR="00746C14" w:rsidRDefault="00746C14" w:rsidP="00B80940">
      <w:pPr>
        <w:pStyle w:val="FootnoteText"/>
      </w:pPr>
      <w:r w:rsidRPr="00B80940">
        <w:rPr>
          <w:rStyle w:val="FootnoteReference"/>
        </w:rPr>
        <w:footnoteRef/>
      </w:r>
      <w:r>
        <w:tab/>
        <w:t>Under section 92ZF of the Health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rsidP="009216CC">
    <w:pPr>
      <w:pStyle w:val="Header"/>
      <w:ind w:left="-1559"/>
    </w:pPr>
    <w:r>
      <w:rPr>
        <w:noProof/>
        <w:lang w:eastAsia="en-NZ"/>
      </w:rPr>
      <w:drawing>
        <wp:inline distT="0" distB="0" distL="0" distR="0" wp14:anchorId="27CD0D40" wp14:editId="00820FA5">
          <wp:extent cx="6467302" cy="5346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14" w:rsidRDefault="00746C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C09"/>
    <w:multiLevelType w:val="hybridMultilevel"/>
    <w:tmpl w:val="C60A22D2"/>
    <w:lvl w:ilvl="0" w:tplc="FE803AB0">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430383"/>
    <w:multiLevelType w:val="hybridMultilevel"/>
    <w:tmpl w:val="7A547908"/>
    <w:lvl w:ilvl="0" w:tplc="67BE7E3E">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06B50D85"/>
    <w:multiLevelType w:val="hybridMultilevel"/>
    <w:tmpl w:val="0458E6F0"/>
    <w:lvl w:ilvl="0" w:tplc="FE685F9A">
      <w:start w:val="1"/>
      <w:numFmt w:val="lowerRoman"/>
      <w:lvlText w:val="(%1)"/>
      <w:lvlJc w:val="left"/>
      <w:pPr>
        <w:ind w:left="1440" w:hanging="72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
    <w:nsid w:val="089732B8"/>
    <w:multiLevelType w:val="hybridMultilevel"/>
    <w:tmpl w:val="18C4921E"/>
    <w:lvl w:ilvl="0" w:tplc="F418EDB0">
      <w:start w:val="1"/>
      <w:numFmt w:val="decimal"/>
      <w:lvlText w:val="%1."/>
      <w:lvlJc w:val="left"/>
      <w:pPr>
        <w:ind w:left="720" w:hanging="360"/>
      </w:pPr>
      <w:rPr>
        <w:rFonts w:ascii="Calibri" w:eastAsia="Calibri" w:hAnsi="Calibri" w:cs="Arial" w:hint="default"/>
        <w:sz w:val="20"/>
        <w:szCs w:val="2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09E95347"/>
    <w:multiLevelType w:val="hybridMultilevel"/>
    <w:tmpl w:val="1B389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A6C0410"/>
    <w:multiLevelType w:val="hybridMultilevel"/>
    <w:tmpl w:val="FBEADB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0A6D37DA"/>
    <w:multiLevelType w:val="hybridMultilevel"/>
    <w:tmpl w:val="C5DAD95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nsid w:val="0A952B4B"/>
    <w:multiLevelType w:val="hybridMultilevel"/>
    <w:tmpl w:val="B1A6D3B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B306B2F"/>
    <w:multiLevelType w:val="hybridMultilevel"/>
    <w:tmpl w:val="B7909128"/>
    <w:lvl w:ilvl="0" w:tplc="4056860E">
      <w:start w:val="1"/>
      <w:numFmt w:val="lowerLetter"/>
      <w:lvlText w:val="(%1)"/>
      <w:lvlJc w:val="left"/>
      <w:pPr>
        <w:ind w:left="2514" w:hanging="360"/>
      </w:pPr>
      <w:rPr>
        <w:rFonts w:ascii="Arial" w:eastAsia="Calibri" w:hAnsi="Arial" w:cs="Arial"/>
      </w:rPr>
    </w:lvl>
    <w:lvl w:ilvl="1" w:tplc="14090019" w:tentative="1">
      <w:start w:val="1"/>
      <w:numFmt w:val="lowerLetter"/>
      <w:lvlText w:val="%2."/>
      <w:lvlJc w:val="left"/>
      <w:pPr>
        <w:ind w:left="3234" w:hanging="360"/>
      </w:pPr>
    </w:lvl>
    <w:lvl w:ilvl="2" w:tplc="1409001B" w:tentative="1">
      <w:start w:val="1"/>
      <w:numFmt w:val="lowerRoman"/>
      <w:lvlText w:val="%3."/>
      <w:lvlJc w:val="right"/>
      <w:pPr>
        <w:ind w:left="3954" w:hanging="180"/>
      </w:pPr>
    </w:lvl>
    <w:lvl w:ilvl="3" w:tplc="1409000F" w:tentative="1">
      <w:start w:val="1"/>
      <w:numFmt w:val="decimal"/>
      <w:lvlText w:val="%4."/>
      <w:lvlJc w:val="left"/>
      <w:pPr>
        <w:ind w:left="4674" w:hanging="360"/>
      </w:pPr>
    </w:lvl>
    <w:lvl w:ilvl="4" w:tplc="14090019" w:tentative="1">
      <w:start w:val="1"/>
      <w:numFmt w:val="lowerLetter"/>
      <w:lvlText w:val="%5."/>
      <w:lvlJc w:val="left"/>
      <w:pPr>
        <w:ind w:left="5394" w:hanging="360"/>
      </w:pPr>
    </w:lvl>
    <w:lvl w:ilvl="5" w:tplc="1409001B" w:tentative="1">
      <w:start w:val="1"/>
      <w:numFmt w:val="lowerRoman"/>
      <w:lvlText w:val="%6."/>
      <w:lvlJc w:val="right"/>
      <w:pPr>
        <w:ind w:left="6114" w:hanging="180"/>
      </w:pPr>
    </w:lvl>
    <w:lvl w:ilvl="6" w:tplc="1409000F" w:tentative="1">
      <w:start w:val="1"/>
      <w:numFmt w:val="decimal"/>
      <w:lvlText w:val="%7."/>
      <w:lvlJc w:val="left"/>
      <w:pPr>
        <w:ind w:left="6834" w:hanging="360"/>
      </w:pPr>
    </w:lvl>
    <w:lvl w:ilvl="7" w:tplc="14090019" w:tentative="1">
      <w:start w:val="1"/>
      <w:numFmt w:val="lowerLetter"/>
      <w:lvlText w:val="%8."/>
      <w:lvlJc w:val="left"/>
      <w:pPr>
        <w:ind w:left="7554" w:hanging="360"/>
      </w:pPr>
    </w:lvl>
    <w:lvl w:ilvl="8" w:tplc="1409001B" w:tentative="1">
      <w:start w:val="1"/>
      <w:numFmt w:val="lowerRoman"/>
      <w:lvlText w:val="%9."/>
      <w:lvlJc w:val="right"/>
      <w:pPr>
        <w:ind w:left="8274" w:hanging="180"/>
      </w:pPr>
    </w:lvl>
  </w:abstractNum>
  <w:abstractNum w:abstractNumId="10">
    <w:nsid w:val="0FFB558B"/>
    <w:multiLevelType w:val="hybridMultilevel"/>
    <w:tmpl w:val="E61C475A"/>
    <w:lvl w:ilvl="0" w:tplc="DD3CDE8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00F4AFE"/>
    <w:multiLevelType w:val="hybridMultilevel"/>
    <w:tmpl w:val="CF407D64"/>
    <w:lvl w:ilvl="0" w:tplc="B4CA4C4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nsid w:val="10634D66"/>
    <w:multiLevelType w:val="hybridMultilevel"/>
    <w:tmpl w:val="16E6DB6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18B370A"/>
    <w:multiLevelType w:val="hybridMultilevel"/>
    <w:tmpl w:val="28B2A0A2"/>
    <w:lvl w:ilvl="0" w:tplc="0E8A42BA">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nsid w:val="125B5DED"/>
    <w:multiLevelType w:val="hybridMultilevel"/>
    <w:tmpl w:val="C45C8FD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3457AA5"/>
    <w:multiLevelType w:val="hybridMultilevel"/>
    <w:tmpl w:val="BD34F8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nsid w:val="14E2551C"/>
    <w:multiLevelType w:val="hybridMultilevel"/>
    <w:tmpl w:val="2CFAE252"/>
    <w:lvl w:ilvl="0" w:tplc="B1F221B2">
      <w:start w:val="1"/>
      <w:numFmt w:val="decimal"/>
      <w:lvlText w:val="(%1)"/>
      <w:lvlJc w:val="left"/>
      <w:pPr>
        <w:ind w:left="1140" w:hanging="360"/>
      </w:pPr>
      <w:rPr>
        <w:rFonts w:hint="default"/>
      </w:r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7">
    <w:nsid w:val="159773AD"/>
    <w:multiLevelType w:val="hybridMultilevel"/>
    <w:tmpl w:val="E55CB1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18564F0A"/>
    <w:multiLevelType w:val="hybridMultilevel"/>
    <w:tmpl w:val="4754DF2E"/>
    <w:lvl w:ilvl="0" w:tplc="C1F6785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18884550"/>
    <w:multiLevelType w:val="hybridMultilevel"/>
    <w:tmpl w:val="4418DDB8"/>
    <w:lvl w:ilvl="0" w:tplc="7CB4A65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197256AC"/>
    <w:multiLevelType w:val="hybridMultilevel"/>
    <w:tmpl w:val="59DEFD2A"/>
    <w:lvl w:ilvl="0" w:tplc="428ED1F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19E51798"/>
    <w:multiLevelType w:val="hybridMultilevel"/>
    <w:tmpl w:val="D0B2E522"/>
    <w:lvl w:ilvl="0" w:tplc="C4ACB6BC">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nsid w:val="1A503038"/>
    <w:multiLevelType w:val="hybridMultilevel"/>
    <w:tmpl w:val="ED7A2A84"/>
    <w:lvl w:ilvl="0" w:tplc="404E4B3E">
      <w:start w:val="1"/>
      <w:numFmt w:val="lowerRoman"/>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1ACD67AD"/>
    <w:multiLevelType w:val="hybridMultilevel"/>
    <w:tmpl w:val="489E62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1BD44DBD"/>
    <w:multiLevelType w:val="hybridMultilevel"/>
    <w:tmpl w:val="3B964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1C8F5C3C"/>
    <w:multiLevelType w:val="hybridMultilevel"/>
    <w:tmpl w:val="9392F000"/>
    <w:lvl w:ilvl="0" w:tplc="BCA47A56">
      <w:start w:val="1"/>
      <w:numFmt w:val="lowerRoman"/>
      <w:lvlText w:val="(%1)"/>
      <w:lvlJc w:val="left"/>
      <w:pPr>
        <w:ind w:left="1440" w:hanging="72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26">
    <w:nsid w:val="1D9D4524"/>
    <w:multiLevelType w:val="hybridMultilevel"/>
    <w:tmpl w:val="4F2836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1E8F112E"/>
    <w:multiLevelType w:val="hybridMultilevel"/>
    <w:tmpl w:val="A84ACBB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8">
    <w:nsid w:val="252D57AB"/>
    <w:multiLevelType w:val="hybridMultilevel"/>
    <w:tmpl w:val="E268483C"/>
    <w:lvl w:ilvl="0" w:tplc="AA8064BC">
      <w:start w:val="1"/>
      <w:numFmt w:val="decimal"/>
      <w:lvlText w:val="%1"/>
      <w:lvlJc w:val="left"/>
      <w:pPr>
        <w:ind w:left="1080" w:hanging="360"/>
      </w:pPr>
      <w:rPr>
        <w:i w:val="0"/>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29">
    <w:nsid w:val="2ADE2E92"/>
    <w:multiLevelType w:val="hybridMultilevel"/>
    <w:tmpl w:val="82F80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2CC07936"/>
    <w:multiLevelType w:val="hybridMultilevel"/>
    <w:tmpl w:val="78E0AED6"/>
    <w:lvl w:ilvl="0" w:tplc="3D8460F8">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1">
    <w:nsid w:val="2F0A40F2"/>
    <w:multiLevelType w:val="hybridMultilevel"/>
    <w:tmpl w:val="1BD06DE4"/>
    <w:lvl w:ilvl="0" w:tplc="9F3067F8">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30A57793"/>
    <w:multiLevelType w:val="hybridMultilevel"/>
    <w:tmpl w:val="452AB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31BC2D6D"/>
    <w:multiLevelType w:val="hybridMultilevel"/>
    <w:tmpl w:val="B1FE12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nsid w:val="3243690E"/>
    <w:multiLevelType w:val="hybridMultilevel"/>
    <w:tmpl w:val="0F465A2C"/>
    <w:lvl w:ilvl="0" w:tplc="AE4E5584">
      <w:start w:val="1"/>
      <w:numFmt w:val="lowerLetter"/>
      <w:lvlText w:val="(%1)"/>
      <w:lvlJc w:val="left"/>
      <w:pPr>
        <w:ind w:left="2868" w:hanging="360"/>
      </w:pPr>
      <w:rPr>
        <w:rFonts w:ascii="Arial" w:eastAsia="Calibri" w:hAnsi="Arial" w:cs="Arial" w:hint="default"/>
        <w:sz w:val="24"/>
        <w:szCs w:val="24"/>
      </w:rPr>
    </w:lvl>
    <w:lvl w:ilvl="1" w:tplc="14090019">
      <w:start w:val="1"/>
      <w:numFmt w:val="lowerLetter"/>
      <w:lvlText w:val="%2."/>
      <w:lvlJc w:val="left"/>
      <w:pPr>
        <w:ind w:left="3588" w:hanging="360"/>
      </w:pPr>
    </w:lvl>
    <w:lvl w:ilvl="2" w:tplc="1409001B">
      <w:start w:val="1"/>
      <w:numFmt w:val="lowerRoman"/>
      <w:lvlText w:val="%3."/>
      <w:lvlJc w:val="right"/>
      <w:pPr>
        <w:ind w:left="4308" w:hanging="180"/>
      </w:pPr>
    </w:lvl>
    <w:lvl w:ilvl="3" w:tplc="1409000F">
      <w:start w:val="1"/>
      <w:numFmt w:val="decimal"/>
      <w:lvlText w:val="%4."/>
      <w:lvlJc w:val="left"/>
      <w:pPr>
        <w:ind w:left="5028" w:hanging="360"/>
      </w:pPr>
    </w:lvl>
    <w:lvl w:ilvl="4" w:tplc="14090019">
      <w:start w:val="1"/>
      <w:numFmt w:val="lowerLetter"/>
      <w:lvlText w:val="%5."/>
      <w:lvlJc w:val="left"/>
      <w:pPr>
        <w:ind w:left="5748" w:hanging="360"/>
      </w:pPr>
    </w:lvl>
    <w:lvl w:ilvl="5" w:tplc="1409001B">
      <w:start w:val="1"/>
      <w:numFmt w:val="lowerRoman"/>
      <w:lvlText w:val="%6."/>
      <w:lvlJc w:val="right"/>
      <w:pPr>
        <w:ind w:left="6468" w:hanging="180"/>
      </w:pPr>
    </w:lvl>
    <w:lvl w:ilvl="6" w:tplc="1409000F">
      <w:start w:val="1"/>
      <w:numFmt w:val="decimal"/>
      <w:lvlText w:val="%7."/>
      <w:lvlJc w:val="left"/>
      <w:pPr>
        <w:ind w:left="7188" w:hanging="360"/>
      </w:pPr>
    </w:lvl>
    <w:lvl w:ilvl="7" w:tplc="14090019">
      <w:start w:val="1"/>
      <w:numFmt w:val="lowerLetter"/>
      <w:lvlText w:val="%8."/>
      <w:lvlJc w:val="left"/>
      <w:pPr>
        <w:ind w:left="7908" w:hanging="360"/>
      </w:pPr>
    </w:lvl>
    <w:lvl w:ilvl="8" w:tplc="1409001B">
      <w:start w:val="1"/>
      <w:numFmt w:val="lowerRoman"/>
      <w:lvlText w:val="%9."/>
      <w:lvlJc w:val="right"/>
      <w:pPr>
        <w:ind w:left="8628" w:hanging="180"/>
      </w:pPr>
    </w:lvl>
  </w:abstractNum>
  <w:abstractNum w:abstractNumId="35">
    <w:nsid w:val="32C85B5A"/>
    <w:multiLevelType w:val="hybridMultilevel"/>
    <w:tmpl w:val="BA48D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33004A99"/>
    <w:multiLevelType w:val="hybridMultilevel"/>
    <w:tmpl w:val="22E4D0C4"/>
    <w:lvl w:ilvl="0" w:tplc="C6C05FD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33C36D40"/>
    <w:multiLevelType w:val="hybridMultilevel"/>
    <w:tmpl w:val="C63EBE9E"/>
    <w:lvl w:ilvl="0" w:tplc="73AC25EA">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8">
    <w:nsid w:val="347A6C80"/>
    <w:multiLevelType w:val="hybridMultilevel"/>
    <w:tmpl w:val="914EE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351D6A4C"/>
    <w:multiLevelType w:val="hybridMultilevel"/>
    <w:tmpl w:val="A2868812"/>
    <w:lvl w:ilvl="0" w:tplc="FF10C2C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37DE03FD"/>
    <w:multiLevelType w:val="hybridMultilevel"/>
    <w:tmpl w:val="DB94636A"/>
    <w:lvl w:ilvl="0" w:tplc="279AA7C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38414261"/>
    <w:multiLevelType w:val="hybridMultilevel"/>
    <w:tmpl w:val="A9C8D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3AAE6A8B"/>
    <w:multiLevelType w:val="hybridMultilevel"/>
    <w:tmpl w:val="5F78D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3C3634A4"/>
    <w:multiLevelType w:val="hybridMultilevel"/>
    <w:tmpl w:val="3B7EAA7A"/>
    <w:lvl w:ilvl="0" w:tplc="86BAF71C">
      <w:start w:val="1"/>
      <w:numFmt w:val="lowerLetter"/>
      <w:lvlText w:val="(%1)"/>
      <w:lvlJc w:val="left"/>
      <w:pPr>
        <w:ind w:left="720" w:hanging="360"/>
      </w:pPr>
      <w:rPr>
        <w:rFonts w:ascii="Arial" w:hAnsi="Arial" w:cs="Arial"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3EA4686A"/>
    <w:multiLevelType w:val="hybridMultilevel"/>
    <w:tmpl w:val="BDDAD0A6"/>
    <w:lvl w:ilvl="0" w:tplc="02C0CF8C">
      <w:start w:val="1"/>
      <w:numFmt w:val="lowerRoman"/>
      <w:lvlText w:val="(%1)"/>
      <w:lvlJc w:val="left"/>
      <w:pPr>
        <w:ind w:left="1440" w:hanging="72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42A166D0"/>
    <w:multiLevelType w:val="hybridMultilevel"/>
    <w:tmpl w:val="28882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467E1DDC"/>
    <w:multiLevelType w:val="hybridMultilevel"/>
    <w:tmpl w:val="6FDCC25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49">
    <w:nsid w:val="497B3006"/>
    <w:multiLevelType w:val="hybridMultilevel"/>
    <w:tmpl w:val="2F78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4B9F6530"/>
    <w:multiLevelType w:val="hybridMultilevel"/>
    <w:tmpl w:val="47423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4BCB60DF"/>
    <w:multiLevelType w:val="hybridMultilevel"/>
    <w:tmpl w:val="D390E912"/>
    <w:lvl w:ilvl="0" w:tplc="41888D94">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4C8C6E29"/>
    <w:multiLevelType w:val="hybridMultilevel"/>
    <w:tmpl w:val="BACCA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4FDD0E88"/>
    <w:multiLevelType w:val="hybridMultilevel"/>
    <w:tmpl w:val="5C628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4FF4163B"/>
    <w:multiLevelType w:val="hybridMultilevel"/>
    <w:tmpl w:val="00A64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52FC52DA"/>
    <w:multiLevelType w:val="hybridMultilevel"/>
    <w:tmpl w:val="790096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6">
    <w:nsid w:val="53412C1C"/>
    <w:multiLevelType w:val="hybridMultilevel"/>
    <w:tmpl w:val="73669FB4"/>
    <w:lvl w:ilvl="0" w:tplc="A4DC0350">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7">
    <w:nsid w:val="58D22F83"/>
    <w:multiLevelType w:val="hybridMultilevel"/>
    <w:tmpl w:val="3B28EF7A"/>
    <w:lvl w:ilvl="0" w:tplc="1B8294AE">
      <w:start w:val="9"/>
      <w:numFmt w:val="lowerLetter"/>
      <w:lvlText w:val="(%1)"/>
      <w:lvlJc w:val="left"/>
      <w:pPr>
        <w:ind w:left="1800" w:hanging="360"/>
      </w:p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58">
    <w:nsid w:val="5A146A09"/>
    <w:multiLevelType w:val="hybridMultilevel"/>
    <w:tmpl w:val="54768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nsid w:val="5A5D7492"/>
    <w:multiLevelType w:val="hybridMultilevel"/>
    <w:tmpl w:val="9C22577E"/>
    <w:lvl w:ilvl="0" w:tplc="D51ADA5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0">
    <w:nsid w:val="5AD86378"/>
    <w:multiLevelType w:val="hybridMultilevel"/>
    <w:tmpl w:val="9FD2A91A"/>
    <w:lvl w:ilvl="0" w:tplc="CF94E486">
      <w:start w:val="1"/>
      <w:numFmt w:val="lowerLetter"/>
      <w:lvlText w:val="(%1)"/>
      <w:lvlJc w:val="left"/>
      <w:pPr>
        <w:ind w:left="720" w:hanging="360"/>
      </w:pPr>
      <w:rPr>
        <w:rFonts w:ascii="Arial" w:hAnsi="Arial" w:cs="Arial" w:hint="default"/>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622B5FBF"/>
    <w:multiLevelType w:val="hybridMultilevel"/>
    <w:tmpl w:val="D228D57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2">
    <w:nsid w:val="63EE72EA"/>
    <w:multiLevelType w:val="hybridMultilevel"/>
    <w:tmpl w:val="9AC4F5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4">
    <w:nsid w:val="69792478"/>
    <w:multiLevelType w:val="hybridMultilevel"/>
    <w:tmpl w:val="6922B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nsid w:val="6B2E0164"/>
    <w:multiLevelType w:val="hybridMultilevel"/>
    <w:tmpl w:val="6CB6DFBA"/>
    <w:lvl w:ilvl="0" w:tplc="A056AA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nsid w:val="6B805DDF"/>
    <w:multiLevelType w:val="hybridMultilevel"/>
    <w:tmpl w:val="A5E005E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7">
    <w:nsid w:val="6F141BB8"/>
    <w:multiLevelType w:val="hybridMultilevel"/>
    <w:tmpl w:val="5556187A"/>
    <w:lvl w:ilvl="0" w:tplc="6A34C8BA">
      <w:start w:val="1"/>
      <w:numFmt w:val="lowerLetter"/>
      <w:lvlText w:val="(%1)"/>
      <w:lvlJc w:val="left"/>
      <w:pPr>
        <w:ind w:left="720" w:hanging="360"/>
      </w:pPr>
      <w:rPr>
        <w:rFonts w:ascii="Arial" w:hAnsi="Arial" w:cs="Arial"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nsid w:val="70EA07A7"/>
    <w:multiLevelType w:val="hybridMultilevel"/>
    <w:tmpl w:val="EFE81CEC"/>
    <w:lvl w:ilvl="0" w:tplc="9A22B4E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9">
    <w:nsid w:val="71B5743D"/>
    <w:multiLevelType w:val="hybridMultilevel"/>
    <w:tmpl w:val="3C445A58"/>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70">
    <w:nsid w:val="7408224A"/>
    <w:multiLevelType w:val="hybridMultilevel"/>
    <w:tmpl w:val="6B061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nsid w:val="754A68E0"/>
    <w:multiLevelType w:val="hybridMultilevel"/>
    <w:tmpl w:val="FBC8E2A6"/>
    <w:lvl w:ilvl="0" w:tplc="D8061C0E">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2">
    <w:nsid w:val="771C4B19"/>
    <w:multiLevelType w:val="multilevel"/>
    <w:tmpl w:val="7B700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795202DD"/>
    <w:multiLevelType w:val="hybridMultilevel"/>
    <w:tmpl w:val="FAB6B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nsid w:val="7BEE2CD6"/>
    <w:multiLevelType w:val="hybridMultilevel"/>
    <w:tmpl w:val="9C2E2E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76">
    <w:nsid w:val="7DA856C8"/>
    <w:multiLevelType w:val="hybridMultilevel"/>
    <w:tmpl w:val="D4A45036"/>
    <w:lvl w:ilvl="0" w:tplc="768C7868">
      <w:start w:val="1"/>
      <w:numFmt w:val="lowerLetter"/>
      <w:lvlText w:val="(%1)"/>
      <w:lvlJc w:val="left"/>
      <w:pPr>
        <w:ind w:left="720" w:hanging="360"/>
      </w:pPr>
      <w:rPr>
        <w:rFonts w:ascii="Arial" w:hAnsi="Arial" w:cs="Arial" w:hint="default"/>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nsid w:val="7DDC2D8A"/>
    <w:multiLevelType w:val="hybridMultilevel"/>
    <w:tmpl w:val="5194056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8">
    <w:nsid w:val="7F082C08"/>
    <w:multiLevelType w:val="hybridMultilevel"/>
    <w:tmpl w:val="B76AD1D8"/>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9">
    <w:nsid w:val="7FEB3054"/>
    <w:multiLevelType w:val="hybridMultilevel"/>
    <w:tmpl w:val="6CD000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75"/>
  </w:num>
  <w:num w:numId="2">
    <w:abstractNumId w:val="63"/>
  </w:num>
  <w:num w:numId="3">
    <w:abstractNumId w:val="44"/>
  </w:num>
  <w:num w:numId="4">
    <w:abstractNumId w:val="46"/>
  </w:num>
  <w:num w:numId="5">
    <w:abstractNumId w:val="1"/>
  </w:num>
  <w:num w:numId="6">
    <w:abstractNumId w:val="14"/>
  </w:num>
  <w:num w:numId="7">
    <w:abstractNumId w:val="11"/>
  </w:num>
  <w:num w:numId="8">
    <w:abstractNumId w:val="49"/>
  </w:num>
  <w:num w:numId="9">
    <w:abstractNumId w:val="7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9"/>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59"/>
  </w:num>
  <w:num w:numId="16">
    <w:abstractNumId w:val="38"/>
  </w:num>
  <w:num w:numId="17">
    <w:abstractNumId w:val="70"/>
  </w:num>
  <w:num w:numId="18">
    <w:abstractNumId w:val="7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num>
  <w:num w:numId="30">
    <w:abstractNumId w:val="60"/>
  </w:num>
  <w:num w:numId="31">
    <w:abstractNumId w:val="43"/>
  </w:num>
  <w:num w:numId="32">
    <w:abstractNumId w:val="68"/>
  </w:num>
  <w:num w:numId="33">
    <w:abstractNumId w:val="23"/>
  </w:num>
  <w:num w:numId="34">
    <w:abstractNumId w:val="27"/>
  </w:num>
  <w:num w:numId="35">
    <w:abstractNumId w:val="17"/>
  </w:num>
  <w:num w:numId="36">
    <w:abstractNumId w:val="55"/>
  </w:num>
  <w:num w:numId="37">
    <w:abstractNumId w:val="15"/>
  </w:num>
  <w:num w:numId="38">
    <w:abstractNumId w:val="6"/>
  </w:num>
  <w:num w:numId="39">
    <w:abstractNumId w:val="33"/>
  </w:num>
  <w:num w:numId="40">
    <w:abstractNumId w:val="79"/>
  </w:num>
  <w:num w:numId="41">
    <w:abstractNumId w:val="21"/>
  </w:num>
  <w:num w:numId="42">
    <w:abstractNumId w:val="10"/>
  </w:num>
  <w:num w:numId="43">
    <w:abstractNumId w:val="52"/>
  </w:num>
  <w:num w:numId="44">
    <w:abstractNumId w:val="69"/>
  </w:num>
  <w:num w:numId="45">
    <w:abstractNumId w:val="71"/>
  </w:num>
  <w:num w:numId="46">
    <w:abstractNumId w:val="32"/>
  </w:num>
  <w:num w:numId="47">
    <w:abstractNumId w:val="5"/>
  </w:num>
  <w:num w:numId="48">
    <w:abstractNumId w:val="9"/>
  </w:num>
  <w:num w:numId="49">
    <w:abstractNumId w:val="31"/>
  </w:num>
  <w:num w:numId="50">
    <w:abstractNumId w:val="18"/>
  </w:num>
  <w:num w:numId="51">
    <w:abstractNumId w:val="74"/>
  </w:num>
  <w:num w:numId="52">
    <w:abstractNumId w:val="58"/>
  </w:num>
  <w:num w:numId="53">
    <w:abstractNumId w:val="29"/>
  </w:num>
  <w:num w:numId="54">
    <w:abstractNumId w:val="54"/>
  </w:num>
  <w:num w:numId="55">
    <w:abstractNumId w:val="76"/>
  </w:num>
  <w:num w:numId="56">
    <w:abstractNumId w:val="36"/>
  </w:num>
  <w:num w:numId="57">
    <w:abstractNumId w:val="8"/>
  </w:num>
  <w:num w:numId="58">
    <w:abstractNumId w:val="53"/>
  </w:num>
  <w:num w:numId="59">
    <w:abstractNumId w:val="16"/>
  </w:num>
  <w:num w:numId="60">
    <w:abstractNumId w:val="12"/>
  </w:num>
  <w:num w:numId="61">
    <w:abstractNumId w:val="66"/>
  </w:num>
  <w:num w:numId="62">
    <w:abstractNumId w:val="26"/>
  </w:num>
  <w:num w:numId="63">
    <w:abstractNumId w:val="62"/>
  </w:num>
  <w:num w:numId="64">
    <w:abstractNumId w:val="73"/>
  </w:num>
  <w:num w:numId="65">
    <w:abstractNumId w:val="50"/>
  </w:num>
  <w:num w:numId="66">
    <w:abstractNumId w:val="22"/>
  </w:num>
  <w:num w:numId="67">
    <w:abstractNumId w:val="41"/>
  </w:num>
  <w:num w:numId="68">
    <w:abstractNumId w:val="0"/>
  </w:num>
  <w:num w:numId="69">
    <w:abstractNumId w:val="65"/>
  </w:num>
  <w:num w:numId="70">
    <w:abstractNumId w:val="7"/>
  </w:num>
  <w:num w:numId="71">
    <w:abstractNumId w:val="40"/>
  </w:num>
  <w:num w:numId="72">
    <w:abstractNumId w:val="35"/>
  </w:num>
  <w:num w:numId="73">
    <w:abstractNumId w:val="42"/>
  </w:num>
  <w:num w:numId="74">
    <w:abstractNumId w:val="61"/>
  </w:num>
  <w:num w:numId="75">
    <w:abstractNumId w:val="24"/>
  </w:num>
  <w:num w:numId="76">
    <w:abstractNumId w:val="67"/>
  </w:num>
  <w:num w:numId="77">
    <w:abstractNumId w:val="47"/>
  </w:num>
  <w:num w:numId="78">
    <w:abstractNumId w:val="48"/>
  </w:num>
  <w:num w:numId="79">
    <w:abstractNumId w:val="51"/>
  </w:num>
  <w:num w:numId="80">
    <w:abstractNumId w:val="7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6DDB"/>
    <w:rsid w:val="00007678"/>
    <w:rsid w:val="00030B26"/>
    <w:rsid w:val="00032C0A"/>
    <w:rsid w:val="00035257"/>
    <w:rsid w:val="000427C1"/>
    <w:rsid w:val="00043DC6"/>
    <w:rsid w:val="00047A6C"/>
    <w:rsid w:val="00061C40"/>
    <w:rsid w:val="0006228D"/>
    <w:rsid w:val="00072BD6"/>
    <w:rsid w:val="00075B78"/>
    <w:rsid w:val="00082CD6"/>
    <w:rsid w:val="00084D54"/>
    <w:rsid w:val="00085AFE"/>
    <w:rsid w:val="000A7518"/>
    <w:rsid w:val="000B0730"/>
    <w:rsid w:val="000B6B66"/>
    <w:rsid w:val="000C5608"/>
    <w:rsid w:val="000F0BEA"/>
    <w:rsid w:val="000F2AE2"/>
    <w:rsid w:val="0010024D"/>
    <w:rsid w:val="00102063"/>
    <w:rsid w:val="0010541C"/>
    <w:rsid w:val="00106F93"/>
    <w:rsid w:val="00110523"/>
    <w:rsid w:val="00111D50"/>
    <w:rsid w:val="00113B8E"/>
    <w:rsid w:val="001342C7"/>
    <w:rsid w:val="0013585C"/>
    <w:rsid w:val="00142954"/>
    <w:rsid w:val="001460E0"/>
    <w:rsid w:val="00147F71"/>
    <w:rsid w:val="00150A6E"/>
    <w:rsid w:val="00157A49"/>
    <w:rsid w:val="0016468A"/>
    <w:rsid w:val="00170DAC"/>
    <w:rsid w:val="00184D90"/>
    <w:rsid w:val="00193BE1"/>
    <w:rsid w:val="0019695B"/>
    <w:rsid w:val="001A21B4"/>
    <w:rsid w:val="001A5CF5"/>
    <w:rsid w:val="001B39D2"/>
    <w:rsid w:val="001B4BF8"/>
    <w:rsid w:val="001B6FA5"/>
    <w:rsid w:val="001C4326"/>
    <w:rsid w:val="001D3541"/>
    <w:rsid w:val="001F45A7"/>
    <w:rsid w:val="001F594B"/>
    <w:rsid w:val="00201A01"/>
    <w:rsid w:val="002032E2"/>
    <w:rsid w:val="002104D3"/>
    <w:rsid w:val="0021341E"/>
    <w:rsid w:val="00213A33"/>
    <w:rsid w:val="0021763B"/>
    <w:rsid w:val="00220F70"/>
    <w:rsid w:val="00225FBC"/>
    <w:rsid w:val="00246DB1"/>
    <w:rsid w:val="002476B5"/>
    <w:rsid w:val="00253ECF"/>
    <w:rsid w:val="002546A1"/>
    <w:rsid w:val="002625D5"/>
    <w:rsid w:val="002650A0"/>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62AB"/>
    <w:rsid w:val="0031739E"/>
    <w:rsid w:val="00325B1C"/>
    <w:rsid w:val="003325AB"/>
    <w:rsid w:val="003332D1"/>
    <w:rsid w:val="0033412B"/>
    <w:rsid w:val="00343365"/>
    <w:rsid w:val="00353501"/>
    <w:rsid w:val="003606F8"/>
    <w:rsid w:val="003648EF"/>
    <w:rsid w:val="003673E6"/>
    <w:rsid w:val="00377224"/>
    <w:rsid w:val="00377264"/>
    <w:rsid w:val="003A26A5"/>
    <w:rsid w:val="003A3761"/>
    <w:rsid w:val="003A5FEA"/>
    <w:rsid w:val="003B1D10"/>
    <w:rsid w:val="003B22F1"/>
    <w:rsid w:val="003C1A68"/>
    <w:rsid w:val="003C76D4"/>
    <w:rsid w:val="003D2CC5"/>
    <w:rsid w:val="003E30B8"/>
    <w:rsid w:val="003E7C46"/>
    <w:rsid w:val="003F52A7"/>
    <w:rsid w:val="0040240C"/>
    <w:rsid w:val="00413021"/>
    <w:rsid w:val="0044090E"/>
    <w:rsid w:val="00440BE0"/>
    <w:rsid w:val="00442C1C"/>
    <w:rsid w:val="0044584B"/>
    <w:rsid w:val="00447819"/>
    <w:rsid w:val="00447CB7"/>
    <w:rsid w:val="00450A7A"/>
    <w:rsid w:val="00455CC9"/>
    <w:rsid w:val="00460826"/>
    <w:rsid w:val="00460EA7"/>
    <w:rsid w:val="0046195B"/>
    <w:rsid w:val="0046596D"/>
    <w:rsid w:val="004831C9"/>
    <w:rsid w:val="00485034"/>
    <w:rsid w:val="00487C04"/>
    <w:rsid w:val="004907E1"/>
    <w:rsid w:val="004918D1"/>
    <w:rsid w:val="004A035B"/>
    <w:rsid w:val="004A0EE3"/>
    <w:rsid w:val="004A38D7"/>
    <w:rsid w:val="004A778C"/>
    <w:rsid w:val="004C2E6A"/>
    <w:rsid w:val="004C64B8"/>
    <w:rsid w:val="004D2A2D"/>
    <w:rsid w:val="004D6689"/>
    <w:rsid w:val="004E1D1D"/>
    <w:rsid w:val="004E7AC8"/>
    <w:rsid w:val="004F0C94"/>
    <w:rsid w:val="005019AE"/>
    <w:rsid w:val="00503749"/>
    <w:rsid w:val="00504CF4"/>
    <w:rsid w:val="0050635B"/>
    <w:rsid w:val="005117EB"/>
    <w:rsid w:val="005151C2"/>
    <w:rsid w:val="005270CC"/>
    <w:rsid w:val="0053199F"/>
    <w:rsid w:val="00533B90"/>
    <w:rsid w:val="005410F8"/>
    <w:rsid w:val="005448EC"/>
    <w:rsid w:val="00545963"/>
    <w:rsid w:val="00550256"/>
    <w:rsid w:val="00553958"/>
    <w:rsid w:val="0055763D"/>
    <w:rsid w:val="005621F2"/>
    <w:rsid w:val="00567B58"/>
    <w:rsid w:val="005763E0"/>
    <w:rsid w:val="00581136"/>
    <w:rsid w:val="00593841"/>
    <w:rsid w:val="005971F1"/>
    <w:rsid w:val="005A27CA"/>
    <w:rsid w:val="005A43BD"/>
    <w:rsid w:val="005B20CC"/>
    <w:rsid w:val="005B6500"/>
    <w:rsid w:val="005B7911"/>
    <w:rsid w:val="005D04B7"/>
    <w:rsid w:val="005D1644"/>
    <w:rsid w:val="005E226E"/>
    <w:rsid w:val="005E2636"/>
    <w:rsid w:val="006015D7"/>
    <w:rsid w:val="00601B21"/>
    <w:rsid w:val="006041F0"/>
    <w:rsid w:val="006077FE"/>
    <w:rsid w:val="00615B72"/>
    <w:rsid w:val="00616CC7"/>
    <w:rsid w:val="00617951"/>
    <w:rsid w:val="00626CF8"/>
    <w:rsid w:val="00634ED8"/>
    <w:rsid w:val="00636D7D"/>
    <w:rsid w:val="00637408"/>
    <w:rsid w:val="00642868"/>
    <w:rsid w:val="00647AFE"/>
    <w:rsid w:val="006512BC"/>
    <w:rsid w:val="00653A5A"/>
    <w:rsid w:val="006575F4"/>
    <w:rsid w:val="006579E6"/>
    <w:rsid w:val="00663EDC"/>
    <w:rsid w:val="00671078"/>
    <w:rsid w:val="006726FE"/>
    <w:rsid w:val="006758CA"/>
    <w:rsid w:val="00680A04"/>
    <w:rsid w:val="006834A2"/>
    <w:rsid w:val="00686D80"/>
    <w:rsid w:val="00694895"/>
    <w:rsid w:val="00697E2E"/>
    <w:rsid w:val="006A1A99"/>
    <w:rsid w:val="006A25A2"/>
    <w:rsid w:val="006B0E73"/>
    <w:rsid w:val="006B4A4D"/>
    <w:rsid w:val="006B5695"/>
    <w:rsid w:val="006C78EB"/>
    <w:rsid w:val="006D1660"/>
    <w:rsid w:val="006E5243"/>
    <w:rsid w:val="006F115B"/>
    <w:rsid w:val="006F1B67"/>
    <w:rsid w:val="006F3C4E"/>
    <w:rsid w:val="006F5B39"/>
    <w:rsid w:val="0070091D"/>
    <w:rsid w:val="00702854"/>
    <w:rsid w:val="00712478"/>
    <w:rsid w:val="00713365"/>
    <w:rsid w:val="0071741C"/>
    <w:rsid w:val="007227C6"/>
    <w:rsid w:val="00742B90"/>
    <w:rsid w:val="0074434D"/>
    <w:rsid w:val="00746C14"/>
    <w:rsid w:val="007528CD"/>
    <w:rsid w:val="00754D64"/>
    <w:rsid w:val="00770902"/>
    <w:rsid w:val="00771B1E"/>
    <w:rsid w:val="00773C95"/>
    <w:rsid w:val="0078171E"/>
    <w:rsid w:val="00795B34"/>
    <w:rsid w:val="0079715D"/>
    <w:rsid w:val="007B1770"/>
    <w:rsid w:val="007B31DB"/>
    <w:rsid w:val="007B4D3E"/>
    <w:rsid w:val="007B7C70"/>
    <w:rsid w:val="007C0E4E"/>
    <w:rsid w:val="007D2151"/>
    <w:rsid w:val="007D42CC"/>
    <w:rsid w:val="007D5DE4"/>
    <w:rsid w:val="007E0777"/>
    <w:rsid w:val="007E1341"/>
    <w:rsid w:val="007E1B41"/>
    <w:rsid w:val="007E1E60"/>
    <w:rsid w:val="007E2678"/>
    <w:rsid w:val="007E30B9"/>
    <w:rsid w:val="007E74F1"/>
    <w:rsid w:val="007F0F0C"/>
    <w:rsid w:val="007F1288"/>
    <w:rsid w:val="00800A8A"/>
    <w:rsid w:val="0080155C"/>
    <w:rsid w:val="008052E1"/>
    <w:rsid w:val="00806604"/>
    <w:rsid w:val="00822F2C"/>
    <w:rsid w:val="008305E8"/>
    <w:rsid w:val="00831450"/>
    <w:rsid w:val="00860826"/>
    <w:rsid w:val="00860E21"/>
    <w:rsid w:val="00863117"/>
    <w:rsid w:val="0086388B"/>
    <w:rsid w:val="008642E5"/>
    <w:rsid w:val="00872D93"/>
    <w:rsid w:val="00880470"/>
    <w:rsid w:val="00880D94"/>
    <w:rsid w:val="008924DE"/>
    <w:rsid w:val="008A3755"/>
    <w:rsid w:val="008A44A7"/>
    <w:rsid w:val="008B264F"/>
    <w:rsid w:val="008B6F83"/>
    <w:rsid w:val="008B7FD8"/>
    <w:rsid w:val="008C2973"/>
    <w:rsid w:val="008C6324"/>
    <w:rsid w:val="008C64C4"/>
    <w:rsid w:val="008D1DCC"/>
    <w:rsid w:val="008D74D5"/>
    <w:rsid w:val="008F29BE"/>
    <w:rsid w:val="008F4AE5"/>
    <w:rsid w:val="008F51EB"/>
    <w:rsid w:val="00900197"/>
    <w:rsid w:val="00902F55"/>
    <w:rsid w:val="0090582B"/>
    <w:rsid w:val="009060C0"/>
    <w:rsid w:val="009133F5"/>
    <w:rsid w:val="00913414"/>
    <w:rsid w:val="009147DC"/>
    <w:rsid w:val="00916B56"/>
    <w:rsid w:val="00920A27"/>
    <w:rsid w:val="00921216"/>
    <w:rsid w:val="009216CC"/>
    <w:rsid w:val="00930D08"/>
    <w:rsid w:val="0093270F"/>
    <w:rsid w:val="00932D69"/>
    <w:rsid w:val="00944647"/>
    <w:rsid w:val="00952A6E"/>
    <w:rsid w:val="00977B8A"/>
    <w:rsid w:val="00982971"/>
    <w:rsid w:val="009845AD"/>
    <w:rsid w:val="009850B1"/>
    <w:rsid w:val="00995BA0"/>
    <w:rsid w:val="009A418B"/>
    <w:rsid w:val="009A4473"/>
    <w:rsid w:val="009C151C"/>
    <w:rsid w:val="009D5125"/>
    <w:rsid w:val="009D60B8"/>
    <w:rsid w:val="009D719F"/>
    <w:rsid w:val="009D7D4B"/>
    <w:rsid w:val="009E1FDE"/>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9169D"/>
    <w:rsid w:val="00AA240C"/>
    <w:rsid w:val="00AB62C3"/>
    <w:rsid w:val="00AC101C"/>
    <w:rsid w:val="00AD4CF1"/>
    <w:rsid w:val="00AD5988"/>
    <w:rsid w:val="00AF012A"/>
    <w:rsid w:val="00AF7800"/>
    <w:rsid w:val="00B01F36"/>
    <w:rsid w:val="00B072E0"/>
    <w:rsid w:val="00B15B3E"/>
    <w:rsid w:val="00B253F6"/>
    <w:rsid w:val="00B305DB"/>
    <w:rsid w:val="00B332F8"/>
    <w:rsid w:val="00B33AED"/>
    <w:rsid w:val="00B3492B"/>
    <w:rsid w:val="00B4646F"/>
    <w:rsid w:val="00B55C7D"/>
    <w:rsid w:val="00B628FC"/>
    <w:rsid w:val="00B63038"/>
    <w:rsid w:val="00B64BD8"/>
    <w:rsid w:val="00B701D1"/>
    <w:rsid w:val="00B7194B"/>
    <w:rsid w:val="00B73AF2"/>
    <w:rsid w:val="00B7551A"/>
    <w:rsid w:val="00B773F1"/>
    <w:rsid w:val="00B80940"/>
    <w:rsid w:val="00B85982"/>
    <w:rsid w:val="00B86AB1"/>
    <w:rsid w:val="00B911C7"/>
    <w:rsid w:val="00B96042"/>
    <w:rsid w:val="00B96EFC"/>
    <w:rsid w:val="00BB2CBB"/>
    <w:rsid w:val="00BC59F1"/>
    <w:rsid w:val="00BF3DE1"/>
    <w:rsid w:val="00BF4843"/>
    <w:rsid w:val="00BF5205"/>
    <w:rsid w:val="00C008B4"/>
    <w:rsid w:val="00C12508"/>
    <w:rsid w:val="00C430A9"/>
    <w:rsid w:val="00C45AA2"/>
    <w:rsid w:val="00C50A30"/>
    <w:rsid w:val="00C519A3"/>
    <w:rsid w:val="00C55BEF"/>
    <w:rsid w:val="00C61E8E"/>
    <w:rsid w:val="00C65FFC"/>
    <w:rsid w:val="00C66296"/>
    <w:rsid w:val="00C67C1F"/>
    <w:rsid w:val="00C76F22"/>
    <w:rsid w:val="00C77282"/>
    <w:rsid w:val="00C84DE5"/>
    <w:rsid w:val="00C86248"/>
    <w:rsid w:val="00CA4C33"/>
    <w:rsid w:val="00CA6F4A"/>
    <w:rsid w:val="00CB6D65"/>
    <w:rsid w:val="00CD2119"/>
    <w:rsid w:val="00CD237A"/>
    <w:rsid w:val="00CD36AC"/>
    <w:rsid w:val="00CE13A3"/>
    <w:rsid w:val="00CF1747"/>
    <w:rsid w:val="00D23323"/>
    <w:rsid w:val="00D2392A"/>
    <w:rsid w:val="00D25FFE"/>
    <w:rsid w:val="00D4476F"/>
    <w:rsid w:val="00D54D50"/>
    <w:rsid w:val="00D66797"/>
    <w:rsid w:val="00D7087C"/>
    <w:rsid w:val="00D70C3C"/>
    <w:rsid w:val="00D72BE5"/>
    <w:rsid w:val="00D76583"/>
    <w:rsid w:val="00D82F26"/>
    <w:rsid w:val="00D863D0"/>
    <w:rsid w:val="00D87C87"/>
    <w:rsid w:val="00D90E07"/>
    <w:rsid w:val="00D953BB"/>
    <w:rsid w:val="00DB39CF"/>
    <w:rsid w:val="00DB5FC4"/>
    <w:rsid w:val="00DC14BB"/>
    <w:rsid w:val="00DD0BCD"/>
    <w:rsid w:val="00DD447A"/>
    <w:rsid w:val="00DE3B20"/>
    <w:rsid w:val="00DE5679"/>
    <w:rsid w:val="00DE6C94"/>
    <w:rsid w:val="00DE6FD7"/>
    <w:rsid w:val="00DF1A4B"/>
    <w:rsid w:val="00E1382B"/>
    <w:rsid w:val="00E15AC0"/>
    <w:rsid w:val="00E23271"/>
    <w:rsid w:val="00E23FB9"/>
    <w:rsid w:val="00E24308"/>
    <w:rsid w:val="00E2483E"/>
    <w:rsid w:val="00E24F80"/>
    <w:rsid w:val="00E259F3"/>
    <w:rsid w:val="00E33238"/>
    <w:rsid w:val="00E4486C"/>
    <w:rsid w:val="00E460B6"/>
    <w:rsid w:val="00E511D5"/>
    <w:rsid w:val="00E60249"/>
    <w:rsid w:val="00E65269"/>
    <w:rsid w:val="00E76D66"/>
    <w:rsid w:val="00EA796A"/>
    <w:rsid w:val="00EB1856"/>
    <w:rsid w:val="00EC1BC8"/>
    <w:rsid w:val="00EC50CE"/>
    <w:rsid w:val="00EC5B34"/>
    <w:rsid w:val="00ED53D3"/>
    <w:rsid w:val="00EE2D5C"/>
    <w:rsid w:val="00EE4ADE"/>
    <w:rsid w:val="00EE5CB7"/>
    <w:rsid w:val="00F024FE"/>
    <w:rsid w:val="00F05AD4"/>
    <w:rsid w:val="00F25970"/>
    <w:rsid w:val="00F420AF"/>
    <w:rsid w:val="00F5180D"/>
    <w:rsid w:val="00F63781"/>
    <w:rsid w:val="00F67496"/>
    <w:rsid w:val="00F763DC"/>
    <w:rsid w:val="00F801BA"/>
    <w:rsid w:val="00F9366A"/>
    <w:rsid w:val="00F946C9"/>
    <w:rsid w:val="00FA380B"/>
    <w:rsid w:val="00FA74EE"/>
    <w:rsid w:val="00FC3711"/>
    <w:rsid w:val="00FC46E7"/>
    <w:rsid w:val="00FC5D25"/>
    <w:rsid w:val="00FD0D7E"/>
    <w:rsid w:val="00FE36E0"/>
    <w:rsid w:val="00FE6E13"/>
    <w:rsid w:val="00FF15F6"/>
    <w:rsid w:val="00FF527C"/>
    <w:rsid w:val="00FF5433"/>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9A739C-194B-4EE4-B86B-20EC1A9D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E2483E"/>
    <w:pPr>
      <w:pageBreakBefore/>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link w:val="Heading6Char"/>
    <w:uiPriority w:val="9"/>
    <w:qFormat/>
    <w:rsid w:val="008D1DCC"/>
    <w:pPr>
      <w:spacing w:before="100" w:beforeAutospacing="1" w:after="100" w:afterAutospacing="1" w:line="240" w:lineRule="auto"/>
      <w:outlineLvl w:val="5"/>
    </w:pPr>
    <w:rPr>
      <w:rFonts w:ascii="Times New Roman" w:hAnsi="Times New Roman"/>
      <w:b/>
      <w:bCs/>
      <w:sz w:val="15"/>
      <w:szCs w:val="15"/>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483E"/>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8D1DCC"/>
    <w:rPr>
      <w:rFonts w:ascii="Georgia" w:hAnsi="Georgia"/>
      <w:b/>
      <w:sz w:val="22"/>
      <w:lang w:eastAsia="en-GB"/>
    </w:rPr>
  </w:style>
  <w:style w:type="character" w:customStyle="1" w:styleId="Heading5Char">
    <w:name w:val="Heading 5 Char"/>
    <w:basedOn w:val="DefaultParagraphFont"/>
    <w:link w:val="Heading5"/>
    <w:uiPriority w:val="9"/>
    <w:rsid w:val="008D1DCC"/>
    <w:rPr>
      <w:rFonts w:ascii="Georgia" w:hAnsi="Georgia"/>
      <w:sz w:val="22"/>
      <w:u w:val="single"/>
      <w:lang w:eastAsia="en-GB"/>
    </w:rPr>
  </w:style>
  <w:style w:type="character" w:customStyle="1" w:styleId="Heading6Char">
    <w:name w:val="Heading 6 Char"/>
    <w:basedOn w:val="DefaultParagraphFont"/>
    <w:link w:val="Heading6"/>
    <w:uiPriority w:val="9"/>
    <w:rsid w:val="008D1DCC"/>
    <w:rPr>
      <w:b/>
      <w:bCs/>
      <w:sz w:val="15"/>
      <w:szCs w:val="15"/>
    </w:rPr>
  </w:style>
  <w:style w:type="paragraph" w:styleId="TOC1">
    <w:name w:val="toc 1"/>
    <w:basedOn w:val="Normal"/>
    <w:next w:val="Normal"/>
    <w:uiPriority w:val="39"/>
    <w:rsid w:val="00007678"/>
    <w:pPr>
      <w:tabs>
        <w:tab w:val="right" w:pos="9356"/>
      </w:tabs>
      <w:spacing w:before="300"/>
      <w:ind w:left="567" w:right="567" w:hanging="567"/>
    </w:pPr>
    <w:rPr>
      <w:b/>
    </w:rPr>
  </w:style>
  <w:style w:type="paragraph" w:styleId="TOC2">
    <w:name w:val="toc 2"/>
    <w:basedOn w:val="Normal"/>
    <w:next w:val="Normal"/>
    <w:uiPriority w:val="39"/>
    <w:rsid w:val="00007678"/>
    <w:pPr>
      <w:tabs>
        <w:tab w:val="left" w:pos="284"/>
        <w:tab w:val="right" w:pos="9356"/>
      </w:tabs>
      <w:spacing w:before="60"/>
      <w:ind w:left="567"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rsid w:val="00DE5679"/>
    <w:pPr>
      <w:spacing w:before="60"/>
      <w:ind w:left="567" w:right="284"/>
    </w:pPr>
  </w:style>
  <w:style w:type="paragraph" w:styleId="FootnoteText">
    <w:name w:val="footnote text"/>
    <w:basedOn w:val="Normal"/>
    <w:link w:val="FootnoteTextChar"/>
    <w:uiPriority w:val="99"/>
    <w:rsid w:val="00447819"/>
    <w:pPr>
      <w:spacing w:before="60"/>
      <w:ind w:left="425" w:hanging="425"/>
    </w:pPr>
    <w:rPr>
      <w:sz w:val="18"/>
    </w:rPr>
  </w:style>
  <w:style w:type="character" w:customStyle="1" w:styleId="FootnoteTextChar">
    <w:name w:val="Footnote Text Char"/>
    <w:link w:val="FootnoteText"/>
    <w:uiPriority w:val="99"/>
    <w:rsid w:val="00447819"/>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8D1DCC"/>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C61E8E"/>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F63781"/>
    <w:pPr>
      <w:pBdr>
        <w:bottom w:val="single" w:sz="48" w:space="6" w:color="auto"/>
      </w:pBdr>
    </w:pPr>
    <w:rPr>
      <w:sz w:val="56"/>
    </w:rPr>
  </w:style>
  <w:style w:type="character" w:customStyle="1" w:styleId="z-TopofFormChar">
    <w:name w:val="z-Top of Form Char"/>
    <w:basedOn w:val="DefaultParagraphFont"/>
    <w:link w:val="z-TopofForm"/>
    <w:uiPriority w:val="99"/>
    <w:semiHidden/>
    <w:rsid w:val="008D1DC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D1DCC"/>
    <w:pPr>
      <w:pBdr>
        <w:bottom w:val="single" w:sz="6" w:space="1" w:color="auto"/>
      </w:pBdr>
      <w:spacing w:line="240" w:lineRule="auto"/>
      <w:jc w:val="center"/>
    </w:pPr>
    <w:rPr>
      <w:rFonts w:ascii="Arial"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8D1D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D1DCC"/>
    <w:pPr>
      <w:pBdr>
        <w:top w:val="single" w:sz="6" w:space="1" w:color="auto"/>
      </w:pBdr>
      <w:spacing w:line="240" w:lineRule="auto"/>
      <w:jc w:val="center"/>
    </w:pPr>
    <w:rPr>
      <w:rFonts w:ascii="Arial" w:hAnsi="Arial" w:cs="Arial"/>
      <w:vanish/>
      <w:sz w:val="16"/>
      <w:szCs w:val="16"/>
      <w:lang w:eastAsia="en-NZ"/>
    </w:rPr>
  </w:style>
  <w:style w:type="paragraph" w:styleId="BalloonText">
    <w:name w:val="Balloon Text"/>
    <w:basedOn w:val="Normal"/>
    <w:link w:val="BalloonTextChar"/>
    <w:uiPriority w:val="99"/>
    <w:semiHidden/>
    <w:unhideWhenUsed/>
    <w:rsid w:val="005B20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C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dc.org.nz" TargetMode="External"/><Relationship Id="rId117" Type="http://schemas.openxmlformats.org/officeDocument/2006/relationships/hyperlink" Target="http://www.legislation.govt.nz/regulation/public/2016/0272/latest/link.aspx?id=DLM7086812" TargetMode="External"/><Relationship Id="rId21" Type="http://schemas.openxmlformats.org/officeDocument/2006/relationships/hyperlink" Target="http://www.surv.esr.cri.nz/LabSurv/Documents/dln-national-guidelines-dec07.pdf" TargetMode="External"/><Relationship Id="rId42" Type="http://schemas.openxmlformats.org/officeDocument/2006/relationships/hyperlink" Target="http://www.communitylaw.org.nz" TargetMode="External"/><Relationship Id="rId47" Type="http://schemas.openxmlformats.org/officeDocument/2006/relationships/hyperlink" Target="http://www.hdc.org.nz" TargetMode="External"/><Relationship Id="rId63" Type="http://schemas.openxmlformats.org/officeDocument/2006/relationships/hyperlink" Target="http://www.communitylaw.org.nz" TargetMode="External"/><Relationship Id="rId68" Type="http://schemas.openxmlformats.org/officeDocument/2006/relationships/hyperlink" Target="http://www.hdc.org.nz" TargetMode="External"/><Relationship Id="rId84" Type="http://schemas.openxmlformats.org/officeDocument/2006/relationships/hyperlink" Target="http://www.health.govt.nz/publication/communicable-disease-control-manual-2012" TargetMode="External"/><Relationship Id="rId89" Type="http://schemas.openxmlformats.org/officeDocument/2006/relationships/hyperlink" Target="http://www.legislation.govt.nz/regulation/public/2016/0272/latest/link.aspx?id=DLM3533500" TargetMode="External"/><Relationship Id="rId112" Type="http://schemas.openxmlformats.org/officeDocument/2006/relationships/hyperlink" Target="http://www.legislation.govt.nz/regulation/public/2016/0272/latest/link.aspx?id=DLM7086812" TargetMode="External"/><Relationship Id="rId16" Type="http://schemas.openxmlformats.org/officeDocument/2006/relationships/footer" Target="footer4.xml"/><Relationship Id="rId107" Type="http://schemas.openxmlformats.org/officeDocument/2006/relationships/hyperlink" Target="http://www.legislation.govt.nz/regulation/public/2016/0272/latest/link.aspx?id=DLM307220" TargetMode="External"/><Relationship Id="rId11" Type="http://schemas.openxmlformats.org/officeDocument/2006/relationships/image" Target="media/image3.png"/><Relationship Id="rId32" Type="http://schemas.openxmlformats.org/officeDocument/2006/relationships/hyperlink" Target="http://www.cba.org.nz" TargetMode="External"/><Relationship Id="rId37" Type="http://schemas.openxmlformats.org/officeDocument/2006/relationships/hyperlink" Target="http://www.justice.govt.nz/services/legal-help/" TargetMode="External"/><Relationship Id="rId53" Type="http://schemas.openxmlformats.org/officeDocument/2006/relationships/hyperlink" Target="http://www.cba.org.nz" TargetMode="External"/><Relationship Id="rId58" Type="http://schemas.openxmlformats.org/officeDocument/2006/relationships/hyperlink" Target="http://www.justice.govt.nz/services/legal-help/" TargetMode="External"/><Relationship Id="rId74" Type="http://schemas.openxmlformats.org/officeDocument/2006/relationships/hyperlink" Target="http://www.justice.govt.nz/courts/high-court" TargetMode="External"/><Relationship Id="rId79" Type="http://schemas.openxmlformats.org/officeDocument/2006/relationships/hyperlink" Target="mailto:hdc@hdc.org.nz" TargetMode="External"/><Relationship Id="rId102" Type="http://schemas.openxmlformats.org/officeDocument/2006/relationships/hyperlink" Target="http://www.legislation.govt.nz/regulation/public/2016/0272/latest/link.aspx?id=DLM7036118" TargetMode="External"/><Relationship Id="rId123"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www.hdc.org.nz" TargetMode="External"/><Relationship Id="rId82" Type="http://schemas.openxmlformats.org/officeDocument/2006/relationships/hyperlink" Target="http://www.justice.govt.nz/services/legal-help/" TargetMode="External"/><Relationship Id="rId90" Type="http://schemas.openxmlformats.org/officeDocument/2006/relationships/hyperlink" Target="http://www.legislation.govt.nz/regulation/public/2016/0272/latest/link.aspx?id=DLM3533501" TargetMode="External"/><Relationship Id="rId95" Type="http://schemas.openxmlformats.org/officeDocument/2006/relationships/hyperlink" Target="http://www.legislation.govt.nz/regulation/public/2016/0272/latest/link.aspx?id=DLM3533500" TargetMode="External"/><Relationship Id="rId19" Type="http://schemas.openxmlformats.org/officeDocument/2006/relationships/hyperlink" Target="http://www.legislation.govt.nz" TargetMode="External"/><Relationship Id="rId14" Type="http://schemas.openxmlformats.org/officeDocument/2006/relationships/header" Target="header2.xml"/><Relationship Id="rId22" Type="http://schemas.openxmlformats.org/officeDocument/2006/relationships/hyperlink" Target="https://surv.esr.cri.nz/" TargetMode="External"/><Relationship Id="rId27" Type="http://schemas.openxmlformats.org/officeDocument/2006/relationships/hyperlink" Target="mailto:hdc@hdc.org.nz" TargetMode="External"/><Relationship Id="rId30" Type="http://schemas.openxmlformats.org/officeDocument/2006/relationships/hyperlink" Target="http://www.justice.govt.nz/services/legal-help/" TargetMode="External"/><Relationship Id="rId35" Type="http://schemas.openxmlformats.org/officeDocument/2006/relationships/hyperlink" Target="http://www.communitylaw.org.nz" TargetMode="External"/><Relationship Id="rId43" Type="http://schemas.openxmlformats.org/officeDocument/2006/relationships/hyperlink" Target="http://www.nzsti.org/faq/" TargetMode="External"/><Relationship Id="rId48" Type="http://schemas.openxmlformats.org/officeDocument/2006/relationships/hyperlink" Target="mailto:hdc@hdc.org.nz" TargetMode="External"/><Relationship Id="rId56" Type="http://schemas.openxmlformats.org/officeDocument/2006/relationships/hyperlink" Target="http://www.communitylaw.org.nz" TargetMode="External"/><Relationship Id="rId64" Type="http://schemas.openxmlformats.org/officeDocument/2006/relationships/hyperlink" Target="http://www.nzsti.org/faq/" TargetMode="External"/><Relationship Id="rId69" Type="http://schemas.openxmlformats.org/officeDocument/2006/relationships/hyperlink" Target="mailto:hdc@hdc.org.nz" TargetMode="External"/><Relationship Id="rId77" Type="http://schemas.openxmlformats.org/officeDocument/2006/relationships/hyperlink" Target="http://www.cba.org.nz" TargetMode="External"/><Relationship Id="rId100" Type="http://schemas.openxmlformats.org/officeDocument/2006/relationships/hyperlink" Target="http://www.legislation.govt.nz/regulation/public/2016/0272/latest/link.aspx?id=DLM3533500" TargetMode="External"/><Relationship Id="rId105" Type="http://schemas.openxmlformats.org/officeDocument/2006/relationships/hyperlink" Target="http://www.legislation.govt.nz/regulation/public/2016/0272/latest/link.aspx?id=DLM307271" TargetMode="External"/><Relationship Id="rId113" Type="http://schemas.openxmlformats.org/officeDocument/2006/relationships/hyperlink" Target="http://www.legislation.govt.nz/regulation/public/2016/0272/latest/link.aspx?id=DLM307220" TargetMode="External"/><Relationship Id="rId118" Type="http://schemas.openxmlformats.org/officeDocument/2006/relationships/hyperlink" Target="http://www.legislation.govt.nz/regulation/public/2016/0272/latest/link.aspx?id=DLM7036118" TargetMode="External"/><Relationship Id="rId12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justice.govt.nz/services/legal-help/" TargetMode="External"/><Relationship Id="rId72" Type="http://schemas.openxmlformats.org/officeDocument/2006/relationships/hyperlink" Target="http://www.justice.govt.nz/services%20/legal-help/" TargetMode="External"/><Relationship Id="rId80" Type="http://schemas.openxmlformats.org/officeDocument/2006/relationships/hyperlink" Target="http://www.communitylaw.org.nz" TargetMode="External"/><Relationship Id="rId85" Type="http://schemas.openxmlformats.org/officeDocument/2006/relationships/hyperlink" Target="http://www.legislation.govt.nz/act/public/1956/0065/latest/link.aspx?id=DLM307228" TargetMode="External"/><Relationship Id="rId93" Type="http://schemas.openxmlformats.org/officeDocument/2006/relationships/hyperlink" Target="http://www.legislation.govt.nz/regulation/public/2016/0272/latest/link.aspx?id=DLM307220" TargetMode="External"/><Relationship Id="rId98" Type="http://schemas.openxmlformats.org/officeDocument/2006/relationships/hyperlink" Target="http://www.legislation.govt.nz/regulation/public/2016/0272/latest/link.aspx?id=DLM308730" TargetMode="External"/><Relationship Id="rId121" Type="http://schemas.openxmlformats.org/officeDocument/2006/relationships/hyperlink" Target="http://www.legislation.govt.nz/regulation/public/2016/0272/latest/link.aspx?id=DLM708681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cba.org.nz" TargetMode="External"/><Relationship Id="rId33" Type="http://schemas.openxmlformats.org/officeDocument/2006/relationships/hyperlink" Target="http://www.hdc.org.nz" TargetMode="External"/><Relationship Id="rId38" Type="http://schemas.openxmlformats.org/officeDocument/2006/relationships/hyperlink" Target="http://www.courtsofnz.govt.nz" TargetMode="External"/><Relationship Id="rId46" Type="http://schemas.openxmlformats.org/officeDocument/2006/relationships/hyperlink" Target="http://www.cba.org.nz" TargetMode="External"/><Relationship Id="rId59" Type="http://schemas.openxmlformats.org/officeDocument/2006/relationships/hyperlink" Target="http://www.courtsofnz.govt.nz" TargetMode="External"/><Relationship Id="rId67" Type="http://schemas.openxmlformats.org/officeDocument/2006/relationships/hyperlink" Target="http://www.cba.org.nz" TargetMode="External"/><Relationship Id="rId103" Type="http://schemas.openxmlformats.org/officeDocument/2006/relationships/hyperlink" Target="http://www.legislation.govt.nz/regulation/public/2016/0272/latest/link.aspx?id=DLM308730" TargetMode="External"/><Relationship Id="rId108" Type="http://schemas.openxmlformats.org/officeDocument/2006/relationships/hyperlink" Target="http://www.legislation.govt.nz/regulation/public/2016/0272/latest/link.aspx?id=DLM307220" TargetMode="External"/><Relationship Id="rId116" Type="http://schemas.openxmlformats.org/officeDocument/2006/relationships/hyperlink" Target="http://www.legislation.govt.nz/regulation/public/2016/0272/latest/link.aspx?id=DLM307271" TargetMode="External"/><Relationship Id="rId124" Type="http://schemas.openxmlformats.org/officeDocument/2006/relationships/footer" Target="footer6.xml"/><Relationship Id="rId20" Type="http://schemas.openxmlformats.org/officeDocument/2006/relationships/hyperlink" Target="http://www.legislation.govt.nz" TargetMode="External"/><Relationship Id="rId41" Type="http://schemas.openxmlformats.org/officeDocument/2006/relationships/hyperlink" Target="mailto:hdc@hdc.org.nz" TargetMode="External"/><Relationship Id="rId54" Type="http://schemas.openxmlformats.org/officeDocument/2006/relationships/hyperlink" Target="http://www.hdc.org.nz" TargetMode="External"/><Relationship Id="rId62" Type="http://schemas.openxmlformats.org/officeDocument/2006/relationships/hyperlink" Target="mailto:hdc@hdc.org.nz" TargetMode="External"/><Relationship Id="rId70" Type="http://schemas.openxmlformats.org/officeDocument/2006/relationships/hyperlink" Target="http://www.communitylaw.org.nz" TargetMode="External"/><Relationship Id="rId75" Type="http://schemas.openxmlformats.org/officeDocument/2006/relationships/hyperlink" Target="http://www.legislation.govt.nz/act/public/2001/0031/latest/DLM91781.html" TargetMode="External"/><Relationship Id="rId83" Type="http://schemas.openxmlformats.org/officeDocument/2006/relationships/hyperlink" Target="http://www.courtsofnz.govt.nz" TargetMode="External"/><Relationship Id="rId88" Type="http://schemas.openxmlformats.org/officeDocument/2006/relationships/hyperlink" Target="http://www.legislation.govt.nz/regulation/public/2016/0272/latest/link.aspx?id=DLM7036108" TargetMode="External"/><Relationship Id="rId91" Type="http://schemas.openxmlformats.org/officeDocument/2006/relationships/hyperlink" Target="http://www.legislation.govt.nz/regulation/public/2016/0272/latest/link.aspx?id=DLM7036110" TargetMode="External"/><Relationship Id="rId96" Type="http://schemas.openxmlformats.org/officeDocument/2006/relationships/hyperlink" Target="http://www.legislation.govt.nz/regulation/public/2016/0272/latest/link.aspx?id=DLM3533501" TargetMode="External"/><Relationship Id="rId111" Type="http://schemas.openxmlformats.org/officeDocument/2006/relationships/hyperlink" Target="http://www.legislation.govt.nz/regulation/public/2016/0272/latest/link.aspx?id=DLM307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health.govt.nz/publication/communicable-disease-control-manual-2012" TargetMode="External"/><Relationship Id="rId28" Type="http://schemas.openxmlformats.org/officeDocument/2006/relationships/hyperlink" Target="http://www.communitylaw.org.nz" TargetMode="External"/><Relationship Id="rId36" Type="http://schemas.openxmlformats.org/officeDocument/2006/relationships/hyperlink" Target="http://www.nzsti.org/faq/" TargetMode="External"/><Relationship Id="rId49" Type="http://schemas.openxmlformats.org/officeDocument/2006/relationships/hyperlink" Target="http://www.communitylaw.org.nz" TargetMode="External"/><Relationship Id="rId57" Type="http://schemas.openxmlformats.org/officeDocument/2006/relationships/hyperlink" Target="http://www.nzsti.org/faq/" TargetMode="External"/><Relationship Id="rId106" Type="http://schemas.openxmlformats.org/officeDocument/2006/relationships/hyperlink" Target="http://www.legislation.govt.nz/regulation/public/2016/0272/latest/link.aspx?id=DLM307228" TargetMode="External"/><Relationship Id="rId114" Type="http://schemas.openxmlformats.org/officeDocument/2006/relationships/hyperlink" Target="http://www.legislation.govt.nz/regulation/public/2016/0272/latest/link.aspx?id=DLM7086812" TargetMode="External"/><Relationship Id="rId119" Type="http://schemas.openxmlformats.org/officeDocument/2006/relationships/hyperlink" Target="http://www.legislation.govt.nz/regulation/public/2016/0272/latest/link.aspx?id=DLM307271" TargetMode="External"/><Relationship Id="rId10" Type="http://schemas.openxmlformats.org/officeDocument/2006/relationships/image" Target="media/image2.png"/><Relationship Id="rId31" Type="http://schemas.openxmlformats.org/officeDocument/2006/relationships/hyperlink" Target="http://www.courtsofnz.govt.nz" TargetMode="External"/><Relationship Id="rId44" Type="http://schemas.openxmlformats.org/officeDocument/2006/relationships/hyperlink" Target="http://www.justice.govt.nz/services/legal-help/" TargetMode="External"/><Relationship Id="rId52" Type="http://schemas.openxmlformats.org/officeDocument/2006/relationships/hyperlink" Target="http://www.courtsofnz.govt.nz" TargetMode="External"/><Relationship Id="rId60" Type="http://schemas.openxmlformats.org/officeDocument/2006/relationships/hyperlink" Target="http://www.cba.org.nz" TargetMode="External"/><Relationship Id="rId65" Type="http://schemas.openxmlformats.org/officeDocument/2006/relationships/hyperlink" Target="http://www.justice.govt.nz/services/legal-help/" TargetMode="External"/><Relationship Id="rId73" Type="http://schemas.openxmlformats.org/officeDocument/2006/relationships/hyperlink" Target="http://www.courtsofnz.govt.nz" TargetMode="External"/><Relationship Id="rId78" Type="http://schemas.openxmlformats.org/officeDocument/2006/relationships/hyperlink" Target="http://www.hdc.org.nz" TargetMode="External"/><Relationship Id="rId81" Type="http://schemas.openxmlformats.org/officeDocument/2006/relationships/hyperlink" Target="http://www.nzsti.org/faq/" TargetMode="External"/><Relationship Id="rId86" Type="http://schemas.openxmlformats.org/officeDocument/2006/relationships/hyperlink" Target="http://www.legislation.govt.nz/act/public/1956/0065/latest/link.aspx?id=DLM307228" TargetMode="External"/><Relationship Id="rId94" Type="http://schemas.openxmlformats.org/officeDocument/2006/relationships/hyperlink" Target="http://www.legislation.govt.nz/regulation/public/2016/0272/latest/link.aspx?id=DLM7036112" TargetMode="External"/><Relationship Id="rId99" Type="http://schemas.openxmlformats.org/officeDocument/2006/relationships/hyperlink" Target="http://www.legislation.govt.nz/regulation/public/2016/0272/latest/link.aspx?id=DLM307228" TargetMode="External"/><Relationship Id="rId101" Type="http://schemas.openxmlformats.org/officeDocument/2006/relationships/hyperlink" Target="http://www.legislation.govt.nz/regulation/public/2016/0272/latest/link.aspx?id=DLM3533501" TargetMode="External"/><Relationship Id="rId122" Type="http://schemas.openxmlformats.org/officeDocument/2006/relationships/hyperlink" Target="http://www.legislation.govt.nz/regulation/public/2016/0272/latest/link.aspx?id=DLM7086812"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health.govt.nz/publication/communicable-disease-control-manual-2012" TargetMode="External"/><Relationship Id="rId39" Type="http://schemas.openxmlformats.org/officeDocument/2006/relationships/hyperlink" Target="http://www.cba.org.nz" TargetMode="External"/><Relationship Id="rId109" Type="http://schemas.openxmlformats.org/officeDocument/2006/relationships/hyperlink" Target="http://www.legislation.govt.nz/regulation/public/2016/0272/latest/link.aspx?id=DLM7086812" TargetMode="External"/><Relationship Id="rId34" Type="http://schemas.openxmlformats.org/officeDocument/2006/relationships/hyperlink" Target="mailto:hdc@hdc.org.nz" TargetMode="External"/><Relationship Id="rId50" Type="http://schemas.openxmlformats.org/officeDocument/2006/relationships/hyperlink" Target="http://www.nzsti.org/faq/" TargetMode="External"/><Relationship Id="rId55" Type="http://schemas.openxmlformats.org/officeDocument/2006/relationships/hyperlink" Target="mailto:hdc@hdc.org.nz" TargetMode="External"/><Relationship Id="rId76" Type="http://schemas.openxmlformats.org/officeDocument/2006/relationships/hyperlink" Target="https://drive.google.com/file/d/0B4FXvHNYdfH1aEl5TVlWNXB1TkU/view?usp=sharing" TargetMode="External"/><Relationship Id="rId97" Type="http://schemas.openxmlformats.org/officeDocument/2006/relationships/hyperlink" Target="http://www.legislation.govt.nz/regulation/public/2016/0272/latest/link.aspx?id=DLM7036114" TargetMode="External"/><Relationship Id="rId104" Type="http://schemas.openxmlformats.org/officeDocument/2006/relationships/hyperlink" Target="http://www.legislation.govt.nz/regulation/public/2016/0272/latest/link.aspx?id=DLM307220" TargetMode="External"/><Relationship Id="rId120" Type="http://schemas.openxmlformats.org/officeDocument/2006/relationships/hyperlink" Target="http://www.legislation.govt.nz/regulation/public/2016/0272/latest/link.aspx?id=DLM7086812"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zsti.org/faq/" TargetMode="External"/><Relationship Id="rId92" Type="http://schemas.openxmlformats.org/officeDocument/2006/relationships/hyperlink" Target="http://www.legislation.govt.nz/regulation/public/2016/0272/latest/link.aspx?id=DLM308730" TargetMode="External"/><Relationship Id="rId2" Type="http://schemas.openxmlformats.org/officeDocument/2006/relationships/numbering" Target="numbering.xml"/><Relationship Id="rId29" Type="http://schemas.openxmlformats.org/officeDocument/2006/relationships/hyperlink" Target="http://www.nzsti.org/faq/" TargetMode="External"/><Relationship Id="rId24" Type="http://schemas.openxmlformats.org/officeDocument/2006/relationships/image" Target="media/image4.png"/><Relationship Id="rId40" Type="http://schemas.openxmlformats.org/officeDocument/2006/relationships/hyperlink" Target="http://www.hdc.org.nz" TargetMode="External"/><Relationship Id="rId45" Type="http://schemas.openxmlformats.org/officeDocument/2006/relationships/hyperlink" Target="http://www.courtsofnz.govt.nz" TargetMode="External"/><Relationship Id="rId66" Type="http://schemas.openxmlformats.org/officeDocument/2006/relationships/hyperlink" Target="http://www.courtsofnz.govt.nz" TargetMode="External"/><Relationship Id="rId87" Type="http://schemas.openxmlformats.org/officeDocument/2006/relationships/hyperlink" Target="http://www.legislation.govt.nz/regulation/public/2016/0272/latest/link.aspx?id=DLM307220" TargetMode="External"/><Relationship Id="rId110" Type="http://schemas.openxmlformats.org/officeDocument/2006/relationships/hyperlink" Target="http://www.legislation.govt.nz/regulation/public/2016/0272/latest/link.aspx?id=DLM307220" TargetMode="External"/><Relationship Id="rId115" Type="http://schemas.openxmlformats.org/officeDocument/2006/relationships/hyperlink" Target="http://www.legislation.govt.nz/regulation/public/2016/0272/latest/link.aspx?id=DLM3072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publication/framework-health-literacy" TargetMode="External"/><Relationship Id="rId2" Type="http://schemas.openxmlformats.org/officeDocument/2006/relationships/hyperlink" Target="http://www.justice.govt.nz/Courts/going-to-court/legal-aid/legal-help" TargetMode="External"/><Relationship Id="rId1" Type="http://schemas.openxmlformats.org/officeDocument/2006/relationships/hyperlink" Target="http://www.legislation.govt.nz" TargetMode="External"/><Relationship Id="rId6" Type="http://schemas.openxmlformats.org/officeDocument/2006/relationships/hyperlink" Target="http://www.courtsofnz.govt.nz" TargetMode="External"/><Relationship Id="rId5" Type="http://schemas.openxmlformats.org/officeDocument/2006/relationships/hyperlink" Target="http://www.justice.govt.nz" TargetMode="External"/><Relationship Id="rId4" Type="http://schemas.openxmlformats.org/officeDocument/2006/relationships/hyperlink" Target="http://www.health.govt.nz/publication/communicable-disease-control-manual-2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BA4F-9ACF-42FF-9B9F-F849E460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121</Pages>
  <Words>36394</Words>
  <Characters>203541</Characters>
  <Application>Microsoft Office Word</Application>
  <DocSecurity>0</DocSecurity>
  <Lines>1696</Lines>
  <Paragraphs>478</Paragraphs>
  <ScaleCrop>false</ScaleCrop>
  <HeadingPairs>
    <vt:vector size="2" baseType="variant">
      <vt:variant>
        <vt:lpstr>Title</vt:lpstr>
      </vt:variant>
      <vt:variant>
        <vt:i4>1</vt:i4>
      </vt:variant>
    </vt:vector>
  </HeadingPairs>
  <TitlesOfParts>
    <vt:vector size="1" baseType="lpstr">
      <vt:lpstr>Guidance on Infectious Disease Management under the Health Act 1956</vt:lpstr>
    </vt:vector>
  </TitlesOfParts>
  <Company>Microsoft</Company>
  <LinksUpToDate>false</LinksUpToDate>
  <CharactersWithSpaces>239457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Infectious Disease Management under the Health Act 1956</dc:title>
  <dc:creator>Ministry of Health</dc:creator>
  <cp:lastModifiedBy>Jane Adam</cp:lastModifiedBy>
  <cp:revision>2</cp:revision>
  <cp:lastPrinted>2017-02-20T20:56:00Z</cp:lastPrinted>
  <dcterms:created xsi:type="dcterms:W3CDTF">2018-03-28T23:01:00Z</dcterms:created>
  <dcterms:modified xsi:type="dcterms:W3CDTF">2018-03-28T23:01:00Z</dcterms:modified>
</cp:coreProperties>
</file>