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CFE0" w14:textId="77777777" w:rsidR="00C86248" w:rsidRDefault="00A163F8" w:rsidP="00926083">
      <w:pPr>
        <w:pStyle w:val="Title"/>
      </w:pPr>
      <w:bookmarkStart w:id="0" w:name="_GoBack"/>
      <w:bookmarkEnd w:id="0"/>
      <w:r>
        <w:t>National Standards for Vaccine Storage and Transportation for Immunisation Providers 2017 (2nd edition)</w:t>
      </w:r>
    </w:p>
    <w:p w14:paraId="4AC474EE" w14:textId="77777777" w:rsidR="00C05132" w:rsidRDefault="00C05132" w:rsidP="00A06BE4"/>
    <w:p w14:paraId="6DC69CE9"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777E774D"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A163F8">
        <w:rPr>
          <w:rFonts w:cs="Segoe UI"/>
        </w:rPr>
        <w:t>2019</w:t>
      </w:r>
      <w:r w:rsidR="00442C1C" w:rsidRPr="00C05132">
        <w:rPr>
          <w:rFonts w:cs="Segoe UI"/>
        </w:rPr>
        <w:t xml:space="preserve">. </w:t>
      </w:r>
      <w:r w:rsidR="00A163F8">
        <w:rPr>
          <w:rFonts w:cs="Segoe UI"/>
          <w:i/>
        </w:rPr>
        <w:t>National Standards for Vaccine Storage and Transportation for Immunisation Providers (2nd edition)</w:t>
      </w:r>
      <w:r w:rsidR="00442C1C" w:rsidRPr="00C05132">
        <w:rPr>
          <w:rFonts w:cs="Segoe UI"/>
        </w:rPr>
        <w:t>.</w:t>
      </w:r>
      <w:r w:rsidR="00A163F8">
        <w:rPr>
          <w:rFonts w:cs="Segoe UI"/>
        </w:rPr>
        <w:br/>
      </w:r>
      <w:r w:rsidR="00442C1C" w:rsidRPr="00C05132">
        <w:rPr>
          <w:rFonts w:cs="Segoe UI"/>
        </w:rPr>
        <w:t>Wellington: Ministry of Health.</w:t>
      </w:r>
    </w:p>
    <w:p w14:paraId="49B3AB1A" w14:textId="77777777" w:rsidR="00C86248" w:rsidRDefault="00C86248">
      <w:pPr>
        <w:pStyle w:val="Imprint"/>
      </w:pPr>
      <w:r>
        <w:t xml:space="preserve">Published in </w:t>
      </w:r>
      <w:r w:rsidR="00A163F8">
        <w:t xml:space="preserve">September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CB7CE1A" w14:textId="77777777" w:rsidR="00082CD6" w:rsidRPr="009C0F2D" w:rsidRDefault="00D863D0" w:rsidP="00082CD6">
      <w:pPr>
        <w:pStyle w:val="Imprint"/>
      </w:pPr>
      <w:r w:rsidRPr="0076418A">
        <w:rPr>
          <w:rFonts w:cs="Segoe UI"/>
        </w:rPr>
        <w:t>ISBN</w:t>
      </w:r>
      <w:r w:rsidR="003746AA" w:rsidRPr="0076418A">
        <w:rPr>
          <w:rFonts w:cs="Segoe UI"/>
        </w:rPr>
        <w:t xml:space="preserve"> </w:t>
      </w:r>
      <w:r w:rsidR="003746AA" w:rsidRPr="0076418A">
        <w:rPr>
          <w:rFonts w:eastAsia="Arial" w:cs="Segoe UI"/>
          <w:color w:val="000000"/>
        </w:rPr>
        <w:t xml:space="preserve">978-1-98-859710-2 </w:t>
      </w:r>
      <w:r w:rsidRPr="0076418A">
        <w:rPr>
          <w:rFonts w:cs="Segoe UI"/>
        </w:rPr>
        <w:t>(</w:t>
      </w:r>
      <w:r w:rsidR="00442C1C" w:rsidRPr="0076418A">
        <w:rPr>
          <w:rFonts w:cs="Segoe UI"/>
        </w:rPr>
        <w:t>online</w:t>
      </w:r>
      <w:r w:rsidRPr="0076418A">
        <w:rPr>
          <w:rFonts w:cs="Segoe UI"/>
        </w:rPr>
        <w:t>)</w:t>
      </w:r>
      <w:r w:rsidR="00082CD6">
        <w:br/>
      </w:r>
      <w:r w:rsidR="00082CD6" w:rsidRPr="009C0F2D">
        <w:t>HP</w:t>
      </w:r>
      <w:r w:rsidR="003746AA">
        <w:t xml:space="preserve"> 7226 </w:t>
      </w:r>
    </w:p>
    <w:p w14:paraId="026A8421" w14:textId="77777777" w:rsidR="00C86248" w:rsidRDefault="008C64C4" w:rsidP="00D27922">
      <w:pPr>
        <w:spacing w:before="360"/>
      </w:pPr>
      <w:r>
        <w:rPr>
          <w:noProof/>
          <w:lang w:eastAsia="en-NZ"/>
        </w:rPr>
        <w:drawing>
          <wp:inline distT="0" distB="0" distL="0" distR="0" wp14:anchorId="1F659486" wp14:editId="16FFA9AE">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B5BA0CE"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69A5F18" w14:textId="77777777" w:rsidTr="00A63DFF">
        <w:trPr>
          <w:cantSplit/>
        </w:trPr>
        <w:tc>
          <w:tcPr>
            <w:tcW w:w="1526" w:type="dxa"/>
          </w:tcPr>
          <w:p w14:paraId="1534EF3C"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691D393F" wp14:editId="212A193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ACA8699"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5B3EE872" w14:textId="77777777" w:rsidR="007E74F1" w:rsidRPr="001F45A7" w:rsidRDefault="007E74F1" w:rsidP="006E2886">
      <w:pPr>
        <w:pStyle w:val="Imprint"/>
      </w:pPr>
    </w:p>
    <w:p w14:paraId="17683742" w14:textId="77777777"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14:paraId="141C8A4A" w14:textId="77777777" w:rsidR="00C86248" w:rsidRDefault="00C86248" w:rsidP="00025A6F">
      <w:pPr>
        <w:pStyle w:val="IntroHead"/>
      </w:pPr>
      <w:bookmarkStart w:id="1" w:name="_Toc405792991"/>
      <w:bookmarkStart w:id="2" w:name="_Toc405793224"/>
      <w:r>
        <w:lastRenderedPageBreak/>
        <w:t>Contents</w:t>
      </w:r>
      <w:bookmarkEnd w:id="1"/>
      <w:bookmarkEnd w:id="2"/>
    </w:p>
    <w:p w14:paraId="3E0F9642" w14:textId="77777777" w:rsidR="0076418A" w:rsidRDefault="0076418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8062233" w:history="1">
        <w:r w:rsidRPr="00D8271C">
          <w:rPr>
            <w:rStyle w:val="Hyperlink"/>
            <w:noProof/>
          </w:rPr>
          <w:t>Definitions and abbreviations</w:t>
        </w:r>
        <w:r>
          <w:rPr>
            <w:noProof/>
            <w:webHidden/>
          </w:rPr>
          <w:tab/>
        </w:r>
        <w:r>
          <w:rPr>
            <w:noProof/>
            <w:webHidden/>
          </w:rPr>
          <w:fldChar w:fldCharType="begin"/>
        </w:r>
        <w:r>
          <w:rPr>
            <w:noProof/>
            <w:webHidden/>
          </w:rPr>
          <w:instrText xml:space="preserve"> PAGEREF _Toc18062233 \h </w:instrText>
        </w:r>
        <w:r>
          <w:rPr>
            <w:noProof/>
            <w:webHidden/>
          </w:rPr>
        </w:r>
        <w:r>
          <w:rPr>
            <w:noProof/>
            <w:webHidden/>
          </w:rPr>
          <w:fldChar w:fldCharType="separate"/>
        </w:r>
        <w:r w:rsidR="00A975E5">
          <w:rPr>
            <w:noProof/>
            <w:webHidden/>
          </w:rPr>
          <w:t>v</w:t>
        </w:r>
        <w:r>
          <w:rPr>
            <w:noProof/>
            <w:webHidden/>
          </w:rPr>
          <w:fldChar w:fldCharType="end"/>
        </w:r>
      </w:hyperlink>
    </w:p>
    <w:p w14:paraId="77042AF4" w14:textId="77777777" w:rsidR="0076418A" w:rsidRDefault="00DD06EE">
      <w:pPr>
        <w:pStyle w:val="TOC1"/>
        <w:rPr>
          <w:rFonts w:asciiTheme="minorHAnsi" w:eastAsiaTheme="minorEastAsia" w:hAnsiTheme="minorHAnsi" w:cstheme="minorBidi"/>
          <w:noProof/>
          <w:sz w:val="22"/>
          <w:szCs w:val="22"/>
          <w:lang w:eastAsia="en-NZ"/>
        </w:rPr>
      </w:pPr>
      <w:hyperlink w:anchor="_Toc18062234" w:history="1">
        <w:r w:rsidR="0076418A" w:rsidRPr="00D8271C">
          <w:rPr>
            <w:rStyle w:val="Hyperlink"/>
            <w:noProof/>
          </w:rPr>
          <w:t>Introduction</w:t>
        </w:r>
        <w:r w:rsidR="0076418A">
          <w:rPr>
            <w:noProof/>
            <w:webHidden/>
          </w:rPr>
          <w:tab/>
        </w:r>
        <w:r w:rsidR="0076418A">
          <w:rPr>
            <w:noProof/>
            <w:webHidden/>
          </w:rPr>
          <w:fldChar w:fldCharType="begin"/>
        </w:r>
        <w:r w:rsidR="0076418A">
          <w:rPr>
            <w:noProof/>
            <w:webHidden/>
          </w:rPr>
          <w:instrText xml:space="preserve"> PAGEREF _Toc18062234 \h </w:instrText>
        </w:r>
        <w:r w:rsidR="0076418A">
          <w:rPr>
            <w:noProof/>
            <w:webHidden/>
          </w:rPr>
        </w:r>
        <w:r w:rsidR="0076418A">
          <w:rPr>
            <w:noProof/>
            <w:webHidden/>
          </w:rPr>
          <w:fldChar w:fldCharType="separate"/>
        </w:r>
        <w:r w:rsidR="00A975E5">
          <w:rPr>
            <w:noProof/>
            <w:webHidden/>
          </w:rPr>
          <w:t>1</w:t>
        </w:r>
        <w:r w:rsidR="0076418A">
          <w:rPr>
            <w:noProof/>
            <w:webHidden/>
          </w:rPr>
          <w:fldChar w:fldCharType="end"/>
        </w:r>
      </w:hyperlink>
    </w:p>
    <w:p w14:paraId="75F0CFB1" w14:textId="77777777" w:rsidR="0076418A" w:rsidRDefault="00DD06EE">
      <w:pPr>
        <w:pStyle w:val="TOC1"/>
        <w:rPr>
          <w:rFonts w:asciiTheme="minorHAnsi" w:eastAsiaTheme="minorEastAsia" w:hAnsiTheme="minorHAnsi" w:cstheme="minorBidi"/>
          <w:noProof/>
          <w:sz w:val="22"/>
          <w:szCs w:val="22"/>
          <w:lang w:eastAsia="en-NZ"/>
        </w:rPr>
      </w:pPr>
      <w:hyperlink w:anchor="_Toc18062235" w:history="1">
        <w:r w:rsidR="0076418A" w:rsidRPr="00D8271C">
          <w:rPr>
            <w:rStyle w:val="Hyperlink"/>
            <w:noProof/>
          </w:rPr>
          <w:t>1</w:t>
        </w:r>
        <w:r w:rsidR="0076418A">
          <w:rPr>
            <w:rFonts w:asciiTheme="minorHAnsi" w:eastAsiaTheme="minorEastAsia" w:hAnsiTheme="minorHAnsi" w:cstheme="minorBidi"/>
            <w:noProof/>
            <w:sz w:val="22"/>
            <w:szCs w:val="22"/>
            <w:lang w:eastAsia="en-NZ"/>
          </w:rPr>
          <w:tab/>
        </w:r>
        <w:r w:rsidR="0076418A" w:rsidRPr="00D8271C">
          <w:rPr>
            <w:rStyle w:val="Hyperlink"/>
            <w:noProof/>
          </w:rPr>
          <w:t>National Standards for Vaccine Storage and Transportation for Immunisation Providers</w:t>
        </w:r>
        <w:r w:rsidR="0076418A">
          <w:rPr>
            <w:noProof/>
            <w:webHidden/>
          </w:rPr>
          <w:tab/>
        </w:r>
        <w:r w:rsidR="0076418A">
          <w:rPr>
            <w:noProof/>
            <w:webHidden/>
          </w:rPr>
          <w:fldChar w:fldCharType="begin"/>
        </w:r>
        <w:r w:rsidR="0076418A">
          <w:rPr>
            <w:noProof/>
            <w:webHidden/>
          </w:rPr>
          <w:instrText xml:space="preserve"> PAGEREF _Toc18062235 \h </w:instrText>
        </w:r>
        <w:r w:rsidR="0076418A">
          <w:rPr>
            <w:noProof/>
            <w:webHidden/>
          </w:rPr>
        </w:r>
        <w:r w:rsidR="0076418A">
          <w:rPr>
            <w:noProof/>
            <w:webHidden/>
          </w:rPr>
          <w:fldChar w:fldCharType="separate"/>
        </w:r>
        <w:r w:rsidR="00A975E5">
          <w:rPr>
            <w:noProof/>
            <w:webHidden/>
          </w:rPr>
          <w:t>2</w:t>
        </w:r>
        <w:r w:rsidR="0076418A">
          <w:rPr>
            <w:noProof/>
            <w:webHidden/>
          </w:rPr>
          <w:fldChar w:fldCharType="end"/>
        </w:r>
      </w:hyperlink>
    </w:p>
    <w:p w14:paraId="325CBFA6" w14:textId="77777777" w:rsidR="0076418A" w:rsidRDefault="00DD06EE">
      <w:pPr>
        <w:pStyle w:val="TOC1"/>
        <w:rPr>
          <w:rFonts w:asciiTheme="minorHAnsi" w:eastAsiaTheme="minorEastAsia" w:hAnsiTheme="minorHAnsi" w:cstheme="minorBidi"/>
          <w:noProof/>
          <w:sz w:val="22"/>
          <w:szCs w:val="22"/>
          <w:lang w:eastAsia="en-NZ"/>
        </w:rPr>
      </w:pPr>
      <w:hyperlink w:anchor="_Toc18062236" w:history="1">
        <w:r w:rsidR="0076418A" w:rsidRPr="00D8271C">
          <w:rPr>
            <w:rStyle w:val="Hyperlink"/>
            <w:noProof/>
          </w:rPr>
          <w:t>2</w:t>
        </w:r>
        <w:r w:rsidR="0076418A">
          <w:rPr>
            <w:rFonts w:asciiTheme="minorHAnsi" w:eastAsiaTheme="minorEastAsia" w:hAnsiTheme="minorHAnsi" w:cstheme="minorBidi"/>
            <w:noProof/>
            <w:sz w:val="22"/>
            <w:szCs w:val="22"/>
            <w:lang w:eastAsia="en-NZ"/>
          </w:rPr>
          <w:tab/>
        </w:r>
        <w:r w:rsidR="0076418A" w:rsidRPr="00D8271C">
          <w:rPr>
            <w:rStyle w:val="Hyperlink"/>
            <w:noProof/>
          </w:rPr>
          <w:t>Background</w:t>
        </w:r>
        <w:r w:rsidR="0076418A">
          <w:rPr>
            <w:noProof/>
            <w:webHidden/>
          </w:rPr>
          <w:tab/>
        </w:r>
        <w:r w:rsidR="0076418A">
          <w:rPr>
            <w:noProof/>
            <w:webHidden/>
          </w:rPr>
          <w:fldChar w:fldCharType="begin"/>
        </w:r>
        <w:r w:rsidR="0076418A">
          <w:rPr>
            <w:noProof/>
            <w:webHidden/>
          </w:rPr>
          <w:instrText xml:space="preserve"> PAGEREF _Toc18062236 \h </w:instrText>
        </w:r>
        <w:r w:rsidR="0076418A">
          <w:rPr>
            <w:noProof/>
            <w:webHidden/>
          </w:rPr>
        </w:r>
        <w:r w:rsidR="0076418A">
          <w:rPr>
            <w:noProof/>
            <w:webHidden/>
          </w:rPr>
          <w:fldChar w:fldCharType="separate"/>
        </w:r>
        <w:r w:rsidR="00A975E5">
          <w:rPr>
            <w:noProof/>
            <w:webHidden/>
          </w:rPr>
          <w:t>4</w:t>
        </w:r>
        <w:r w:rsidR="0076418A">
          <w:rPr>
            <w:noProof/>
            <w:webHidden/>
          </w:rPr>
          <w:fldChar w:fldCharType="end"/>
        </w:r>
      </w:hyperlink>
    </w:p>
    <w:p w14:paraId="2B311102"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37" w:history="1">
        <w:r w:rsidR="0076418A" w:rsidRPr="00D8271C">
          <w:rPr>
            <w:rStyle w:val="Hyperlink"/>
            <w:noProof/>
          </w:rPr>
          <w:t>2.1</w:t>
        </w:r>
        <w:r w:rsidR="0076418A">
          <w:rPr>
            <w:rFonts w:asciiTheme="minorHAnsi" w:eastAsiaTheme="minorEastAsia" w:hAnsiTheme="minorHAnsi" w:cstheme="minorBidi"/>
            <w:noProof/>
            <w:sz w:val="22"/>
            <w:szCs w:val="22"/>
            <w:lang w:eastAsia="en-NZ"/>
          </w:rPr>
          <w:tab/>
        </w:r>
        <w:r w:rsidR="0076418A" w:rsidRPr="00D8271C">
          <w:rPr>
            <w:rStyle w:val="Hyperlink"/>
            <w:noProof/>
          </w:rPr>
          <w:t>Vaccine arrival and distribution</w:t>
        </w:r>
        <w:r w:rsidR="0076418A">
          <w:rPr>
            <w:noProof/>
            <w:webHidden/>
          </w:rPr>
          <w:tab/>
        </w:r>
        <w:r w:rsidR="0076418A">
          <w:rPr>
            <w:noProof/>
            <w:webHidden/>
          </w:rPr>
          <w:fldChar w:fldCharType="begin"/>
        </w:r>
        <w:r w:rsidR="0076418A">
          <w:rPr>
            <w:noProof/>
            <w:webHidden/>
          </w:rPr>
          <w:instrText xml:space="preserve"> PAGEREF _Toc18062237 \h </w:instrText>
        </w:r>
        <w:r w:rsidR="0076418A">
          <w:rPr>
            <w:noProof/>
            <w:webHidden/>
          </w:rPr>
        </w:r>
        <w:r w:rsidR="0076418A">
          <w:rPr>
            <w:noProof/>
            <w:webHidden/>
          </w:rPr>
          <w:fldChar w:fldCharType="separate"/>
        </w:r>
        <w:r w:rsidR="00A975E5">
          <w:rPr>
            <w:noProof/>
            <w:webHidden/>
          </w:rPr>
          <w:t>4</w:t>
        </w:r>
        <w:r w:rsidR="0076418A">
          <w:rPr>
            <w:noProof/>
            <w:webHidden/>
          </w:rPr>
          <w:fldChar w:fldCharType="end"/>
        </w:r>
      </w:hyperlink>
    </w:p>
    <w:p w14:paraId="14663B11"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38" w:history="1">
        <w:r w:rsidR="0076418A" w:rsidRPr="00D8271C">
          <w:rPr>
            <w:rStyle w:val="Hyperlink"/>
            <w:noProof/>
          </w:rPr>
          <w:t>2.2</w:t>
        </w:r>
        <w:r w:rsidR="0076418A">
          <w:rPr>
            <w:rFonts w:asciiTheme="minorHAnsi" w:eastAsiaTheme="minorEastAsia" w:hAnsiTheme="minorHAnsi" w:cstheme="minorBidi"/>
            <w:noProof/>
            <w:sz w:val="22"/>
            <w:szCs w:val="22"/>
            <w:lang w:eastAsia="en-NZ"/>
          </w:rPr>
          <w:tab/>
        </w:r>
        <w:r w:rsidR="0076418A" w:rsidRPr="00D8271C">
          <w:rPr>
            <w:rStyle w:val="Hyperlink"/>
            <w:noProof/>
          </w:rPr>
          <w:t>Vaccines are temperature sensitive</w:t>
        </w:r>
        <w:r w:rsidR="0076418A">
          <w:rPr>
            <w:noProof/>
            <w:webHidden/>
          </w:rPr>
          <w:tab/>
        </w:r>
        <w:r w:rsidR="0076418A">
          <w:rPr>
            <w:noProof/>
            <w:webHidden/>
          </w:rPr>
          <w:fldChar w:fldCharType="begin"/>
        </w:r>
        <w:r w:rsidR="0076418A">
          <w:rPr>
            <w:noProof/>
            <w:webHidden/>
          </w:rPr>
          <w:instrText xml:space="preserve"> PAGEREF _Toc18062238 \h </w:instrText>
        </w:r>
        <w:r w:rsidR="0076418A">
          <w:rPr>
            <w:noProof/>
            <w:webHidden/>
          </w:rPr>
        </w:r>
        <w:r w:rsidR="0076418A">
          <w:rPr>
            <w:noProof/>
            <w:webHidden/>
          </w:rPr>
          <w:fldChar w:fldCharType="separate"/>
        </w:r>
        <w:r w:rsidR="00A975E5">
          <w:rPr>
            <w:noProof/>
            <w:webHidden/>
          </w:rPr>
          <w:t>4</w:t>
        </w:r>
        <w:r w:rsidR="0076418A">
          <w:rPr>
            <w:noProof/>
            <w:webHidden/>
          </w:rPr>
          <w:fldChar w:fldCharType="end"/>
        </w:r>
      </w:hyperlink>
    </w:p>
    <w:p w14:paraId="30F4BDA3"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39" w:history="1">
        <w:r w:rsidR="0076418A" w:rsidRPr="00D8271C">
          <w:rPr>
            <w:rStyle w:val="Hyperlink"/>
            <w:noProof/>
          </w:rPr>
          <w:t>2.3</w:t>
        </w:r>
        <w:r w:rsidR="0076418A">
          <w:rPr>
            <w:rFonts w:asciiTheme="minorHAnsi" w:eastAsiaTheme="minorEastAsia" w:hAnsiTheme="minorHAnsi" w:cstheme="minorBidi"/>
            <w:noProof/>
            <w:sz w:val="22"/>
            <w:szCs w:val="22"/>
            <w:lang w:eastAsia="en-NZ"/>
          </w:rPr>
          <w:tab/>
        </w:r>
        <w:r w:rsidR="0076418A" w:rsidRPr="00D8271C">
          <w:rPr>
            <w:rStyle w:val="Hyperlink"/>
            <w:noProof/>
          </w:rPr>
          <w:t>Cold chain excursion costs</w:t>
        </w:r>
        <w:r w:rsidR="0076418A">
          <w:rPr>
            <w:noProof/>
            <w:webHidden/>
          </w:rPr>
          <w:tab/>
        </w:r>
        <w:r w:rsidR="0076418A">
          <w:rPr>
            <w:noProof/>
            <w:webHidden/>
          </w:rPr>
          <w:fldChar w:fldCharType="begin"/>
        </w:r>
        <w:r w:rsidR="0076418A">
          <w:rPr>
            <w:noProof/>
            <w:webHidden/>
          </w:rPr>
          <w:instrText xml:space="preserve"> PAGEREF _Toc18062239 \h </w:instrText>
        </w:r>
        <w:r w:rsidR="0076418A">
          <w:rPr>
            <w:noProof/>
            <w:webHidden/>
          </w:rPr>
        </w:r>
        <w:r w:rsidR="0076418A">
          <w:rPr>
            <w:noProof/>
            <w:webHidden/>
          </w:rPr>
          <w:fldChar w:fldCharType="separate"/>
        </w:r>
        <w:r w:rsidR="00A975E5">
          <w:rPr>
            <w:noProof/>
            <w:webHidden/>
          </w:rPr>
          <w:t>5</w:t>
        </w:r>
        <w:r w:rsidR="0076418A">
          <w:rPr>
            <w:noProof/>
            <w:webHidden/>
          </w:rPr>
          <w:fldChar w:fldCharType="end"/>
        </w:r>
      </w:hyperlink>
    </w:p>
    <w:p w14:paraId="381BF47A" w14:textId="77777777" w:rsidR="0076418A" w:rsidRDefault="00DD06EE">
      <w:pPr>
        <w:pStyle w:val="TOC1"/>
        <w:rPr>
          <w:rFonts w:asciiTheme="minorHAnsi" w:eastAsiaTheme="minorEastAsia" w:hAnsiTheme="minorHAnsi" w:cstheme="minorBidi"/>
          <w:noProof/>
          <w:sz w:val="22"/>
          <w:szCs w:val="22"/>
          <w:lang w:eastAsia="en-NZ"/>
        </w:rPr>
      </w:pPr>
      <w:hyperlink w:anchor="_Toc18062240" w:history="1">
        <w:r w:rsidR="0076418A" w:rsidRPr="00D8271C">
          <w:rPr>
            <w:rStyle w:val="Hyperlink"/>
            <w:noProof/>
          </w:rPr>
          <w:t>3</w:t>
        </w:r>
        <w:r w:rsidR="0076418A">
          <w:rPr>
            <w:rFonts w:asciiTheme="minorHAnsi" w:eastAsiaTheme="minorEastAsia" w:hAnsiTheme="minorHAnsi" w:cstheme="minorBidi"/>
            <w:noProof/>
            <w:sz w:val="22"/>
            <w:szCs w:val="22"/>
            <w:lang w:eastAsia="en-NZ"/>
          </w:rPr>
          <w:tab/>
        </w:r>
        <w:r w:rsidR="0076418A" w:rsidRPr="00D8271C">
          <w:rPr>
            <w:rStyle w:val="Hyperlink"/>
            <w:noProof/>
          </w:rPr>
          <w:t>Cold Chain Accreditation</w:t>
        </w:r>
        <w:r w:rsidR="0076418A">
          <w:rPr>
            <w:noProof/>
            <w:webHidden/>
          </w:rPr>
          <w:tab/>
        </w:r>
        <w:r w:rsidR="0076418A">
          <w:rPr>
            <w:noProof/>
            <w:webHidden/>
          </w:rPr>
          <w:fldChar w:fldCharType="begin"/>
        </w:r>
        <w:r w:rsidR="0076418A">
          <w:rPr>
            <w:noProof/>
            <w:webHidden/>
          </w:rPr>
          <w:instrText xml:space="preserve"> PAGEREF _Toc18062240 \h </w:instrText>
        </w:r>
        <w:r w:rsidR="0076418A">
          <w:rPr>
            <w:noProof/>
            <w:webHidden/>
          </w:rPr>
        </w:r>
        <w:r w:rsidR="0076418A">
          <w:rPr>
            <w:noProof/>
            <w:webHidden/>
          </w:rPr>
          <w:fldChar w:fldCharType="separate"/>
        </w:r>
        <w:r w:rsidR="00A975E5">
          <w:rPr>
            <w:noProof/>
            <w:webHidden/>
          </w:rPr>
          <w:t>7</w:t>
        </w:r>
        <w:r w:rsidR="0076418A">
          <w:rPr>
            <w:noProof/>
            <w:webHidden/>
          </w:rPr>
          <w:fldChar w:fldCharType="end"/>
        </w:r>
      </w:hyperlink>
    </w:p>
    <w:p w14:paraId="237EB321" w14:textId="77777777" w:rsidR="0076418A" w:rsidRDefault="00DD06EE">
      <w:pPr>
        <w:pStyle w:val="TOC1"/>
        <w:rPr>
          <w:rFonts w:asciiTheme="minorHAnsi" w:eastAsiaTheme="minorEastAsia" w:hAnsiTheme="minorHAnsi" w:cstheme="minorBidi"/>
          <w:noProof/>
          <w:sz w:val="22"/>
          <w:szCs w:val="22"/>
          <w:lang w:eastAsia="en-NZ"/>
        </w:rPr>
      </w:pPr>
      <w:hyperlink w:anchor="_Toc18062241" w:history="1">
        <w:r w:rsidR="0076418A" w:rsidRPr="00D8271C">
          <w:rPr>
            <w:rStyle w:val="Hyperlink"/>
            <w:noProof/>
          </w:rPr>
          <w:t>4</w:t>
        </w:r>
        <w:r w:rsidR="0076418A">
          <w:rPr>
            <w:rFonts w:asciiTheme="minorHAnsi" w:eastAsiaTheme="minorEastAsia" w:hAnsiTheme="minorHAnsi" w:cstheme="minorBidi"/>
            <w:noProof/>
            <w:sz w:val="22"/>
            <w:szCs w:val="22"/>
            <w:lang w:eastAsia="en-NZ"/>
          </w:rPr>
          <w:tab/>
        </w:r>
        <w:r w:rsidR="0076418A" w:rsidRPr="00D8271C">
          <w:rPr>
            <w:rStyle w:val="Hyperlink"/>
            <w:noProof/>
          </w:rPr>
          <w:t>Cold Chain Compliance</w:t>
        </w:r>
        <w:r w:rsidR="0076418A">
          <w:rPr>
            <w:noProof/>
            <w:webHidden/>
          </w:rPr>
          <w:tab/>
        </w:r>
        <w:r w:rsidR="0076418A">
          <w:rPr>
            <w:noProof/>
            <w:webHidden/>
          </w:rPr>
          <w:fldChar w:fldCharType="begin"/>
        </w:r>
        <w:r w:rsidR="0076418A">
          <w:rPr>
            <w:noProof/>
            <w:webHidden/>
          </w:rPr>
          <w:instrText xml:space="preserve"> PAGEREF _Toc18062241 \h </w:instrText>
        </w:r>
        <w:r w:rsidR="0076418A">
          <w:rPr>
            <w:noProof/>
            <w:webHidden/>
          </w:rPr>
        </w:r>
        <w:r w:rsidR="0076418A">
          <w:rPr>
            <w:noProof/>
            <w:webHidden/>
          </w:rPr>
          <w:fldChar w:fldCharType="separate"/>
        </w:r>
        <w:r w:rsidR="00A975E5">
          <w:rPr>
            <w:noProof/>
            <w:webHidden/>
          </w:rPr>
          <w:t>9</w:t>
        </w:r>
        <w:r w:rsidR="0076418A">
          <w:rPr>
            <w:noProof/>
            <w:webHidden/>
          </w:rPr>
          <w:fldChar w:fldCharType="end"/>
        </w:r>
      </w:hyperlink>
    </w:p>
    <w:p w14:paraId="4EAAC56A" w14:textId="77777777" w:rsidR="0076418A" w:rsidRDefault="00DD06EE">
      <w:pPr>
        <w:pStyle w:val="TOC1"/>
        <w:rPr>
          <w:rFonts w:asciiTheme="minorHAnsi" w:eastAsiaTheme="minorEastAsia" w:hAnsiTheme="minorHAnsi" w:cstheme="minorBidi"/>
          <w:noProof/>
          <w:sz w:val="22"/>
          <w:szCs w:val="22"/>
          <w:lang w:eastAsia="en-NZ"/>
        </w:rPr>
      </w:pPr>
      <w:hyperlink w:anchor="_Toc18062242" w:history="1">
        <w:r w:rsidR="0076418A" w:rsidRPr="00D8271C">
          <w:rPr>
            <w:rStyle w:val="Hyperlink"/>
            <w:noProof/>
          </w:rPr>
          <w:t>5</w:t>
        </w:r>
        <w:r w:rsidR="0076418A">
          <w:rPr>
            <w:rFonts w:asciiTheme="minorHAnsi" w:eastAsiaTheme="minorEastAsia" w:hAnsiTheme="minorHAnsi" w:cstheme="minorBidi"/>
            <w:noProof/>
            <w:sz w:val="22"/>
            <w:szCs w:val="22"/>
            <w:lang w:eastAsia="en-NZ"/>
          </w:rPr>
          <w:tab/>
        </w:r>
        <w:r w:rsidR="0076418A" w:rsidRPr="00D8271C">
          <w:rPr>
            <w:rStyle w:val="Hyperlink"/>
            <w:noProof/>
          </w:rPr>
          <w:t>People</w:t>
        </w:r>
        <w:r w:rsidR="0076418A">
          <w:rPr>
            <w:noProof/>
            <w:webHidden/>
          </w:rPr>
          <w:tab/>
        </w:r>
        <w:r w:rsidR="0076418A">
          <w:rPr>
            <w:noProof/>
            <w:webHidden/>
          </w:rPr>
          <w:fldChar w:fldCharType="begin"/>
        </w:r>
        <w:r w:rsidR="0076418A">
          <w:rPr>
            <w:noProof/>
            <w:webHidden/>
          </w:rPr>
          <w:instrText xml:space="preserve"> PAGEREF _Toc18062242 \h </w:instrText>
        </w:r>
        <w:r w:rsidR="0076418A">
          <w:rPr>
            <w:noProof/>
            <w:webHidden/>
          </w:rPr>
        </w:r>
        <w:r w:rsidR="0076418A">
          <w:rPr>
            <w:noProof/>
            <w:webHidden/>
          </w:rPr>
          <w:fldChar w:fldCharType="separate"/>
        </w:r>
        <w:r w:rsidR="00A975E5">
          <w:rPr>
            <w:noProof/>
            <w:webHidden/>
          </w:rPr>
          <w:t>10</w:t>
        </w:r>
        <w:r w:rsidR="0076418A">
          <w:rPr>
            <w:noProof/>
            <w:webHidden/>
          </w:rPr>
          <w:fldChar w:fldCharType="end"/>
        </w:r>
      </w:hyperlink>
    </w:p>
    <w:p w14:paraId="086457D7"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3" w:history="1">
        <w:r w:rsidR="0076418A" w:rsidRPr="00D8271C">
          <w:rPr>
            <w:rStyle w:val="Hyperlink"/>
            <w:noProof/>
          </w:rPr>
          <w:t>5.1</w:t>
        </w:r>
        <w:r w:rsidR="0076418A">
          <w:rPr>
            <w:rFonts w:asciiTheme="minorHAnsi" w:eastAsiaTheme="minorEastAsia" w:hAnsiTheme="minorHAnsi" w:cstheme="minorBidi"/>
            <w:noProof/>
            <w:sz w:val="22"/>
            <w:szCs w:val="22"/>
            <w:lang w:eastAsia="en-NZ"/>
          </w:rPr>
          <w:tab/>
        </w:r>
        <w:r w:rsidR="0076418A" w:rsidRPr="00D8271C">
          <w:rPr>
            <w:rStyle w:val="Hyperlink"/>
            <w:noProof/>
          </w:rPr>
          <w:t>Requirements for all immunisation providers</w:t>
        </w:r>
        <w:r w:rsidR="0076418A">
          <w:rPr>
            <w:noProof/>
            <w:webHidden/>
          </w:rPr>
          <w:tab/>
        </w:r>
        <w:r w:rsidR="0076418A">
          <w:rPr>
            <w:noProof/>
            <w:webHidden/>
          </w:rPr>
          <w:fldChar w:fldCharType="begin"/>
        </w:r>
        <w:r w:rsidR="0076418A">
          <w:rPr>
            <w:noProof/>
            <w:webHidden/>
          </w:rPr>
          <w:instrText xml:space="preserve"> PAGEREF _Toc18062243 \h </w:instrText>
        </w:r>
        <w:r w:rsidR="0076418A">
          <w:rPr>
            <w:noProof/>
            <w:webHidden/>
          </w:rPr>
        </w:r>
        <w:r w:rsidR="0076418A">
          <w:rPr>
            <w:noProof/>
            <w:webHidden/>
          </w:rPr>
          <w:fldChar w:fldCharType="separate"/>
        </w:r>
        <w:r w:rsidR="00A975E5">
          <w:rPr>
            <w:noProof/>
            <w:webHidden/>
          </w:rPr>
          <w:t>10</w:t>
        </w:r>
        <w:r w:rsidR="0076418A">
          <w:rPr>
            <w:noProof/>
            <w:webHidden/>
          </w:rPr>
          <w:fldChar w:fldCharType="end"/>
        </w:r>
      </w:hyperlink>
    </w:p>
    <w:p w14:paraId="0C8A8EE7"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4" w:history="1">
        <w:r w:rsidR="0076418A" w:rsidRPr="00D8271C">
          <w:rPr>
            <w:rStyle w:val="Hyperlink"/>
            <w:noProof/>
          </w:rPr>
          <w:t>5.2</w:t>
        </w:r>
        <w:r w:rsidR="0076418A">
          <w:rPr>
            <w:rFonts w:asciiTheme="minorHAnsi" w:eastAsiaTheme="minorEastAsia" w:hAnsiTheme="minorHAnsi" w:cstheme="minorBidi"/>
            <w:noProof/>
            <w:sz w:val="22"/>
            <w:szCs w:val="22"/>
            <w:lang w:eastAsia="en-NZ"/>
          </w:rPr>
          <w:tab/>
        </w:r>
        <w:r w:rsidR="0076418A" w:rsidRPr="00D8271C">
          <w:rPr>
            <w:rStyle w:val="Hyperlink"/>
            <w:noProof/>
          </w:rPr>
          <w:t>Designated cold chain management leads</w:t>
        </w:r>
        <w:r w:rsidR="0076418A">
          <w:rPr>
            <w:noProof/>
            <w:webHidden/>
          </w:rPr>
          <w:tab/>
        </w:r>
        <w:r w:rsidR="0076418A">
          <w:rPr>
            <w:noProof/>
            <w:webHidden/>
          </w:rPr>
          <w:fldChar w:fldCharType="begin"/>
        </w:r>
        <w:r w:rsidR="0076418A">
          <w:rPr>
            <w:noProof/>
            <w:webHidden/>
          </w:rPr>
          <w:instrText xml:space="preserve"> PAGEREF _Toc18062244 \h </w:instrText>
        </w:r>
        <w:r w:rsidR="0076418A">
          <w:rPr>
            <w:noProof/>
            <w:webHidden/>
          </w:rPr>
        </w:r>
        <w:r w:rsidR="0076418A">
          <w:rPr>
            <w:noProof/>
            <w:webHidden/>
          </w:rPr>
          <w:fldChar w:fldCharType="separate"/>
        </w:r>
        <w:r w:rsidR="00A975E5">
          <w:rPr>
            <w:noProof/>
            <w:webHidden/>
          </w:rPr>
          <w:t>11</w:t>
        </w:r>
        <w:r w:rsidR="0076418A">
          <w:rPr>
            <w:noProof/>
            <w:webHidden/>
          </w:rPr>
          <w:fldChar w:fldCharType="end"/>
        </w:r>
      </w:hyperlink>
    </w:p>
    <w:p w14:paraId="3A98E572"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5" w:history="1">
        <w:r w:rsidR="0076418A" w:rsidRPr="00D8271C">
          <w:rPr>
            <w:rStyle w:val="Hyperlink"/>
            <w:noProof/>
          </w:rPr>
          <w:t>5.3</w:t>
        </w:r>
        <w:r w:rsidR="0076418A">
          <w:rPr>
            <w:rFonts w:asciiTheme="minorHAnsi" w:eastAsiaTheme="minorEastAsia" w:hAnsiTheme="minorHAnsi" w:cstheme="minorBidi"/>
            <w:noProof/>
            <w:sz w:val="22"/>
            <w:szCs w:val="22"/>
            <w:lang w:eastAsia="en-NZ"/>
          </w:rPr>
          <w:tab/>
        </w:r>
        <w:r w:rsidR="0076418A" w:rsidRPr="00D8271C">
          <w:rPr>
            <w:rStyle w:val="Hyperlink"/>
            <w:noProof/>
          </w:rPr>
          <w:t>Immunisation/cold chain coordinators</w:t>
        </w:r>
        <w:r w:rsidR="0076418A">
          <w:rPr>
            <w:noProof/>
            <w:webHidden/>
          </w:rPr>
          <w:tab/>
        </w:r>
        <w:r w:rsidR="0076418A">
          <w:rPr>
            <w:noProof/>
            <w:webHidden/>
          </w:rPr>
          <w:fldChar w:fldCharType="begin"/>
        </w:r>
        <w:r w:rsidR="0076418A">
          <w:rPr>
            <w:noProof/>
            <w:webHidden/>
          </w:rPr>
          <w:instrText xml:space="preserve"> PAGEREF _Toc18062245 \h </w:instrText>
        </w:r>
        <w:r w:rsidR="0076418A">
          <w:rPr>
            <w:noProof/>
            <w:webHidden/>
          </w:rPr>
        </w:r>
        <w:r w:rsidR="0076418A">
          <w:rPr>
            <w:noProof/>
            <w:webHidden/>
          </w:rPr>
          <w:fldChar w:fldCharType="separate"/>
        </w:r>
        <w:r w:rsidR="00A975E5">
          <w:rPr>
            <w:noProof/>
            <w:webHidden/>
          </w:rPr>
          <w:t>12</w:t>
        </w:r>
        <w:r w:rsidR="0076418A">
          <w:rPr>
            <w:noProof/>
            <w:webHidden/>
          </w:rPr>
          <w:fldChar w:fldCharType="end"/>
        </w:r>
      </w:hyperlink>
    </w:p>
    <w:p w14:paraId="16A722BB" w14:textId="77777777" w:rsidR="0076418A" w:rsidRDefault="00DD06EE">
      <w:pPr>
        <w:pStyle w:val="TOC1"/>
        <w:rPr>
          <w:rFonts w:asciiTheme="minorHAnsi" w:eastAsiaTheme="minorEastAsia" w:hAnsiTheme="minorHAnsi" w:cstheme="minorBidi"/>
          <w:noProof/>
          <w:sz w:val="22"/>
          <w:szCs w:val="22"/>
          <w:lang w:eastAsia="en-NZ"/>
        </w:rPr>
      </w:pPr>
      <w:hyperlink w:anchor="_Toc18062246" w:history="1">
        <w:r w:rsidR="0076418A" w:rsidRPr="00D8271C">
          <w:rPr>
            <w:rStyle w:val="Hyperlink"/>
            <w:noProof/>
          </w:rPr>
          <w:t>6</w:t>
        </w:r>
        <w:r w:rsidR="0076418A">
          <w:rPr>
            <w:rFonts w:asciiTheme="minorHAnsi" w:eastAsiaTheme="minorEastAsia" w:hAnsiTheme="minorHAnsi" w:cstheme="minorBidi"/>
            <w:noProof/>
            <w:sz w:val="22"/>
            <w:szCs w:val="22"/>
            <w:lang w:eastAsia="en-NZ"/>
          </w:rPr>
          <w:tab/>
        </w:r>
        <w:r w:rsidR="0076418A" w:rsidRPr="00D8271C">
          <w:rPr>
            <w:rStyle w:val="Hyperlink"/>
            <w:noProof/>
          </w:rPr>
          <w:t>Systems and processes</w:t>
        </w:r>
        <w:r w:rsidR="0076418A">
          <w:rPr>
            <w:noProof/>
            <w:webHidden/>
          </w:rPr>
          <w:tab/>
        </w:r>
        <w:r w:rsidR="0076418A">
          <w:rPr>
            <w:noProof/>
            <w:webHidden/>
          </w:rPr>
          <w:fldChar w:fldCharType="begin"/>
        </w:r>
        <w:r w:rsidR="0076418A">
          <w:rPr>
            <w:noProof/>
            <w:webHidden/>
          </w:rPr>
          <w:instrText xml:space="preserve"> PAGEREF _Toc18062246 \h </w:instrText>
        </w:r>
        <w:r w:rsidR="0076418A">
          <w:rPr>
            <w:noProof/>
            <w:webHidden/>
          </w:rPr>
        </w:r>
        <w:r w:rsidR="0076418A">
          <w:rPr>
            <w:noProof/>
            <w:webHidden/>
          </w:rPr>
          <w:fldChar w:fldCharType="separate"/>
        </w:r>
        <w:r w:rsidR="00A975E5">
          <w:rPr>
            <w:noProof/>
            <w:webHidden/>
          </w:rPr>
          <w:t>13</w:t>
        </w:r>
        <w:r w:rsidR="0076418A">
          <w:rPr>
            <w:noProof/>
            <w:webHidden/>
          </w:rPr>
          <w:fldChar w:fldCharType="end"/>
        </w:r>
      </w:hyperlink>
    </w:p>
    <w:p w14:paraId="24EC0B05"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7" w:history="1">
        <w:r w:rsidR="0076418A" w:rsidRPr="00D8271C">
          <w:rPr>
            <w:rStyle w:val="Hyperlink"/>
            <w:noProof/>
          </w:rPr>
          <w:t>6.1</w:t>
        </w:r>
        <w:r w:rsidR="0076418A">
          <w:rPr>
            <w:rFonts w:asciiTheme="minorHAnsi" w:eastAsiaTheme="minorEastAsia" w:hAnsiTheme="minorHAnsi" w:cstheme="minorBidi"/>
            <w:noProof/>
            <w:sz w:val="22"/>
            <w:szCs w:val="22"/>
            <w:lang w:eastAsia="en-NZ"/>
          </w:rPr>
          <w:tab/>
        </w:r>
        <w:r w:rsidR="0076418A" w:rsidRPr="00D8271C">
          <w:rPr>
            <w:rStyle w:val="Hyperlink"/>
            <w:noProof/>
          </w:rPr>
          <w:t>Provider cold chain policy</w:t>
        </w:r>
        <w:r w:rsidR="0076418A">
          <w:rPr>
            <w:noProof/>
            <w:webHidden/>
          </w:rPr>
          <w:tab/>
        </w:r>
        <w:r w:rsidR="0076418A">
          <w:rPr>
            <w:noProof/>
            <w:webHidden/>
          </w:rPr>
          <w:fldChar w:fldCharType="begin"/>
        </w:r>
        <w:r w:rsidR="0076418A">
          <w:rPr>
            <w:noProof/>
            <w:webHidden/>
          </w:rPr>
          <w:instrText xml:space="preserve"> PAGEREF _Toc18062247 \h </w:instrText>
        </w:r>
        <w:r w:rsidR="0076418A">
          <w:rPr>
            <w:noProof/>
            <w:webHidden/>
          </w:rPr>
        </w:r>
        <w:r w:rsidR="0076418A">
          <w:rPr>
            <w:noProof/>
            <w:webHidden/>
          </w:rPr>
          <w:fldChar w:fldCharType="separate"/>
        </w:r>
        <w:r w:rsidR="00A975E5">
          <w:rPr>
            <w:noProof/>
            <w:webHidden/>
          </w:rPr>
          <w:t>13</w:t>
        </w:r>
        <w:r w:rsidR="0076418A">
          <w:rPr>
            <w:noProof/>
            <w:webHidden/>
          </w:rPr>
          <w:fldChar w:fldCharType="end"/>
        </w:r>
      </w:hyperlink>
    </w:p>
    <w:p w14:paraId="0E6F834E"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8" w:history="1">
        <w:r w:rsidR="0076418A" w:rsidRPr="00D8271C">
          <w:rPr>
            <w:rStyle w:val="Hyperlink"/>
            <w:noProof/>
          </w:rPr>
          <w:t>6.2</w:t>
        </w:r>
        <w:r w:rsidR="0076418A">
          <w:rPr>
            <w:rFonts w:asciiTheme="minorHAnsi" w:eastAsiaTheme="minorEastAsia" w:hAnsiTheme="minorHAnsi" w:cstheme="minorBidi"/>
            <w:noProof/>
            <w:sz w:val="22"/>
            <w:szCs w:val="22"/>
            <w:lang w:eastAsia="en-NZ"/>
          </w:rPr>
          <w:tab/>
        </w:r>
        <w:r w:rsidR="0076418A" w:rsidRPr="00D8271C">
          <w:rPr>
            <w:rStyle w:val="Hyperlink"/>
            <w:noProof/>
          </w:rPr>
          <w:t>Key requirements for immunisation providers for vaccine stock management</w:t>
        </w:r>
        <w:r w:rsidR="0076418A">
          <w:rPr>
            <w:noProof/>
            <w:webHidden/>
          </w:rPr>
          <w:tab/>
        </w:r>
        <w:r w:rsidR="0076418A">
          <w:rPr>
            <w:noProof/>
            <w:webHidden/>
          </w:rPr>
          <w:fldChar w:fldCharType="begin"/>
        </w:r>
        <w:r w:rsidR="0076418A">
          <w:rPr>
            <w:noProof/>
            <w:webHidden/>
          </w:rPr>
          <w:instrText xml:space="preserve"> PAGEREF _Toc18062248 \h </w:instrText>
        </w:r>
        <w:r w:rsidR="0076418A">
          <w:rPr>
            <w:noProof/>
            <w:webHidden/>
          </w:rPr>
        </w:r>
        <w:r w:rsidR="0076418A">
          <w:rPr>
            <w:noProof/>
            <w:webHidden/>
          </w:rPr>
          <w:fldChar w:fldCharType="separate"/>
        </w:r>
        <w:r w:rsidR="00A975E5">
          <w:rPr>
            <w:noProof/>
            <w:webHidden/>
          </w:rPr>
          <w:t>14</w:t>
        </w:r>
        <w:r w:rsidR="0076418A">
          <w:rPr>
            <w:noProof/>
            <w:webHidden/>
          </w:rPr>
          <w:fldChar w:fldCharType="end"/>
        </w:r>
      </w:hyperlink>
    </w:p>
    <w:p w14:paraId="670CFB8F"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49" w:history="1">
        <w:r w:rsidR="0076418A" w:rsidRPr="00D8271C">
          <w:rPr>
            <w:rStyle w:val="Hyperlink"/>
            <w:noProof/>
          </w:rPr>
          <w:t>6.3</w:t>
        </w:r>
        <w:r w:rsidR="0076418A">
          <w:rPr>
            <w:rFonts w:asciiTheme="minorHAnsi" w:eastAsiaTheme="minorEastAsia" w:hAnsiTheme="minorHAnsi" w:cstheme="minorBidi"/>
            <w:noProof/>
            <w:sz w:val="22"/>
            <w:szCs w:val="22"/>
            <w:lang w:eastAsia="en-NZ"/>
          </w:rPr>
          <w:tab/>
        </w:r>
        <w:r w:rsidR="0076418A" w:rsidRPr="00D8271C">
          <w:rPr>
            <w:rStyle w:val="Hyperlink"/>
            <w:noProof/>
          </w:rPr>
          <w:t>During a power outage or equipment failure</w:t>
        </w:r>
        <w:r w:rsidR="0076418A">
          <w:rPr>
            <w:noProof/>
            <w:webHidden/>
          </w:rPr>
          <w:tab/>
        </w:r>
        <w:r w:rsidR="0076418A">
          <w:rPr>
            <w:noProof/>
            <w:webHidden/>
          </w:rPr>
          <w:fldChar w:fldCharType="begin"/>
        </w:r>
        <w:r w:rsidR="0076418A">
          <w:rPr>
            <w:noProof/>
            <w:webHidden/>
          </w:rPr>
          <w:instrText xml:space="preserve"> PAGEREF _Toc18062249 \h </w:instrText>
        </w:r>
        <w:r w:rsidR="0076418A">
          <w:rPr>
            <w:noProof/>
            <w:webHidden/>
          </w:rPr>
        </w:r>
        <w:r w:rsidR="0076418A">
          <w:rPr>
            <w:noProof/>
            <w:webHidden/>
          </w:rPr>
          <w:fldChar w:fldCharType="separate"/>
        </w:r>
        <w:r w:rsidR="00A975E5">
          <w:rPr>
            <w:noProof/>
            <w:webHidden/>
          </w:rPr>
          <w:t>20</w:t>
        </w:r>
        <w:r w:rsidR="0076418A">
          <w:rPr>
            <w:noProof/>
            <w:webHidden/>
          </w:rPr>
          <w:fldChar w:fldCharType="end"/>
        </w:r>
      </w:hyperlink>
    </w:p>
    <w:p w14:paraId="781B8DF0"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50" w:history="1">
        <w:r w:rsidR="0076418A" w:rsidRPr="00D8271C">
          <w:rPr>
            <w:rStyle w:val="Hyperlink"/>
            <w:noProof/>
          </w:rPr>
          <w:t>6.4</w:t>
        </w:r>
        <w:r w:rsidR="0076418A">
          <w:rPr>
            <w:rFonts w:asciiTheme="minorHAnsi" w:eastAsiaTheme="minorEastAsia" w:hAnsiTheme="minorHAnsi" w:cstheme="minorBidi"/>
            <w:noProof/>
            <w:sz w:val="22"/>
            <w:szCs w:val="22"/>
            <w:lang w:eastAsia="en-NZ"/>
          </w:rPr>
          <w:tab/>
        </w:r>
        <w:r w:rsidR="0076418A" w:rsidRPr="00D8271C">
          <w:rPr>
            <w:rStyle w:val="Hyperlink"/>
            <w:noProof/>
          </w:rPr>
          <w:t>Process for vaccines stored outside +2°C to +8°C</w:t>
        </w:r>
        <w:r w:rsidR="0076418A">
          <w:rPr>
            <w:noProof/>
            <w:webHidden/>
          </w:rPr>
          <w:tab/>
        </w:r>
        <w:r w:rsidR="0076418A">
          <w:rPr>
            <w:noProof/>
            <w:webHidden/>
          </w:rPr>
          <w:fldChar w:fldCharType="begin"/>
        </w:r>
        <w:r w:rsidR="0076418A">
          <w:rPr>
            <w:noProof/>
            <w:webHidden/>
          </w:rPr>
          <w:instrText xml:space="preserve"> PAGEREF _Toc18062250 \h </w:instrText>
        </w:r>
        <w:r w:rsidR="0076418A">
          <w:rPr>
            <w:noProof/>
            <w:webHidden/>
          </w:rPr>
        </w:r>
        <w:r w:rsidR="0076418A">
          <w:rPr>
            <w:noProof/>
            <w:webHidden/>
          </w:rPr>
          <w:fldChar w:fldCharType="separate"/>
        </w:r>
        <w:r w:rsidR="00A975E5">
          <w:rPr>
            <w:noProof/>
            <w:webHidden/>
          </w:rPr>
          <w:t>21</w:t>
        </w:r>
        <w:r w:rsidR="0076418A">
          <w:rPr>
            <w:noProof/>
            <w:webHidden/>
          </w:rPr>
          <w:fldChar w:fldCharType="end"/>
        </w:r>
      </w:hyperlink>
    </w:p>
    <w:p w14:paraId="54212D18"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51" w:history="1">
        <w:r w:rsidR="0076418A" w:rsidRPr="00D8271C">
          <w:rPr>
            <w:rStyle w:val="Hyperlink"/>
            <w:noProof/>
          </w:rPr>
          <w:t>6.5</w:t>
        </w:r>
        <w:r w:rsidR="0076418A">
          <w:rPr>
            <w:rFonts w:asciiTheme="minorHAnsi" w:eastAsiaTheme="minorEastAsia" w:hAnsiTheme="minorHAnsi" w:cstheme="minorBidi"/>
            <w:noProof/>
            <w:sz w:val="22"/>
            <w:szCs w:val="22"/>
            <w:lang w:eastAsia="en-NZ"/>
          </w:rPr>
          <w:tab/>
        </w:r>
        <w:r w:rsidR="0076418A" w:rsidRPr="00D8271C">
          <w:rPr>
            <w:rStyle w:val="Hyperlink"/>
            <w:noProof/>
          </w:rPr>
          <w:t>Vaccine disposal</w:t>
        </w:r>
        <w:r w:rsidR="0076418A">
          <w:rPr>
            <w:noProof/>
            <w:webHidden/>
          </w:rPr>
          <w:tab/>
        </w:r>
        <w:r w:rsidR="0076418A">
          <w:rPr>
            <w:noProof/>
            <w:webHidden/>
          </w:rPr>
          <w:fldChar w:fldCharType="begin"/>
        </w:r>
        <w:r w:rsidR="0076418A">
          <w:rPr>
            <w:noProof/>
            <w:webHidden/>
          </w:rPr>
          <w:instrText xml:space="preserve"> PAGEREF _Toc18062251 \h </w:instrText>
        </w:r>
        <w:r w:rsidR="0076418A">
          <w:rPr>
            <w:noProof/>
            <w:webHidden/>
          </w:rPr>
        </w:r>
        <w:r w:rsidR="0076418A">
          <w:rPr>
            <w:noProof/>
            <w:webHidden/>
          </w:rPr>
          <w:fldChar w:fldCharType="separate"/>
        </w:r>
        <w:r w:rsidR="00A975E5">
          <w:rPr>
            <w:noProof/>
            <w:webHidden/>
          </w:rPr>
          <w:t>22</w:t>
        </w:r>
        <w:r w:rsidR="0076418A">
          <w:rPr>
            <w:noProof/>
            <w:webHidden/>
          </w:rPr>
          <w:fldChar w:fldCharType="end"/>
        </w:r>
      </w:hyperlink>
    </w:p>
    <w:p w14:paraId="17CBC3C5" w14:textId="77777777" w:rsidR="0076418A" w:rsidRDefault="00DD06EE">
      <w:pPr>
        <w:pStyle w:val="TOC1"/>
        <w:rPr>
          <w:rFonts w:asciiTheme="minorHAnsi" w:eastAsiaTheme="minorEastAsia" w:hAnsiTheme="minorHAnsi" w:cstheme="minorBidi"/>
          <w:noProof/>
          <w:sz w:val="22"/>
          <w:szCs w:val="22"/>
          <w:lang w:eastAsia="en-NZ"/>
        </w:rPr>
      </w:pPr>
      <w:hyperlink w:anchor="_Toc18062252" w:history="1">
        <w:r w:rsidR="0076418A" w:rsidRPr="00D8271C">
          <w:rPr>
            <w:rStyle w:val="Hyperlink"/>
            <w:noProof/>
          </w:rPr>
          <w:t>7</w:t>
        </w:r>
        <w:r w:rsidR="0076418A">
          <w:rPr>
            <w:rFonts w:asciiTheme="minorHAnsi" w:eastAsiaTheme="minorEastAsia" w:hAnsiTheme="minorHAnsi" w:cstheme="minorBidi"/>
            <w:noProof/>
            <w:sz w:val="22"/>
            <w:szCs w:val="22"/>
            <w:lang w:eastAsia="en-NZ"/>
          </w:rPr>
          <w:tab/>
        </w:r>
        <w:r w:rsidR="0076418A" w:rsidRPr="00D8271C">
          <w:rPr>
            <w:rStyle w:val="Hyperlink"/>
            <w:noProof/>
          </w:rPr>
          <w:t>Equipment</w:t>
        </w:r>
        <w:r w:rsidR="0076418A">
          <w:rPr>
            <w:noProof/>
            <w:webHidden/>
          </w:rPr>
          <w:tab/>
        </w:r>
        <w:r w:rsidR="0076418A">
          <w:rPr>
            <w:noProof/>
            <w:webHidden/>
          </w:rPr>
          <w:fldChar w:fldCharType="begin"/>
        </w:r>
        <w:r w:rsidR="0076418A">
          <w:rPr>
            <w:noProof/>
            <w:webHidden/>
          </w:rPr>
          <w:instrText xml:space="preserve"> PAGEREF _Toc18062252 \h </w:instrText>
        </w:r>
        <w:r w:rsidR="0076418A">
          <w:rPr>
            <w:noProof/>
            <w:webHidden/>
          </w:rPr>
        </w:r>
        <w:r w:rsidR="0076418A">
          <w:rPr>
            <w:noProof/>
            <w:webHidden/>
          </w:rPr>
          <w:fldChar w:fldCharType="separate"/>
        </w:r>
        <w:r w:rsidR="00A975E5">
          <w:rPr>
            <w:noProof/>
            <w:webHidden/>
          </w:rPr>
          <w:t>23</w:t>
        </w:r>
        <w:r w:rsidR="0076418A">
          <w:rPr>
            <w:noProof/>
            <w:webHidden/>
          </w:rPr>
          <w:fldChar w:fldCharType="end"/>
        </w:r>
      </w:hyperlink>
    </w:p>
    <w:p w14:paraId="7F220C11"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53" w:history="1">
        <w:r w:rsidR="0076418A" w:rsidRPr="00D8271C">
          <w:rPr>
            <w:rStyle w:val="Hyperlink"/>
            <w:noProof/>
          </w:rPr>
          <w:t>7.1</w:t>
        </w:r>
        <w:r w:rsidR="0076418A">
          <w:rPr>
            <w:rFonts w:asciiTheme="minorHAnsi" w:eastAsiaTheme="minorEastAsia" w:hAnsiTheme="minorHAnsi" w:cstheme="minorBidi"/>
            <w:noProof/>
            <w:sz w:val="22"/>
            <w:szCs w:val="22"/>
            <w:lang w:eastAsia="en-NZ"/>
          </w:rPr>
          <w:tab/>
        </w:r>
        <w:r w:rsidR="0076418A" w:rsidRPr="00D8271C">
          <w:rPr>
            <w:rStyle w:val="Hyperlink"/>
            <w:noProof/>
          </w:rPr>
          <w:t>Pharmaceutical refrigerator</w:t>
        </w:r>
        <w:r w:rsidR="0076418A">
          <w:rPr>
            <w:noProof/>
            <w:webHidden/>
          </w:rPr>
          <w:tab/>
        </w:r>
        <w:r w:rsidR="0076418A">
          <w:rPr>
            <w:noProof/>
            <w:webHidden/>
          </w:rPr>
          <w:fldChar w:fldCharType="begin"/>
        </w:r>
        <w:r w:rsidR="0076418A">
          <w:rPr>
            <w:noProof/>
            <w:webHidden/>
          </w:rPr>
          <w:instrText xml:space="preserve"> PAGEREF _Toc18062253 \h </w:instrText>
        </w:r>
        <w:r w:rsidR="0076418A">
          <w:rPr>
            <w:noProof/>
            <w:webHidden/>
          </w:rPr>
        </w:r>
        <w:r w:rsidR="0076418A">
          <w:rPr>
            <w:noProof/>
            <w:webHidden/>
          </w:rPr>
          <w:fldChar w:fldCharType="separate"/>
        </w:r>
        <w:r w:rsidR="00A975E5">
          <w:rPr>
            <w:noProof/>
            <w:webHidden/>
          </w:rPr>
          <w:t>23</w:t>
        </w:r>
        <w:r w:rsidR="0076418A">
          <w:rPr>
            <w:noProof/>
            <w:webHidden/>
          </w:rPr>
          <w:fldChar w:fldCharType="end"/>
        </w:r>
      </w:hyperlink>
    </w:p>
    <w:p w14:paraId="5835EE85"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54" w:history="1">
        <w:r w:rsidR="0076418A" w:rsidRPr="00D8271C">
          <w:rPr>
            <w:rStyle w:val="Hyperlink"/>
            <w:noProof/>
          </w:rPr>
          <w:t>7.2</w:t>
        </w:r>
        <w:r w:rsidR="0076418A">
          <w:rPr>
            <w:rFonts w:asciiTheme="minorHAnsi" w:eastAsiaTheme="minorEastAsia" w:hAnsiTheme="minorHAnsi" w:cstheme="minorBidi"/>
            <w:noProof/>
            <w:sz w:val="22"/>
            <w:szCs w:val="22"/>
            <w:lang w:eastAsia="en-NZ"/>
          </w:rPr>
          <w:tab/>
        </w:r>
        <w:r w:rsidR="0076418A" w:rsidRPr="00D8271C">
          <w:rPr>
            <w:rStyle w:val="Hyperlink"/>
            <w:noProof/>
          </w:rPr>
          <w:t>Monitoring the temperature of the pharmaceutical refrigerator</w:t>
        </w:r>
        <w:r w:rsidR="0076418A">
          <w:rPr>
            <w:noProof/>
            <w:webHidden/>
          </w:rPr>
          <w:tab/>
        </w:r>
        <w:r w:rsidR="0076418A">
          <w:rPr>
            <w:noProof/>
            <w:webHidden/>
          </w:rPr>
          <w:fldChar w:fldCharType="begin"/>
        </w:r>
        <w:r w:rsidR="0076418A">
          <w:rPr>
            <w:noProof/>
            <w:webHidden/>
          </w:rPr>
          <w:instrText xml:space="preserve"> PAGEREF _Toc18062254 \h </w:instrText>
        </w:r>
        <w:r w:rsidR="0076418A">
          <w:rPr>
            <w:noProof/>
            <w:webHidden/>
          </w:rPr>
        </w:r>
        <w:r w:rsidR="0076418A">
          <w:rPr>
            <w:noProof/>
            <w:webHidden/>
          </w:rPr>
          <w:fldChar w:fldCharType="separate"/>
        </w:r>
        <w:r w:rsidR="00A975E5">
          <w:rPr>
            <w:noProof/>
            <w:webHidden/>
          </w:rPr>
          <w:t>24</w:t>
        </w:r>
        <w:r w:rsidR="0076418A">
          <w:rPr>
            <w:noProof/>
            <w:webHidden/>
          </w:rPr>
          <w:fldChar w:fldCharType="end"/>
        </w:r>
      </w:hyperlink>
    </w:p>
    <w:p w14:paraId="280C5862" w14:textId="77777777" w:rsidR="0076418A" w:rsidRDefault="00DD06EE">
      <w:pPr>
        <w:pStyle w:val="TOC2"/>
        <w:tabs>
          <w:tab w:val="left" w:pos="1134"/>
        </w:tabs>
        <w:rPr>
          <w:rFonts w:asciiTheme="minorHAnsi" w:eastAsiaTheme="minorEastAsia" w:hAnsiTheme="minorHAnsi" w:cstheme="minorBidi"/>
          <w:noProof/>
          <w:sz w:val="22"/>
          <w:szCs w:val="22"/>
          <w:lang w:eastAsia="en-NZ"/>
        </w:rPr>
      </w:pPr>
      <w:hyperlink w:anchor="_Toc18062255" w:history="1">
        <w:r w:rsidR="0076418A" w:rsidRPr="00D8271C">
          <w:rPr>
            <w:rStyle w:val="Hyperlink"/>
            <w:noProof/>
          </w:rPr>
          <w:t>7.3</w:t>
        </w:r>
        <w:r w:rsidR="0076418A">
          <w:rPr>
            <w:rFonts w:asciiTheme="minorHAnsi" w:eastAsiaTheme="minorEastAsia" w:hAnsiTheme="minorHAnsi" w:cstheme="minorBidi"/>
            <w:noProof/>
            <w:sz w:val="22"/>
            <w:szCs w:val="22"/>
            <w:lang w:eastAsia="en-NZ"/>
          </w:rPr>
          <w:tab/>
        </w:r>
        <w:r w:rsidR="0076418A" w:rsidRPr="00D8271C">
          <w:rPr>
            <w:rStyle w:val="Hyperlink"/>
            <w:noProof/>
          </w:rPr>
          <w:t>Transporting vaccines using a chilly bin</w:t>
        </w:r>
        <w:r w:rsidR="0076418A">
          <w:rPr>
            <w:noProof/>
            <w:webHidden/>
          </w:rPr>
          <w:tab/>
        </w:r>
        <w:r w:rsidR="0076418A">
          <w:rPr>
            <w:noProof/>
            <w:webHidden/>
          </w:rPr>
          <w:fldChar w:fldCharType="begin"/>
        </w:r>
        <w:r w:rsidR="0076418A">
          <w:rPr>
            <w:noProof/>
            <w:webHidden/>
          </w:rPr>
          <w:instrText xml:space="preserve"> PAGEREF _Toc18062255 \h </w:instrText>
        </w:r>
        <w:r w:rsidR="0076418A">
          <w:rPr>
            <w:noProof/>
            <w:webHidden/>
          </w:rPr>
        </w:r>
        <w:r w:rsidR="0076418A">
          <w:rPr>
            <w:noProof/>
            <w:webHidden/>
          </w:rPr>
          <w:fldChar w:fldCharType="separate"/>
        </w:r>
        <w:r w:rsidR="00A975E5">
          <w:rPr>
            <w:noProof/>
            <w:webHidden/>
          </w:rPr>
          <w:t>27</w:t>
        </w:r>
        <w:r w:rsidR="0076418A">
          <w:rPr>
            <w:noProof/>
            <w:webHidden/>
          </w:rPr>
          <w:fldChar w:fldCharType="end"/>
        </w:r>
      </w:hyperlink>
    </w:p>
    <w:p w14:paraId="7CA768F0" w14:textId="77777777" w:rsidR="0076418A" w:rsidRDefault="00DD06EE">
      <w:pPr>
        <w:pStyle w:val="TOC1"/>
        <w:rPr>
          <w:rFonts w:asciiTheme="minorHAnsi" w:eastAsiaTheme="minorEastAsia" w:hAnsiTheme="minorHAnsi" w:cstheme="minorBidi"/>
          <w:noProof/>
          <w:sz w:val="22"/>
          <w:szCs w:val="22"/>
          <w:lang w:eastAsia="en-NZ"/>
        </w:rPr>
      </w:pPr>
      <w:hyperlink w:anchor="_Toc18062256" w:history="1">
        <w:r w:rsidR="0076418A" w:rsidRPr="00D8271C">
          <w:rPr>
            <w:rStyle w:val="Hyperlink"/>
            <w:noProof/>
          </w:rPr>
          <w:t>Bibliography</w:t>
        </w:r>
        <w:r w:rsidR="0076418A">
          <w:rPr>
            <w:noProof/>
            <w:webHidden/>
          </w:rPr>
          <w:tab/>
        </w:r>
        <w:r w:rsidR="0076418A">
          <w:rPr>
            <w:noProof/>
            <w:webHidden/>
          </w:rPr>
          <w:fldChar w:fldCharType="begin"/>
        </w:r>
        <w:r w:rsidR="0076418A">
          <w:rPr>
            <w:noProof/>
            <w:webHidden/>
          </w:rPr>
          <w:instrText xml:space="preserve"> PAGEREF _Toc18062256 \h </w:instrText>
        </w:r>
        <w:r w:rsidR="0076418A">
          <w:rPr>
            <w:noProof/>
            <w:webHidden/>
          </w:rPr>
        </w:r>
        <w:r w:rsidR="0076418A">
          <w:rPr>
            <w:noProof/>
            <w:webHidden/>
          </w:rPr>
          <w:fldChar w:fldCharType="separate"/>
        </w:r>
        <w:r w:rsidR="00A975E5">
          <w:rPr>
            <w:noProof/>
            <w:webHidden/>
          </w:rPr>
          <w:t>29</w:t>
        </w:r>
        <w:r w:rsidR="0076418A">
          <w:rPr>
            <w:noProof/>
            <w:webHidden/>
          </w:rPr>
          <w:fldChar w:fldCharType="end"/>
        </w:r>
      </w:hyperlink>
    </w:p>
    <w:p w14:paraId="3D71A803" w14:textId="77777777" w:rsidR="0076418A" w:rsidRDefault="00DD06EE">
      <w:pPr>
        <w:pStyle w:val="TOC1"/>
        <w:rPr>
          <w:rFonts w:asciiTheme="minorHAnsi" w:eastAsiaTheme="minorEastAsia" w:hAnsiTheme="minorHAnsi" w:cstheme="minorBidi"/>
          <w:noProof/>
          <w:sz w:val="22"/>
          <w:szCs w:val="22"/>
          <w:lang w:eastAsia="en-NZ"/>
        </w:rPr>
      </w:pPr>
      <w:hyperlink w:anchor="_Toc18062257" w:history="1">
        <w:r w:rsidR="0076418A" w:rsidRPr="00D8271C">
          <w:rPr>
            <w:rStyle w:val="Hyperlink"/>
            <w:noProof/>
          </w:rPr>
          <w:t>Appendix 1: Vaccine pharmaceutical refrigerator</w:t>
        </w:r>
        <w:r w:rsidR="0076418A">
          <w:rPr>
            <w:noProof/>
            <w:webHidden/>
          </w:rPr>
          <w:tab/>
        </w:r>
        <w:r w:rsidR="0076418A">
          <w:rPr>
            <w:noProof/>
            <w:webHidden/>
          </w:rPr>
          <w:fldChar w:fldCharType="begin"/>
        </w:r>
        <w:r w:rsidR="0076418A">
          <w:rPr>
            <w:noProof/>
            <w:webHidden/>
          </w:rPr>
          <w:instrText xml:space="preserve"> PAGEREF _Toc18062257 \h </w:instrText>
        </w:r>
        <w:r w:rsidR="0076418A">
          <w:rPr>
            <w:noProof/>
            <w:webHidden/>
          </w:rPr>
        </w:r>
        <w:r w:rsidR="0076418A">
          <w:rPr>
            <w:noProof/>
            <w:webHidden/>
          </w:rPr>
          <w:fldChar w:fldCharType="separate"/>
        </w:r>
        <w:r w:rsidR="00A975E5">
          <w:rPr>
            <w:noProof/>
            <w:webHidden/>
          </w:rPr>
          <w:t>30</w:t>
        </w:r>
        <w:r w:rsidR="0076418A">
          <w:rPr>
            <w:noProof/>
            <w:webHidden/>
          </w:rPr>
          <w:fldChar w:fldCharType="end"/>
        </w:r>
      </w:hyperlink>
    </w:p>
    <w:p w14:paraId="4C47596D" w14:textId="77777777" w:rsidR="0076418A" w:rsidRDefault="00DD06EE">
      <w:pPr>
        <w:pStyle w:val="TOC2"/>
        <w:rPr>
          <w:rFonts w:asciiTheme="minorHAnsi" w:eastAsiaTheme="minorEastAsia" w:hAnsiTheme="minorHAnsi" w:cstheme="minorBidi"/>
          <w:noProof/>
          <w:sz w:val="22"/>
          <w:szCs w:val="22"/>
          <w:lang w:eastAsia="en-NZ"/>
        </w:rPr>
      </w:pPr>
      <w:hyperlink w:anchor="_Toc18062258" w:history="1">
        <w:r w:rsidR="0076418A" w:rsidRPr="00D8271C">
          <w:rPr>
            <w:rStyle w:val="Hyperlink"/>
            <w:noProof/>
          </w:rPr>
          <w:t>What is a pharmaceutical refrigerator?</w:t>
        </w:r>
        <w:r w:rsidR="0076418A">
          <w:rPr>
            <w:noProof/>
            <w:webHidden/>
          </w:rPr>
          <w:tab/>
        </w:r>
        <w:r w:rsidR="0076418A">
          <w:rPr>
            <w:noProof/>
            <w:webHidden/>
          </w:rPr>
          <w:fldChar w:fldCharType="begin"/>
        </w:r>
        <w:r w:rsidR="0076418A">
          <w:rPr>
            <w:noProof/>
            <w:webHidden/>
          </w:rPr>
          <w:instrText xml:space="preserve"> PAGEREF _Toc18062258 \h </w:instrText>
        </w:r>
        <w:r w:rsidR="0076418A">
          <w:rPr>
            <w:noProof/>
            <w:webHidden/>
          </w:rPr>
        </w:r>
        <w:r w:rsidR="0076418A">
          <w:rPr>
            <w:noProof/>
            <w:webHidden/>
          </w:rPr>
          <w:fldChar w:fldCharType="separate"/>
        </w:r>
        <w:r w:rsidR="00A975E5">
          <w:rPr>
            <w:noProof/>
            <w:webHidden/>
          </w:rPr>
          <w:t>30</w:t>
        </w:r>
        <w:r w:rsidR="0076418A">
          <w:rPr>
            <w:noProof/>
            <w:webHidden/>
          </w:rPr>
          <w:fldChar w:fldCharType="end"/>
        </w:r>
      </w:hyperlink>
    </w:p>
    <w:p w14:paraId="683E785F" w14:textId="77777777" w:rsidR="0076418A" w:rsidRDefault="00DD06EE">
      <w:pPr>
        <w:pStyle w:val="TOC2"/>
        <w:rPr>
          <w:rFonts w:asciiTheme="minorHAnsi" w:eastAsiaTheme="minorEastAsia" w:hAnsiTheme="minorHAnsi" w:cstheme="minorBidi"/>
          <w:noProof/>
          <w:sz w:val="22"/>
          <w:szCs w:val="22"/>
          <w:lang w:eastAsia="en-NZ"/>
        </w:rPr>
      </w:pPr>
      <w:hyperlink w:anchor="_Toc18062259" w:history="1">
        <w:r w:rsidR="0076418A" w:rsidRPr="00D8271C">
          <w:rPr>
            <w:rStyle w:val="Hyperlink"/>
            <w:noProof/>
          </w:rPr>
          <w:t>What to consider when buying a new pharmaceutical refrigerator</w:t>
        </w:r>
        <w:r w:rsidR="0076418A">
          <w:rPr>
            <w:noProof/>
            <w:webHidden/>
          </w:rPr>
          <w:tab/>
        </w:r>
        <w:r w:rsidR="0076418A">
          <w:rPr>
            <w:noProof/>
            <w:webHidden/>
          </w:rPr>
          <w:fldChar w:fldCharType="begin"/>
        </w:r>
        <w:r w:rsidR="0076418A">
          <w:rPr>
            <w:noProof/>
            <w:webHidden/>
          </w:rPr>
          <w:instrText xml:space="preserve"> PAGEREF _Toc18062259 \h </w:instrText>
        </w:r>
        <w:r w:rsidR="0076418A">
          <w:rPr>
            <w:noProof/>
            <w:webHidden/>
          </w:rPr>
        </w:r>
        <w:r w:rsidR="0076418A">
          <w:rPr>
            <w:noProof/>
            <w:webHidden/>
          </w:rPr>
          <w:fldChar w:fldCharType="separate"/>
        </w:r>
        <w:r w:rsidR="00A975E5">
          <w:rPr>
            <w:noProof/>
            <w:webHidden/>
          </w:rPr>
          <w:t>30</w:t>
        </w:r>
        <w:r w:rsidR="0076418A">
          <w:rPr>
            <w:noProof/>
            <w:webHidden/>
          </w:rPr>
          <w:fldChar w:fldCharType="end"/>
        </w:r>
      </w:hyperlink>
    </w:p>
    <w:p w14:paraId="3F9CC32E" w14:textId="77777777" w:rsidR="0076418A" w:rsidRDefault="00DD06EE">
      <w:pPr>
        <w:pStyle w:val="TOC1"/>
        <w:rPr>
          <w:rFonts w:asciiTheme="minorHAnsi" w:eastAsiaTheme="minorEastAsia" w:hAnsiTheme="minorHAnsi" w:cstheme="minorBidi"/>
          <w:noProof/>
          <w:sz w:val="22"/>
          <w:szCs w:val="22"/>
          <w:lang w:eastAsia="en-NZ"/>
        </w:rPr>
      </w:pPr>
      <w:hyperlink w:anchor="_Toc18062260" w:history="1">
        <w:r w:rsidR="0076418A" w:rsidRPr="00D8271C">
          <w:rPr>
            <w:rStyle w:val="Hyperlink"/>
            <w:noProof/>
          </w:rPr>
          <w:t>Appendix 2: Transporting or storing vaccines in chilly bins</w:t>
        </w:r>
        <w:r w:rsidR="0076418A">
          <w:rPr>
            <w:noProof/>
            <w:webHidden/>
          </w:rPr>
          <w:tab/>
        </w:r>
        <w:r w:rsidR="0076418A">
          <w:rPr>
            <w:noProof/>
            <w:webHidden/>
          </w:rPr>
          <w:fldChar w:fldCharType="begin"/>
        </w:r>
        <w:r w:rsidR="0076418A">
          <w:rPr>
            <w:noProof/>
            <w:webHidden/>
          </w:rPr>
          <w:instrText xml:space="preserve"> PAGEREF _Toc18062260 \h </w:instrText>
        </w:r>
        <w:r w:rsidR="0076418A">
          <w:rPr>
            <w:noProof/>
            <w:webHidden/>
          </w:rPr>
        </w:r>
        <w:r w:rsidR="0076418A">
          <w:rPr>
            <w:noProof/>
            <w:webHidden/>
          </w:rPr>
          <w:fldChar w:fldCharType="separate"/>
        </w:r>
        <w:r w:rsidR="00A975E5">
          <w:rPr>
            <w:noProof/>
            <w:webHidden/>
          </w:rPr>
          <w:t>32</w:t>
        </w:r>
        <w:r w:rsidR="0076418A">
          <w:rPr>
            <w:noProof/>
            <w:webHidden/>
          </w:rPr>
          <w:fldChar w:fldCharType="end"/>
        </w:r>
      </w:hyperlink>
    </w:p>
    <w:p w14:paraId="7BF8A069" w14:textId="77777777" w:rsidR="0076418A" w:rsidRDefault="00DD06EE">
      <w:pPr>
        <w:pStyle w:val="TOC2"/>
        <w:rPr>
          <w:rFonts w:asciiTheme="minorHAnsi" w:eastAsiaTheme="minorEastAsia" w:hAnsiTheme="minorHAnsi" w:cstheme="minorBidi"/>
          <w:noProof/>
          <w:sz w:val="22"/>
          <w:szCs w:val="22"/>
          <w:lang w:eastAsia="en-NZ"/>
        </w:rPr>
      </w:pPr>
      <w:hyperlink w:anchor="_Toc18062261" w:history="1">
        <w:r w:rsidR="0076418A" w:rsidRPr="00D8271C">
          <w:rPr>
            <w:rStyle w:val="Hyperlink"/>
            <w:noProof/>
          </w:rPr>
          <w:t>Datalogger probe placement in a chilly bin</w:t>
        </w:r>
        <w:r w:rsidR="0076418A">
          <w:rPr>
            <w:noProof/>
            <w:webHidden/>
          </w:rPr>
          <w:tab/>
        </w:r>
        <w:r w:rsidR="0076418A">
          <w:rPr>
            <w:noProof/>
            <w:webHidden/>
          </w:rPr>
          <w:fldChar w:fldCharType="begin"/>
        </w:r>
        <w:r w:rsidR="0076418A">
          <w:rPr>
            <w:noProof/>
            <w:webHidden/>
          </w:rPr>
          <w:instrText xml:space="preserve"> PAGEREF _Toc18062261 \h </w:instrText>
        </w:r>
        <w:r w:rsidR="0076418A">
          <w:rPr>
            <w:noProof/>
            <w:webHidden/>
          </w:rPr>
        </w:r>
        <w:r w:rsidR="0076418A">
          <w:rPr>
            <w:noProof/>
            <w:webHidden/>
          </w:rPr>
          <w:fldChar w:fldCharType="separate"/>
        </w:r>
        <w:r w:rsidR="00A975E5">
          <w:rPr>
            <w:noProof/>
            <w:webHidden/>
          </w:rPr>
          <w:t>32</w:t>
        </w:r>
        <w:r w:rsidR="0076418A">
          <w:rPr>
            <w:noProof/>
            <w:webHidden/>
          </w:rPr>
          <w:fldChar w:fldCharType="end"/>
        </w:r>
      </w:hyperlink>
    </w:p>
    <w:p w14:paraId="0C2EE125" w14:textId="77777777" w:rsidR="0076418A" w:rsidRDefault="00DD06EE">
      <w:pPr>
        <w:pStyle w:val="TOC2"/>
        <w:rPr>
          <w:rFonts w:asciiTheme="minorHAnsi" w:eastAsiaTheme="minorEastAsia" w:hAnsiTheme="minorHAnsi" w:cstheme="minorBidi"/>
          <w:noProof/>
          <w:sz w:val="22"/>
          <w:szCs w:val="22"/>
          <w:lang w:eastAsia="en-NZ"/>
        </w:rPr>
      </w:pPr>
      <w:hyperlink w:anchor="_Toc18062262" w:history="1">
        <w:r w:rsidR="0076418A" w:rsidRPr="00D8271C">
          <w:rPr>
            <w:rStyle w:val="Hyperlink"/>
            <w:noProof/>
          </w:rPr>
          <w:t>Storing and using ice packs and other cooling products</w:t>
        </w:r>
        <w:r w:rsidR="0076418A">
          <w:rPr>
            <w:noProof/>
            <w:webHidden/>
          </w:rPr>
          <w:tab/>
        </w:r>
        <w:r w:rsidR="0076418A">
          <w:rPr>
            <w:noProof/>
            <w:webHidden/>
          </w:rPr>
          <w:fldChar w:fldCharType="begin"/>
        </w:r>
        <w:r w:rsidR="0076418A">
          <w:rPr>
            <w:noProof/>
            <w:webHidden/>
          </w:rPr>
          <w:instrText xml:space="preserve"> PAGEREF _Toc18062262 \h </w:instrText>
        </w:r>
        <w:r w:rsidR="0076418A">
          <w:rPr>
            <w:noProof/>
            <w:webHidden/>
          </w:rPr>
        </w:r>
        <w:r w:rsidR="0076418A">
          <w:rPr>
            <w:noProof/>
            <w:webHidden/>
          </w:rPr>
          <w:fldChar w:fldCharType="separate"/>
        </w:r>
        <w:r w:rsidR="00A975E5">
          <w:rPr>
            <w:noProof/>
            <w:webHidden/>
          </w:rPr>
          <w:t>33</w:t>
        </w:r>
        <w:r w:rsidR="0076418A">
          <w:rPr>
            <w:noProof/>
            <w:webHidden/>
          </w:rPr>
          <w:fldChar w:fldCharType="end"/>
        </w:r>
      </w:hyperlink>
    </w:p>
    <w:p w14:paraId="7D800BCC" w14:textId="77777777" w:rsidR="0076418A" w:rsidRDefault="00DD06EE">
      <w:pPr>
        <w:pStyle w:val="TOC2"/>
        <w:rPr>
          <w:rFonts w:asciiTheme="minorHAnsi" w:eastAsiaTheme="minorEastAsia" w:hAnsiTheme="minorHAnsi" w:cstheme="minorBidi"/>
          <w:noProof/>
          <w:sz w:val="22"/>
          <w:szCs w:val="22"/>
          <w:lang w:eastAsia="en-NZ"/>
        </w:rPr>
      </w:pPr>
      <w:hyperlink w:anchor="_Toc18062263" w:history="1">
        <w:r w:rsidR="0076418A" w:rsidRPr="00D8271C">
          <w:rPr>
            <w:rStyle w:val="Hyperlink"/>
            <w:noProof/>
          </w:rPr>
          <w:t>Packing vaccines for transport or storage in chilly bins</w:t>
        </w:r>
        <w:r w:rsidR="0076418A">
          <w:rPr>
            <w:noProof/>
            <w:webHidden/>
          </w:rPr>
          <w:tab/>
        </w:r>
        <w:r w:rsidR="0076418A">
          <w:rPr>
            <w:noProof/>
            <w:webHidden/>
          </w:rPr>
          <w:fldChar w:fldCharType="begin"/>
        </w:r>
        <w:r w:rsidR="0076418A">
          <w:rPr>
            <w:noProof/>
            <w:webHidden/>
          </w:rPr>
          <w:instrText xml:space="preserve"> PAGEREF _Toc18062263 \h </w:instrText>
        </w:r>
        <w:r w:rsidR="0076418A">
          <w:rPr>
            <w:noProof/>
            <w:webHidden/>
          </w:rPr>
        </w:r>
        <w:r w:rsidR="0076418A">
          <w:rPr>
            <w:noProof/>
            <w:webHidden/>
          </w:rPr>
          <w:fldChar w:fldCharType="separate"/>
        </w:r>
        <w:r w:rsidR="00A975E5">
          <w:rPr>
            <w:noProof/>
            <w:webHidden/>
          </w:rPr>
          <w:t>34</w:t>
        </w:r>
        <w:r w:rsidR="0076418A">
          <w:rPr>
            <w:noProof/>
            <w:webHidden/>
          </w:rPr>
          <w:fldChar w:fldCharType="end"/>
        </w:r>
      </w:hyperlink>
    </w:p>
    <w:p w14:paraId="34519CA0" w14:textId="77777777" w:rsidR="0076418A" w:rsidRDefault="00DD06EE">
      <w:pPr>
        <w:pStyle w:val="TOC1"/>
        <w:rPr>
          <w:rFonts w:asciiTheme="minorHAnsi" w:eastAsiaTheme="minorEastAsia" w:hAnsiTheme="minorHAnsi" w:cstheme="minorBidi"/>
          <w:noProof/>
          <w:sz w:val="22"/>
          <w:szCs w:val="22"/>
          <w:lang w:eastAsia="en-NZ"/>
        </w:rPr>
      </w:pPr>
      <w:hyperlink w:anchor="_Toc18062264" w:history="1">
        <w:r w:rsidR="0076418A" w:rsidRPr="00D8271C">
          <w:rPr>
            <w:rStyle w:val="Hyperlink"/>
            <w:noProof/>
          </w:rPr>
          <w:t>Appendix 3: Dataloggers and digital minimum/maximum thermometers</w:t>
        </w:r>
        <w:r w:rsidR="0076418A">
          <w:rPr>
            <w:noProof/>
            <w:webHidden/>
          </w:rPr>
          <w:tab/>
        </w:r>
        <w:r w:rsidR="0076418A">
          <w:rPr>
            <w:noProof/>
            <w:webHidden/>
          </w:rPr>
          <w:fldChar w:fldCharType="begin"/>
        </w:r>
        <w:r w:rsidR="0076418A">
          <w:rPr>
            <w:noProof/>
            <w:webHidden/>
          </w:rPr>
          <w:instrText xml:space="preserve"> PAGEREF _Toc18062264 \h </w:instrText>
        </w:r>
        <w:r w:rsidR="0076418A">
          <w:rPr>
            <w:noProof/>
            <w:webHidden/>
          </w:rPr>
        </w:r>
        <w:r w:rsidR="0076418A">
          <w:rPr>
            <w:noProof/>
            <w:webHidden/>
          </w:rPr>
          <w:fldChar w:fldCharType="separate"/>
        </w:r>
        <w:r w:rsidR="00A975E5">
          <w:rPr>
            <w:noProof/>
            <w:webHidden/>
          </w:rPr>
          <w:t>35</w:t>
        </w:r>
        <w:r w:rsidR="0076418A">
          <w:rPr>
            <w:noProof/>
            <w:webHidden/>
          </w:rPr>
          <w:fldChar w:fldCharType="end"/>
        </w:r>
      </w:hyperlink>
    </w:p>
    <w:p w14:paraId="39F2885B" w14:textId="77777777" w:rsidR="0076418A" w:rsidRDefault="00DD06EE">
      <w:pPr>
        <w:pStyle w:val="TOC2"/>
        <w:rPr>
          <w:rFonts w:asciiTheme="minorHAnsi" w:eastAsiaTheme="minorEastAsia" w:hAnsiTheme="minorHAnsi" w:cstheme="minorBidi"/>
          <w:noProof/>
          <w:sz w:val="22"/>
          <w:szCs w:val="22"/>
          <w:lang w:eastAsia="en-NZ"/>
        </w:rPr>
      </w:pPr>
      <w:hyperlink w:anchor="_Toc18062265" w:history="1">
        <w:r w:rsidR="0076418A" w:rsidRPr="00D8271C">
          <w:rPr>
            <w:rStyle w:val="Hyperlink"/>
            <w:noProof/>
          </w:rPr>
          <w:t>Dataloggers</w:t>
        </w:r>
        <w:r w:rsidR="0076418A">
          <w:rPr>
            <w:noProof/>
            <w:webHidden/>
          </w:rPr>
          <w:tab/>
        </w:r>
        <w:r w:rsidR="0076418A">
          <w:rPr>
            <w:noProof/>
            <w:webHidden/>
          </w:rPr>
          <w:fldChar w:fldCharType="begin"/>
        </w:r>
        <w:r w:rsidR="0076418A">
          <w:rPr>
            <w:noProof/>
            <w:webHidden/>
          </w:rPr>
          <w:instrText xml:space="preserve"> PAGEREF _Toc18062265 \h </w:instrText>
        </w:r>
        <w:r w:rsidR="0076418A">
          <w:rPr>
            <w:noProof/>
            <w:webHidden/>
          </w:rPr>
        </w:r>
        <w:r w:rsidR="0076418A">
          <w:rPr>
            <w:noProof/>
            <w:webHidden/>
          </w:rPr>
          <w:fldChar w:fldCharType="separate"/>
        </w:r>
        <w:r w:rsidR="00A975E5">
          <w:rPr>
            <w:noProof/>
            <w:webHidden/>
          </w:rPr>
          <w:t>35</w:t>
        </w:r>
        <w:r w:rsidR="0076418A">
          <w:rPr>
            <w:noProof/>
            <w:webHidden/>
          </w:rPr>
          <w:fldChar w:fldCharType="end"/>
        </w:r>
      </w:hyperlink>
    </w:p>
    <w:p w14:paraId="2865E9EB" w14:textId="77777777" w:rsidR="0076418A" w:rsidRDefault="00DD06EE">
      <w:pPr>
        <w:pStyle w:val="TOC2"/>
        <w:rPr>
          <w:rFonts w:asciiTheme="minorHAnsi" w:eastAsiaTheme="minorEastAsia" w:hAnsiTheme="minorHAnsi" w:cstheme="minorBidi"/>
          <w:noProof/>
          <w:sz w:val="22"/>
          <w:szCs w:val="22"/>
          <w:lang w:eastAsia="en-NZ"/>
        </w:rPr>
      </w:pPr>
      <w:hyperlink w:anchor="_Toc18062266" w:history="1">
        <w:r w:rsidR="0076418A" w:rsidRPr="00D8271C">
          <w:rPr>
            <w:rStyle w:val="Hyperlink"/>
            <w:noProof/>
          </w:rPr>
          <w:t>Calibration of dataloggers</w:t>
        </w:r>
        <w:r w:rsidR="0076418A">
          <w:rPr>
            <w:noProof/>
            <w:webHidden/>
          </w:rPr>
          <w:tab/>
        </w:r>
        <w:r w:rsidR="0076418A">
          <w:rPr>
            <w:noProof/>
            <w:webHidden/>
          </w:rPr>
          <w:fldChar w:fldCharType="begin"/>
        </w:r>
        <w:r w:rsidR="0076418A">
          <w:rPr>
            <w:noProof/>
            <w:webHidden/>
          </w:rPr>
          <w:instrText xml:space="preserve"> PAGEREF _Toc18062266 \h </w:instrText>
        </w:r>
        <w:r w:rsidR="0076418A">
          <w:rPr>
            <w:noProof/>
            <w:webHidden/>
          </w:rPr>
        </w:r>
        <w:r w:rsidR="0076418A">
          <w:rPr>
            <w:noProof/>
            <w:webHidden/>
          </w:rPr>
          <w:fldChar w:fldCharType="separate"/>
        </w:r>
        <w:r w:rsidR="00A975E5">
          <w:rPr>
            <w:noProof/>
            <w:webHidden/>
          </w:rPr>
          <w:t>36</w:t>
        </w:r>
        <w:r w:rsidR="0076418A">
          <w:rPr>
            <w:noProof/>
            <w:webHidden/>
          </w:rPr>
          <w:fldChar w:fldCharType="end"/>
        </w:r>
      </w:hyperlink>
    </w:p>
    <w:p w14:paraId="68CBB48F" w14:textId="77777777" w:rsidR="0076418A" w:rsidRDefault="00DD06EE">
      <w:pPr>
        <w:pStyle w:val="TOC2"/>
        <w:rPr>
          <w:rFonts w:asciiTheme="minorHAnsi" w:eastAsiaTheme="minorEastAsia" w:hAnsiTheme="minorHAnsi" w:cstheme="minorBidi"/>
          <w:noProof/>
          <w:sz w:val="22"/>
          <w:szCs w:val="22"/>
          <w:lang w:eastAsia="en-NZ"/>
        </w:rPr>
      </w:pPr>
      <w:hyperlink w:anchor="_Toc18062267" w:history="1">
        <w:r w:rsidR="0076418A" w:rsidRPr="00D8271C">
          <w:rPr>
            <w:rStyle w:val="Hyperlink"/>
            <w:noProof/>
          </w:rPr>
          <w:t>Digital minimum/maximum thermometers</w:t>
        </w:r>
        <w:r w:rsidR="0076418A">
          <w:rPr>
            <w:noProof/>
            <w:webHidden/>
          </w:rPr>
          <w:tab/>
        </w:r>
        <w:r w:rsidR="0076418A">
          <w:rPr>
            <w:noProof/>
            <w:webHidden/>
          </w:rPr>
          <w:fldChar w:fldCharType="begin"/>
        </w:r>
        <w:r w:rsidR="0076418A">
          <w:rPr>
            <w:noProof/>
            <w:webHidden/>
          </w:rPr>
          <w:instrText xml:space="preserve"> PAGEREF _Toc18062267 \h </w:instrText>
        </w:r>
        <w:r w:rsidR="0076418A">
          <w:rPr>
            <w:noProof/>
            <w:webHidden/>
          </w:rPr>
        </w:r>
        <w:r w:rsidR="0076418A">
          <w:rPr>
            <w:noProof/>
            <w:webHidden/>
          </w:rPr>
          <w:fldChar w:fldCharType="separate"/>
        </w:r>
        <w:r w:rsidR="00A975E5">
          <w:rPr>
            <w:noProof/>
            <w:webHidden/>
          </w:rPr>
          <w:t>37</w:t>
        </w:r>
        <w:r w:rsidR="0076418A">
          <w:rPr>
            <w:noProof/>
            <w:webHidden/>
          </w:rPr>
          <w:fldChar w:fldCharType="end"/>
        </w:r>
      </w:hyperlink>
    </w:p>
    <w:p w14:paraId="69DACA22" w14:textId="77777777" w:rsidR="0076418A" w:rsidRDefault="00DD06EE">
      <w:pPr>
        <w:pStyle w:val="TOC2"/>
        <w:rPr>
          <w:rFonts w:asciiTheme="minorHAnsi" w:eastAsiaTheme="minorEastAsia" w:hAnsiTheme="minorHAnsi" w:cstheme="minorBidi"/>
          <w:noProof/>
          <w:sz w:val="22"/>
          <w:szCs w:val="22"/>
          <w:lang w:eastAsia="en-NZ"/>
        </w:rPr>
      </w:pPr>
      <w:hyperlink w:anchor="_Toc18062268" w:history="1">
        <w:r w:rsidR="0076418A" w:rsidRPr="00D8271C">
          <w:rPr>
            <w:rStyle w:val="Hyperlink"/>
            <w:noProof/>
          </w:rPr>
          <w:t>Accuracy testing (ice pointing)</w:t>
        </w:r>
        <w:r w:rsidR="0076418A">
          <w:rPr>
            <w:noProof/>
            <w:webHidden/>
          </w:rPr>
          <w:tab/>
        </w:r>
        <w:r w:rsidR="0076418A">
          <w:rPr>
            <w:noProof/>
            <w:webHidden/>
          </w:rPr>
          <w:fldChar w:fldCharType="begin"/>
        </w:r>
        <w:r w:rsidR="0076418A">
          <w:rPr>
            <w:noProof/>
            <w:webHidden/>
          </w:rPr>
          <w:instrText xml:space="preserve"> PAGEREF _Toc18062268 \h </w:instrText>
        </w:r>
        <w:r w:rsidR="0076418A">
          <w:rPr>
            <w:noProof/>
            <w:webHidden/>
          </w:rPr>
        </w:r>
        <w:r w:rsidR="0076418A">
          <w:rPr>
            <w:noProof/>
            <w:webHidden/>
          </w:rPr>
          <w:fldChar w:fldCharType="separate"/>
        </w:r>
        <w:r w:rsidR="00A975E5">
          <w:rPr>
            <w:noProof/>
            <w:webHidden/>
          </w:rPr>
          <w:t>38</w:t>
        </w:r>
        <w:r w:rsidR="0076418A">
          <w:rPr>
            <w:noProof/>
            <w:webHidden/>
          </w:rPr>
          <w:fldChar w:fldCharType="end"/>
        </w:r>
      </w:hyperlink>
    </w:p>
    <w:p w14:paraId="098961AE" w14:textId="77777777" w:rsidR="0076418A" w:rsidRDefault="00DD06EE">
      <w:pPr>
        <w:pStyle w:val="TOC1"/>
        <w:rPr>
          <w:rFonts w:asciiTheme="minorHAnsi" w:eastAsiaTheme="minorEastAsia" w:hAnsiTheme="minorHAnsi" w:cstheme="minorBidi"/>
          <w:noProof/>
          <w:sz w:val="22"/>
          <w:szCs w:val="22"/>
          <w:lang w:eastAsia="en-NZ"/>
        </w:rPr>
      </w:pPr>
      <w:hyperlink w:anchor="_Toc18062269" w:history="1">
        <w:r w:rsidR="0076418A" w:rsidRPr="00D8271C">
          <w:rPr>
            <w:rStyle w:val="Hyperlink"/>
            <w:noProof/>
          </w:rPr>
          <w:t>Appendix 4: Key contacts</w:t>
        </w:r>
        <w:r w:rsidR="0076418A">
          <w:rPr>
            <w:noProof/>
            <w:webHidden/>
          </w:rPr>
          <w:tab/>
        </w:r>
        <w:r w:rsidR="0076418A">
          <w:rPr>
            <w:noProof/>
            <w:webHidden/>
          </w:rPr>
          <w:fldChar w:fldCharType="begin"/>
        </w:r>
        <w:r w:rsidR="0076418A">
          <w:rPr>
            <w:noProof/>
            <w:webHidden/>
          </w:rPr>
          <w:instrText xml:space="preserve"> PAGEREF _Toc18062269 \h </w:instrText>
        </w:r>
        <w:r w:rsidR="0076418A">
          <w:rPr>
            <w:noProof/>
            <w:webHidden/>
          </w:rPr>
        </w:r>
        <w:r w:rsidR="0076418A">
          <w:rPr>
            <w:noProof/>
            <w:webHidden/>
          </w:rPr>
          <w:fldChar w:fldCharType="separate"/>
        </w:r>
        <w:r w:rsidR="00A975E5">
          <w:rPr>
            <w:noProof/>
            <w:webHidden/>
          </w:rPr>
          <w:t>39</w:t>
        </w:r>
        <w:r w:rsidR="0076418A">
          <w:rPr>
            <w:noProof/>
            <w:webHidden/>
          </w:rPr>
          <w:fldChar w:fldCharType="end"/>
        </w:r>
      </w:hyperlink>
    </w:p>
    <w:p w14:paraId="76751631" w14:textId="77777777" w:rsidR="0076418A" w:rsidRDefault="00DD06EE">
      <w:pPr>
        <w:pStyle w:val="TOC2"/>
        <w:rPr>
          <w:rFonts w:asciiTheme="minorHAnsi" w:eastAsiaTheme="minorEastAsia" w:hAnsiTheme="minorHAnsi" w:cstheme="minorBidi"/>
          <w:noProof/>
          <w:sz w:val="22"/>
          <w:szCs w:val="22"/>
          <w:lang w:eastAsia="en-NZ"/>
        </w:rPr>
      </w:pPr>
      <w:hyperlink w:anchor="_Toc18062270" w:history="1">
        <w:r w:rsidR="0076418A" w:rsidRPr="00D8271C">
          <w:rPr>
            <w:rStyle w:val="Hyperlink"/>
            <w:noProof/>
          </w:rPr>
          <w:t>Regional immunisation advisors (IMAC)</w:t>
        </w:r>
        <w:r w:rsidR="0076418A">
          <w:rPr>
            <w:noProof/>
            <w:webHidden/>
          </w:rPr>
          <w:tab/>
        </w:r>
        <w:r w:rsidR="0076418A">
          <w:rPr>
            <w:noProof/>
            <w:webHidden/>
          </w:rPr>
          <w:fldChar w:fldCharType="begin"/>
        </w:r>
        <w:r w:rsidR="0076418A">
          <w:rPr>
            <w:noProof/>
            <w:webHidden/>
          </w:rPr>
          <w:instrText xml:space="preserve"> PAGEREF _Toc18062270 \h </w:instrText>
        </w:r>
        <w:r w:rsidR="0076418A">
          <w:rPr>
            <w:noProof/>
            <w:webHidden/>
          </w:rPr>
        </w:r>
        <w:r w:rsidR="0076418A">
          <w:rPr>
            <w:noProof/>
            <w:webHidden/>
          </w:rPr>
          <w:fldChar w:fldCharType="separate"/>
        </w:r>
        <w:r w:rsidR="00A975E5">
          <w:rPr>
            <w:noProof/>
            <w:webHidden/>
          </w:rPr>
          <w:t>39</w:t>
        </w:r>
        <w:r w:rsidR="0076418A">
          <w:rPr>
            <w:noProof/>
            <w:webHidden/>
          </w:rPr>
          <w:fldChar w:fldCharType="end"/>
        </w:r>
      </w:hyperlink>
    </w:p>
    <w:p w14:paraId="04E148AB" w14:textId="77777777" w:rsidR="0076418A" w:rsidRDefault="00DD06EE">
      <w:pPr>
        <w:pStyle w:val="TOC2"/>
        <w:rPr>
          <w:rFonts w:asciiTheme="minorHAnsi" w:eastAsiaTheme="minorEastAsia" w:hAnsiTheme="minorHAnsi" w:cstheme="minorBidi"/>
          <w:noProof/>
          <w:sz w:val="22"/>
          <w:szCs w:val="22"/>
          <w:lang w:eastAsia="en-NZ"/>
        </w:rPr>
      </w:pPr>
      <w:hyperlink w:anchor="_Toc18062271" w:history="1">
        <w:r w:rsidR="0076418A" w:rsidRPr="00D8271C">
          <w:rPr>
            <w:rStyle w:val="Hyperlink"/>
            <w:noProof/>
          </w:rPr>
          <w:t>Immunisation Advisory Centre (IMAC)</w:t>
        </w:r>
        <w:r w:rsidR="0076418A">
          <w:rPr>
            <w:noProof/>
            <w:webHidden/>
          </w:rPr>
          <w:tab/>
        </w:r>
        <w:r w:rsidR="0076418A">
          <w:rPr>
            <w:noProof/>
            <w:webHidden/>
          </w:rPr>
          <w:fldChar w:fldCharType="begin"/>
        </w:r>
        <w:r w:rsidR="0076418A">
          <w:rPr>
            <w:noProof/>
            <w:webHidden/>
          </w:rPr>
          <w:instrText xml:space="preserve"> PAGEREF _Toc18062271 \h </w:instrText>
        </w:r>
        <w:r w:rsidR="0076418A">
          <w:rPr>
            <w:noProof/>
            <w:webHidden/>
          </w:rPr>
        </w:r>
        <w:r w:rsidR="0076418A">
          <w:rPr>
            <w:noProof/>
            <w:webHidden/>
          </w:rPr>
          <w:fldChar w:fldCharType="separate"/>
        </w:r>
        <w:r w:rsidR="00A975E5">
          <w:rPr>
            <w:noProof/>
            <w:webHidden/>
          </w:rPr>
          <w:t>39</w:t>
        </w:r>
        <w:r w:rsidR="0076418A">
          <w:rPr>
            <w:noProof/>
            <w:webHidden/>
          </w:rPr>
          <w:fldChar w:fldCharType="end"/>
        </w:r>
      </w:hyperlink>
    </w:p>
    <w:p w14:paraId="51AD8D21" w14:textId="77777777" w:rsidR="0076418A" w:rsidRDefault="00DD06EE">
      <w:pPr>
        <w:pStyle w:val="TOC2"/>
        <w:rPr>
          <w:rFonts w:asciiTheme="minorHAnsi" w:eastAsiaTheme="minorEastAsia" w:hAnsiTheme="minorHAnsi" w:cstheme="minorBidi"/>
          <w:noProof/>
          <w:sz w:val="22"/>
          <w:szCs w:val="22"/>
          <w:lang w:eastAsia="en-NZ"/>
        </w:rPr>
      </w:pPr>
      <w:hyperlink w:anchor="_Toc18062272" w:history="1">
        <w:r w:rsidR="0076418A" w:rsidRPr="00D8271C">
          <w:rPr>
            <w:rStyle w:val="Hyperlink"/>
            <w:noProof/>
          </w:rPr>
          <w:t>Regional distribution stores</w:t>
        </w:r>
        <w:r w:rsidR="0076418A">
          <w:rPr>
            <w:noProof/>
            <w:webHidden/>
          </w:rPr>
          <w:tab/>
        </w:r>
        <w:r w:rsidR="0076418A">
          <w:rPr>
            <w:noProof/>
            <w:webHidden/>
          </w:rPr>
          <w:fldChar w:fldCharType="begin"/>
        </w:r>
        <w:r w:rsidR="0076418A">
          <w:rPr>
            <w:noProof/>
            <w:webHidden/>
          </w:rPr>
          <w:instrText xml:space="preserve"> PAGEREF _Toc18062272 \h </w:instrText>
        </w:r>
        <w:r w:rsidR="0076418A">
          <w:rPr>
            <w:noProof/>
            <w:webHidden/>
          </w:rPr>
        </w:r>
        <w:r w:rsidR="0076418A">
          <w:rPr>
            <w:noProof/>
            <w:webHidden/>
          </w:rPr>
          <w:fldChar w:fldCharType="separate"/>
        </w:r>
        <w:r w:rsidR="00A975E5">
          <w:rPr>
            <w:noProof/>
            <w:webHidden/>
          </w:rPr>
          <w:t>39</w:t>
        </w:r>
        <w:r w:rsidR="0076418A">
          <w:rPr>
            <w:noProof/>
            <w:webHidden/>
          </w:rPr>
          <w:fldChar w:fldCharType="end"/>
        </w:r>
      </w:hyperlink>
    </w:p>
    <w:p w14:paraId="0A0C0FFF" w14:textId="77777777" w:rsidR="0076418A" w:rsidRDefault="00DD06EE">
      <w:pPr>
        <w:pStyle w:val="TOC2"/>
        <w:rPr>
          <w:rFonts w:asciiTheme="minorHAnsi" w:eastAsiaTheme="minorEastAsia" w:hAnsiTheme="minorHAnsi" w:cstheme="minorBidi"/>
          <w:noProof/>
          <w:sz w:val="22"/>
          <w:szCs w:val="22"/>
          <w:lang w:eastAsia="en-NZ"/>
        </w:rPr>
      </w:pPr>
      <w:hyperlink w:anchor="_Toc18062273" w:history="1">
        <w:r w:rsidR="0076418A" w:rsidRPr="00D8271C">
          <w:rPr>
            <w:rStyle w:val="Hyperlink"/>
            <w:noProof/>
          </w:rPr>
          <w:t>Healthcare Logistics</w:t>
        </w:r>
        <w:r w:rsidR="0076418A">
          <w:rPr>
            <w:noProof/>
            <w:webHidden/>
          </w:rPr>
          <w:tab/>
        </w:r>
        <w:r w:rsidR="0076418A">
          <w:rPr>
            <w:noProof/>
            <w:webHidden/>
          </w:rPr>
          <w:fldChar w:fldCharType="begin"/>
        </w:r>
        <w:r w:rsidR="0076418A">
          <w:rPr>
            <w:noProof/>
            <w:webHidden/>
          </w:rPr>
          <w:instrText xml:space="preserve"> PAGEREF _Toc18062273 \h </w:instrText>
        </w:r>
        <w:r w:rsidR="0076418A">
          <w:rPr>
            <w:noProof/>
            <w:webHidden/>
          </w:rPr>
        </w:r>
        <w:r w:rsidR="0076418A">
          <w:rPr>
            <w:noProof/>
            <w:webHidden/>
          </w:rPr>
          <w:fldChar w:fldCharType="separate"/>
        </w:r>
        <w:r w:rsidR="00A975E5">
          <w:rPr>
            <w:noProof/>
            <w:webHidden/>
          </w:rPr>
          <w:t>40</w:t>
        </w:r>
        <w:r w:rsidR="0076418A">
          <w:rPr>
            <w:noProof/>
            <w:webHidden/>
          </w:rPr>
          <w:fldChar w:fldCharType="end"/>
        </w:r>
      </w:hyperlink>
    </w:p>
    <w:p w14:paraId="0BCE576C" w14:textId="77777777" w:rsidR="0076418A" w:rsidRDefault="00DD06EE">
      <w:pPr>
        <w:pStyle w:val="TOC2"/>
        <w:rPr>
          <w:rFonts w:asciiTheme="minorHAnsi" w:eastAsiaTheme="minorEastAsia" w:hAnsiTheme="minorHAnsi" w:cstheme="minorBidi"/>
          <w:noProof/>
          <w:sz w:val="22"/>
          <w:szCs w:val="22"/>
          <w:lang w:eastAsia="en-NZ"/>
        </w:rPr>
      </w:pPr>
      <w:hyperlink w:anchor="_Toc18062274" w:history="1">
        <w:r w:rsidR="0076418A" w:rsidRPr="00D8271C">
          <w:rPr>
            <w:rStyle w:val="Hyperlink"/>
            <w:noProof/>
          </w:rPr>
          <w:t>Medicines Control</w:t>
        </w:r>
        <w:r w:rsidR="0076418A">
          <w:rPr>
            <w:noProof/>
            <w:webHidden/>
          </w:rPr>
          <w:tab/>
        </w:r>
        <w:r w:rsidR="0076418A">
          <w:rPr>
            <w:noProof/>
            <w:webHidden/>
          </w:rPr>
          <w:fldChar w:fldCharType="begin"/>
        </w:r>
        <w:r w:rsidR="0076418A">
          <w:rPr>
            <w:noProof/>
            <w:webHidden/>
          </w:rPr>
          <w:instrText xml:space="preserve"> PAGEREF _Toc18062274 \h </w:instrText>
        </w:r>
        <w:r w:rsidR="0076418A">
          <w:rPr>
            <w:noProof/>
            <w:webHidden/>
          </w:rPr>
        </w:r>
        <w:r w:rsidR="0076418A">
          <w:rPr>
            <w:noProof/>
            <w:webHidden/>
          </w:rPr>
          <w:fldChar w:fldCharType="separate"/>
        </w:r>
        <w:r w:rsidR="00A975E5">
          <w:rPr>
            <w:noProof/>
            <w:webHidden/>
          </w:rPr>
          <w:t>40</w:t>
        </w:r>
        <w:r w:rsidR="0076418A">
          <w:rPr>
            <w:noProof/>
            <w:webHidden/>
          </w:rPr>
          <w:fldChar w:fldCharType="end"/>
        </w:r>
      </w:hyperlink>
    </w:p>
    <w:p w14:paraId="05FC7D0A" w14:textId="77777777" w:rsidR="0076418A" w:rsidRDefault="00DD06EE">
      <w:pPr>
        <w:pStyle w:val="TOC2"/>
        <w:rPr>
          <w:rFonts w:asciiTheme="minorHAnsi" w:eastAsiaTheme="minorEastAsia" w:hAnsiTheme="minorHAnsi" w:cstheme="minorBidi"/>
          <w:noProof/>
          <w:sz w:val="22"/>
          <w:szCs w:val="22"/>
          <w:lang w:eastAsia="en-NZ"/>
        </w:rPr>
      </w:pPr>
      <w:hyperlink w:anchor="_Toc18062275" w:history="1">
        <w:r w:rsidR="0076418A" w:rsidRPr="00D8271C">
          <w:rPr>
            <w:rStyle w:val="Hyperlink"/>
            <w:noProof/>
          </w:rPr>
          <w:t>Vaccine manufacturers</w:t>
        </w:r>
        <w:r w:rsidR="0076418A">
          <w:rPr>
            <w:noProof/>
            <w:webHidden/>
          </w:rPr>
          <w:tab/>
        </w:r>
        <w:r w:rsidR="0076418A">
          <w:rPr>
            <w:noProof/>
            <w:webHidden/>
          </w:rPr>
          <w:fldChar w:fldCharType="begin"/>
        </w:r>
        <w:r w:rsidR="0076418A">
          <w:rPr>
            <w:noProof/>
            <w:webHidden/>
          </w:rPr>
          <w:instrText xml:space="preserve"> PAGEREF _Toc18062275 \h </w:instrText>
        </w:r>
        <w:r w:rsidR="0076418A">
          <w:rPr>
            <w:noProof/>
            <w:webHidden/>
          </w:rPr>
        </w:r>
        <w:r w:rsidR="0076418A">
          <w:rPr>
            <w:noProof/>
            <w:webHidden/>
          </w:rPr>
          <w:fldChar w:fldCharType="separate"/>
        </w:r>
        <w:r w:rsidR="00A975E5">
          <w:rPr>
            <w:noProof/>
            <w:webHidden/>
          </w:rPr>
          <w:t>40</w:t>
        </w:r>
        <w:r w:rsidR="0076418A">
          <w:rPr>
            <w:noProof/>
            <w:webHidden/>
          </w:rPr>
          <w:fldChar w:fldCharType="end"/>
        </w:r>
      </w:hyperlink>
    </w:p>
    <w:p w14:paraId="20A3BB44" w14:textId="6EA21D47" w:rsidR="00C86248" w:rsidRDefault="0076418A">
      <w:r>
        <w:rPr>
          <w:rFonts w:ascii="Segoe UI Semibold" w:hAnsi="Segoe UI Semibold"/>
          <w:b/>
          <w:sz w:val="24"/>
        </w:rPr>
        <w:fldChar w:fldCharType="end"/>
      </w:r>
    </w:p>
    <w:p w14:paraId="4453DDD2" w14:textId="77777777" w:rsidR="002B76A7" w:rsidRDefault="002B76A7" w:rsidP="002B76A7">
      <w:pPr>
        <w:pStyle w:val="TOC1"/>
        <w:keepNext/>
      </w:pPr>
      <w:r>
        <w:t>List of Tables</w:t>
      </w:r>
    </w:p>
    <w:p w14:paraId="7446F907" w14:textId="77777777" w:rsidR="0076418A" w:rsidRDefault="0076418A">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8062276" w:history="1">
        <w:r w:rsidRPr="00CE0E54">
          <w:rPr>
            <w:rStyle w:val="Hyperlink"/>
            <w:noProof/>
          </w:rPr>
          <w:t>Table 1: Example of vaccine costs at a medium-sized general practice</w:t>
        </w:r>
        <w:r>
          <w:rPr>
            <w:noProof/>
            <w:webHidden/>
          </w:rPr>
          <w:tab/>
        </w:r>
        <w:r>
          <w:rPr>
            <w:noProof/>
            <w:webHidden/>
          </w:rPr>
          <w:fldChar w:fldCharType="begin"/>
        </w:r>
        <w:r>
          <w:rPr>
            <w:noProof/>
            <w:webHidden/>
          </w:rPr>
          <w:instrText xml:space="preserve"> PAGEREF _Toc18062276 \h </w:instrText>
        </w:r>
        <w:r>
          <w:rPr>
            <w:noProof/>
            <w:webHidden/>
          </w:rPr>
        </w:r>
        <w:r>
          <w:rPr>
            <w:noProof/>
            <w:webHidden/>
          </w:rPr>
          <w:fldChar w:fldCharType="separate"/>
        </w:r>
        <w:r w:rsidR="00A975E5">
          <w:rPr>
            <w:noProof/>
            <w:webHidden/>
          </w:rPr>
          <w:t>5</w:t>
        </w:r>
        <w:r>
          <w:rPr>
            <w:noProof/>
            <w:webHidden/>
          </w:rPr>
          <w:fldChar w:fldCharType="end"/>
        </w:r>
      </w:hyperlink>
    </w:p>
    <w:p w14:paraId="61CC8950" w14:textId="77777777" w:rsidR="0076418A" w:rsidRDefault="00DD06EE">
      <w:pPr>
        <w:pStyle w:val="TOC3"/>
        <w:rPr>
          <w:rFonts w:asciiTheme="minorHAnsi" w:eastAsiaTheme="minorEastAsia" w:hAnsiTheme="minorHAnsi" w:cstheme="minorBidi"/>
          <w:noProof/>
          <w:sz w:val="22"/>
          <w:szCs w:val="22"/>
          <w:lang w:eastAsia="en-NZ"/>
        </w:rPr>
      </w:pPr>
      <w:hyperlink w:anchor="_Toc18062277" w:history="1">
        <w:r w:rsidR="0076418A" w:rsidRPr="00CE0E54">
          <w:rPr>
            <w:rStyle w:val="Hyperlink"/>
            <w:noProof/>
          </w:rPr>
          <w:t>Table 2: Example of vaccine costs at a youth clinic</w:t>
        </w:r>
        <w:r w:rsidR="0076418A">
          <w:rPr>
            <w:noProof/>
            <w:webHidden/>
          </w:rPr>
          <w:tab/>
        </w:r>
        <w:r w:rsidR="0076418A">
          <w:rPr>
            <w:noProof/>
            <w:webHidden/>
          </w:rPr>
          <w:fldChar w:fldCharType="begin"/>
        </w:r>
        <w:r w:rsidR="0076418A">
          <w:rPr>
            <w:noProof/>
            <w:webHidden/>
          </w:rPr>
          <w:instrText xml:space="preserve"> PAGEREF _Toc18062277 \h </w:instrText>
        </w:r>
        <w:r w:rsidR="0076418A">
          <w:rPr>
            <w:noProof/>
            <w:webHidden/>
          </w:rPr>
        </w:r>
        <w:r w:rsidR="0076418A">
          <w:rPr>
            <w:noProof/>
            <w:webHidden/>
          </w:rPr>
          <w:fldChar w:fldCharType="separate"/>
        </w:r>
        <w:r w:rsidR="00A975E5">
          <w:rPr>
            <w:noProof/>
            <w:webHidden/>
          </w:rPr>
          <w:t>6</w:t>
        </w:r>
        <w:r w:rsidR="0076418A">
          <w:rPr>
            <w:noProof/>
            <w:webHidden/>
          </w:rPr>
          <w:fldChar w:fldCharType="end"/>
        </w:r>
      </w:hyperlink>
    </w:p>
    <w:p w14:paraId="7EBCA0FE" w14:textId="77777777" w:rsidR="0076418A" w:rsidRDefault="00DD06EE">
      <w:pPr>
        <w:pStyle w:val="TOC3"/>
        <w:rPr>
          <w:rFonts w:asciiTheme="minorHAnsi" w:eastAsiaTheme="minorEastAsia" w:hAnsiTheme="minorHAnsi" w:cstheme="minorBidi"/>
          <w:noProof/>
          <w:sz w:val="22"/>
          <w:szCs w:val="22"/>
          <w:lang w:eastAsia="en-NZ"/>
        </w:rPr>
      </w:pPr>
      <w:hyperlink w:anchor="_Toc18062278" w:history="1">
        <w:r w:rsidR="0076418A" w:rsidRPr="00CE0E54">
          <w:rPr>
            <w:rStyle w:val="Hyperlink"/>
            <w:noProof/>
          </w:rPr>
          <w:t>Table 3: Two weeks’ vaccine supply (number of doses), per population served by the general practice</w:t>
        </w:r>
        <w:r w:rsidR="0076418A">
          <w:rPr>
            <w:noProof/>
            <w:webHidden/>
          </w:rPr>
          <w:tab/>
        </w:r>
        <w:r w:rsidR="0076418A">
          <w:rPr>
            <w:noProof/>
            <w:webHidden/>
          </w:rPr>
          <w:fldChar w:fldCharType="begin"/>
        </w:r>
        <w:r w:rsidR="0076418A">
          <w:rPr>
            <w:noProof/>
            <w:webHidden/>
          </w:rPr>
          <w:instrText xml:space="preserve"> PAGEREF _Toc18062278 \h </w:instrText>
        </w:r>
        <w:r w:rsidR="0076418A">
          <w:rPr>
            <w:noProof/>
            <w:webHidden/>
          </w:rPr>
        </w:r>
        <w:r w:rsidR="0076418A">
          <w:rPr>
            <w:noProof/>
            <w:webHidden/>
          </w:rPr>
          <w:fldChar w:fldCharType="separate"/>
        </w:r>
        <w:r w:rsidR="00A975E5">
          <w:rPr>
            <w:noProof/>
            <w:webHidden/>
          </w:rPr>
          <w:t>16</w:t>
        </w:r>
        <w:r w:rsidR="0076418A">
          <w:rPr>
            <w:noProof/>
            <w:webHidden/>
          </w:rPr>
          <w:fldChar w:fldCharType="end"/>
        </w:r>
      </w:hyperlink>
    </w:p>
    <w:p w14:paraId="257935CC" w14:textId="77777777" w:rsidR="0076418A" w:rsidRDefault="00DD06EE">
      <w:pPr>
        <w:pStyle w:val="TOC3"/>
        <w:rPr>
          <w:rFonts w:asciiTheme="minorHAnsi" w:eastAsiaTheme="minorEastAsia" w:hAnsiTheme="minorHAnsi" w:cstheme="minorBidi"/>
          <w:noProof/>
          <w:sz w:val="22"/>
          <w:szCs w:val="22"/>
          <w:lang w:eastAsia="en-NZ"/>
        </w:rPr>
      </w:pPr>
      <w:hyperlink w:anchor="_Toc18062279" w:history="1">
        <w:r w:rsidR="0076418A" w:rsidRPr="00CE0E54">
          <w:rPr>
            <w:rStyle w:val="Hyperlink"/>
            <w:noProof/>
          </w:rPr>
          <w:t>Table 4: Four weeks’ vaccine supply (number of doses), per population served by the general practice</w:t>
        </w:r>
        <w:r w:rsidR="0076418A">
          <w:rPr>
            <w:noProof/>
            <w:webHidden/>
          </w:rPr>
          <w:tab/>
        </w:r>
        <w:r w:rsidR="0076418A">
          <w:rPr>
            <w:noProof/>
            <w:webHidden/>
          </w:rPr>
          <w:fldChar w:fldCharType="begin"/>
        </w:r>
        <w:r w:rsidR="0076418A">
          <w:rPr>
            <w:noProof/>
            <w:webHidden/>
          </w:rPr>
          <w:instrText xml:space="preserve"> PAGEREF _Toc18062279 \h </w:instrText>
        </w:r>
        <w:r w:rsidR="0076418A">
          <w:rPr>
            <w:noProof/>
            <w:webHidden/>
          </w:rPr>
        </w:r>
        <w:r w:rsidR="0076418A">
          <w:rPr>
            <w:noProof/>
            <w:webHidden/>
          </w:rPr>
          <w:fldChar w:fldCharType="separate"/>
        </w:r>
        <w:r w:rsidR="00A975E5">
          <w:rPr>
            <w:noProof/>
            <w:webHidden/>
          </w:rPr>
          <w:t>17</w:t>
        </w:r>
        <w:r w:rsidR="0076418A">
          <w:rPr>
            <w:noProof/>
            <w:webHidden/>
          </w:rPr>
          <w:fldChar w:fldCharType="end"/>
        </w:r>
      </w:hyperlink>
    </w:p>
    <w:p w14:paraId="0E0F1B0D" w14:textId="01C03406" w:rsidR="002B76A7" w:rsidRDefault="0076418A" w:rsidP="003A5FEA">
      <w:r>
        <w:rPr>
          <w:sz w:val="20"/>
        </w:rPr>
        <w:fldChar w:fldCharType="end"/>
      </w:r>
    </w:p>
    <w:p w14:paraId="748D7173" w14:textId="77777777" w:rsidR="0033448B" w:rsidRDefault="0033448B" w:rsidP="003A5FEA"/>
    <w:p w14:paraId="71463DAA" w14:textId="77777777"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2EB88A63" w14:textId="77777777" w:rsidR="006E2886" w:rsidRDefault="00A163F8" w:rsidP="004C1535">
      <w:pPr>
        <w:pStyle w:val="Heading1"/>
        <w:ind w:left="0" w:firstLine="0"/>
      </w:pPr>
      <w:bookmarkStart w:id="3" w:name="_Toc18062233"/>
      <w:r>
        <w:lastRenderedPageBreak/>
        <w:t>Definitions and abbreviations</w:t>
      </w:r>
      <w:bookmarkEnd w:id="3"/>
    </w:p>
    <w:p w14:paraId="78A1B388" w14:textId="77777777" w:rsidR="00F14AF6" w:rsidRPr="00F14AF6" w:rsidRDefault="00A163F8" w:rsidP="00F14AF6">
      <w:pPr>
        <w:spacing w:before="120"/>
        <w:rPr>
          <w:sz w:val="20"/>
        </w:rPr>
      </w:pPr>
      <w:r w:rsidRPr="00F14AF6">
        <w:rPr>
          <w:b/>
          <w:sz w:val="20"/>
        </w:rPr>
        <w:t>Buffered probe</w:t>
      </w:r>
      <w:r w:rsidRPr="00F14AF6">
        <w:rPr>
          <w:sz w:val="20"/>
        </w:rPr>
        <w:t>: a temperature monitoring device in which the sensor is placed in a buffering medium (</w:t>
      </w:r>
      <w:proofErr w:type="spellStart"/>
      <w:r w:rsidRPr="00F14AF6">
        <w:rPr>
          <w:sz w:val="20"/>
        </w:rPr>
        <w:t>eg</w:t>
      </w:r>
      <w:proofErr w:type="spellEnd"/>
      <w:r w:rsidRPr="00F14AF6">
        <w:rPr>
          <w:sz w:val="20"/>
        </w:rPr>
        <w:t>, glycol, solid nylon or glass beads) to slow the thermal response rate to more closely match the product being monitored.</w:t>
      </w:r>
    </w:p>
    <w:p w14:paraId="6E7151C1" w14:textId="77777777" w:rsidR="00F14AF6" w:rsidRPr="00F14AF6" w:rsidRDefault="00A163F8" w:rsidP="00F14AF6">
      <w:pPr>
        <w:spacing w:before="120"/>
        <w:rPr>
          <w:spacing w:val="-2"/>
          <w:sz w:val="20"/>
        </w:rPr>
      </w:pPr>
      <w:r w:rsidRPr="00F14AF6">
        <w:rPr>
          <w:b/>
          <w:spacing w:val="-2"/>
          <w:sz w:val="20"/>
        </w:rPr>
        <w:t>Calibration</w:t>
      </w:r>
      <w:r w:rsidRPr="00F14AF6">
        <w:rPr>
          <w:spacing w:val="-2"/>
          <w:sz w:val="20"/>
        </w:rPr>
        <w:t>: the comparison of measurement values delivered by a device under test with those of a calibration standard of known accuracy; adjustments are made as necessary. This test is usually carried out by a service accredited by International Accreditation New Zealand.</w:t>
      </w:r>
    </w:p>
    <w:p w14:paraId="0C5A41F1" w14:textId="77777777" w:rsidR="00F14AF6" w:rsidRPr="00F14AF6" w:rsidRDefault="00A163F8" w:rsidP="00F14AF6">
      <w:pPr>
        <w:spacing w:before="120"/>
        <w:rPr>
          <w:sz w:val="20"/>
        </w:rPr>
      </w:pPr>
      <w:r w:rsidRPr="00F14AF6">
        <w:rPr>
          <w:b/>
          <w:sz w:val="20"/>
        </w:rPr>
        <w:t>CCA reviewer</w:t>
      </w:r>
      <w:r w:rsidRPr="00F14AF6">
        <w:rPr>
          <w:sz w:val="20"/>
        </w:rPr>
        <w:t>: a person or organisation contracted by a DHB to review an immunisation provider</w:t>
      </w:r>
      <w:r w:rsidR="007E44E1" w:rsidRPr="00F14AF6">
        <w:rPr>
          <w:sz w:val="20"/>
        </w:rPr>
        <w:t>’</w:t>
      </w:r>
      <w:r w:rsidRPr="00F14AF6">
        <w:rPr>
          <w:sz w:val="20"/>
        </w:rPr>
        <w:t>s cold chain management practices and processes and confirm its achievement of meeting the National Standards requirements via CCA or CCC (if appropriate). Reviewers should have completed an appropriate assessor</w:t>
      </w:r>
      <w:r w:rsidR="007E44E1" w:rsidRPr="00F14AF6">
        <w:rPr>
          <w:sz w:val="20"/>
        </w:rPr>
        <w:t>’</w:t>
      </w:r>
      <w:r w:rsidRPr="00F14AF6">
        <w:rPr>
          <w:sz w:val="20"/>
        </w:rPr>
        <w:t>s programme (</w:t>
      </w:r>
      <w:proofErr w:type="spellStart"/>
      <w:r w:rsidRPr="00F14AF6">
        <w:rPr>
          <w:sz w:val="20"/>
        </w:rPr>
        <w:t>eg</w:t>
      </w:r>
      <w:proofErr w:type="spellEnd"/>
      <w:r w:rsidRPr="00F14AF6">
        <w:rPr>
          <w:sz w:val="20"/>
        </w:rPr>
        <w:t>, NZ2752 New Zealand Certificate in Assessment Practice) and be locally approved by the Medical Officer of Health. (Note: the CCA reviewer may be an immunisation or cold chain coordinator.) For community pharmacies, the reviewer is a Medicines Control auditor.</w:t>
      </w:r>
    </w:p>
    <w:p w14:paraId="7DA07285" w14:textId="77777777" w:rsidR="00F14AF6" w:rsidRPr="00F14AF6" w:rsidRDefault="00A163F8" w:rsidP="00F14AF6">
      <w:pPr>
        <w:spacing w:before="120"/>
        <w:rPr>
          <w:sz w:val="20"/>
        </w:rPr>
      </w:pPr>
      <w:r w:rsidRPr="00F14AF6">
        <w:rPr>
          <w:b/>
          <w:sz w:val="20"/>
        </w:rPr>
        <w:t>CFA</w:t>
      </w:r>
      <w:r w:rsidRPr="00F14AF6">
        <w:rPr>
          <w:sz w:val="20"/>
        </w:rPr>
        <w:t>: Crown Funding Agreement.</w:t>
      </w:r>
    </w:p>
    <w:p w14:paraId="0F564C75" w14:textId="77777777" w:rsidR="00F14AF6" w:rsidRPr="00F14AF6" w:rsidRDefault="00A163F8" w:rsidP="00F14AF6">
      <w:pPr>
        <w:spacing w:before="120"/>
        <w:rPr>
          <w:sz w:val="20"/>
        </w:rPr>
      </w:pPr>
      <w:r w:rsidRPr="00F14AF6">
        <w:rPr>
          <w:b/>
          <w:sz w:val="20"/>
        </w:rPr>
        <w:t>Chilly bin</w:t>
      </w:r>
      <w:r w:rsidRPr="00F14AF6">
        <w:rPr>
          <w:sz w:val="20"/>
        </w:rPr>
        <w:t>: a generic term for a portable insulated container.</w:t>
      </w:r>
    </w:p>
    <w:p w14:paraId="7CBFECF5" w14:textId="77777777" w:rsidR="00F14AF6" w:rsidRPr="00F14AF6" w:rsidRDefault="00A163F8" w:rsidP="00F14AF6">
      <w:pPr>
        <w:spacing w:before="120"/>
        <w:rPr>
          <w:spacing w:val="-2"/>
          <w:sz w:val="20"/>
        </w:rPr>
      </w:pPr>
      <w:r w:rsidRPr="00F14AF6">
        <w:rPr>
          <w:b/>
          <w:spacing w:val="-2"/>
          <w:sz w:val="20"/>
        </w:rPr>
        <w:t>Cold chain</w:t>
      </w:r>
      <w:r w:rsidRPr="00F14AF6">
        <w:rPr>
          <w:spacing w:val="-2"/>
          <w:sz w:val="20"/>
        </w:rPr>
        <w:t>: the system of transporting and storing vaccines within the required temperature range of +2°C to +8°C from the place of manufacture to the point of vaccine administration.</w:t>
      </w:r>
    </w:p>
    <w:p w14:paraId="69F265A4" w14:textId="6B653CC3" w:rsidR="00F14AF6" w:rsidRPr="00F14AF6" w:rsidRDefault="00A163F8" w:rsidP="00F14AF6">
      <w:pPr>
        <w:spacing w:before="120"/>
        <w:rPr>
          <w:sz w:val="20"/>
        </w:rPr>
      </w:pPr>
      <w:r w:rsidRPr="00F14AF6">
        <w:rPr>
          <w:b/>
          <w:sz w:val="20"/>
        </w:rPr>
        <w:t>Cold Chain Accreditation</w:t>
      </w:r>
      <w:r w:rsidRPr="00F14AF6">
        <w:rPr>
          <w:sz w:val="20"/>
        </w:rPr>
        <w:t xml:space="preserve"> </w:t>
      </w:r>
      <w:r w:rsidRPr="00F14AF6">
        <w:rPr>
          <w:b/>
          <w:sz w:val="20"/>
        </w:rPr>
        <w:t>(CCA)</w:t>
      </w:r>
      <w:r w:rsidRPr="00F14AF6">
        <w:rPr>
          <w:sz w:val="20"/>
        </w:rPr>
        <w:t>: a tool used to ensure immunisation providers</w:t>
      </w:r>
      <w:r w:rsidR="007E44E1" w:rsidRPr="00F14AF6">
        <w:rPr>
          <w:sz w:val="20"/>
        </w:rPr>
        <w:t>’</w:t>
      </w:r>
      <w:r w:rsidRPr="00F14AF6">
        <w:rPr>
          <w:sz w:val="20"/>
        </w:rPr>
        <w:t xml:space="preserve"> cold chain management practices and processes meet the standard</w:t>
      </w:r>
      <w:r w:rsidR="007154E6">
        <w:rPr>
          <w:sz w:val="20"/>
        </w:rPr>
        <w:t>’</w:t>
      </w:r>
      <w:r w:rsidRPr="00F14AF6">
        <w:rPr>
          <w:sz w:val="20"/>
        </w:rPr>
        <w:t xml:space="preserve">s </w:t>
      </w:r>
      <w:r w:rsidR="007154E6">
        <w:rPr>
          <w:sz w:val="20"/>
        </w:rPr>
        <w:t xml:space="preserve">requirements </w:t>
      </w:r>
      <w:r w:rsidRPr="00F14AF6">
        <w:rPr>
          <w:sz w:val="20"/>
        </w:rPr>
        <w:t>for safe vaccine storage and transportation.</w:t>
      </w:r>
    </w:p>
    <w:p w14:paraId="1332417D" w14:textId="77777777" w:rsidR="00F14AF6" w:rsidRPr="00F14AF6" w:rsidRDefault="00A163F8" w:rsidP="00F14AF6">
      <w:pPr>
        <w:spacing w:before="120"/>
        <w:rPr>
          <w:sz w:val="20"/>
        </w:rPr>
      </w:pPr>
      <w:r w:rsidRPr="00F14AF6">
        <w:rPr>
          <w:b/>
          <w:sz w:val="20"/>
        </w:rPr>
        <w:t>Cold Chain Compliance (CCC)</w:t>
      </w:r>
      <w:r w:rsidRPr="00F14AF6">
        <w:rPr>
          <w:sz w:val="20"/>
        </w:rPr>
        <w:t>: issued when an immunisation provider achieves all of the standards for CCA but is unable to show the refrigerator</w:t>
      </w:r>
      <w:r w:rsidR="007E44E1" w:rsidRPr="00F14AF6">
        <w:rPr>
          <w:sz w:val="20"/>
        </w:rPr>
        <w:t>’</w:t>
      </w:r>
      <w:r w:rsidRPr="00F14AF6">
        <w:rPr>
          <w:sz w:val="20"/>
        </w:rPr>
        <w:t>s three-month continuous temperature monitoring records.</w:t>
      </w:r>
    </w:p>
    <w:p w14:paraId="0A070406" w14:textId="77777777" w:rsidR="00F14AF6" w:rsidRPr="00F14AF6" w:rsidRDefault="00A163F8" w:rsidP="00F14AF6">
      <w:pPr>
        <w:spacing w:before="120"/>
        <w:rPr>
          <w:sz w:val="20"/>
        </w:rPr>
      </w:pPr>
      <w:r w:rsidRPr="00F14AF6">
        <w:rPr>
          <w:b/>
          <w:sz w:val="20"/>
        </w:rPr>
        <w:t>Cold chain breach</w:t>
      </w:r>
      <w:r w:rsidRPr="00F14AF6">
        <w:rPr>
          <w:sz w:val="20"/>
        </w:rPr>
        <w:t>:</w:t>
      </w:r>
      <w:r w:rsidRPr="00F14AF6">
        <w:rPr>
          <w:b/>
          <w:sz w:val="20"/>
        </w:rPr>
        <w:t xml:space="preserve"> </w:t>
      </w:r>
      <w:r w:rsidRPr="00F14AF6">
        <w:rPr>
          <w:sz w:val="20"/>
        </w:rPr>
        <w:t>an event that has led to vaccines being stored or transported in temperatures outside the required +2°C to +8°C range, without compromising the potency or stability of the vaccines.</w:t>
      </w:r>
    </w:p>
    <w:p w14:paraId="4A3202B7" w14:textId="77777777" w:rsidR="00F14AF6" w:rsidRPr="00F14AF6" w:rsidRDefault="00A163F8" w:rsidP="00F14AF6">
      <w:pPr>
        <w:spacing w:before="120"/>
        <w:rPr>
          <w:sz w:val="20"/>
        </w:rPr>
      </w:pPr>
      <w:r w:rsidRPr="00F14AF6">
        <w:rPr>
          <w:b/>
          <w:sz w:val="20"/>
        </w:rPr>
        <w:t>Cold chain excursion</w:t>
      </w:r>
      <w:r w:rsidRPr="00F14AF6">
        <w:rPr>
          <w:sz w:val="20"/>
        </w:rPr>
        <w:t>: an event that has led to the vaccines being stored or transported in temperatures outside the required +2°C to +8°C range and, as a result, vaccines are compromised and need to be returned for destruction.</w:t>
      </w:r>
    </w:p>
    <w:p w14:paraId="7B9F0A95" w14:textId="77777777" w:rsidR="00F14AF6" w:rsidRPr="00F14AF6" w:rsidRDefault="00A163F8" w:rsidP="00F14AF6">
      <w:pPr>
        <w:spacing w:before="120"/>
        <w:rPr>
          <w:sz w:val="20"/>
        </w:rPr>
      </w:pPr>
      <w:r w:rsidRPr="00F14AF6">
        <w:rPr>
          <w:b/>
          <w:sz w:val="20"/>
        </w:rPr>
        <w:t>Cold chain failure</w:t>
      </w:r>
      <w:r w:rsidRPr="00F14AF6">
        <w:rPr>
          <w:sz w:val="20"/>
        </w:rPr>
        <w:t>: an event in which vaccines involved in a cold chain excursion are administered to patients.</w:t>
      </w:r>
    </w:p>
    <w:p w14:paraId="1F65E9BF" w14:textId="221A7FB2" w:rsidR="00F14AF6" w:rsidRPr="00F14AF6" w:rsidRDefault="00A163F8" w:rsidP="00F14AF6">
      <w:pPr>
        <w:spacing w:before="120"/>
        <w:rPr>
          <w:sz w:val="20"/>
        </w:rPr>
      </w:pPr>
      <w:r w:rsidRPr="00F14AF6">
        <w:rPr>
          <w:b/>
          <w:sz w:val="20"/>
        </w:rPr>
        <w:t>Continuous monitoring services</w:t>
      </w:r>
      <w:r w:rsidRPr="00F14AF6">
        <w:rPr>
          <w:sz w:val="20"/>
        </w:rPr>
        <w:t>: also called cloud-based monitoring, web-based monitoring, external monitoring or real-time monitoring. Such services send temperature information from a sensor in a provider</w:t>
      </w:r>
      <w:r w:rsidR="007E44E1" w:rsidRPr="00F14AF6">
        <w:rPr>
          <w:sz w:val="20"/>
        </w:rPr>
        <w:t>’</w:t>
      </w:r>
      <w:r w:rsidRPr="00F14AF6">
        <w:rPr>
          <w:sz w:val="20"/>
        </w:rPr>
        <w:t>s refrigerator to software that can be viewed through a website. They may be in-built or separate, like a datalogger; records must be downloaded/accessed and reviewed weekly.</w:t>
      </w:r>
    </w:p>
    <w:p w14:paraId="23C5025B" w14:textId="17FE66E3" w:rsidR="00F14AF6" w:rsidRPr="00F14AF6" w:rsidRDefault="00A163F8" w:rsidP="00F14AF6">
      <w:pPr>
        <w:spacing w:before="120"/>
        <w:rPr>
          <w:sz w:val="20"/>
        </w:rPr>
      </w:pPr>
      <w:r w:rsidRPr="00F14AF6">
        <w:rPr>
          <w:b/>
          <w:sz w:val="20"/>
        </w:rPr>
        <w:t>Datalogger</w:t>
      </w:r>
      <w:r w:rsidRPr="00F14AF6">
        <w:rPr>
          <w:sz w:val="20"/>
        </w:rPr>
        <w:t xml:space="preserve">: an electronic device that measures the current refrigerator temperature at </w:t>
      </w:r>
      <w:proofErr w:type="spellStart"/>
      <w:r w:rsidR="00F24EEE" w:rsidRPr="00F14AF6">
        <w:rPr>
          <w:sz w:val="20"/>
        </w:rPr>
        <w:t>preset</w:t>
      </w:r>
      <w:proofErr w:type="spellEnd"/>
      <w:r w:rsidRPr="00F14AF6">
        <w:rPr>
          <w:sz w:val="20"/>
        </w:rPr>
        <w:t xml:space="preserve"> intervals and records information that can then be downloaded/</w:t>
      </w:r>
      <w:r w:rsidR="00F14AF6">
        <w:rPr>
          <w:sz w:val="20"/>
        </w:rPr>
        <w:t xml:space="preserve"> </w:t>
      </w:r>
      <w:r w:rsidRPr="00F14AF6">
        <w:rPr>
          <w:sz w:val="20"/>
        </w:rPr>
        <w:t>accessed and reviewed</w:t>
      </w:r>
      <w:r w:rsidR="00C309BF">
        <w:rPr>
          <w:sz w:val="20"/>
        </w:rPr>
        <w:t xml:space="preserve"> weekly</w:t>
      </w:r>
      <w:r w:rsidRPr="00F14AF6">
        <w:rPr>
          <w:sz w:val="20"/>
        </w:rPr>
        <w:t>.</w:t>
      </w:r>
      <w:r w:rsidR="00EC27DA">
        <w:rPr>
          <w:sz w:val="20"/>
        </w:rPr>
        <w:t xml:space="preserve"> Datalogger is used as the generic term for all devices that sample and store/transmit temperatures from within the refrigerator.</w:t>
      </w:r>
    </w:p>
    <w:p w14:paraId="57F818DA" w14:textId="77777777" w:rsidR="00F14AF6" w:rsidRPr="00F14AF6" w:rsidRDefault="00A163F8" w:rsidP="00F14AF6">
      <w:pPr>
        <w:spacing w:before="120"/>
        <w:rPr>
          <w:spacing w:val="-2"/>
          <w:sz w:val="20"/>
        </w:rPr>
      </w:pPr>
      <w:r w:rsidRPr="00F14AF6">
        <w:rPr>
          <w:b/>
          <w:spacing w:val="-2"/>
          <w:sz w:val="20"/>
        </w:rPr>
        <w:lastRenderedPageBreak/>
        <w:t>Digital thermometer</w:t>
      </w:r>
      <w:r w:rsidRPr="00F14AF6">
        <w:rPr>
          <w:spacing w:val="-2"/>
          <w:sz w:val="20"/>
        </w:rPr>
        <w:t>: a digital minimum/maximum thermometer with a visible display used to measure the temperature range vaccines are being stored at and/or during transport.</w:t>
      </w:r>
    </w:p>
    <w:p w14:paraId="63DE3B16" w14:textId="77777777" w:rsidR="00F14AF6" w:rsidRPr="00F14AF6" w:rsidRDefault="00A163F8" w:rsidP="00F14AF6">
      <w:pPr>
        <w:spacing w:before="120"/>
        <w:rPr>
          <w:sz w:val="20"/>
        </w:rPr>
      </w:pPr>
      <w:r w:rsidRPr="00F14AF6">
        <w:rPr>
          <w:b/>
          <w:sz w:val="20"/>
        </w:rPr>
        <w:t>DHB</w:t>
      </w:r>
      <w:r w:rsidRPr="00F14AF6">
        <w:rPr>
          <w:sz w:val="20"/>
        </w:rPr>
        <w:t>: district health board.</w:t>
      </w:r>
    </w:p>
    <w:p w14:paraId="5F8D974D" w14:textId="77777777" w:rsidR="00F14AF6" w:rsidRPr="00F14AF6" w:rsidRDefault="00A163F8" w:rsidP="00F14AF6">
      <w:pPr>
        <w:spacing w:before="120"/>
        <w:rPr>
          <w:sz w:val="20"/>
        </w:rPr>
      </w:pPr>
      <w:r w:rsidRPr="00F14AF6">
        <w:rPr>
          <w:b/>
          <w:sz w:val="20"/>
        </w:rPr>
        <w:t>IMAC</w:t>
      </w:r>
      <w:r w:rsidRPr="00F14AF6">
        <w:rPr>
          <w:sz w:val="20"/>
        </w:rPr>
        <w:t>: Immunisation Advisory Centre.</w:t>
      </w:r>
    </w:p>
    <w:p w14:paraId="55F25CC8" w14:textId="3A59B025" w:rsidR="00F14AF6" w:rsidRPr="00F14AF6" w:rsidRDefault="00A163F8" w:rsidP="00F14AF6">
      <w:pPr>
        <w:spacing w:before="120"/>
        <w:ind w:right="-284"/>
        <w:rPr>
          <w:spacing w:val="-2"/>
          <w:sz w:val="20"/>
        </w:rPr>
      </w:pPr>
      <w:r w:rsidRPr="00F14AF6">
        <w:rPr>
          <w:b/>
          <w:spacing w:val="-2"/>
          <w:sz w:val="20"/>
        </w:rPr>
        <w:t>Immunisation/Cold chain coordinator</w:t>
      </w:r>
      <w:r w:rsidRPr="00F14AF6">
        <w:rPr>
          <w:spacing w:val="-2"/>
          <w:sz w:val="20"/>
        </w:rPr>
        <w:t>:</w:t>
      </w:r>
      <w:r w:rsidR="0054794A">
        <w:rPr>
          <w:spacing w:val="-2"/>
          <w:sz w:val="20"/>
        </w:rPr>
        <w:t xml:space="preserve"> r</w:t>
      </w:r>
      <w:r w:rsidRPr="00F14AF6">
        <w:rPr>
          <w:spacing w:val="-2"/>
          <w:sz w:val="20"/>
        </w:rPr>
        <w:t xml:space="preserve">eferred to as </w:t>
      </w:r>
      <w:r w:rsidR="007E44E1" w:rsidRPr="00F14AF6">
        <w:rPr>
          <w:spacing w:val="-2"/>
          <w:sz w:val="20"/>
        </w:rPr>
        <w:t>‘</w:t>
      </w:r>
      <w:r w:rsidRPr="00F14AF6">
        <w:rPr>
          <w:spacing w:val="-2"/>
          <w:sz w:val="20"/>
        </w:rPr>
        <w:t>immunisation facilitator</w:t>
      </w:r>
      <w:r w:rsidR="007E44E1" w:rsidRPr="00F14AF6">
        <w:rPr>
          <w:spacing w:val="-2"/>
          <w:sz w:val="20"/>
        </w:rPr>
        <w:t>’</w:t>
      </w:r>
      <w:r w:rsidRPr="00F14AF6">
        <w:rPr>
          <w:spacing w:val="-2"/>
          <w:sz w:val="20"/>
        </w:rPr>
        <w:t xml:space="preserve"> in some areas. This document uses </w:t>
      </w:r>
      <w:r w:rsidR="007E44E1" w:rsidRPr="00F14AF6">
        <w:rPr>
          <w:spacing w:val="-2"/>
          <w:sz w:val="20"/>
        </w:rPr>
        <w:t>‘</w:t>
      </w:r>
      <w:r w:rsidRPr="00F14AF6">
        <w:rPr>
          <w:spacing w:val="-2"/>
          <w:sz w:val="20"/>
        </w:rPr>
        <w:t>coordinator</w:t>
      </w:r>
      <w:r w:rsidR="007E44E1" w:rsidRPr="00F14AF6">
        <w:rPr>
          <w:spacing w:val="-2"/>
          <w:sz w:val="20"/>
        </w:rPr>
        <w:t>’</w:t>
      </w:r>
      <w:r w:rsidRPr="00F14AF6">
        <w:rPr>
          <w:spacing w:val="-2"/>
          <w:sz w:val="20"/>
        </w:rPr>
        <w:t xml:space="preserve"> to refer to any roles that sit under the CFA, including CCA reviewer.</w:t>
      </w:r>
    </w:p>
    <w:p w14:paraId="4DDE4F81" w14:textId="77777777" w:rsidR="00F14AF6" w:rsidRPr="00F14AF6" w:rsidRDefault="00A163F8" w:rsidP="00F14AF6">
      <w:pPr>
        <w:spacing w:before="120"/>
        <w:rPr>
          <w:sz w:val="20"/>
        </w:rPr>
      </w:pPr>
      <w:r w:rsidRPr="00F14AF6">
        <w:rPr>
          <w:b/>
          <w:sz w:val="20"/>
        </w:rPr>
        <w:t>Immunisation provider</w:t>
      </w:r>
      <w:r w:rsidRPr="00F14AF6">
        <w:rPr>
          <w:sz w:val="20"/>
        </w:rPr>
        <w:t>: any provider storing and/or administering vaccines to individuals in New Zealand. Examples include but are not limited to: general practices, public health units, community pharmacies, corrections facilities, outreach immunisation services, travel clinics, emergency medical services, public and private hospital wards and departments/pharmacies, and occupational health services.</w:t>
      </w:r>
    </w:p>
    <w:p w14:paraId="649CE273" w14:textId="77777777" w:rsidR="00F14AF6" w:rsidRPr="00F14AF6" w:rsidRDefault="00A163F8" w:rsidP="00F14AF6">
      <w:pPr>
        <w:spacing w:before="120"/>
        <w:rPr>
          <w:sz w:val="20"/>
        </w:rPr>
      </w:pPr>
      <w:r w:rsidRPr="00F14AF6">
        <w:rPr>
          <w:b/>
          <w:sz w:val="20"/>
        </w:rPr>
        <w:t>Medicines Control</w:t>
      </w:r>
      <w:r w:rsidRPr="00F14AF6">
        <w:rPr>
          <w:sz w:val="20"/>
        </w:rPr>
        <w:t xml:space="preserve">: a regulatory team within </w:t>
      </w:r>
      <w:proofErr w:type="spellStart"/>
      <w:r w:rsidRPr="00F14AF6">
        <w:rPr>
          <w:sz w:val="20"/>
        </w:rPr>
        <w:t>Medsafe</w:t>
      </w:r>
      <w:proofErr w:type="spellEnd"/>
      <w:r w:rsidRPr="00F14AF6">
        <w:rPr>
          <w:sz w:val="20"/>
        </w:rPr>
        <w:t xml:space="preserve"> at the Ministry of Health. Medicines Control regulates licence holders within the pharmaceutical supply chain in New Zealand, including community pharmacies and pharmaceutical wholesalers. Medicines Control regulates cold chain management in community pharmacies as part of the pharmacy licensing framework it administers.</w:t>
      </w:r>
    </w:p>
    <w:p w14:paraId="71A846C4" w14:textId="77777777" w:rsidR="00F14AF6" w:rsidRPr="00F14AF6" w:rsidRDefault="00A163F8" w:rsidP="00F14AF6">
      <w:pPr>
        <w:spacing w:before="120"/>
        <w:rPr>
          <w:sz w:val="20"/>
        </w:rPr>
      </w:pPr>
      <w:r w:rsidRPr="00F14AF6">
        <w:rPr>
          <w:b/>
          <w:sz w:val="20"/>
        </w:rPr>
        <w:t>National Cold Chain Audit (NCCA)</w:t>
      </w:r>
      <w:r w:rsidRPr="00F14AF6">
        <w:rPr>
          <w:sz w:val="20"/>
        </w:rPr>
        <w:t>: an audit that monitors National Immunisation Schedule vaccines through the cold chain, from the regional distribution stores to immunisation providers over a set period of time.</w:t>
      </w:r>
    </w:p>
    <w:p w14:paraId="5FAFCA1B" w14:textId="77777777" w:rsidR="00F14AF6" w:rsidRPr="00F14AF6" w:rsidRDefault="00A163F8" w:rsidP="00F14AF6">
      <w:pPr>
        <w:spacing w:before="120"/>
        <w:rPr>
          <w:rFonts w:cs="Segoe UI"/>
          <w:sz w:val="20"/>
        </w:rPr>
      </w:pPr>
      <w:r w:rsidRPr="00F14AF6">
        <w:rPr>
          <w:rFonts w:cs="Segoe UI"/>
          <w:b/>
          <w:sz w:val="20"/>
        </w:rPr>
        <w:t>National Immunisation Programme</w:t>
      </w:r>
      <w:r w:rsidRPr="00F14AF6">
        <w:rPr>
          <w:rFonts w:cs="Segoe UI"/>
          <w:sz w:val="20"/>
        </w:rPr>
        <w:t>: aims to prevent diseases through vaccination and achieve immunisation coverage that prevents outbreaks and epidemics. The Programme provides national oversight of immunisation services, providers and agencies. It is managed by the Ministry of Health.</w:t>
      </w:r>
    </w:p>
    <w:p w14:paraId="75E96637" w14:textId="77777777" w:rsidR="00F14AF6" w:rsidRPr="00F14AF6" w:rsidRDefault="00A163F8" w:rsidP="00F14AF6">
      <w:pPr>
        <w:spacing w:before="120"/>
        <w:rPr>
          <w:sz w:val="20"/>
        </w:rPr>
      </w:pPr>
      <w:r w:rsidRPr="00F14AF6">
        <w:rPr>
          <w:b/>
          <w:sz w:val="20"/>
        </w:rPr>
        <w:t>National Immunisation Schedule</w:t>
      </w:r>
      <w:r w:rsidRPr="00F14AF6">
        <w:rPr>
          <w:sz w:val="20"/>
        </w:rPr>
        <w:t>: the series of vaccines funded by PHARMAC for babies, children, adolescents and adults.</w:t>
      </w:r>
    </w:p>
    <w:p w14:paraId="16034837" w14:textId="77777777" w:rsidR="00F14AF6" w:rsidRPr="00F14AF6" w:rsidRDefault="00A163F8" w:rsidP="00F14AF6">
      <w:pPr>
        <w:spacing w:before="120"/>
        <w:rPr>
          <w:sz w:val="20"/>
        </w:rPr>
      </w:pPr>
      <w:r w:rsidRPr="00F14AF6">
        <w:rPr>
          <w:b/>
          <w:sz w:val="20"/>
        </w:rPr>
        <w:t>National Vaccine Store</w:t>
      </w:r>
      <w:r w:rsidRPr="00F14AF6">
        <w:rPr>
          <w:sz w:val="20"/>
        </w:rPr>
        <w:t>: manages the National Immunisation Schedule vaccine supply on behalf of PHARMAC. The National Vaccine Store is responsible for all vaccines from when they arrive at the store until they are distributed to the regional distribution stores or directly to immunisation providers.</w:t>
      </w:r>
    </w:p>
    <w:p w14:paraId="16F61FC1" w14:textId="724EDCB3" w:rsidR="00F14AF6" w:rsidRPr="00F14AF6" w:rsidRDefault="00A163F8" w:rsidP="00F14AF6">
      <w:pPr>
        <w:spacing w:before="120"/>
        <w:rPr>
          <w:sz w:val="20"/>
        </w:rPr>
      </w:pPr>
      <w:r w:rsidRPr="00F14AF6">
        <w:rPr>
          <w:b/>
          <w:sz w:val="20"/>
        </w:rPr>
        <w:t>Offsite clinic</w:t>
      </w:r>
      <w:r w:rsidRPr="00F14AF6">
        <w:rPr>
          <w:sz w:val="20"/>
        </w:rPr>
        <w:t xml:space="preserve">: </w:t>
      </w:r>
      <w:r w:rsidR="00F24EEE">
        <w:rPr>
          <w:sz w:val="20"/>
        </w:rPr>
        <w:t>a</w:t>
      </w:r>
      <w:r w:rsidRPr="00F14AF6">
        <w:rPr>
          <w:sz w:val="20"/>
        </w:rPr>
        <w:t>ny site at which multiple vaccines are required to be stored and dispensed from a chilly bin.</w:t>
      </w:r>
    </w:p>
    <w:p w14:paraId="7B2CE44F" w14:textId="77777777" w:rsidR="00F14AF6" w:rsidRPr="00F14AF6" w:rsidRDefault="00A163F8" w:rsidP="00F14AF6">
      <w:pPr>
        <w:spacing w:before="120"/>
        <w:rPr>
          <w:sz w:val="20"/>
        </w:rPr>
      </w:pPr>
      <w:r w:rsidRPr="00F14AF6">
        <w:rPr>
          <w:b/>
          <w:sz w:val="20"/>
        </w:rPr>
        <w:t>PHARMAC</w:t>
      </w:r>
      <w:r w:rsidRPr="00F14AF6">
        <w:rPr>
          <w:sz w:val="20"/>
        </w:rPr>
        <w:t>: Pharmaceutical Management Agency Ltd.</w:t>
      </w:r>
    </w:p>
    <w:p w14:paraId="043FA98F" w14:textId="77777777" w:rsidR="00F14AF6" w:rsidRPr="00F14AF6" w:rsidRDefault="00A163F8" w:rsidP="00F14AF6">
      <w:pPr>
        <w:spacing w:before="120"/>
        <w:rPr>
          <w:sz w:val="20"/>
        </w:rPr>
      </w:pPr>
      <w:r w:rsidRPr="00F14AF6">
        <w:rPr>
          <w:b/>
          <w:sz w:val="20"/>
        </w:rPr>
        <w:t>Pharmaceutical refrigerator</w:t>
      </w:r>
      <w:r w:rsidRPr="00F14AF6">
        <w:rPr>
          <w:sz w:val="20"/>
        </w:rPr>
        <w:t>: a refrigerator designed and constructed for the specific purpose of storing pharmaceuticals and vaccines between +2°C and +8°C, and has a built</w:t>
      </w:r>
      <w:r w:rsidR="00F14AF6">
        <w:rPr>
          <w:sz w:val="20"/>
        </w:rPr>
        <w:noBreakHyphen/>
      </w:r>
      <w:r w:rsidRPr="00F14AF6">
        <w:rPr>
          <w:sz w:val="20"/>
        </w:rPr>
        <w:t xml:space="preserve">in alarm set to activate if temperatures go outside this range. In this document, </w:t>
      </w:r>
      <w:r w:rsidR="007E44E1" w:rsidRPr="00F14AF6">
        <w:rPr>
          <w:sz w:val="20"/>
        </w:rPr>
        <w:t>‘</w:t>
      </w:r>
      <w:r w:rsidRPr="00F14AF6">
        <w:rPr>
          <w:sz w:val="20"/>
        </w:rPr>
        <w:t>refrigerator</w:t>
      </w:r>
      <w:r w:rsidR="007E44E1" w:rsidRPr="00F14AF6">
        <w:rPr>
          <w:sz w:val="20"/>
        </w:rPr>
        <w:t>’</w:t>
      </w:r>
      <w:r w:rsidRPr="00F14AF6">
        <w:rPr>
          <w:sz w:val="20"/>
        </w:rPr>
        <w:t xml:space="preserve"> refers to a pharmaceutical refrigerator unless otherwise noted.</w:t>
      </w:r>
    </w:p>
    <w:p w14:paraId="195873FF" w14:textId="77777777" w:rsidR="00F14AF6" w:rsidRPr="00F14AF6" w:rsidRDefault="00A163F8" w:rsidP="00F14AF6">
      <w:pPr>
        <w:spacing w:before="120"/>
        <w:rPr>
          <w:sz w:val="20"/>
        </w:rPr>
      </w:pPr>
      <w:r w:rsidRPr="00F14AF6">
        <w:rPr>
          <w:b/>
          <w:sz w:val="20"/>
        </w:rPr>
        <w:t>PHO</w:t>
      </w:r>
      <w:r w:rsidRPr="00F14AF6">
        <w:rPr>
          <w:sz w:val="20"/>
        </w:rPr>
        <w:t>: primary health organisation.</w:t>
      </w:r>
    </w:p>
    <w:p w14:paraId="7166B515" w14:textId="77777777" w:rsidR="00F14AF6" w:rsidRPr="00F14AF6" w:rsidRDefault="00A163F8" w:rsidP="00F14AF6">
      <w:pPr>
        <w:spacing w:before="120"/>
        <w:rPr>
          <w:sz w:val="20"/>
        </w:rPr>
      </w:pPr>
      <w:r w:rsidRPr="00F14AF6">
        <w:rPr>
          <w:b/>
          <w:sz w:val="20"/>
        </w:rPr>
        <w:t>Refrigerator technician</w:t>
      </w:r>
      <w:r w:rsidRPr="00F14AF6">
        <w:rPr>
          <w:sz w:val="20"/>
        </w:rPr>
        <w:t>: A person employed and trained to install, service and repair refrigeration systems.</w:t>
      </w:r>
    </w:p>
    <w:p w14:paraId="0C3DD05B" w14:textId="57D6CA1C" w:rsidR="00F14AF6" w:rsidRPr="00F14AF6" w:rsidRDefault="00A163F8" w:rsidP="00F14AF6">
      <w:pPr>
        <w:spacing w:before="120"/>
        <w:rPr>
          <w:sz w:val="20"/>
        </w:rPr>
      </w:pPr>
      <w:r w:rsidRPr="00F14AF6">
        <w:rPr>
          <w:b/>
          <w:sz w:val="20"/>
        </w:rPr>
        <w:t>RIA</w:t>
      </w:r>
      <w:r w:rsidRPr="00F14AF6">
        <w:rPr>
          <w:sz w:val="20"/>
        </w:rPr>
        <w:t xml:space="preserve">: </w:t>
      </w:r>
      <w:r w:rsidR="007154E6">
        <w:rPr>
          <w:sz w:val="20"/>
        </w:rPr>
        <w:t xml:space="preserve">IMAC </w:t>
      </w:r>
      <w:r w:rsidRPr="00F14AF6">
        <w:rPr>
          <w:sz w:val="20"/>
        </w:rPr>
        <w:t>regional immunisation advisor</w:t>
      </w:r>
      <w:r w:rsidR="008813B1" w:rsidRPr="00F14AF6">
        <w:rPr>
          <w:sz w:val="20"/>
        </w:rPr>
        <w:t>.</w:t>
      </w:r>
    </w:p>
    <w:p w14:paraId="3A6EF1ED" w14:textId="77777777" w:rsidR="00F14AF6" w:rsidRPr="00F14AF6" w:rsidRDefault="00A163F8" w:rsidP="00F14AF6">
      <w:pPr>
        <w:spacing w:before="120"/>
        <w:rPr>
          <w:sz w:val="20"/>
        </w:rPr>
      </w:pPr>
      <w:r w:rsidRPr="00F14AF6">
        <w:rPr>
          <w:b/>
          <w:sz w:val="20"/>
        </w:rPr>
        <w:t>Regional distribution store</w:t>
      </w:r>
      <w:r w:rsidRPr="00F14AF6">
        <w:rPr>
          <w:sz w:val="20"/>
        </w:rPr>
        <w:t>: stores and distributes vaccines at a regional level.</w:t>
      </w:r>
    </w:p>
    <w:p w14:paraId="4D43D3C9" w14:textId="77777777" w:rsidR="00F16595" w:rsidRPr="00F14AF6" w:rsidRDefault="00A163F8" w:rsidP="00F14AF6">
      <w:pPr>
        <w:spacing w:before="120"/>
        <w:rPr>
          <w:spacing w:val="-2"/>
        </w:rPr>
      </w:pPr>
      <w:r w:rsidRPr="00F14AF6">
        <w:rPr>
          <w:b/>
          <w:spacing w:val="-2"/>
          <w:sz w:val="20"/>
        </w:rPr>
        <w:t>Validation</w:t>
      </w:r>
      <w:r w:rsidRPr="00F14AF6">
        <w:rPr>
          <w:spacing w:val="-2"/>
          <w:sz w:val="20"/>
        </w:rPr>
        <w:t>: the act of checking or proving the validity or accuracy of temperature monitoring equipment, to confirm that a sensor is recording accurately. To do this the device needs to be checked alongside a known accurate device (calibrated) of the same medium (air or buffer).</w:t>
      </w:r>
    </w:p>
    <w:p w14:paraId="3E2092D2" w14:textId="77777777" w:rsidR="001D3E4E" w:rsidRDefault="001D3E4E" w:rsidP="003A5FEA">
      <w:pPr>
        <w:sectPr w:rsidR="001D3E4E" w:rsidSect="00925892">
          <w:footerReference w:type="even" r:id="rId18"/>
          <w:pgSz w:w="11907" w:h="16840" w:code="9"/>
          <w:pgMar w:top="1418" w:right="1701" w:bottom="1134" w:left="1843" w:header="284" w:footer="425" w:gutter="284"/>
          <w:pgNumType w:fmt="lowerRoman"/>
          <w:cols w:space="720"/>
        </w:sectPr>
      </w:pPr>
    </w:p>
    <w:p w14:paraId="02AD631A" w14:textId="77777777" w:rsidR="008C2973" w:rsidRDefault="002B7BEC" w:rsidP="00A323C4">
      <w:pPr>
        <w:pStyle w:val="Heading1"/>
      </w:pPr>
      <w:bookmarkStart w:id="4" w:name="_Toc18062234"/>
      <w:r>
        <w:lastRenderedPageBreak/>
        <w:t>Introduction</w:t>
      </w:r>
      <w:bookmarkEnd w:id="4"/>
    </w:p>
    <w:p w14:paraId="50BF83A2" w14:textId="77777777" w:rsidR="00A163F8" w:rsidRPr="002234E6" w:rsidRDefault="00A163F8" w:rsidP="00A323C4">
      <w:r w:rsidRPr="002234E6">
        <w:t>This document defines the National Standards for Vaccine Storage and Transportation for all immunisation providers in New Zealand and outlines the requirements for providers to achieve the standards. The standards were reviewed and updated in 2019.</w:t>
      </w:r>
    </w:p>
    <w:p w14:paraId="5E29B79E" w14:textId="77777777" w:rsidR="00A163F8" w:rsidRPr="002234E6" w:rsidRDefault="00A163F8" w:rsidP="00A323C4"/>
    <w:p w14:paraId="01760A1C" w14:textId="77777777" w:rsidR="007E44E1" w:rsidRDefault="00A163F8" w:rsidP="00A323C4">
      <w:r w:rsidRPr="002234E6">
        <w:t>Cold chain is the process used to maintain required temperatures for vaccines. All vaccines must be stored within the +2°C to +8°C temperature range at all times during storage or transport, from the point of manufacture through to the point they are administered to an individual.</w:t>
      </w:r>
    </w:p>
    <w:p w14:paraId="286E8241" w14:textId="77777777" w:rsidR="00A163F8" w:rsidRDefault="00A163F8" w:rsidP="00A323C4"/>
    <w:p w14:paraId="3287C64A" w14:textId="77777777" w:rsidR="007E44E1" w:rsidRDefault="00A163F8" w:rsidP="00A323C4">
      <w:r w:rsidRPr="002234E6">
        <w:t>These standards may also be used to support cold chain management for the storage of other refrigerated medicines.</w:t>
      </w:r>
    </w:p>
    <w:p w14:paraId="1DCEDF96" w14:textId="77777777" w:rsidR="00A163F8" w:rsidRPr="002234E6" w:rsidRDefault="00A163F8" w:rsidP="00A323C4"/>
    <w:p w14:paraId="24643F65" w14:textId="77777777" w:rsidR="00A163F8" w:rsidRPr="002234E6" w:rsidRDefault="00A163F8" w:rsidP="00A163F8">
      <w:pPr>
        <w:rPr>
          <w:rFonts w:cs="Segoe UI"/>
        </w:rPr>
      </w:pPr>
      <w:r w:rsidRPr="002234E6">
        <w:rPr>
          <w:rFonts w:cs="Segoe UI"/>
        </w:rPr>
        <w:t>The int</w:t>
      </w:r>
      <w:r w:rsidRPr="00A323C4">
        <w:t>e</w:t>
      </w:r>
      <w:r w:rsidRPr="002234E6">
        <w:rPr>
          <w:rFonts w:cs="Segoe UI"/>
        </w:rPr>
        <w:t>grity of the cold chain depends on three essential elements</w:t>
      </w:r>
      <w:r>
        <w:rPr>
          <w:rFonts w:cs="Segoe UI"/>
        </w:rPr>
        <w:t>,</w:t>
      </w:r>
      <w:r w:rsidRPr="002234E6">
        <w:rPr>
          <w:rFonts w:cs="Segoe UI"/>
        </w:rPr>
        <w:t xml:space="preserve"> </w:t>
      </w:r>
      <w:r>
        <w:rPr>
          <w:rFonts w:cs="Segoe UI"/>
        </w:rPr>
        <w:t xml:space="preserve">which </w:t>
      </w:r>
      <w:r w:rsidRPr="002234E6">
        <w:rPr>
          <w:rFonts w:cs="Segoe UI"/>
        </w:rPr>
        <w:t>underpin the standards:</w:t>
      </w:r>
    </w:p>
    <w:p w14:paraId="34E0C2DF" w14:textId="77777777" w:rsidR="00A163F8" w:rsidRPr="002234E6" w:rsidRDefault="00A163F8" w:rsidP="00A323C4">
      <w:pPr>
        <w:spacing w:before="120"/>
        <w:ind w:left="425" w:hanging="425"/>
        <w:rPr>
          <w:rFonts w:cs="Segoe UI"/>
        </w:rPr>
      </w:pPr>
      <w:r w:rsidRPr="002234E6">
        <w:rPr>
          <w:rFonts w:cs="Segoe UI"/>
          <w:noProof/>
          <w:lang w:eastAsia="en-NZ"/>
        </w:rPr>
        <w:drawing>
          <wp:anchor distT="0" distB="0" distL="114300" distR="114300" simplePos="0" relativeHeight="251659264" behindDoc="0" locked="0" layoutInCell="1" allowOverlap="1" wp14:anchorId="6715A845" wp14:editId="713EE372">
            <wp:simplePos x="0" y="0"/>
            <wp:positionH relativeFrom="margin">
              <wp:align>right</wp:align>
            </wp:positionH>
            <wp:positionV relativeFrom="paragraph">
              <wp:posOffset>12065</wp:posOffset>
            </wp:positionV>
            <wp:extent cx="1945005" cy="1981200"/>
            <wp:effectExtent l="0" t="0" r="0" b="0"/>
            <wp:wrapSquare wrapText="bothSides"/>
            <wp:docPr id="22" name="Diagram 4" descr="Diagram showing the integrity of the cold chain depends on three essential elements: people, equipment and systems and processes" title="Diagram of the elements of cold chain integr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rrowheads="1"/>
                    </pic:cNvPicPr>
                  </pic:nvPicPr>
                  <pic:blipFill>
                    <a:blip r:embed="rId19">
                      <a:extLst>
                        <a:ext uri="{28A0092B-C50C-407E-A947-70E740481C1C}">
                          <a14:useLocalDpi xmlns:a14="http://schemas.microsoft.com/office/drawing/2010/main" val="0"/>
                        </a:ext>
                      </a:extLst>
                    </a:blip>
                    <a:srcRect l="-3346" t="-636" r="-2312" b="-3851"/>
                    <a:stretch>
                      <a:fillRect/>
                    </a:stretch>
                  </pic:blipFill>
                  <pic:spPr bwMode="auto">
                    <a:xfrm>
                      <a:off x="0" y="0"/>
                      <a:ext cx="1945005" cy="1981200"/>
                    </a:xfrm>
                    <a:prstGeom prst="rect">
                      <a:avLst/>
                    </a:prstGeom>
                    <a:noFill/>
                  </pic:spPr>
                </pic:pic>
              </a:graphicData>
            </a:graphic>
            <wp14:sizeRelH relativeFrom="margin">
              <wp14:pctWidth>0</wp14:pctWidth>
            </wp14:sizeRelH>
            <wp14:sizeRelV relativeFrom="margin">
              <wp14:pctHeight>0</wp14:pctHeight>
            </wp14:sizeRelV>
          </wp:anchor>
        </w:drawing>
      </w:r>
      <w:r w:rsidRPr="002234E6">
        <w:rPr>
          <w:rFonts w:cs="Segoe UI"/>
        </w:rPr>
        <w:t>1.</w:t>
      </w:r>
      <w:r w:rsidRPr="002234E6">
        <w:rPr>
          <w:rFonts w:cs="Segoe UI"/>
        </w:rPr>
        <w:tab/>
        <w:t xml:space="preserve">the </w:t>
      </w:r>
      <w:r w:rsidRPr="002234E6">
        <w:rPr>
          <w:rFonts w:cs="Segoe UI"/>
          <w:b/>
        </w:rPr>
        <w:t>people</w:t>
      </w:r>
      <w:r w:rsidRPr="002234E6">
        <w:rPr>
          <w:rFonts w:cs="Segoe UI"/>
        </w:rPr>
        <w:t xml:space="preserve"> managing vaccine manufacture, storage and distribution and those managing the cold chain at the provider level</w:t>
      </w:r>
    </w:p>
    <w:p w14:paraId="2DA0B78C" w14:textId="77777777" w:rsidR="00A163F8" w:rsidRPr="002234E6" w:rsidRDefault="00A163F8" w:rsidP="00A323C4">
      <w:pPr>
        <w:spacing w:before="120"/>
        <w:ind w:left="425" w:hanging="425"/>
        <w:rPr>
          <w:rFonts w:cs="Segoe UI"/>
        </w:rPr>
      </w:pPr>
      <w:r w:rsidRPr="002234E6">
        <w:rPr>
          <w:rFonts w:cs="Segoe UI"/>
        </w:rPr>
        <w:t>2.</w:t>
      </w:r>
      <w:r w:rsidRPr="002234E6">
        <w:rPr>
          <w:rFonts w:cs="Segoe UI"/>
        </w:rPr>
        <w:tab/>
        <w:t xml:space="preserve">the </w:t>
      </w:r>
      <w:r w:rsidRPr="002234E6">
        <w:rPr>
          <w:rFonts w:cs="Segoe UI"/>
          <w:b/>
        </w:rPr>
        <w:t>systems and processes</w:t>
      </w:r>
      <w:r w:rsidRPr="002234E6">
        <w:rPr>
          <w:rFonts w:cs="Segoe UI"/>
        </w:rPr>
        <w:t xml:space="preserve"> providers use to ensure they monitor the vaccine storage conditions and actions taken if the vaccines are exposed to temperatures outside the required range</w:t>
      </w:r>
    </w:p>
    <w:p w14:paraId="09AE3F7B" w14:textId="77777777" w:rsidR="00A163F8" w:rsidRPr="002234E6" w:rsidRDefault="00A163F8" w:rsidP="00A323C4">
      <w:pPr>
        <w:spacing w:before="120"/>
        <w:ind w:left="425" w:hanging="425"/>
        <w:rPr>
          <w:rFonts w:cs="Segoe UI"/>
        </w:rPr>
      </w:pPr>
      <w:r w:rsidRPr="002234E6">
        <w:rPr>
          <w:rFonts w:cs="Segoe UI"/>
        </w:rPr>
        <w:t>3.</w:t>
      </w:r>
      <w:r w:rsidRPr="002234E6">
        <w:rPr>
          <w:rFonts w:cs="Segoe UI"/>
        </w:rPr>
        <w:tab/>
        <w:t xml:space="preserve">the </w:t>
      </w:r>
      <w:r w:rsidRPr="002234E6">
        <w:rPr>
          <w:rFonts w:cs="Segoe UI"/>
          <w:b/>
        </w:rPr>
        <w:t>equipment</w:t>
      </w:r>
      <w:r w:rsidRPr="002234E6">
        <w:rPr>
          <w:rFonts w:cs="Segoe UI"/>
        </w:rPr>
        <w:t xml:space="preserve"> used for storing, transporting and monitoring vaccines from the time the vaccine is delivered to an immunisation provider to </w:t>
      </w:r>
      <w:r>
        <w:rPr>
          <w:rFonts w:cs="Segoe UI"/>
        </w:rPr>
        <w:t>the time</w:t>
      </w:r>
      <w:r w:rsidRPr="002234E6">
        <w:rPr>
          <w:rFonts w:cs="Segoe UI"/>
        </w:rPr>
        <w:t xml:space="preserve"> the vaccine is administered to an individual.</w:t>
      </w:r>
    </w:p>
    <w:p w14:paraId="7CC603B2" w14:textId="77777777" w:rsidR="00A163F8" w:rsidRPr="002234E6" w:rsidRDefault="00A163F8" w:rsidP="00A323C4"/>
    <w:p w14:paraId="5388BA16" w14:textId="77777777" w:rsidR="007E44E1" w:rsidRDefault="00A163F8" w:rsidP="00A323C4">
      <w:r w:rsidRPr="002234E6">
        <w:t>All immunisation providers are required to achieve cold chain accreditation (CCA) or cold chain compliance (CCC)</w:t>
      </w:r>
      <w:r>
        <w:t xml:space="preserve"> to confirm their </w:t>
      </w:r>
      <w:r w:rsidRPr="002234E6">
        <w:t xml:space="preserve">ability to meet the required standards. </w:t>
      </w:r>
      <w:r>
        <w:t>Immunisation or cold chain coordinators assess immunisation providers</w:t>
      </w:r>
      <w:r w:rsidR="007E44E1">
        <w:t>’</w:t>
      </w:r>
      <w:r>
        <w:t xml:space="preserve"> achievement of CCA or CCC. Previously, they also assessed community pharmacy compliance; this now occurs </w:t>
      </w:r>
      <w:r w:rsidRPr="002234E6">
        <w:t xml:space="preserve">through the auditing activities of Medicines Control, the team within </w:t>
      </w:r>
      <w:proofErr w:type="spellStart"/>
      <w:r w:rsidRPr="002234E6">
        <w:t>Medsafe</w:t>
      </w:r>
      <w:proofErr w:type="spellEnd"/>
      <w:r w:rsidRPr="002234E6">
        <w:t xml:space="preserve"> </w:t>
      </w:r>
      <w:r>
        <w:t>that</w:t>
      </w:r>
      <w:r w:rsidRPr="002234E6">
        <w:t xml:space="preserve"> issue</w:t>
      </w:r>
      <w:r>
        <w:t>s</w:t>
      </w:r>
      <w:r w:rsidRPr="002234E6">
        <w:t xml:space="preserve"> pharmacy licences. </w:t>
      </w:r>
      <w:r>
        <w:t>I</w:t>
      </w:r>
      <w:r w:rsidRPr="00F62A24">
        <w:t xml:space="preserve">mmunisation or cold chain coordinators </w:t>
      </w:r>
      <w:r>
        <w:t xml:space="preserve">still </w:t>
      </w:r>
      <w:r w:rsidRPr="00F62A24">
        <w:t xml:space="preserve">provide </w:t>
      </w:r>
      <w:r>
        <w:t xml:space="preserve">community pharmacies with </w:t>
      </w:r>
      <w:r w:rsidRPr="00F62A24">
        <w:t xml:space="preserve">advice </w:t>
      </w:r>
      <w:r>
        <w:t xml:space="preserve">and </w:t>
      </w:r>
      <w:r w:rsidRPr="00F62A24">
        <w:t xml:space="preserve">support </w:t>
      </w:r>
      <w:r>
        <w:t xml:space="preserve">concerning the cold chain, </w:t>
      </w:r>
      <w:r w:rsidRPr="00F62A24">
        <w:t>and follow</w:t>
      </w:r>
      <w:r>
        <w:t>-</w:t>
      </w:r>
      <w:r w:rsidRPr="00F62A24">
        <w:t xml:space="preserve">up of cold chain breaches or excursions. They </w:t>
      </w:r>
      <w:r>
        <w:t xml:space="preserve">should </w:t>
      </w:r>
      <w:r w:rsidRPr="00F62A24">
        <w:t>report any concerns about a community pharmacy</w:t>
      </w:r>
      <w:r w:rsidR="007E44E1">
        <w:t>’</w:t>
      </w:r>
      <w:r w:rsidRPr="00F62A24">
        <w:t>s cold chain management</w:t>
      </w:r>
      <w:r>
        <w:t xml:space="preserve"> that</w:t>
      </w:r>
      <w:r w:rsidRPr="00F62A24">
        <w:t xml:space="preserve"> poses a patient safety risk to Medicines Control.</w:t>
      </w:r>
    </w:p>
    <w:p w14:paraId="3F57CE4F" w14:textId="77777777" w:rsidR="00A163F8" w:rsidRPr="002234E6" w:rsidRDefault="00A163F8" w:rsidP="00A323C4"/>
    <w:p w14:paraId="26929141" w14:textId="77777777" w:rsidR="00A163F8" w:rsidRPr="002234E6" w:rsidRDefault="00A163F8" w:rsidP="00A323C4">
      <w:r w:rsidRPr="002234E6">
        <w:t>The review of these standards has been informed by the earlier versions of the National Standards, the National Review of Cold Chain Management Practices commissioned by the Ministry in 2014/15</w:t>
      </w:r>
      <w:r>
        <w:t>;</w:t>
      </w:r>
      <w:r w:rsidRPr="002234E6">
        <w:t xml:space="preserve"> current evidence-based practice</w:t>
      </w:r>
      <w:r>
        <w:t>,</w:t>
      </w:r>
      <w:r w:rsidRPr="002234E6">
        <w:t xml:space="preserve"> including international policies</w:t>
      </w:r>
      <w:r>
        <w:t>;</w:t>
      </w:r>
      <w:r w:rsidRPr="002234E6">
        <w:t xml:space="preserve"> and feedback received from the immunisation sector. For more information, see the National Review of Cold Chain Practices Summary on the Ministry</w:t>
      </w:r>
      <w:r w:rsidR="007E44E1">
        <w:t>’</w:t>
      </w:r>
      <w:r w:rsidRPr="002234E6">
        <w:t>s website (</w:t>
      </w:r>
      <w:hyperlink r:id="rId20" w:history="1">
        <w:r w:rsidRPr="00A323C4">
          <w:rPr>
            <w:rStyle w:val="Hyperlink"/>
          </w:rPr>
          <w:t>www.health.govt.nz/coldchain</w:t>
        </w:r>
      </w:hyperlink>
      <w:r w:rsidRPr="002234E6">
        <w:t>).</w:t>
      </w:r>
      <w:bookmarkStart w:id="5" w:name="_Toc469389329"/>
    </w:p>
    <w:p w14:paraId="5FDB3B4F" w14:textId="77777777" w:rsidR="00A163F8" w:rsidRPr="002234E6" w:rsidRDefault="00A163F8" w:rsidP="00A323C4"/>
    <w:p w14:paraId="787F3796" w14:textId="77777777" w:rsidR="00A163F8" w:rsidRPr="002234E6" w:rsidRDefault="00A163F8" w:rsidP="0076541A">
      <w:pPr>
        <w:pStyle w:val="Heading1"/>
      </w:pPr>
      <w:bookmarkStart w:id="6" w:name="_Toc9863065"/>
      <w:bookmarkStart w:id="7" w:name="_Toc18062235"/>
      <w:r w:rsidRPr="002234E6">
        <w:lastRenderedPageBreak/>
        <w:t>1</w:t>
      </w:r>
      <w:r w:rsidRPr="002234E6">
        <w:tab/>
        <w:t>National Standards for Vaccine Storage and Transportation for Immunisation Providers</w:t>
      </w:r>
      <w:bookmarkEnd w:id="5"/>
      <w:bookmarkEnd w:id="6"/>
      <w:bookmarkEnd w:id="7"/>
    </w:p>
    <w:p w14:paraId="4384794B" w14:textId="77777777" w:rsidR="00A163F8" w:rsidRPr="002234E6" w:rsidRDefault="00A163F8" w:rsidP="0076541A">
      <w:r w:rsidRPr="002234E6">
        <w:rPr>
          <w:b/>
        </w:rPr>
        <w:t>Aim:</w:t>
      </w:r>
      <w:r w:rsidRPr="002234E6">
        <w:t xml:space="preserve"> To improve the health of all New Zealanders by protecting them from vaccine preventable diseases through an effective immunisation programme.</w:t>
      </w:r>
    </w:p>
    <w:p w14:paraId="4C2DF934" w14:textId="77777777" w:rsidR="00A163F8" w:rsidRPr="002234E6" w:rsidRDefault="00A163F8" w:rsidP="0076541A"/>
    <w:p w14:paraId="1ABE1A42" w14:textId="77777777" w:rsidR="00A163F8" w:rsidRPr="002234E6" w:rsidRDefault="00A163F8" w:rsidP="0076541A">
      <w:r w:rsidRPr="002234E6">
        <w:rPr>
          <w:b/>
        </w:rPr>
        <w:t>Objective:</w:t>
      </w:r>
      <w:r w:rsidRPr="002234E6">
        <w:t xml:space="preserve"> To ensure immunisation providers in New Zealand safely store and transport vaccines, using the </w:t>
      </w:r>
      <w:r w:rsidR="0076541A">
        <w:t>10</w:t>
      </w:r>
      <w:r w:rsidRPr="002234E6">
        <w:t xml:space="preserve"> standards below to ensure all vaccines administrated are safe and effective.</w:t>
      </w:r>
    </w:p>
    <w:p w14:paraId="0A020BB4" w14:textId="77777777" w:rsidR="00A163F8" w:rsidRPr="002234E6" w:rsidRDefault="00A163F8" w:rsidP="0076541A">
      <w:pPr>
        <w:spacing w:before="180"/>
        <w:ind w:left="567" w:hanging="567"/>
      </w:pPr>
      <w:r w:rsidRPr="002234E6">
        <w:t>1.</w:t>
      </w:r>
      <w:r w:rsidRPr="002234E6">
        <w:tab/>
        <w:t xml:space="preserve">All immunisation providers must hold cold chain accreditation or cold chain compliance before offering immunisation </w:t>
      </w:r>
      <w:r>
        <w:t>services</w:t>
      </w:r>
      <w:r w:rsidRPr="002234E6">
        <w:t>.</w:t>
      </w:r>
    </w:p>
    <w:p w14:paraId="0B87B4F0" w14:textId="77777777" w:rsidR="00A163F8" w:rsidRPr="002234E6" w:rsidRDefault="00A163F8" w:rsidP="0076541A">
      <w:pPr>
        <w:spacing w:before="180"/>
        <w:ind w:left="567" w:hanging="567"/>
      </w:pPr>
      <w:r w:rsidRPr="002234E6">
        <w:t>2.</w:t>
      </w:r>
      <w:r w:rsidRPr="002234E6">
        <w:tab/>
        <w:t>All clinical staff must ensure continuity of the cold chain. They must also:</w:t>
      </w:r>
    </w:p>
    <w:p w14:paraId="703505AB" w14:textId="77777777" w:rsidR="00A163F8" w:rsidRPr="002234E6" w:rsidRDefault="00A163F8" w:rsidP="0076541A">
      <w:pPr>
        <w:pStyle w:val="Bullet"/>
        <w:ind w:left="851"/>
      </w:pPr>
      <w:r w:rsidRPr="002234E6">
        <w:t>be competent in all aspects of vaccine storage and transportation to ensure that vaccines are kept within the required +2°C to +8°C temperature range at all times</w:t>
      </w:r>
    </w:p>
    <w:p w14:paraId="3D2770F3" w14:textId="77777777" w:rsidR="00A163F8" w:rsidRPr="002234E6" w:rsidRDefault="00A163F8" w:rsidP="0076541A">
      <w:pPr>
        <w:pStyle w:val="Bullet"/>
        <w:ind w:left="851"/>
      </w:pPr>
      <w:r w:rsidRPr="002234E6">
        <w:t>take appropriate action when the cold chain is not maintained</w:t>
      </w:r>
    </w:p>
    <w:p w14:paraId="2D24EF9F" w14:textId="77777777" w:rsidR="00A163F8" w:rsidRPr="002234E6" w:rsidRDefault="00A163F8" w:rsidP="0076541A">
      <w:pPr>
        <w:pStyle w:val="Bullet"/>
        <w:ind w:left="851"/>
      </w:pPr>
      <w:r w:rsidRPr="002234E6">
        <w:t>take responsibility for ensuring that the vaccines they administer have been correctly stored</w:t>
      </w:r>
    </w:p>
    <w:p w14:paraId="7D097C54" w14:textId="77777777" w:rsidR="00A163F8" w:rsidRPr="002234E6" w:rsidRDefault="00A163F8" w:rsidP="0076541A">
      <w:pPr>
        <w:pStyle w:val="Bullet"/>
        <w:ind w:left="851"/>
      </w:pPr>
      <w:r w:rsidRPr="002234E6">
        <w:t>have read and understood, and comply with, the provider</w:t>
      </w:r>
      <w:r w:rsidR="007E44E1">
        <w:t>’</w:t>
      </w:r>
      <w:r w:rsidRPr="002234E6">
        <w:t>s cold chain policy.</w:t>
      </w:r>
    </w:p>
    <w:p w14:paraId="6FF38CFC" w14:textId="77777777" w:rsidR="00A163F8" w:rsidRPr="002234E6" w:rsidRDefault="00A163F8" w:rsidP="0076541A">
      <w:pPr>
        <w:spacing w:before="90"/>
        <w:ind w:left="567"/>
      </w:pPr>
      <w:r w:rsidRPr="002234E6">
        <w:t xml:space="preserve">See </w:t>
      </w:r>
      <w:hyperlink w:anchor="_5.0_People" w:history="1">
        <w:r w:rsidRPr="002234E6">
          <w:rPr>
            <w:rStyle w:val="Hyperlink"/>
            <w:rFonts w:cs="Segoe UI"/>
          </w:rPr>
          <w:t>section 5</w:t>
        </w:r>
      </w:hyperlink>
      <w:r w:rsidRPr="002234E6">
        <w:t xml:space="preserve"> for more information.</w:t>
      </w:r>
    </w:p>
    <w:p w14:paraId="6D74A418" w14:textId="77777777" w:rsidR="00A163F8" w:rsidRPr="002234E6" w:rsidRDefault="00A163F8" w:rsidP="0076541A">
      <w:pPr>
        <w:spacing w:before="180"/>
        <w:ind w:left="567" w:hanging="567"/>
      </w:pPr>
      <w:r w:rsidRPr="002234E6">
        <w:t>3.</w:t>
      </w:r>
      <w:r w:rsidRPr="002234E6">
        <w:tab/>
        <w:t xml:space="preserve">All immunisation providers must have a cold chain policy containing the required information outlined in </w:t>
      </w:r>
      <w:hyperlink w:anchor="_6.1_Provider_cold" w:history="1">
        <w:r w:rsidRPr="002234E6">
          <w:rPr>
            <w:rStyle w:val="Hyperlink"/>
            <w:rFonts w:cs="Segoe UI"/>
          </w:rPr>
          <w:t>section 6.1</w:t>
        </w:r>
      </w:hyperlink>
      <w:r w:rsidRPr="0076541A">
        <w:t xml:space="preserve">. </w:t>
      </w:r>
      <w:r w:rsidRPr="002234E6">
        <w:t xml:space="preserve">The Ministry of Health has provided a cold chain policy template that providers can adapt and use for their facility (see </w:t>
      </w:r>
      <w:hyperlink r:id="rId21" w:history="1">
        <w:r w:rsidRPr="002234E6">
          <w:rPr>
            <w:rStyle w:val="Hyperlink"/>
            <w:rFonts w:cs="Segoe UI"/>
          </w:rPr>
          <w:t>www.health.govt.nz/coldchain</w:t>
        </w:r>
      </w:hyperlink>
      <w:r w:rsidRPr="002234E6">
        <w:t>).</w:t>
      </w:r>
    </w:p>
    <w:p w14:paraId="2EC812FF" w14:textId="77777777" w:rsidR="00A163F8" w:rsidRPr="002234E6" w:rsidRDefault="00A163F8" w:rsidP="0076541A">
      <w:pPr>
        <w:spacing w:before="180"/>
        <w:ind w:left="567" w:hanging="567"/>
      </w:pPr>
      <w:r w:rsidRPr="002234E6">
        <w:t>4.</w:t>
      </w:r>
      <w:r w:rsidRPr="002234E6">
        <w:tab/>
        <w:t>All immunisation providers must have a stock management process that ensures they are not over- or under-stocked.</w:t>
      </w:r>
    </w:p>
    <w:p w14:paraId="4C8D983A" w14:textId="77777777" w:rsidR="00A163F8" w:rsidRPr="002234E6" w:rsidRDefault="00A163F8" w:rsidP="0076541A">
      <w:pPr>
        <w:spacing w:before="90"/>
        <w:ind w:left="567"/>
        <w:rPr>
          <w:rFonts w:cs="Segoe UI"/>
        </w:rPr>
      </w:pPr>
      <w:r w:rsidRPr="002234E6">
        <w:rPr>
          <w:rFonts w:cs="Segoe UI"/>
        </w:rPr>
        <w:t xml:space="preserve">See </w:t>
      </w:r>
      <w:hyperlink w:anchor="_6.2_Key_Requirements" w:history="1">
        <w:r w:rsidRPr="002234E6">
          <w:rPr>
            <w:rStyle w:val="Hyperlink"/>
            <w:rFonts w:cs="Segoe UI"/>
          </w:rPr>
          <w:t>section 6.2</w:t>
        </w:r>
      </w:hyperlink>
      <w:r w:rsidRPr="002234E6">
        <w:rPr>
          <w:rFonts w:cs="Segoe UI"/>
        </w:rPr>
        <w:t xml:space="preserve"> for more information.</w:t>
      </w:r>
    </w:p>
    <w:p w14:paraId="6F15CFDF" w14:textId="77777777" w:rsidR="00A163F8" w:rsidRPr="002234E6" w:rsidRDefault="00A163F8" w:rsidP="0076541A">
      <w:pPr>
        <w:spacing w:before="180"/>
        <w:ind w:left="567" w:hanging="567"/>
      </w:pPr>
      <w:r w:rsidRPr="002234E6">
        <w:t>5.</w:t>
      </w:r>
      <w:r w:rsidRPr="002234E6">
        <w:tab/>
        <w:t>All immunisation providers must use one or more pharmaceutical refrigerators for vaccine storage that:</w:t>
      </w:r>
    </w:p>
    <w:p w14:paraId="32D47FF2" w14:textId="77777777" w:rsidR="00A163F8" w:rsidRPr="002234E6" w:rsidRDefault="00A163F8" w:rsidP="0076541A">
      <w:pPr>
        <w:pStyle w:val="Bullet"/>
        <w:ind w:left="851"/>
      </w:pPr>
      <w:r w:rsidRPr="002234E6">
        <w:t>stores only medicines and vaccines</w:t>
      </w:r>
    </w:p>
    <w:p w14:paraId="1D3D29FA" w14:textId="77777777" w:rsidR="00A163F8" w:rsidRPr="002234E6" w:rsidRDefault="00A163F8" w:rsidP="0076541A">
      <w:pPr>
        <w:pStyle w:val="Bullet"/>
        <w:ind w:left="851"/>
      </w:pPr>
      <w:r w:rsidRPr="002234E6">
        <w:t>is appropriately maintained and serviced</w:t>
      </w:r>
    </w:p>
    <w:p w14:paraId="4E80251A" w14:textId="77777777" w:rsidR="00A163F8" w:rsidRPr="002234E6" w:rsidRDefault="00A163F8" w:rsidP="0076541A">
      <w:pPr>
        <w:pStyle w:val="Bullet"/>
        <w:ind w:left="851"/>
      </w:pPr>
      <w:r w:rsidRPr="002234E6">
        <w:t>contains only vaccines and medicines stored in their original packaging and properly spaced within the pharmaceutical refrigerator.</w:t>
      </w:r>
    </w:p>
    <w:p w14:paraId="251C22A6" w14:textId="77777777" w:rsidR="00A163F8" w:rsidRPr="002234E6" w:rsidRDefault="00A163F8" w:rsidP="0076541A">
      <w:pPr>
        <w:spacing w:before="90"/>
        <w:ind w:left="567"/>
        <w:rPr>
          <w:rFonts w:cs="Segoe UI"/>
        </w:rPr>
      </w:pPr>
      <w:r w:rsidRPr="002234E6">
        <w:rPr>
          <w:rFonts w:cs="Segoe UI"/>
        </w:rPr>
        <w:t xml:space="preserve">See </w:t>
      </w:r>
      <w:hyperlink w:anchor="_7.1_Pharmaceutical_refrigerator" w:history="1">
        <w:r w:rsidRPr="0076541A">
          <w:rPr>
            <w:rStyle w:val="Hyperlink"/>
          </w:rPr>
          <w:t>section 7.1</w:t>
        </w:r>
      </w:hyperlink>
      <w:r w:rsidRPr="002234E6">
        <w:rPr>
          <w:rFonts w:cs="Segoe UI"/>
        </w:rPr>
        <w:t xml:space="preserve"> for more information.</w:t>
      </w:r>
    </w:p>
    <w:p w14:paraId="436A09BB" w14:textId="77777777" w:rsidR="00A163F8" w:rsidRPr="002234E6" w:rsidRDefault="00A163F8" w:rsidP="0076541A">
      <w:pPr>
        <w:spacing w:before="180"/>
        <w:ind w:left="567" w:hanging="567"/>
      </w:pPr>
      <w:r w:rsidRPr="002234E6">
        <w:lastRenderedPageBreak/>
        <w:t>6.</w:t>
      </w:r>
      <w:r w:rsidRPr="002234E6">
        <w:tab/>
        <w:t>All immunisation providers must have two systems for monitoring the temperature that vaccines are being stored at:</w:t>
      </w:r>
    </w:p>
    <w:p w14:paraId="56041317" w14:textId="77777777" w:rsidR="00A163F8" w:rsidRPr="002234E6" w:rsidRDefault="00A163F8" w:rsidP="0076541A">
      <w:pPr>
        <w:pStyle w:val="Bullet"/>
        <w:ind w:left="851"/>
      </w:pPr>
      <w:r w:rsidRPr="002234E6">
        <w:t>a daily check device that records the minimum and maximum temperatures reached – for example, an inbuilt refrigerator monitor or digital minimum/maximum thermometer</w:t>
      </w:r>
    </w:p>
    <w:p w14:paraId="755D301F" w14:textId="77777777" w:rsidR="00A163F8" w:rsidRPr="002234E6" w:rsidRDefault="00A163F8" w:rsidP="0076541A">
      <w:pPr>
        <w:pStyle w:val="Bullet"/>
        <w:ind w:left="851"/>
      </w:pPr>
      <w:r w:rsidRPr="002234E6">
        <w:t xml:space="preserve">a weekly check device that records the temperature at least every </w:t>
      </w:r>
      <w:r w:rsidR="00B11EBF">
        <w:t>10</w:t>
      </w:r>
      <w:r w:rsidRPr="002234E6">
        <w:t xml:space="preserve"> minutes – for example, a datalogger. Every week the provider </w:t>
      </w:r>
      <w:r>
        <w:t xml:space="preserve">must </w:t>
      </w:r>
      <w:r w:rsidRPr="002234E6">
        <w:t>then download</w:t>
      </w:r>
      <w:r>
        <w:t>/</w:t>
      </w:r>
      <w:r w:rsidR="00B11EBF">
        <w:t xml:space="preserve"> </w:t>
      </w:r>
      <w:r>
        <w:t>access</w:t>
      </w:r>
      <w:r w:rsidRPr="002234E6">
        <w:t xml:space="preserve"> and review this information against other temperature recordings taken, take appropriate action and store the week</w:t>
      </w:r>
      <w:r w:rsidR="007E44E1">
        <w:t>’</w:t>
      </w:r>
      <w:r w:rsidRPr="002234E6">
        <w:t>s information.</w:t>
      </w:r>
    </w:p>
    <w:p w14:paraId="130BFC24" w14:textId="77777777" w:rsidR="00A163F8" w:rsidRPr="002234E6" w:rsidRDefault="00A163F8" w:rsidP="0076541A">
      <w:pPr>
        <w:spacing w:before="90"/>
        <w:ind w:left="567"/>
        <w:rPr>
          <w:rFonts w:cs="Segoe UI"/>
        </w:rPr>
      </w:pPr>
      <w:r w:rsidRPr="002234E6">
        <w:rPr>
          <w:rFonts w:cs="Segoe UI"/>
        </w:rPr>
        <w:t xml:space="preserve">See </w:t>
      </w:r>
      <w:hyperlink w:anchor="_7.2_Vaccine_refrigerator" w:history="1">
        <w:r w:rsidRPr="0076541A">
          <w:rPr>
            <w:rStyle w:val="Hyperlink"/>
          </w:rPr>
          <w:t>section 7.2</w:t>
        </w:r>
      </w:hyperlink>
      <w:r w:rsidRPr="002234E6">
        <w:rPr>
          <w:rFonts w:cs="Segoe UI"/>
        </w:rPr>
        <w:t xml:space="preserve"> for more information.</w:t>
      </w:r>
    </w:p>
    <w:p w14:paraId="4DD4B3B0" w14:textId="77777777" w:rsidR="00A163F8" w:rsidRPr="002234E6" w:rsidRDefault="00A163F8" w:rsidP="0076541A">
      <w:pPr>
        <w:spacing w:before="180"/>
        <w:ind w:left="567" w:hanging="567"/>
      </w:pPr>
      <w:r w:rsidRPr="002234E6">
        <w:t>7.</w:t>
      </w:r>
      <w:r w:rsidRPr="002234E6">
        <w:tab/>
        <w:t>All providers must have a cold chain process and equipment for ensuring safe temporary storage of vaccines if a power outage occurs or a refrigerator fails.</w:t>
      </w:r>
    </w:p>
    <w:p w14:paraId="73FE5322" w14:textId="77777777" w:rsidR="00A163F8" w:rsidRPr="002234E6" w:rsidRDefault="00A163F8" w:rsidP="0076541A">
      <w:pPr>
        <w:spacing w:before="90"/>
        <w:ind w:left="567"/>
        <w:rPr>
          <w:rFonts w:cs="Segoe UI"/>
        </w:rPr>
      </w:pPr>
      <w:r w:rsidRPr="002234E6">
        <w:rPr>
          <w:rFonts w:cs="Segoe UI"/>
        </w:rPr>
        <w:t xml:space="preserve">See </w:t>
      </w:r>
      <w:hyperlink w:anchor="_6.3_During_a" w:history="1">
        <w:r w:rsidRPr="002234E6">
          <w:rPr>
            <w:rStyle w:val="Hyperlink"/>
            <w:rFonts w:cs="Segoe UI"/>
          </w:rPr>
          <w:t>section 6.3</w:t>
        </w:r>
      </w:hyperlink>
      <w:r w:rsidRPr="002234E6">
        <w:rPr>
          <w:rFonts w:cs="Segoe UI"/>
        </w:rPr>
        <w:t xml:space="preserve">, </w:t>
      </w:r>
      <w:hyperlink w:anchor="_7.3_Vaccine_transportation" w:history="1">
        <w:r w:rsidRPr="002234E6">
          <w:rPr>
            <w:rStyle w:val="Hyperlink"/>
            <w:rFonts w:cs="Segoe UI"/>
          </w:rPr>
          <w:t>section 7.3</w:t>
        </w:r>
      </w:hyperlink>
      <w:r w:rsidRPr="002234E6">
        <w:rPr>
          <w:rFonts w:cs="Segoe UI"/>
        </w:rPr>
        <w:t xml:space="preserve"> and </w:t>
      </w:r>
      <w:hyperlink w:anchor="_Appendix_3:_Transporting" w:history="1">
        <w:r>
          <w:rPr>
            <w:rStyle w:val="Hyperlink"/>
            <w:rFonts w:cs="Segoe UI"/>
          </w:rPr>
          <w:t>Appendix</w:t>
        </w:r>
      </w:hyperlink>
      <w:r>
        <w:rPr>
          <w:rStyle w:val="Hyperlink"/>
          <w:rFonts w:cs="Segoe UI"/>
        </w:rPr>
        <w:t xml:space="preserve"> 2</w:t>
      </w:r>
      <w:r w:rsidRPr="002234E6">
        <w:rPr>
          <w:rFonts w:cs="Segoe UI"/>
        </w:rPr>
        <w:t xml:space="preserve"> for more information.</w:t>
      </w:r>
    </w:p>
    <w:p w14:paraId="7EC82447" w14:textId="77777777" w:rsidR="00A163F8" w:rsidRPr="002234E6" w:rsidRDefault="00A163F8" w:rsidP="0076541A">
      <w:pPr>
        <w:spacing w:before="180"/>
        <w:ind w:left="567" w:hanging="567"/>
      </w:pPr>
      <w:r w:rsidRPr="002234E6">
        <w:t>8.</w:t>
      </w:r>
      <w:r w:rsidRPr="002234E6">
        <w:tab/>
        <w:t>All equipment used for storing, transporting and monitoring vaccines must be fit for the purpose, and appropriately maintained and tested. As part of this maintenance and testing, providers must:</w:t>
      </w:r>
    </w:p>
    <w:p w14:paraId="5F24AB68" w14:textId="77777777" w:rsidR="00A163F8" w:rsidRPr="002234E6" w:rsidRDefault="00A163F8" w:rsidP="0076541A">
      <w:pPr>
        <w:pStyle w:val="Bullet"/>
        <w:ind w:left="851"/>
      </w:pPr>
      <w:r w:rsidRPr="002234E6">
        <w:t>arrange for annual servicing of pharmaceutical refrigerators</w:t>
      </w:r>
    </w:p>
    <w:p w14:paraId="1CD0991D" w14:textId="77777777" w:rsidR="00A163F8" w:rsidRPr="002234E6" w:rsidRDefault="00A163F8" w:rsidP="0076541A">
      <w:pPr>
        <w:pStyle w:val="Bullet"/>
        <w:ind w:left="851"/>
      </w:pPr>
      <w:r w:rsidRPr="002234E6">
        <w:t>trial and test the capacity of their portable storage equipment</w:t>
      </w:r>
    </w:p>
    <w:p w14:paraId="098EA955" w14:textId="77777777" w:rsidR="00A163F8" w:rsidRPr="002234E6" w:rsidRDefault="00A163F8" w:rsidP="0076541A">
      <w:pPr>
        <w:pStyle w:val="Bullet"/>
        <w:ind w:left="851"/>
      </w:pPr>
      <w:r w:rsidRPr="002234E6">
        <w:t>ensure that spatial logging of pharmaceutical refrigerators occurs at least every three years.</w:t>
      </w:r>
    </w:p>
    <w:p w14:paraId="4102D368" w14:textId="77777777" w:rsidR="00A163F8" w:rsidRPr="002234E6" w:rsidRDefault="00A163F8" w:rsidP="0076541A">
      <w:pPr>
        <w:spacing w:before="90"/>
        <w:ind w:left="567"/>
        <w:rPr>
          <w:rFonts w:cs="Segoe UI"/>
        </w:rPr>
      </w:pPr>
      <w:r w:rsidRPr="002234E6">
        <w:rPr>
          <w:rFonts w:cs="Segoe UI"/>
        </w:rPr>
        <w:t xml:space="preserve">See </w:t>
      </w:r>
      <w:hyperlink w:anchor="_7.1_Vaccine_refrigerator" w:history="1">
        <w:r w:rsidRPr="002234E6">
          <w:rPr>
            <w:rStyle w:val="Hyperlink"/>
            <w:rFonts w:cs="Segoe UI"/>
          </w:rPr>
          <w:t>section 7.1</w:t>
        </w:r>
      </w:hyperlink>
      <w:r w:rsidRPr="002234E6">
        <w:rPr>
          <w:rFonts w:cs="Segoe UI"/>
        </w:rPr>
        <w:t xml:space="preserve"> and </w:t>
      </w:r>
      <w:r w:rsidRPr="0076541A">
        <w:rPr>
          <w:rStyle w:val="Hyperlink"/>
        </w:rPr>
        <w:t>Appendices</w:t>
      </w:r>
      <w:r w:rsidRPr="002234E6">
        <w:rPr>
          <w:rFonts w:cs="Segoe UI"/>
        </w:rPr>
        <w:t xml:space="preserve"> </w:t>
      </w:r>
      <w:hyperlink w:anchor="_Appendix_2:_Vaccine" w:history="1">
        <w:r w:rsidRPr="002234E6">
          <w:rPr>
            <w:rStyle w:val="Hyperlink"/>
            <w:rFonts w:cs="Segoe UI"/>
          </w:rPr>
          <w:t>2</w:t>
        </w:r>
      </w:hyperlink>
      <w:r w:rsidRPr="002234E6">
        <w:rPr>
          <w:rFonts w:cs="Segoe UI"/>
        </w:rPr>
        <w:t xml:space="preserve">, </w:t>
      </w:r>
      <w:hyperlink w:anchor="_Appendix_3:_Transporting" w:history="1">
        <w:r w:rsidRPr="002234E6">
          <w:rPr>
            <w:rStyle w:val="Hyperlink"/>
            <w:rFonts w:cs="Segoe UI"/>
          </w:rPr>
          <w:t>3</w:t>
        </w:r>
      </w:hyperlink>
      <w:r w:rsidRPr="002234E6">
        <w:rPr>
          <w:rFonts w:cs="Segoe UI"/>
        </w:rPr>
        <w:t xml:space="preserve"> and </w:t>
      </w:r>
      <w:hyperlink w:anchor="_Appendix_4:_Data" w:history="1">
        <w:r w:rsidRPr="002234E6">
          <w:rPr>
            <w:rStyle w:val="Hyperlink"/>
            <w:rFonts w:cs="Segoe UI"/>
          </w:rPr>
          <w:t>4</w:t>
        </w:r>
      </w:hyperlink>
      <w:r w:rsidRPr="002234E6">
        <w:rPr>
          <w:rFonts w:cs="Segoe UI"/>
        </w:rPr>
        <w:t xml:space="preserve"> for more information.</w:t>
      </w:r>
    </w:p>
    <w:p w14:paraId="24751918" w14:textId="77777777" w:rsidR="00A163F8" w:rsidRPr="002234E6" w:rsidRDefault="00A163F8" w:rsidP="0076541A">
      <w:pPr>
        <w:spacing w:before="180"/>
        <w:ind w:left="567" w:hanging="567"/>
      </w:pPr>
      <w:r w:rsidRPr="002234E6">
        <w:t>9.</w:t>
      </w:r>
      <w:r w:rsidRPr="002234E6">
        <w:tab/>
        <w:t xml:space="preserve">All documentation associated with vaccine temperature monitoring must be kept for at least </w:t>
      </w:r>
      <w:r w:rsidR="0076541A">
        <w:t>10</w:t>
      </w:r>
      <w:r w:rsidRPr="002234E6">
        <w:t xml:space="preserve"> years. This includes:</w:t>
      </w:r>
    </w:p>
    <w:p w14:paraId="3B507F2B" w14:textId="77777777" w:rsidR="00A163F8" w:rsidRPr="002234E6" w:rsidRDefault="00A163F8" w:rsidP="0076541A">
      <w:pPr>
        <w:pStyle w:val="Bullet"/>
        <w:ind w:left="851"/>
      </w:pPr>
      <w:r w:rsidRPr="002234E6">
        <w:t>daily minimum and maximum temperature recordings</w:t>
      </w:r>
    </w:p>
    <w:p w14:paraId="1A2B591C" w14:textId="77777777" w:rsidR="00A163F8" w:rsidRPr="002234E6" w:rsidRDefault="00A163F8" w:rsidP="0076541A">
      <w:pPr>
        <w:pStyle w:val="Bullet"/>
        <w:ind w:left="851"/>
      </w:pPr>
      <w:r w:rsidRPr="002234E6">
        <w:t>weekly datalogger downloads</w:t>
      </w:r>
      <w:r>
        <w:t xml:space="preserve"> or records</w:t>
      </w:r>
    </w:p>
    <w:p w14:paraId="0C063B67" w14:textId="77777777" w:rsidR="00A163F8" w:rsidRPr="002234E6" w:rsidRDefault="00A163F8" w:rsidP="0076541A">
      <w:pPr>
        <w:pStyle w:val="Bullet"/>
        <w:ind w:left="851"/>
      </w:pPr>
      <w:r w:rsidRPr="002234E6">
        <w:t>temperature recordings from vaccines transported and stored in chilly bins</w:t>
      </w:r>
    </w:p>
    <w:p w14:paraId="662182AE" w14:textId="77777777" w:rsidR="00A163F8" w:rsidRPr="002234E6" w:rsidRDefault="00A163F8" w:rsidP="0076541A">
      <w:pPr>
        <w:pStyle w:val="Bullet"/>
        <w:ind w:left="851"/>
      </w:pPr>
      <w:r w:rsidRPr="002234E6">
        <w:t>actions taken when a cold chain breach, excursion or failure occurs.</w:t>
      </w:r>
    </w:p>
    <w:p w14:paraId="2E9F4A1E" w14:textId="77777777" w:rsidR="00A163F8" w:rsidRPr="002234E6" w:rsidRDefault="00A163F8" w:rsidP="0076541A">
      <w:pPr>
        <w:spacing w:before="180"/>
        <w:ind w:left="567" w:hanging="567"/>
      </w:pPr>
      <w:r w:rsidRPr="002234E6">
        <w:t>10.</w:t>
      </w:r>
      <w:r w:rsidRPr="002234E6">
        <w:tab/>
        <w:t>All immunisation providers who offer offsite immunisation clinics – for example, occupational health, school-based immunisation programmes and outreach immunisation services – must have appropriate</w:t>
      </w:r>
      <w:r>
        <w:t>,</w:t>
      </w:r>
      <w:r w:rsidRPr="002234E6">
        <w:t xml:space="preserve"> tested equipment for this purpose.</w:t>
      </w:r>
    </w:p>
    <w:p w14:paraId="2FEB32DF" w14:textId="77777777" w:rsidR="00A163F8" w:rsidRPr="002234E6" w:rsidRDefault="00A163F8" w:rsidP="0076541A">
      <w:pPr>
        <w:spacing w:before="90"/>
        <w:ind w:left="567"/>
      </w:pPr>
      <w:r w:rsidRPr="00F62A24">
        <w:t xml:space="preserve">Note: this </w:t>
      </w:r>
      <w:r>
        <w:t xml:space="preserve">situation </w:t>
      </w:r>
      <w:r w:rsidRPr="00F62A24">
        <w:t xml:space="preserve">is different from </w:t>
      </w:r>
      <w:r>
        <w:t xml:space="preserve">that involving </w:t>
      </w:r>
      <w:r w:rsidRPr="00F62A24">
        <w:t>temporary storage or transport following a power outage or refrigerator failure.</w:t>
      </w:r>
    </w:p>
    <w:p w14:paraId="6D0B63E9" w14:textId="77777777" w:rsidR="00A163F8" w:rsidRPr="002234E6" w:rsidRDefault="00A163F8" w:rsidP="0076541A">
      <w:pPr>
        <w:spacing w:before="90"/>
        <w:ind w:left="567"/>
      </w:pPr>
      <w:r w:rsidRPr="002234E6">
        <w:t xml:space="preserve">See </w:t>
      </w:r>
      <w:hyperlink w:anchor="_7.3_Vaccine_transportation" w:history="1">
        <w:r w:rsidRPr="002234E6">
          <w:rPr>
            <w:rStyle w:val="Hyperlink"/>
            <w:rFonts w:cs="Segoe UI"/>
          </w:rPr>
          <w:t>section 7.3</w:t>
        </w:r>
      </w:hyperlink>
      <w:r w:rsidRPr="002234E6">
        <w:t xml:space="preserve"> and </w:t>
      </w:r>
      <w:hyperlink w:anchor="_Appendix_2:_Transporting" w:history="1">
        <w:r w:rsidR="0076541A" w:rsidRPr="0076541A">
          <w:rPr>
            <w:rStyle w:val="Hyperlink"/>
          </w:rPr>
          <w:t>Appendix 2</w:t>
        </w:r>
      </w:hyperlink>
      <w:r>
        <w:t xml:space="preserve"> </w:t>
      </w:r>
      <w:r w:rsidRPr="002234E6">
        <w:t>for further information.</w:t>
      </w:r>
    </w:p>
    <w:p w14:paraId="6904C5BF" w14:textId="77777777" w:rsidR="00A163F8" w:rsidRPr="002234E6" w:rsidRDefault="00A163F8" w:rsidP="0076541A"/>
    <w:p w14:paraId="772323FF" w14:textId="77777777" w:rsidR="00A163F8" w:rsidRPr="002234E6" w:rsidRDefault="00A163F8" w:rsidP="0076541A">
      <w:r w:rsidRPr="002234E6">
        <w:t xml:space="preserve">For details on how providers can meet these </w:t>
      </w:r>
      <w:r w:rsidR="0076541A">
        <w:t>10</w:t>
      </w:r>
      <w:r w:rsidRPr="002234E6">
        <w:t> standards, see sections 2</w:t>
      </w:r>
      <w:r>
        <w:t>–</w:t>
      </w:r>
      <w:r w:rsidRPr="002234E6">
        <w:t xml:space="preserve">7. If an immunisation provider fails to comply with the standards, </w:t>
      </w:r>
      <w:r>
        <w:t>it should refer to its district health board (DHB)</w:t>
      </w:r>
      <w:r w:rsidR="007E44E1">
        <w:t>’</w:t>
      </w:r>
      <w:r>
        <w:t>s Cold Chain Provider Non-Compliance Policy. Thereafter, the relevant</w:t>
      </w:r>
      <w:r w:rsidRPr="002234E6">
        <w:t xml:space="preserve"> DHB</w:t>
      </w:r>
      <w:r>
        <w:t>, primary health organisation (</w:t>
      </w:r>
      <w:r w:rsidRPr="002234E6">
        <w:t>PHO</w:t>
      </w:r>
      <w:r>
        <w:t>)</w:t>
      </w:r>
      <w:r w:rsidRPr="002234E6">
        <w:t xml:space="preserve"> </w:t>
      </w:r>
      <w:r>
        <w:t xml:space="preserve">or </w:t>
      </w:r>
      <w:r w:rsidRPr="002234E6">
        <w:t>medical officer of health</w:t>
      </w:r>
      <w:r>
        <w:t>;</w:t>
      </w:r>
      <w:r w:rsidRPr="002234E6">
        <w:t xml:space="preserve"> Medicines Control</w:t>
      </w:r>
      <w:r>
        <w:t>;</w:t>
      </w:r>
      <w:r w:rsidRPr="002234E6">
        <w:t xml:space="preserve"> or the Ministry will review </w:t>
      </w:r>
      <w:r>
        <w:t>the provider</w:t>
      </w:r>
      <w:r w:rsidR="007E44E1">
        <w:t>’</w:t>
      </w:r>
      <w:r>
        <w:t>s</w:t>
      </w:r>
      <w:r w:rsidRPr="002234E6">
        <w:t xml:space="preserve"> access to vaccines. Vaccine supply may be suspended until the provider is able to meet the standards.</w:t>
      </w:r>
    </w:p>
    <w:p w14:paraId="1A28F842" w14:textId="77777777" w:rsidR="00A163F8" w:rsidRPr="002234E6" w:rsidRDefault="00A163F8" w:rsidP="0076541A">
      <w:pPr>
        <w:pStyle w:val="Heading1"/>
      </w:pPr>
      <w:bookmarkStart w:id="8" w:name="_Toc469389330"/>
      <w:bookmarkStart w:id="9" w:name="_Toc9863066"/>
      <w:bookmarkStart w:id="10" w:name="_Toc18062236"/>
      <w:bookmarkStart w:id="11" w:name="_Toc334179069"/>
      <w:r w:rsidRPr="002234E6">
        <w:lastRenderedPageBreak/>
        <w:t>2</w:t>
      </w:r>
      <w:r w:rsidRPr="002234E6">
        <w:tab/>
        <w:t>Background</w:t>
      </w:r>
      <w:bookmarkEnd w:id="8"/>
      <w:bookmarkEnd w:id="9"/>
      <w:bookmarkEnd w:id="10"/>
    </w:p>
    <w:p w14:paraId="30C8B0F4" w14:textId="77777777" w:rsidR="00A163F8" w:rsidRPr="002234E6" w:rsidRDefault="00A163F8" w:rsidP="0076541A">
      <w:pPr>
        <w:pStyle w:val="Heading2"/>
      </w:pPr>
      <w:bookmarkStart w:id="12" w:name="_Toc9863067"/>
      <w:bookmarkStart w:id="13" w:name="_Toc18062237"/>
      <w:r w:rsidRPr="002234E6">
        <w:t>2.1</w:t>
      </w:r>
      <w:r w:rsidRPr="002234E6">
        <w:tab/>
        <w:t>Vaccine arrival and distribution</w:t>
      </w:r>
      <w:bookmarkEnd w:id="12"/>
      <w:bookmarkEnd w:id="13"/>
    </w:p>
    <w:p w14:paraId="1E39443A" w14:textId="77777777" w:rsidR="00A163F8" w:rsidRPr="002234E6" w:rsidRDefault="00A163F8" w:rsidP="0076541A">
      <w:pPr>
        <w:rPr>
          <w:szCs w:val="22"/>
        </w:rPr>
      </w:pPr>
      <w:r w:rsidRPr="002234E6">
        <w:t xml:space="preserve">All vaccines used in New Zealand are manufactured overseas and shipped by air or sea in such a way that they remain at their required temperature for the entire journey. </w:t>
      </w:r>
      <w:r w:rsidRPr="002234E6">
        <w:rPr>
          <w:szCs w:val="22"/>
        </w:rPr>
        <w:t xml:space="preserve">The </w:t>
      </w:r>
      <w:r>
        <w:rPr>
          <w:szCs w:val="22"/>
        </w:rPr>
        <w:t>National Immunisation</w:t>
      </w:r>
      <w:r w:rsidRPr="002234E6">
        <w:rPr>
          <w:szCs w:val="22"/>
        </w:rPr>
        <w:t xml:space="preserve"> Schedule</w:t>
      </w:r>
      <w:r>
        <w:rPr>
          <w:szCs w:val="22"/>
        </w:rPr>
        <w:t xml:space="preserve"> vaccines</w:t>
      </w:r>
      <w:r w:rsidRPr="002234E6">
        <w:rPr>
          <w:szCs w:val="22"/>
        </w:rPr>
        <w:t xml:space="preserve"> are delivered to the National Vaccine Store, where temperature monitoring continues to ensure that the vaccines remain within the </w:t>
      </w:r>
      <w:r w:rsidRPr="002234E6">
        <w:t>required +2°C to +8°C range.</w:t>
      </w:r>
    </w:p>
    <w:p w14:paraId="15FB38C5" w14:textId="77777777" w:rsidR="00A163F8" w:rsidRPr="002234E6" w:rsidRDefault="00A163F8" w:rsidP="0076541A"/>
    <w:p w14:paraId="61BD8CEB" w14:textId="77777777" w:rsidR="00A163F8" w:rsidRPr="002234E6" w:rsidRDefault="00A163F8" w:rsidP="0076541A">
      <w:r w:rsidRPr="002234E6">
        <w:t>Vaccines are distributed from the National Vaccine Store to the regional distribution stores in Whangarei, Auckland, Hamilton, Wellington, Christchurch and Dunedin</w:t>
      </w:r>
      <w:r>
        <w:t>,</w:t>
      </w:r>
      <w:r w:rsidRPr="002234E6">
        <w:t xml:space="preserve"> and from there to local immunisation providers. In some instances, the National Vaccine Store distributes vaccines (</w:t>
      </w:r>
      <w:proofErr w:type="spellStart"/>
      <w:r w:rsidRPr="002234E6">
        <w:t>eg</w:t>
      </w:r>
      <w:proofErr w:type="spellEnd"/>
      <w:r w:rsidRPr="002234E6">
        <w:t>, influenza vaccines) directly to immunisation providers.</w:t>
      </w:r>
    </w:p>
    <w:p w14:paraId="3FD40BC8" w14:textId="77777777" w:rsidR="00A163F8" w:rsidRPr="002234E6" w:rsidRDefault="00A163F8" w:rsidP="0076541A"/>
    <w:p w14:paraId="44D4CD86" w14:textId="77777777" w:rsidR="00A163F8" w:rsidRPr="002234E6" w:rsidRDefault="00A163F8" w:rsidP="0076541A">
      <w:r w:rsidRPr="002234E6">
        <w:t>The National Vaccine Store and regional distribution stores</w:t>
      </w:r>
      <w:r w:rsidRPr="002234E6" w:rsidDel="00294858">
        <w:t xml:space="preserve"> </w:t>
      </w:r>
      <w:r w:rsidRPr="002234E6">
        <w:t xml:space="preserve">have standard operating procedures to ensure the vaccine cold chain is maintained at all times during storage at their sites and during vaccine transportation to providers. </w:t>
      </w:r>
      <w:r>
        <w:t xml:space="preserve">Medicines Control audits </w:t>
      </w:r>
      <w:r w:rsidRPr="008864BD">
        <w:t>licensed premises invol</w:t>
      </w:r>
      <w:r>
        <w:t>ved in the cold chain of m</w:t>
      </w:r>
      <w:r w:rsidRPr="008864BD">
        <w:t>edicines in New Zealand (including wholesalers and pharmacies).</w:t>
      </w:r>
    </w:p>
    <w:p w14:paraId="32DD6DAA" w14:textId="77777777" w:rsidR="00A163F8" w:rsidRPr="002234E6" w:rsidRDefault="00A163F8" w:rsidP="0076541A"/>
    <w:p w14:paraId="73C4E061" w14:textId="524500AC" w:rsidR="007E44E1" w:rsidRDefault="00A163F8" w:rsidP="0076541A">
      <w:r w:rsidRPr="002234E6">
        <w:t>Both the National Vaccine Store and regional distribution stores</w:t>
      </w:r>
      <w:r w:rsidRPr="002234E6" w:rsidDel="00294858">
        <w:t xml:space="preserve"> </w:t>
      </w:r>
      <w:r w:rsidRPr="002234E6">
        <w:t xml:space="preserve">audit the maintenance of the cold chain during the delivery process by inserting dataloggers in some vaccine deliveries. Information is provided for immunisation providers when a datalogger has been included in </w:t>
      </w:r>
      <w:r>
        <w:t>a</w:t>
      </w:r>
      <w:r w:rsidRPr="002234E6">
        <w:t xml:space="preserve"> delivery.</w:t>
      </w:r>
      <w:r w:rsidR="008C34EC">
        <w:t xml:space="preserve"> Any other wholesalers transporting vaccines are also expected to audit their cold chain processes including during delivery.</w:t>
      </w:r>
    </w:p>
    <w:p w14:paraId="62E0F055" w14:textId="77777777" w:rsidR="00A163F8" w:rsidRPr="002234E6" w:rsidRDefault="00A163F8" w:rsidP="0076541A"/>
    <w:p w14:paraId="6A70D9E6" w14:textId="77777777" w:rsidR="00A163F8" w:rsidRPr="002234E6" w:rsidRDefault="00A163F8" w:rsidP="0076541A">
      <w:pPr>
        <w:pStyle w:val="Heading2"/>
      </w:pPr>
      <w:bookmarkStart w:id="14" w:name="_Toc9863068"/>
      <w:bookmarkStart w:id="15" w:name="_Toc18062238"/>
      <w:r w:rsidRPr="002234E6">
        <w:t>2.2</w:t>
      </w:r>
      <w:r w:rsidRPr="002234E6">
        <w:tab/>
        <w:t>Vaccines are temperature sensitive</w:t>
      </w:r>
      <w:bookmarkEnd w:id="14"/>
      <w:bookmarkEnd w:id="15"/>
    </w:p>
    <w:p w14:paraId="06643169" w14:textId="77777777" w:rsidR="00A163F8" w:rsidRPr="002234E6" w:rsidRDefault="00A163F8" w:rsidP="0076541A">
      <w:r w:rsidRPr="002234E6">
        <w:t>Vaccines can become less effective or be destroyed if they are:</w:t>
      </w:r>
    </w:p>
    <w:p w14:paraId="4CC84F5A" w14:textId="77777777" w:rsidR="00A163F8" w:rsidRPr="002234E6" w:rsidRDefault="00A163F8" w:rsidP="0076541A">
      <w:pPr>
        <w:pStyle w:val="Bullet"/>
      </w:pPr>
      <w:r w:rsidRPr="002234E6">
        <w:t>stored outside the +2°C to +8°C range</w:t>
      </w:r>
    </w:p>
    <w:p w14:paraId="3B99111A" w14:textId="77777777" w:rsidR="00A163F8" w:rsidRPr="002234E6" w:rsidRDefault="00A163F8" w:rsidP="0076541A">
      <w:pPr>
        <w:pStyle w:val="Bullet"/>
      </w:pPr>
      <w:r w:rsidRPr="002234E6">
        <w:t>exposed to sun or fluorescent light.</w:t>
      </w:r>
    </w:p>
    <w:p w14:paraId="7A31F160" w14:textId="77777777" w:rsidR="00A163F8" w:rsidRPr="002234E6" w:rsidRDefault="00A163F8" w:rsidP="0076541A"/>
    <w:p w14:paraId="6905F565" w14:textId="77777777" w:rsidR="00A163F8" w:rsidRPr="002234E6" w:rsidRDefault="00A163F8" w:rsidP="0076541A">
      <w:r w:rsidRPr="002234E6">
        <w:t xml:space="preserve">Temperatures above 8°C have a cumulative effect on the potency and stability of vaccines, </w:t>
      </w:r>
      <w:r>
        <w:t>and a t</w:t>
      </w:r>
      <w:r w:rsidRPr="002234E6">
        <w:t xml:space="preserve">emperature at or below 0°C will cause irreparable damage to some vaccines. </w:t>
      </w:r>
      <w:r>
        <w:t xml:space="preserve">In the event of either type of breach, it is important to advise the </w:t>
      </w:r>
      <w:r w:rsidRPr="002234E6">
        <w:t xml:space="preserve">coordinator </w:t>
      </w:r>
      <w:r>
        <w:t xml:space="preserve">of the breach </w:t>
      </w:r>
      <w:r w:rsidRPr="002234E6">
        <w:t xml:space="preserve">as </w:t>
      </w:r>
      <w:r>
        <w:t xml:space="preserve">soon as it </w:t>
      </w:r>
      <w:r w:rsidRPr="002234E6">
        <w:t>is identified. All affected stock must be quarantined and the vaccines labelled as not for use until a decision on whether to use them has been made.</w:t>
      </w:r>
    </w:p>
    <w:p w14:paraId="24A417E8" w14:textId="77777777" w:rsidR="00A163F8" w:rsidRPr="002234E6" w:rsidRDefault="00A163F8" w:rsidP="0076541A"/>
    <w:p w14:paraId="4635EE8E" w14:textId="77777777" w:rsidR="00A163F8" w:rsidRPr="002234E6" w:rsidRDefault="00A163F8" w:rsidP="0076541A">
      <w:pPr>
        <w:keepLines/>
      </w:pPr>
      <w:r>
        <w:lastRenderedPageBreak/>
        <w:t>C</w:t>
      </w:r>
      <w:r w:rsidRPr="002234E6">
        <w:t xml:space="preserve">oordinators have access to thermostability data for vaccines on the National Immunisation Schedule. However, when temperature exposures are significant or occur over an extended period, the coordinator will need to </w:t>
      </w:r>
      <w:r>
        <w:t xml:space="preserve">obtain </w:t>
      </w:r>
      <w:r w:rsidRPr="002234E6">
        <w:t>further information from the vaccine manufacturer. See section 6.4 for the process for managing vaccines stored outside the required +2°C to +8°C range.</w:t>
      </w:r>
    </w:p>
    <w:p w14:paraId="1E0D9E2C" w14:textId="77777777" w:rsidR="00A163F8" w:rsidRPr="002234E6" w:rsidRDefault="00A163F8" w:rsidP="0076541A"/>
    <w:p w14:paraId="0B79B6A2" w14:textId="77777777" w:rsidR="00A163F8" w:rsidRPr="002234E6" w:rsidRDefault="00A163F8" w:rsidP="0076541A">
      <w:r w:rsidRPr="002234E6">
        <w:t>The impact of thermal damage (temperatures outside +2°C to +8°C) on vaccine potency is complex, and our knowledge of it is based on limited human data. The impact varies for each vaccine. Once a vaccine has been thermally compromised, its loss of potency cannot be reversed.</w:t>
      </w:r>
    </w:p>
    <w:p w14:paraId="5760249D" w14:textId="77777777" w:rsidR="00A163F8" w:rsidRPr="002234E6" w:rsidRDefault="00A163F8" w:rsidP="0076541A"/>
    <w:p w14:paraId="1E698AFB" w14:textId="77777777" w:rsidR="00A163F8" w:rsidRPr="002234E6" w:rsidRDefault="00A163F8" w:rsidP="0076541A">
      <w:pPr>
        <w:pStyle w:val="Heading2"/>
      </w:pPr>
      <w:bookmarkStart w:id="16" w:name="_Toc9863069"/>
      <w:bookmarkStart w:id="17" w:name="_Toc18062239"/>
      <w:r w:rsidRPr="002234E6">
        <w:t>2.3</w:t>
      </w:r>
      <w:r w:rsidRPr="002234E6">
        <w:tab/>
        <w:t>Cold chain excursion costs</w:t>
      </w:r>
      <w:bookmarkEnd w:id="16"/>
      <w:bookmarkEnd w:id="17"/>
    </w:p>
    <w:p w14:paraId="520580E5" w14:textId="77777777" w:rsidR="00A163F8" w:rsidRPr="002234E6" w:rsidRDefault="00A163F8" w:rsidP="0076541A">
      <w:r w:rsidRPr="002234E6">
        <w:t xml:space="preserve">PHARMAC procures vaccines on the National Immunisation Schedule on behalf of DHBs. </w:t>
      </w:r>
      <w:r>
        <w:t>V</w:t>
      </w:r>
      <w:r w:rsidRPr="002234E6">
        <w:t>accines can cost up to $170 a dose. Even a small immunisation provider stores thousands of dollars</w:t>
      </w:r>
      <w:r w:rsidR="007E44E1">
        <w:t>’</w:t>
      </w:r>
      <w:r w:rsidRPr="002234E6">
        <w:t xml:space="preserve"> worth of vaccines at one time.</w:t>
      </w:r>
    </w:p>
    <w:p w14:paraId="382EB67F" w14:textId="77777777" w:rsidR="00A163F8" w:rsidRPr="002234E6" w:rsidRDefault="00A163F8" w:rsidP="0076541A"/>
    <w:p w14:paraId="731BEFCA" w14:textId="77777777" w:rsidR="00A163F8" w:rsidRPr="002234E6" w:rsidRDefault="00A163F8" w:rsidP="0076541A">
      <w:r w:rsidRPr="002234E6">
        <w:t>Tables 1 and 2 give examples</w:t>
      </w:r>
      <w:r>
        <w:t xml:space="preserve"> of cold chain excursion costs</w:t>
      </w:r>
      <w:r w:rsidRPr="002234E6">
        <w:t xml:space="preserve"> based on past cold chain excursions. The </w:t>
      </w:r>
      <w:r w:rsidR="007E44E1">
        <w:t>‘</w:t>
      </w:r>
      <w:r w:rsidRPr="002234E6">
        <w:t>total costs</w:t>
      </w:r>
      <w:r w:rsidR="007E44E1">
        <w:t>’</w:t>
      </w:r>
      <w:r w:rsidRPr="002234E6">
        <w:t xml:space="preserve"> </w:t>
      </w:r>
      <w:r>
        <w:t xml:space="preserve">row </w:t>
      </w:r>
      <w:r w:rsidRPr="002234E6">
        <w:t>in each table indicates what the vaccines</w:t>
      </w:r>
      <w:r w:rsidR="007E44E1">
        <w:t>’</w:t>
      </w:r>
      <w:r>
        <w:t xml:space="preserve"> total</w:t>
      </w:r>
      <w:r w:rsidRPr="002234E6">
        <w:t xml:space="preserve"> cost is to DHBs.</w:t>
      </w:r>
    </w:p>
    <w:p w14:paraId="11CB076E" w14:textId="77777777" w:rsidR="00A163F8" w:rsidRPr="002234E6" w:rsidRDefault="00A163F8" w:rsidP="0076541A"/>
    <w:p w14:paraId="34E8C1EE" w14:textId="77777777" w:rsidR="00A163F8" w:rsidRPr="002234E6" w:rsidRDefault="00A163F8" w:rsidP="0076541A">
      <w:pPr>
        <w:pStyle w:val="Table"/>
      </w:pPr>
      <w:bookmarkStart w:id="18" w:name="_Toc9862598"/>
      <w:bookmarkStart w:id="19" w:name="_Toc18062276"/>
      <w:r w:rsidRPr="002234E6">
        <w:t>Table 1: Example of vaccine costs at a medium-sized general practice</w:t>
      </w:r>
      <w:bookmarkEnd w:id="18"/>
      <w:bookmarkEnd w:id="1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2126"/>
      </w:tblGrid>
      <w:tr w:rsidR="00A163F8" w:rsidRPr="00395144" w14:paraId="647FB410" w14:textId="77777777" w:rsidTr="00395144">
        <w:trPr>
          <w:cantSplit/>
        </w:trPr>
        <w:tc>
          <w:tcPr>
            <w:tcW w:w="2268" w:type="dxa"/>
            <w:tcBorders>
              <w:top w:val="nil"/>
              <w:bottom w:val="nil"/>
            </w:tcBorders>
            <w:shd w:val="clear" w:color="auto" w:fill="D9D9D9" w:themeFill="background1" w:themeFillShade="D9"/>
          </w:tcPr>
          <w:p w14:paraId="60649F6D" w14:textId="77777777" w:rsidR="00A163F8" w:rsidRPr="00395144" w:rsidRDefault="00A163F8" w:rsidP="00395144">
            <w:pPr>
              <w:pStyle w:val="TableText"/>
              <w:rPr>
                <w:b/>
              </w:rPr>
            </w:pPr>
            <w:r w:rsidRPr="00395144">
              <w:rPr>
                <w:b/>
              </w:rPr>
              <w:t>Vaccine</w:t>
            </w:r>
          </w:p>
        </w:tc>
        <w:tc>
          <w:tcPr>
            <w:tcW w:w="2126" w:type="dxa"/>
            <w:tcBorders>
              <w:top w:val="nil"/>
              <w:bottom w:val="nil"/>
            </w:tcBorders>
            <w:shd w:val="clear" w:color="auto" w:fill="D9D9D9" w:themeFill="background1" w:themeFillShade="D9"/>
          </w:tcPr>
          <w:p w14:paraId="0F44FBE2" w14:textId="77777777" w:rsidR="00A163F8" w:rsidRPr="00395144" w:rsidRDefault="00A163F8" w:rsidP="00395144">
            <w:pPr>
              <w:pStyle w:val="TableText"/>
              <w:jc w:val="center"/>
              <w:rPr>
                <w:b/>
              </w:rPr>
            </w:pPr>
            <w:r w:rsidRPr="00395144">
              <w:rPr>
                <w:b/>
              </w:rPr>
              <w:t>No. of doses in stock</w:t>
            </w:r>
          </w:p>
        </w:tc>
      </w:tr>
      <w:tr w:rsidR="00A163F8" w:rsidRPr="00F62A24" w14:paraId="1E534CA2" w14:textId="77777777" w:rsidTr="00395144">
        <w:trPr>
          <w:cantSplit/>
        </w:trPr>
        <w:tc>
          <w:tcPr>
            <w:tcW w:w="2268" w:type="dxa"/>
            <w:tcBorders>
              <w:top w:val="nil"/>
            </w:tcBorders>
            <w:shd w:val="clear" w:color="auto" w:fill="auto"/>
          </w:tcPr>
          <w:p w14:paraId="122BB50A" w14:textId="77777777" w:rsidR="00A163F8" w:rsidRPr="002234E6" w:rsidRDefault="00A163F8" w:rsidP="00395144">
            <w:pPr>
              <w:pStyle w:val="TableText"/>
            </w:pPr>
            <w:r w:rsidRPr="00F62A24">
              <w:t>ADT</w:t>
            </w:r>
          </w:p>
        </w:tc>
        <w:tc>
          <w:tcPr>
            <w:tcW w:w="2126" w:type="dxa"/>
            <w:tcBorders>
              <w:top w:val="nil"/>
            </w:tcBorders>
            <w:shd w:val="clear" w:color="auto" w:fill="auto"/>
          </w:tcPr>
          <w:p w14:paraId="31CCF156" w14:textId="77777777" w:rsidR="00A163F8" w:rsidRPr="002234E6" w:rsidRDefault="00A163F8" w:rsidP="00395144">
            <w:pPr>
              <w:pStyle w:val="TableText"/>
              <w:tabs>
                <w:tab w:val="decimal" w:pos="1078"/>
              </w:tabs>
            </w:pPr>
            <w:r w:rsidRPr="00F62A24">
              <w:t>6</w:t>
            </w:r>
          </w:p>
        </w:tc>
      </w:tr>
      <w:tr w:rsidR="00A163F8" w:rsidRPr="00F62A24" w14:paraId="7B1FBCFA" w14:textId="77777777" w:rsidTr="00395144">
        <w:trPr>
          <w:cantSplit/>
        </w:trPr>
        <w:tc>
          <w:tcPr>
            <w:tcW w:w="2268" w:type="dxa"/>
            <w:shd w:val="clear" w:color="auto" w:fill="auto"/>
          </w:tcPr>
          <w:p w14:paraId="7CAF94E6" w14:textId="77777777" w:rsidR="00A163F8" w:rsidRPr="002234E6" w:rsidRDefault="00A163F8" w:rsidP="00395144">
            <w:pPr>
              <w:pStyle w:val="TableText"/>
            </w:pPr>
            <w:r w:rsidRPr="00F62A24">
              <w:t>Tdap</w:t>
            </w:r>
          </w:p>
        </w:tc>
        <w:tc>
          <w:tcPr>
            <w:tcW w:w="2126" w:type="dxa"/>
            <w:shd w:val="clear" w:color="auto" w:fill="auto"/>
          </w:tcPr>
          <w:p w14:paraId="76F048A4" w14:textId="77777777" w:rsidR="00A163F8" w:rsidRPr="002234E6" w:rsidRDefault="00A163F8" w:rsidP="00395144">
            <w:pPr>
              <w:pStyle w:val="TableText"/>
              <w:tabs>
                <w:tab w:val="decimal" w:pos="1078"/>
              </w:tabs>
            </w:pPr>
            <w:r w:rsidRPr="00F62A24">
              <w:t>5</w:t>
            </w:r>
          </w:p>
        </w:tc>
      </w:tr>
      <w:tr w:rsidR="00A163F8" w:rsidRPr="00F62A24" w14:paraId="51667383" w14:textId="77777777" w:rsidTr="00395144">
        <w:trPr>
          <w:cantSplit/>
        </w:trPr>
        <w:tc>
          <w:tcPr>
            <w:tcW w:w="2268" w:type="dxa"/>
            <w:shd w:val="clear" w:color="auto" w:fill="auto"/>
          </w:tcPr>
          <w:p w14:paraId="0BA1B756" w14:textId="77777777" w:rsidR="00A163F8" w:rsidRPr="002234E6" w:rsidRDefault="00A163F8" w:rsidP="00395144">
            <w:pPr>
              <w:pStyle w:val="TableText"/>
            </w:pPr>
            <w:r w:rsidRPr="00F62A24">
              <w:t>23PPV</w:t>
            </w:r>
          </w:p>
        </w:tc>
        <w:tc>
          <w:tcPr>
            <w:tcW w:w="2126" w:type="dxa"/>
            <w:shd w:val="clear" w:color="auto" w:fill="auto"/>
          </w:tcPr>
          <w:p w14:paraId="5603231A" w14:textId="77777777" w:rsidR="00A163F8" w:rsidRPr="002234E6" w:rsidRDefault="00A163F8" w:rsidP="00395144">
            <w:pPr>
              <w:pStyle w:val="TableText"/>
              <w:tabs>
                <w:tab w:val="decimal" w:pos="1078"/>
              </w:tabs>
            </w:pPr>
            <w:r w:rsidRPr="00F62A24">
              <w:t>4</w:t>
            </w:r>
          </w:p>
        </w:tc>
      </w:tr>
      <w:tr w:rsidR="00A163F8" w:rsidRPr="00F62A24" w14:paraId="69B9FB85" w14:textId="77777777" w:rsidTr="00395144">
        <w:trPr>
          <w:cantSplit/>
        </w:trPr>
        <w:tc>
          <w:tcPr>
            <w:tcW w:w="2268" w:type="dxa"/>
            <w:shd w:val="clear" w:color="auto" w:fill="auto"/>
          </w:tcPr>
          <w:p w14:paraId="626A44FA" w14:textId="77777777" w:rsidR="00A163F8" w:rsidRPr="002234E6" w:rsidRDefault="00A163F8" w:rsidP="00395144">
            <w:pPr>
              <w:pStyle w:val="TableText"/>
            </w:pPr>
            <w:r w:rsidRPr="00F62A24">
              <w:t>MMR</w:t>
            </w:r>
          </w:p>
        </w:tc>
        <w:tc>
          <w:tcPr>
            <w:tcW w:w="2126" w:type="dxa"/>
            <w:shd w:val="clear" w:color="auto" w:fill="auto"/>
          </w:tcPr>
          <w:p w14:paraId="21E5033D" w14:textId="77777777" w:rsidR="00A163F8" w:rsidRPr="002234E6" w:rsidRDefault="00A163F8" w:rsidP="00395144">
            <w:pPr>
              <w:pStyle w:val="TableText"/>
              <w:tabs>
                <w:tab w:val="decimal" w:pos="1078"/>
              </w:tabs>
            </w:pPr>
            <w:r w:rsidRPr="00F62A24">
              <w:t>20</w:t>
            </w:r>
          </w:p>
        </w:tc>
      </w:tr>
      <w:tr w:rsidR="00A163F8" w:rsidRPr="00F62A24" w14:paraId="34DD1FA9" w14:textId="77777777" w:rsidTr="00395144">
        <w:trPr>
          <w:cantSplit/>
        </w:trPr>
        <w:tc>
          <w:tcPr>
            <w:tcW w:w="2268" w:type="dxa"/>
            <w:shd w:val="clear" w:color="auto" w:fill="auto"/>
          </w:tcPr>
          <w:p w14:paraId="1EF31EA5" w14:textId="77777777" w:rsidR="00A163F8" w:rsidRPr="002234E6" w:rsidRDefault="00A163F8" w:rsidP="00395144">
            <w:pPr>
              <w:pStyle w:val="TableText"/>
            </w:pPr>
            <w:r w:rsidRPr="00F62A24">
              <w:t>RV1</w:t>
            </w:r>
          </w:p>
        </w:tc>
        <w:tc>
          <w:tcPr>
            <w:tcW w:w="2126" w:type="dxa"/>
            <w:shd w:val="clear" w:color="auto" w:fill="auto"/>
          </w:tcPr>
          <w:p w14:paraId="6FEB670C" w14:textId="77777777" w:rsidR="00A163F8" w:rsidRPr="002234E6" w:rsidRDefault="00A163F8" w:rsidP="00395144">
            <w:pPr>
              <w:pStyle w:val="TableText"/>
              <w:tabs>
                <w:tab w:val="decimal" w:pos="1078"/>
              </w:tabs>
            </w:pPr>
            <w:r w:rsidRPr="00F62A24">
              <w:t>25</w:t>
            </w:r>
          </w:p>
        </w:tc>
      </w:tr>
      <w:tr w:rsidR="00A163F8" w:rsidRPr="00F62A24" w14:paraId="217FE0BB" w14:textId="77777777" w:rsidTr="00395144">
        <w:trPr>
          <w:cantSplit/>
        </w:trPr>
        <w:tc>
          <w:tcPr>
            <w:tcW w:w="2268" w:type="dxa"/>
            <w:shd w:val="clear" w:color="auto" w:fill="auto"/>
          </w:tcPr>
          <w:p w14:paraId="22146A3E" w14:textId="77777777" w:rsidR="00A163F8" w:rsidRPr="002234E6" w:rsidRDefault="00A163F8" w:rsidP="00395144">
            <w:pPr>
              <w:pStyle w:val="TableText"/>
            </w:pPr>
            <w:proofErr w:type="spellStart"/>
            <w:r w:rsidRPr="00F62A24">
              <w:t>Infarix-Hexa</w:t>
            </w:r>
            <w:proofErr w:type="spellEnd"/>
          </w:p>
        </w:tc>
        <w:tc>
          <w:tcPr>
            <w:tcW w:w="2126" w:type="dxa"/>
            <w:shd w:val="clear" w:color="auto" w:fill="auto"/>
          </w:tcPr>
          <w:p w14:paraId="043C89D2" w14:textId="77777777" w:rsidR="00A163F8" w:rsidRPr="002234E6" w:rsidRDefault="00A163F8" w:rsidP="00395144">
            <w:pPr>
              <w:pStyle w:val="TableText"/>
              <w:tabs>
                <w:tab w:val="decimal" w:pos="1078"/>
              </w:tabs>
            </w:pPr>
            <w:r w:rsidRPr="00F62A24">
              <w:t>26</w:t>
            </w:r>
          </w:p>
        </w:tc>
      </w:tr>
      <w:tr w:rsidR="00A163F8" w:rsidRPr="00F62A24" w14:paraId="51870409" w14:textId="77777777" w:rsidTr="00395144">
        <w:trPr>
          <w:cantSplit/>
        </w:trPr>
        <w:tc>
          <w:tcPr>
            <w:tcW w:w="2268" w:type="dxa"/>
            <w:shd w:val="clear" w:color="auto" w:fill="auto"/>
          </w:tcPr>
          <w:p w14:paraId="41DD3C8D" w14:textId="77777777" w:rsidR="00A163F8" w:rsidRPr="002234E6" w:rsidRDefault="00A163F8" w:rsidP="00395144">
            <w:pPr>
              <w:pStyle w:val="TableText"/>
            </w:pPr>
            <w:r w:rsidRPr="00F62A24">
              <w:t>PCV10</w:t>
            </w:r>
          </w:p>
        </w:tc>
        <w:tc>
          <w:tcPr>
            <w:tcW w:w="2126" w:type="dxa"/>
            <w:shd w:val="clear" w:color="auto" w:fill="auto"/>
          </w:tcPr>
          <w:p w14:paraId="5F68C629" w14:textId="77777777" w:rsidR="00A163F8" w:rsidRPr="002234E6" w:rsidRDefault="00A163F8" w:rsidP="00395144">
            <w:pPr>
              <w:pStyle w:val="TableText"/>
              <w:tabs>
                <w:tab w:val="decimal" w:pos="1078"/>
              </w:tabs>
            </w:pPr>
            <w:r w:rsidRPr="00F62A24">
              <w:t>24</w:t>
            </w:r>
          </w:p>
        </w:tc>
      </w:tr>
      <w:tr w:rsidR="00A163F8" w:rsidRPr="00F62A24" w14:paraId="476C2A55" w14:textId="77777777" w:rsidTr="00395144">
        <w:trPr>
          <w:cantSplit/>
        </w:trPr>
        <w:tc>
          <w:tcPr>
            <w:tcW w:w="2268" w:type="dxa"/>
            <w:shd w:val="clear" w:color="auto" w:fill="auto"/>
          </w:tcPr>
          <w:p w14:paraId="43B2B1C0" w14:textId="77777777" w:rsidR="00A163F8" w:rsidRPr="002234E6" w:rsidRDefault="00A163F8" w:rsidP="00395144">
            <w:pPr>
              <w:pStyle w:val="TableText"/>
            </w:pPr>
            <w:proofErr w:type="spellStart"/>
            <w:r w:rsidRPr="00F62A24">
              <w:t>Infarix</w:t>
            </w:r>
            <w:proofErr w:type="spellEnd"/>
            <w:r w:rsidRPr="00F62A24">
              <w:t>-IPV</w:t>
            </w:r>
          </w:p>
        </w:tc>
        <w:tc>
          <w:tcPr>
            <w:tcW w:w="2126" w:type="dxa"/>
            <w:shd w:val="clear" w:color="auto" w:fill="auto"/>
          </w:tcPr>
          <w:p w14:paraId="3959DC7B" w14:textId="77777777" w:rsidR="00A163F8" w:rsidRPr="002234E6" w:rsidRDefault="00A163F8" w:rsidP="00395144">
            <w:pPr>
              <w:pStyle w:val="TableText"/>
              <w:tabs>
                <w:tab w:val="decimal" w:pos="1078"/>
              </w:tabs>
            </w:pPr>
            <w:r w:rsidRPr="00F62A24">
              <w:t>34</w:t>
            </w:r>
          </w:p>
        </w:tc>
      </w:tr>
      <w:tr w:rsidR="00A163F8" w:rsidRPr="00F62A24" w14:paraId="163A56A5" w14:textId="77777777" w:rsidTr="00395144">
        <w:trPr>
          <w:cantSplit/>
        </w:trPr>
        <w:tc>
          <w:tcPr>
            <w:tcW w:w="2268" w:type="dxa"/>
            <w:shd w:val="clear" w:color="auto" w:fill="auto"/>
          </w:tcPr>
          <w:p w14:paraId="1BA0DBF1" w14:textId="77777777" w:rsidR="00A163F8" w:rsidRPr="002234E6" w:rsidRDefault="00A163F8" w:rsidP="00395144">
            <w:pPr>
              <w:pStyle w:val="TableText"/>
            </w:pPr>
            <w:r w:rsidRPr="00F62A24">
              <w:t>Varicella</w:t>
            </w:r>
          </w:p>
        </w:tc>
        <w:tc>
          <w:tcPr>
            <w:tcW w:w="2126" w:type="dxa"/>
            <w:shd w:val="clear" w:color="auto" w:fill="auto"/>
          </w:tcPr>
          <w:p w14:paraId="052276F5" w14:textId="77777777" w:rsidR="00A163F8" w:rsidRPr="002234E6" w:rsidRDefault="00A163F8" w:rsidP="00395144">
            <w:pPr>
              <w:pStyle w:val="TableText"/>
              <w:tabs>
                <w:tab w:val="decimal" w:pos="1078"/>
              </w:tabs>
            </w:pPr>
            <w:r w:rsidRPr="00F62A24">
              <w:t>23</w:t>
            </w:r>
          </w:p>
        </w:tc>
      </w:tr>
      <w:tr w:rsidR="00A163F8" w:rsidRPr="00F62A24" w14:paraId="3EA8F453" w14:textId="77777777" w:rsidTr="00395144">
        <w:trPr>
          <w:cantSplit/>
        </w:trPr>
        <w:tc>
          <w:tcPr>
            <w:tcW w:w="2268" w:type="dxa"/>
            <w:shd w:val="clear" w:color="auto" w:fill="auto"/>
          </w:tcPr>
          <w:p w14:paraId="571AAFE9" w14:textId="77777777" w:rsidR="00A163F8" w:rsidRPr="002234E6" w:rsidRDefault="00A163F8" w:rsidP="00395144">
            <w:pPr>
              <w:pStyle w:val="TableText"/>
            </w:pPr>
            <w:proofErr w:type="spellStart"/>
            <w:r w:rsidRPr="00F62A24">
              <w:t>Zostervax</w:t>
            </w:r>
            <w:proofErr w:type="spellEnd"/>
          </w:p>
        </w:tc>
        <w:tc>
          <w:tcPr>
            <w:tcW w:w="2126" w:type="dxa"/>
            <w:shd w:val="clear" w:color="auto" w:fill="auto"/>
          </w:tcPr>
          <w:p w14:paraId="35DB71C9" w14:textId="77777777" w:rsidR="00A163F8" w:rsidRPr="002234E6" w:rsidRDefault="00A163F8" w:rsidP="00395144">
            <w:pPr>
              <w:pStyle w:val="TableText"/>
              <w:tabs>
                <w:tab w:val="decimal" w:pos="1078"/>
              </w:tabs>
            </w:pPr>
            <w:r w:rsidRPr="00F62A24">
              <w:t>16</w:t>
            </w:r>
          </w:p>
        </w:tc>
      </w:tr>
      <w:tr w:rsidR="00A163F8" w:rsidRPr="00F62A24" w14:paraId="3CA0E986" w14:textId="77777777" w:rsidTr="00395144">
        <w:trPr>
          <w:cantSplit/>
        </w:trPr>
        <w:tc>
          <w:tcPr>
            <w:tcW w:w="2268" w:type="dxa"/>
            <w:shd w:val="clear" w:color="auto" w:fill="auto"/>
          </w:tcPr>
          <w:p w14:paraId="72B1F8DA" w14:textId="77777777" w:rsidR="00A163F8" w:rsidRPr="002234E6" w:rsidRDefault="00A163F8" w:rsidP="00395144">
            <w:pPr>
              <w:pStyle w:val="TableText"/>
            </w:pPr>
            <w:r w:rsidRPr="00F62A24">
              <w:t>HPV9</w:t>
            </w:r>
          </w:p>
        </w:tc>
        <w:tc>
          <w:tcPr>
            <w:tcW w:w="2126" w:type="dxa"/>
            <w:shd w:val="clear" w:color="auto" w:fill="auto"/>
          </w:tcPr>
          <w:p w14:paraId="30A4C832" w14:textId="77777777" w:rsidR="00A163F8" w:rsidRPr="002234E6" w:rsidRDefault="00A163F8" w:rsidP="00395144">
            <w:pPr>
              <w:pStyle w:val="TableText"/>
              <w:tabs>
                <w:tab w:val="decimal" w:pos="1078"/>
              </w:tabs>
            </w:pPr>
            <w:r w:rsidRPr="00F62A24">
              <w:t>5</w:t>
            </w:r>
          </w:p>
        </w:tc>
      </w:tr>
      <w:tr w:rsidR="00A163F8" w:rsidRPr="00F62A24" w14:paraId="7CB806C9" w14:textId="77777777" w:rsidTr="00395144">
        <w:trPr>
          <w:cantSplit/>
        </w:trPr>
        <w:tc>
          <w:tcPr>
            <w:tcW w:w="2268" w:type="dxa"/>
            <w:shd w:val="clear" w:color="auto" w:fill="auto"/>
          </w:tcPr>
          <w:p w14:paraId="042B9ED6" w14:textId="77777777" w:rsidR="00A163F8" w:rsidRPr="00F62A24" w:rsidRDefault="00A163F8" w:rsidP="00395144">
            <w:pPr>
              <w:pStyle w:val="TableText"/>
            </w:pPr>
            <w:proofErr w:type="spellStart"/>
            <w:r w:rsidRPr="00F62A24">
              <w:t>HepB</w:t>
            </w:r>
            <w:proofErr w:type="spellEnd"/>
            <w:r w:rsidRPr="00F62A24">
              <w:t xml:space="preserve"> 20</w:t>
            </w:r>
            <w:r w:rsidR="00395144">
              <w:t> </w:t>
            </w:r>
            <w:r w:rsidRPr="00F62A24">
              <w:t>mcg</w:t>
            </w:r>
          </w:p>
        </w:tc>
        <w:tc>
          <w:tcPr>
            <w:tcW w:w="2126" w:type="dxa"/>
            <w:shd w:val="clear" w:color="auto" w:fill="auto"/>
          </w:tcPr>
          <w:p w14:paraId="18793376" w14:textId="77777777" w:rsidR="00A163F8" w:rsidRPr="00F62A24" w:rsidRDefault="00A163F8" w:rsidP="00395144">
            <w:pPr>
              <w:pStyle w:val="TableText"/>
              <w:tabs>
                <w:tab w:val="decimal" w:pos="1078"/>
              </w:tabs>
            </w:pPr>
            <w:r w:rsidRPr="00F62A24">
              <w:t>6</w:t>
            </w:r>
          </w:p>
        </w:tc>
      </w:tr>
      <w:tr w:rsidR="00A163F8" w:rsidRPr="00F62A24" w14:paraId="77C389E0" w14:textId="77777777" w:rsidTr="00395144">
        <w:trPr>
          <w:cantSplit/>
        </w:trPr>
        <w:tc>
          <w:tcPr>
            <w:tcW w:w="2268" w:type="dxa"/>
            <w:shd w:val="clear" w:color="auto" w:fill="auto"/>
          </w:tcPr>
          <w:p w14:paraId="3AE953D1" w14:textId="77777777" w:rsidR="00A163F8" w:rsidRPr="00F62A24" w:rsidRDefault="00A163F8" w:rsidP="00395144">
            <w:pPr>
              <w:pStyle w:val="TableText"/>
            </w:pPr>
            <w:proofErr w:type="spellStart"/>
            <w:r w:rsidRPr="00F62A24">
              <w:t>HepB</w:t>
            </w:r>
            <w:proofErr w:type="spellEnd"/>
            <w:r w:rsidRPr="00F62A24">
              <w:t xml:space="preserve"> 5</w:t>
            </w:r>
            <w:r w:rsidR="00395144">
              <w:t> </w:t>
            </w:r>
            <w:r w:rsidRPr="00F62A24">
              <w:t>mcg</w:t>
            </w:r>
          </w:p>
        </w:tc>
        <w:tc>
          <w:tcPr>
            <w:tcW w:w="2126" w:type="dxa"/>
            <w:shd w:val="clear" w:color="auto" w:fill="auto"/>
          </w:tcPr>
          <w:p w14:paraId="24414A13" w14:textId="77777777" w:rsidR="00A163F8" w:rsidRPr="00F62A24" w:rsidRDefault="00A163F8" w:rsidP="00395144">
            <w:pPr>
              <w:pStyle w:val="TableText"/>
              <w:tabs>
                <w:tab w:val="decimal" w:pos="1078"/>
              </w:tabs>
            </w:pPr>
            <w:r w:rsidRPr="00F62A24">
              <w:t>2</w:t>
            </w:r>
          </w:p>
        </w:tc>
      </w:tr>
      <w:tr w:rsidR="00A163F8" w:rsidRPr="00395144" w14:paraId="1B9705C8" w14:textId="77777777" w:rsidTr="00395144">
        <w:trPr>
          <w:cantSplit/>
        </w:trPr>
        <w:tc>
          <w:tcPr>
            <w:tcW w:w="2268" w:type="dxa"/>
            <w:shd w:val="clear" w:color="auto" w:fill="auto"/>
          </w:tcPr>
          <w:p w14:paraId="238D4173" w14:textId="77777777" w:rsidR="00A163F8" w:rsidRPr="00395144" w:rsidRDefault="00A163F8" w:rsidP="00395144">
            <w:pPr>
              <w:pStyle w:val="TableText"/>
              <w:rPr>
                <w:b/>
              </w:rPr>
            </w:pPr>
            <w:r w:rsidRPr="00395144">
              <w:rPr>
                <w:b/>
              </w:rPr>
              <w:t>Total costs</w:t>
            </w:r>
          </w:p>
        </w:tc>
        <w:tc>
          <w:tcPr>
            <w:tcW w:w="2126" w:type="dxa"/>
            <w:shd w:val="clear" w:color="auto" w:fill="auto"/>
          </w:tcPr>
          <w:p w14:paraId="7D14A1FB" w14:textId="77777777" w:rsidR="00A163F8" w:rsidRPr="00395144" w:rsidRDefault="00A163F8" w:rsidP="00395144">
            <w:pPr>
              <w:pStyle w:val="TableText"/>
              <w:jc w:val="center"/>
              <w:rPr>
                <w:b/>
              </w:rPr>
            </w:pPr>
            <w:r w:rsidRPr="00395144">
              <w:rPr>
                <w:b/>
              </w:rPr>
              <w:t>$6,200</w:t>
            </w:r>
          </w:p>
        </w:tc>
      </w:tr>
    </w:tbl>
    <w:p w14:paraId="0BC59D34" w14:textId="77777777" w:rsidR="00A163F8" w:rsidRPr="00391FC3" w:rsidRDefault="00A163F8" w:rsidP="0076541A">
      <w:pPr>
        <w:pStyle w:val="Note"/>
      </w:pPr>
      <w:r w:rsidRPr="002234E6">
        <w:t xml:space="preserve">Key: D = diphtheria, T = tetanus, </w:t>
      </w:r>
      <w:proofErr w:type="spellStart"/>
      <w:r w:rsidRPr="002234E6">
        <w:t>aP</w:t>
      </w:r>
      <w:proofErr w:type="spellEnd"/>
      <w:r w:rsidRPr="002234E6">
        <w:t> = acellular pertussis, IPV = inactivated polio vaccine, Hib = </w:t>
      </w:r>
      <w:r w:rsidRPr="002234E6">
        <w:rPr>
          <w:i/>
        </w:rPr>
        <w:t xml:space="preserve">Haemophilus influenzae </w:t>
      </w:r>
      <w:r w:rsidRPr="002234E6">
        <w:t xml:space="preserve">type b, </w:t>
      </w:r>
      <w:proofErr w:type="spellStart"/>
      <w:r w:rsidRPr="002234E6">
        <w:t>HepB</w:t>
      </w:r>
      <w:proofErr w:type="spellEnd"/>
      <w:r w:rsidRPr="002234E6">
        <w:t xml:space="preserve"> = hepatitis B, RV = rotavirus vaccine, PCV = pneumococcal conjugate vaccine, MMR = measles, mumps and rubella, d = adult type diphtheria, ap = adult type pertussis, HPV = human papillomavirus vaccine, ADT = </w:t>
      </w:r>
      <w:r w:rsidRPr="002234E6">
        <w:rPr>
          <w:szCs w:val="18"/>
        </w:rPr>
        <w:t>adult type tetanus-diphtheria vaccine</w:t>
      </w:r>
      <w:r w:rsidRPr="002234E6">
        <w:t>.</w:t>
      </w:r>
    </w:p>
    <w:p w14:paraId="372C9BAC" w14:textId="77777777" w:rsidR="00A163F8" w:rsidRDefault="00A163F8" w:rsidP="00395144">
      <w:bookmarkStart w:id="20" w:name="_Toc9862599"/>
    </w:p>
    <w:p w14:paraId="455CEFC6" w14:textId="77777777" w:rsidR="00A163F8" w:rsidRPr="002234E6" w:rsidRDefault="00A163F8" w:rsidP="00395144">
      <w:pPr>
        <w:pStyle w:val="Table"/>
      </w:pPr>
      <w:bookmarkStart w:id="21" w:name="_Toc18062277"/>
      <w:r w:rsidRPr="002234E6">
        <w:lastRenderedPageBreak/>
        <w:t>Table 2: Example of vaccine costs at a youth clinic</w:t>
      </w:r>
      <w:bookmarkEnd w:id="20"/>
      <w:bookmarkEnd w:id="2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2410"/>
      </w:tblGrid>
      <w:tr w:rsidR="00A163F8" w:rsidRPr="00395144" w14:paraId="0529A171" w14:textId="77777777" w:rsidTr="00395144">
        <w:trPr>
          <w:cantSplit/>
        </w:trPr>
        <w:tc>
          <w:tcPr>
            <w:tcW w:w="2268" w:type="dxa"/>
            <w:tcBorders>
              <w:top w:val="nil"/>
              <w:bottom w:val="nil"/>
            </w:tcBorders>
            <w:shd w:val="clear" w:color="auto" w:fill="D9D9D9" w:themeFill="background1" w:themeFillShade="D9"/>
          </w:tcPr>
          <w:p w14:paraId="1967540D" w14:textId="77777777" w:rsidR="00A163F8" w:rsidRPr="00395144" w:rsidRDefault="00A163F8" w:rsidP="00395144">
            <w:pPr>
              <w:pStyle w:val="TableText"/>
              <w:rPr>
                <w:b/>
              </w:rPr>
            </w:pPr>
            <w:r w:rsidRPr="00395144">
              <w:rPr>
                <w:b/>
              </w:rPr>
              <w:t>Vaccine</w:t>
            </w:r>
          </w:p>
        </w:tc>
        <w:tc>
          <w:tcPr>
            <w:tcW w:w="2410" w:type="dxa"/>
            <w:tcBorders>
              <w:top w:val="nil"/>
              <w:bottom w:val="nil"/>
            </w:tcBorders>
            <w:shd w:val="clear" w:color="auto" w:fill="D9D9D9" w:themeFill="background1" w:themeFillShade="D9"/>
          </w:tcPr>
          <w:p w14:paraId="2C103763" w14:textId="77777777" w:rsidR="00A163F8" w:rsidRPr="00395144" w:rsidRDefault="00A163F8" w:rsidP="00395144">
            <w:pPr>
              <w:pStyle w:val="TableText"/>
              <w:jc w:val="center"/>
              <w:rPr>
                <w:b/>
              </w:rPr>
            </w:pPr>
            <w:r w:rsidRPr="00395144">
              <w:rPr>
                <w:b/>
              </w:rPr>
              <w:t>No. of doses in stock</w:t>
            </w:r>
          </w:p>
        </w:tc>
      </w:tr>
      <w:tr w:rsidR="00A163F8" w:rsidRPr="00F62A24" w14:paraId="50F55847" w14:textId="77777777" w:rsidTr="00395144">
        <w:trPr>
          <w:cantSplit/>
        </w:trPr>
        <w:tc>
          <w:tcPr>
            <w:tcW w:w="2268" w:type="dxa"/>
            <w:tcBorders>
              <w:top w:val="nil"/>
            </w:tcBorders>
            <w:shd w:val="clear" w:color="auto" w:fill="auto"/>
          </w:tcPr>
          <w:p w14:paraId="292322AD" w14:textId="77777777" w:rsidR="00A163F8" w:rsidRPr="002234E6" w:rsidRDefault="00A163F8" w:rsidP="00395144">
            <w:pPr>
              <w:pStyle w:val="TableText"/>
            </w:pPr>
            <w:r w:rsidRPr="002234E6">
              <w:t>Tdap</w:t>
            </w:r>
          </w:p>
        </w:tc>
        <w:tc>
          <w:tcPr>
            <w:tcW w:w="2410" w:type="dxa"/>
            <w:tcBorders>
              <w:top w:val="nil"/>
            </w:tcBorders>
            <w:shd w:val="clear" w:color="auto" w:fill="auto"/>
          </w:tcPr>
          <w:p w14:paraId="43F60A49" w14:textId="77777777" w:rsidR="00A163F8" w:rsidRPr="002234E6" w:rsidRDefault="00A163F8" w:rsidP="00395144">
            <w:pPr>
              <w:pStyle w:val="TableText"/>
              <w:jc w:val="center"/>
            </w:pPr>
            <w:r w:rsidRPr="002234E6">
              <w:t>8</w:t>
            </w:r>
          </w:p>
        </w:tc>
      </w:tr>
      <w:tr w:rsidR="00A163F8" w:rsidRPr="00F62A24" w14:paraId="53904321" w14:textId="77777777" w:rsidTr="00395144">
        <w:trPr>
          <w:cantSplit/>
        </w:trPr>
        <w:tc>
          <w:tcPr>
            <w:tcW w:w="2268" w:type="dxa"/>
            <w:shd w:val="clear" w:color="auto" w:fill="auto"/>
          </w:tcPr>
          <w:p w14:paraId="6F4879C0" w14:textId="77777777" w:rsidR="00A163F8" w:rsidRPr="002234E6" w:rsidRDefault="00A163F8" w:rsidP="00395144">
            <w:pPr>
              <w:pStyle w:val="TableText"/>
            </w:pPr>
            <w:r w:rsidRPr="002234E6">
              <w:t>ADT</w:t>
            </w:r>
          </w:p>
        </w:tc>
        <w:tc>
          <w:tcPr>
            <w:tcW w:w="2410" w:type="dxa"/>
            <w:shd w:val="clear" w:color="auto" w:fill="auto"/>
          </w:tcPr>
          <w:p w14:paraId="4A73B269" w14:textId="77777777" w:rsidR="00A163F8" w:rsidRPr="002234E6" w:rsidRDefault="00A163F8" w:rsidP="00395144">
            <w:pPr>
              <w:pStyle w:val="TableText"/>
              <w:jc w:val="center"/>
            </w:pPr>
            <w:r w:rsidRPr="002234E6">
              <w:t>8</w:t>
            </w:r>
          </w:p>
        </w:tc>
      </w:tr>
      <w:tr w:rsidR="00A163F8" w:rsidRPr="00F62A24" w14:paraId="4134840A" w14:textId="77777777" w:rsidTr="00395144">
        <w:trPr>
          <w:cantSplit/>
        </w:trPr>
        <w:tc>
          <w:tcPr>
            <w:tcW w:w="2268" w:type="dxa"/>
            <w:shd w:val="clear" w:color="auto" w:fill="auto"/>
          </w:tcPr>
          <w:p w14:paraId="606C32C9" w14:textId="77777777" w:rsidR="00A163F8" w:rsidRPr="002234E6" w:rsidRDefault="00A163F8" w:rsidP="00395144">
            <w:pPr>
              <w:pStyle w:val="TableText"/>
            </w:pPr>
            <w:r w:rsidRPr="002234E6">
              <w:t>HPV</w:t>
            </w:r>
          </w:p>
        </w:tc>
        <w:tc>
          <w:tcPr>
            <w:tcW w:w="2410" w:type="dxa"/>
            <w:shd w:val="clear" w:color="auto" w:fill="auto"/>
          </w:tcPr>
          <w:p w14:paraId="31E53524" w14:textId="77777777" w:rsidR="00A163F8" w:rsidRPr="002234E6" w:rsidRDefault="00A163F8" w:rsidP="00395144">
            <w:pPr>
              <w:pStyle w:val="TableText"/>
              <w:jc w:val="center"/>
            </w:pPr>
            <w:r w:rsidRPr="002234E6">
              <w:t>9</w:t>
            </w:r>
          </w:p>
        </w:tc>
      </w:tr>
      <w:tr w:rsidR="00A163F8" w:rsidRPr="00F62A24" w14:paraId="48398E58" w14:textId="77777777" w:rsidTr="00395144">
        <w:trPr>
          <w:cantSplit/>
        </w:trPr>
        <w:tc>
          <w:tcPr>
            <w:tcW w:w="2268" w:type="dxa"/>
            <w:shd w:val="clear" w:color="auto" w:fill="auto"/>
          </w:tcPr>
          <w:p w14:paraId="16BA44EF" w14:textId="77777777" w:rsidR="00A163F8" w:rsidRPr="002234E6" w:rsidRDefault="00A163F8" w:rsidP="00395144">
            <w:pPr>
              <w:pStyle w:val="TableText"/>
            </w:pPr>
            <w:proofErr w:type="spellStart"/>
            <w:r w:rsidRPr="002234E6">
              <w:t>HepB</w:t>
            </w:r>
            <w:proofErr w:type="spellEnd"/>
            <w:r w:rsidRPr="002234E6">
              <w:t xml:space="preserve"> 10 mcg</w:t>
            </w:r>
          </w:p>
        </w:tc>
        <w:tc>
          <w:tcPr>
            <w:tcW w:w="2410" w:type="dxa"/>
            <w:shd w:val="clear" w:color="auto" w:fill="auto"/>
          </w:tcPr>
          <w:p w14:paraId="02F33B60" w14:textId="77777777" w:rsidR="00A163F8" w:rsidRPr="002234E6" w:rsidRDefault="00A163F8" w:rsidP="00395144">
            <w:pPr>
              <w:pStyle w:val="TableText"/>
              <w:jc w:val="center"/>
            </w:pPr>
            <w:r w:rsidRPr="002234E6">
              <w:t>8</w:t>
            </w:r>
          </w:p>
        </w:tc>
      </w:tr>
      <w:tr w:rsidR="00A163F8" w:rsidRPr="00F62A24" w14:paraId="5FE136FC" w14:textId="77777777" w:rsidTr="00395144">
        <w:trPr>
          <w:cantSplit/>
        </w:trPr>
        <w:tc>
          <w:tcPr>
            <w:tcW w:w="2268" w:type="dxa"/>
            <w:shd w:val="clear" w:color="auto" w:fill="auto"/>
          </w:tcPr>
          <w:p w14:paraId="63168FD9" w14:textId="77777777" w:rsidR="00A163F8" w:rsidRPr="002234E6" w:rsidRDefault="00A163F8" w:rsidP="00395144">
            <w:pPr>
              <w:pStyle w:val="TableText"/>
            </w:pPr>
            <w:r w:rsidRPr="002234E6">
              <w:t>MMR</w:t>
            </w:r>
          </w:p>
        </w:tc>
        <w:tc>
          <w:tcPr>
            <w:tcW w:w="2410" w:type="dxa"/>
            <w:shd w:val="clear" w:color="auto" w:fill="auto"/>
          </w:tcPr>
          <w:p w14:paraId="73996C6B" w14:textId="77777777" w:rsidR="00A163F8" w:rsidRPr="002234E6" w:rsidRDefault="00A163F8" w:rsidP="00395144">
            <w:pPr>
              <w:pStyle w:val="TableText"/>
              <w:jc w:val="center"/>
            </w:pPr>
            <w:r w:rsidRPr="002234E6">
              <w:t>9</w:t>
            </w:r>
          </w:p>
        </w:tc>
      </w:tr>
      <w:tr w:rsidR="00A163F8" w:rsidRPr="00395144" w14:paraId="086EF0BF" w14:textId="77777777" w:rsidTr="00395144">
        <w:trPr>
          <w:cantSplit/>
        </w:trPr>
        <w:tc>
          <w:tcPr>
            <w:tcW w:w="2268" w:type="dxa"/>
            <w:shd w:val="clear" w:color="auto" w:fill="auto"/>
          </w:tcPr>
          <w:p w14:paraId="5E0753F6" w14:textId="77777777" w:rsidR="00A163F8" w:rsidRPr="00395144" w:rsidRDefault="00A163F8" w:rsidP="00395144">
            <w:pPr>
              <w:pStyle w:val="TableText"/>
              <w:rPr>
                <w:b/>
              </w:rPr>
            </w:pPr>
            <w:r w:rsidRPr="00395144">
              <w:rPr>
                <w:b/>
              </w:rPr>
              <w:t>Total costs</w:t>
            </w:r>
          </w:p>
        </w:tc>
        <w:tc>
          <w:tcPr>
            <w:tcW w:w="2410" w:type="dxa"/>
            <w:shd w:val="clear" w:color="auto" w:fill="auto"/>
          </w:tcPr>
          <w:p w14:paraId="5A2CEC37" w14:textId="77777777" w:rsidR="00A163F8" w:rsidRPr="00395144" w:rsidRDefault="00A163F8" w:rsidP="00395144">
            <w:pPr>
              <w:pStyle w:val="TableText"/>
              <w:jc w:val="center"/>
              <w:rPr>
                <w:b/>
              </w:rPr>
            </w:pPr>
            <w:r w:rsidRPr="00395144">
              <w:rPr>
                <w:b/>
              </w:rPr>
              <w:t>$1,650</w:t>
            </w:r>
          </w:p>
        </w:tc>
      </w:tr>
    </w:tbl>
    <w:p w14:paraId="23167F0B" w14:textId="77777777" w:rsidR="00A163F8" w:rsidRPr="00391FC3" w:rsidRDefault="00A163F8" w:rsidP="00395144">
      <w:pPr>
        <w:pStyle w:val="Note"/>
      </w:pPr>
      <w:r w:rsidRPr="002234E6">
        <w:t xml:space="preserve">Key: D = diphtheria, T = tetanus, </w:t>
      </w:r>
      <w:proofErr w:type="spellStart"/>
      <w:r w:rsidRPr="002234E6">
        <w:t>aP</w:t>
      </w:r>
      <w:proofErr w:type="spellEnd"/>
      <w:r w:rsidRPr="002234E6">
        <w:t> = acellular pertussis, IPV = inactivated polio vaccine, Hib = </w:t>
      </w:r>
      <w:r w:rsidRPr="002234E6">
        <w:rPr>
          <w:i/>
        </w:rPr>
        <w:t xml:space="preserve">Haemophilus influenzae </w:t>
      </w:r>
      <w:r w:rsidRPr="002234E6">
        <w:t xml:space="preserve">type b, </w:t>
      </w:r>
      <w:proofErr w:type="spellStart"/>
      <w:r w:rsidRPr="002234E6">
        <w:t>HepB</w:t>
      </w:r>
      <w:proofErr w:type="spellEnd"/>
      <w:r w:rsidRPr="002234E6">
        <w:t xml:space="preserve"> = hepatitis B, RV = rotavirus vaccine, PCV = pneumococcal conjugate vaccine, MMR = measles, mumps and rubella, d = adult type diphtheria, ap = adult type pertussis, HPV = human papillomavirus vaccine, ADT = </w:t>
      </w:r>
      <w:r w:rsidRPr="002234E6">
        <w:rPr>
          <w:szCs w:val="18"/>
        </w:rPr>
        <w:t>adult type tetanus-diphtheria vaccine</w:t>
      </w:r>
      <w:r w:rsidRPr="002234E6">
        <w:t>.</w:t>
      </w:r>
    </w:p>
    <w:p w14:paraId="3114908E" w14:textId="77777777" w:rsidR="00A163F8" w:rsidRPr="002234E6" w:rsidRDefault="00A163F8" w:rsidP="00395144">
      <w:pPr>
        <w:pStyle w:val="Note"/>
      </w:pPr>
      <w:r w:rsidRPr="002234E6">
        <w:t>Note: The costs above were calculated in 2019.</w:t>
      </w:r>
    </w:p>
    <w:p w14:paraId="7CFA5CF7" w14:textId="77777777" w:rsidR="00395144" w:rsidRDefault="00395144" w:rsidP="00395144"/>
    <w:p w14:paraId="2BCD7794" w14:textId="77777777" w:rsidR="00A163F8" w:rsidRDefault="00A163F8" w:rsidP="00395144">
      <w:r w:rsidRPr="002234E6">
        <w:t>The costs outlined in the tables above are only one part of the costs associated with a cold chain failure when compromised vaccines have been administered to patients. When these vaccines need to be re</w:t>
      </w:r>
      <w:r w:rsidRPr="002234E6">
        <w:noBreakHyphen/>
        <w:t>administered, the same unit cost is again incurred. There is also the cost of staff time to contact and explain the events to patients, and the cost of time, equipment and possibly extra staff to re-vaccinate patients. Additionally, intangible costs may arise, such as loss of public confidence in the New Zealand Immunisation Programme and in the immunisation provider.</w:t>
      </w:r>
    </w:p>
    <w:p w14:paraId="04712862" w14:textId="77777777" w:rsidR="00395144" w:rsidRPr="002234E6" w:rsidRDefault="00395144" w:rsidP="00395144"/>
    <w:p w14:paraId="0426F340" w14:textId="77777777" w:rsidR="00A163F8" w:rsidRPr="002234E6" w:rsidRDefault="00A163F8" w:rsidP="00395144">
      <w:pPr>
        <w:pStyle w:val="Heading1"/>
      </w:pPr>
      <w:bookmarkStart w:id="22" w:name="_Toc334179080"/>
      <w:bookmarkStart w:id="23" w:name="_Toc469389331"/>
      <w:bookmarkStart w:id="24" w:name="_Toc9863070"/>
      <w:bookmarkStart w:id="25" w:name="_Toc18062240"/>
      <w:bookmarkEnd w:id="11"/>
      <w:r w:rsidRPr="002234E6">
        <w:lastRenderedPageBreak/>
        <w:t>3</w:t>
      </w:r>
      <w:r w:rsidRPr="002234E6">
        <w:tab/>
        <w:t>Cold Chain Accreditation</w:t>
      </w:r>
      <w:bookmarkEnd w:id="22"/>
      <w:bookmarkEnd w:id="23"/>
      <w:bookmarkEnd w:id="24"/>
      <w:bookmarkEnd w:id="25"/>
    </w:p>
    <w:p w14:paraId="654E81D7" w14:textId="77777777" w:rsidR="007E44E1" w:rsidRDefault="00A163F8" w:rsidP="00D01D5E">
      <w:r w:rsidRPr="00F62A24">
        <w:t xml:space="preserve">Cold chain management of an immunisation provider is assessed through the use of the audit tool Cold Chain Accreditation (CCA). In order to achieve CCA, </w:t>
      </w:r>
      <w:r>
        <w:t>an</w:t>
      </w:r>
      <w:r w:rsidRPr="00F62A24">
        <w:t xml:space="preserve"> immunisation provider is required to demonstrate </w:t>
      </w:r>
      <w:r>
        <w:t xml:space="preserve">it has </w:t>
      </w:r>
      <w:r w:rsidRPr="00F62A24">
        <w:t>appropriate cold chain management practices and processes in place to meet the standards</w:t>
      </w:r>
      <w:r w:rsidR="007E44E1">
        <w:t>’</w:t>
      </w:r>
      <w:r w:rsidRPr="00F62A24">
        <w:t xml:space="preserve"> requirements. The provider must be able to demonstrate </w:t>
      </w:r>
      <w:r>
        <w:t xml:space="preserve">it </w:t>
      </w:r>
      <w:r w:rsidRPr="00F62A24">
        <w:t>meet</w:t>
      </w:r>
      <w:r>
        <w:t>s</w:t>
      </w:r>
      <w:r w:rsidRPr="00F62A24">
        <w:t xml:space="preserve"> the requirements to hold CCA prior to offering immunisation services and at any point whil</w:t>
      </w:r>
      <w:r>
        <w:t>e</w:t>
      </w:r>
      <w:r w:rsidRPr="00F62A24">
        <w:t xml:space="preserve"> offering an immunisation programme.</w:t>
      </w:r>
    </w:p>
    <w:p w14:paraId="0FD7F9AA" w14:textId="77777777" w:rsidR="00A163F8" w:rsidRPr="002234E6" w:rsidRDefault="00A163F8" w:rsidP="00D01D5E"/>
    <w:p w14:paraId="6B919917" w14:textId="77777777" w:rsidR="00A163F8" w:rsidRPr="002234E6" w:rsidRDefault="00A163F8" w:rsidP="00D01D5E">
      <w:r w:rsidRPr="002234E6">
        <w:t>All immunisation providers who store vaccines continuously must have current CCA. This includes but is not limited to general practices, outreach immunisation services, public health units, community pharmacies, corrections facilities, travel clinics, emergency medical services, public and private hospital wards and departments/</w:t>
      </w:r>
      <w:r w:rsidR="00D01D5E">
        <w:t xml:space="preserve"> </w:t>
      </w:r>
      <w:r w:rsidRPr="002234E6">
        <w:t xml:space="preserve">pharmacies, and occupational health services. </w:t>
      </w:r>
      <w:r w:rsidRPr="00F62A24">
        <w:t xml:space="preserve">In a secondary care services setting, </w:t>
      </w:r>
      <w:r>
        <w:t xml:space="preserve">the National Standards apply to all departments storing vaccines, and can also be used to support cold chain management for the storage of </w:t>
      </w:r>
      <w:r w:rsidRPr="00F62A24">
        <w:t>medicines</w:t>
      </w:r>
      <w:r>
        <w:t xml:space="preserve">. </w:t>
      </w:r>
      <w:r w:rsidRPr="002234E6">
        <w:t>For general practices it is important to note that CCA is required to meet the Royal New Zealand College of General Practitioners Cornerstone</w:t>
      </w:r>
      <w:r w:rsidRPr="002234E6">
        <w:rPr>
          <w:vertAlign w:val="superscript"/>
        </w:rPr>
        <w:t>®</w:t>
      </w:r>
      <w:r w:rsidRPr="002234E6">
        <w:t xml:space="preserve"> Standard (</w:t>
      </w:r>
      <w:r w:rsidRPr="002234E6">
        <w:rPr>
          <w:szCs w:val="24"/>
        </w:rPr>
        <w:t xml:space="preserve">section 2, indicator 16) </w:t>
      </w:r>
      <w:r w:rsidRPr="002234E6">
        <w:t>and the Foundation Standard.</w:t>
      </w:r>
    </w:p>
    <w:p w14:paraId="4BAAF93F" w14:textId="77777777" w:rsidR="00A163F8" w:rsidRPr="002234E6" w:rsidRDefault="00A163F8" w:rsidP="00D01D5E"/>
    <w:p w14:paraId="7928C352" w14:textId="47DA9355" w:rsidR="007E44E1" w:rsidRDefault="00A163F8" w:rsidP="00D01D5E">
      <w:r w:rsidRPr="00F62A24">
        <w:t>All community pharmacies are deemed to hold CCA through their Licence to Operate Pharmacy, unless there are specific operating conditions preventing the pharmacy from offering this service (or refrigerat</w:t>
      </w:r>
      <w:r w:rsidR="005456FE">
        <w:t>ed</w:t>
      </w:r>
      <w:r w:rsidRPr="00F62A24">
        <w:t xml:space="preserve"> products in general).</w:t>
      </w:r>
    </w:p>
    <w:p w14:paraId="2BDA0E09" w14:textId="77777777" w:rsidR="00A163F8" w:rsidRPr="002234E6" w:rsidRDefault="00A163F8" w:rsidP="00D01D5E"/>
    <w:p w14:paraId="675942D0" w14:textId="77777777" w:rsidR="00A163F8" w:rsidRPr="002234E6" w:rsidRDefault="00A163F8" w:rsidP="00D01D5E">
      <w:r>
        <w:t>In assessing CCA, a</w:t>
      </w:r>
      <w:r w:rsidRPr="002234E6">
        <w:t xml:space="preserve"> CCA reviewer will assess the provider</w:t>
      </w:r>
      <w:r w:rsidR="007E44E1">
        <w:t>’</w:t>
      </w:r>
      <w:r w:rsidRPr="002234E6">
        <w:t>s past performance and current cold chain knowledge. These findings help to determine the length of time CCA is awarded for; other considerations are the stability of the provider</w:t>
      </w:r>
      <w:r w:rsidR="007E44E1">
        <w:t>’</w:t>
      </w:r>
      <w:r w:rsidRPr="002234E6">
        <w:t>s workforce, the age of the equipment and the provider</w:t>
      </w:r>
      <w:r w:rsidR="007E44E1">
        <w:t>’</w:t>
      </w:r>
      <w:r w:rsidRPr="002234E6">
        <w:t xml:space="preserve">s cold chain history. CCA can be awarded for up to three years. </w:t>
      </w:r>
      <w:r>
        <w:t>C</w:t>
      </w:r>
      <w:r w:rsidRPr="00F62A24">
        <w:t>ommunity pharmacies must apply for a Licence to Operate Pharmacy annually</w:t>
      </w:r>
      <w:r>
        <w:t>,</w:t>
      </w:r>
      <w:r w:rsidRPr="00F62A24">
        <w:t xml:space="preserve"> and if they continue to provide immunisation services must ensure they continue to meet the requirements of the standards at all times.</w:t>
      </w:r>
    </w:p>
    <w:p w14:paraId="666513B4" w14:textId="77777777" w:rsidR="00A163F8" w:rsidRPr="002234E6" w:rsidRDefault="00A163F8" w:rsidP="00D01D5E"/>
    <w:p w14:paraId="4EB1E10B" w14:textId="77777777" w:rsidR="00A163F8" w:rsidRPr="002234E6" w:rsidRDefault="00A163F8" w:rsidP="00D01D5E">
      <w:r w:rsidRPr="002234E6">
        <w:t xml:space="preserve">CCA assessment is based on the following five </w:t>
      </w:r>
      <w:r>
        <w:t>components</w:t>
      </w:r>
      <w:r w:rsidRPr="002234E6">
        <w:t>:</w:t>
      </w:r>
    </w:p>
    <w:p w14:paraId="1913381E" w14:textId="77777777" w:rsidR="00A163F8" w:rsidRPr="002234E6" w:rsidRDefault="00A163F8" w:rsidP="00D01D5E">
      <w:pPr>
        <w:pStyle w:val="Number"/>
      </w:pPr>
      <w:r w:rsidRPr="002234E6">
        <w:t>the provider has copies of or online access to appropriate vaccine reference information</w:t>
      </w:r>
    </w:p>
    <w:p w14:paraId="115C9791" w14:textId="77777777" w:rsidR="00A163F8" w:rsidRPr="002234E6" w:rsidRDefault="00A163F8" w:rsidP="00D01D5E">
      <w:pPr>
        <w:pStyle w:val="Number"/>
      </w:pPr>
      <w:r w:rsidRPr="002234E6">
        <w:t>the provider has an appropriate and documented cold chain policy</w:t>
      </w:r>
    </w:p>
    <w:p w14:paraId="282F3FCA" w14:textId="77777777" w:rsidR="00A163F8" w:rsidRPr="002234E6" w:rsidRDefault="00A163F8" w:rsidP="00D01D5E">
      <w:pPr>
        <w:pStyle w:val="Number"/>
      </w:pPr>
      <w:r>
        <w:t xml:space="preserve">the provider carries out appropriate </w:t>
      </w:r>
      <w:r w:rsidRPr="002234E6">
        <w:t>vaccine stock management</w:t>
      </w:r>
    </w:p>
    <w:p w14:paraId="37AEDF02" w14:textId="77777777" w:rsidR="00A163F8" w:rsidRPr="002234E6" w:rsidRDefault="00A163F8" w:rsidP="00D01D5E">
      <w:pPr>
        <w:pStyle w:val="Number"/>
      </w:pPr>
      <w:r>
        <w:t xml:space="preserve">the provider understands </w:t>
      </w:r>
      <w:r w:rsidRPr="002234E6">
        <w:t>requirements for temperature monitoring and refrigerator performance</w:t>
      </w:r>
      <w:r>
        <w:t>,</w:t>
      </w:r>
      <w:r w:rsidRPr="002234E6">
        <w:t xml:space="preserve"> and monitoring devices and processes are appropriate</w:t>
      </w:r>
    </w:p>
    <w:p w14:paraId="4AAE1329" w14:textId="77777777" w:rsidR="00A163F8" w:rsidRPr="002234E6" w:rsidRDefault="00A163F8" w:rsidP="00D01D5E">
      <w:pPr>
        <w:pStyle w:val="Number"/>
      </w:pPr>
      <w:r w:rsidRPr="002234E6">
        <w:t xml:space="preserve">storage and transport equipment </w:t>
      </w:r>
      <w:proofErr w:type="gramStart"/>
      <w:r w:rsidRPr="002234E6">
        <w:t>meets</w:t>
      </w:r>
      <w:proofErr w:type="gramEnd"/>
      <w:r w:rsidRPr="002234E6">
        <w:t xml:space="preserve"> the requirements of the National Standards.</w:t>
      </w:r>
    </w:p>
    <w:p w14:paraId="1321F805" w14:textId="77777777" w:rsidR="00A163F8" w:rsidRPr="002234E6" w:rsidRDefault="00A163F8" w:rsidP="00D01D5E"/>
    <w:p w14:paraId="19348F6A" w14:textId="77777777" w:rsidR="00A163F8" w:rsidRPr="002234E6" w:rsidRDefault="00A163F8" w:rsidP="00D01D5E">
      <w:r w:rsidRPr="002234E6">
        <w:lastRenderedPageBreak/>
        <w:t xml:space="preserve">Immunisation providers must meet </w:t>
      </w:r>
      <w:r w:rsidRPr="002234E6">
        <w:rPr>
          <w:b/>
        </w:rPr>
        <w:t>all</w:t>
      </w:r>
      <w:r w:rsidRPr="002234E6">
        <w:t xml:space="preserve"> the National Standards for cold chain management and </w:t>
      </w:r>
      <w:r w:rsidRPr="002234E6">
        <w:rPr>
          <w:b/>
        </w:rPr>
        <w:t>all</w:t>
      </w:r>
      <w:r w:rsidRPr="002234E6">
        <w:t xml:space="preserve"> staff must be responsible for the cold chain.</w:t>
      </w:r>
    </w:p>
    <w:p w14:paraId="106EA6CF" w14:textId="77777777" w:rsidR="00A163F8" w:rsidRPr="002234E6" w:rsidRDefault="00A163F8" w:rsidP="00D01D5E"/>
    <w:p w14:paraId="000209C0" w14:textId="48967203" w:rsidR="00A163F8" w:rsidRPr="002234E6" w:rsidRDefault="00A163F8" w:rsidP="00D01D5E">
      <w:r w:rsidRPr="002234E6">
        <w:rPr>
          <w:lang w:eastAsia="en-NZ"/>
        </w:rPr>
        <w:t>If a provider fails to meet the requirements</w:t>
      </w:r>
      <w:r w:rsidR="005456FE">
        <w:rPr>
          <w:lang w:eastAsia="en-NZ"/>
        </w:rPr>
        <w:t>,</w:t>
      </w:r>
      <w:r w:rsidRPr="002234E6">
        <w:rPr>
          <w:lang w:eastAsia="en-NZ"/>
        </w:rPr>
        <w:t xml:space="preserve"> </w:t>
      </w:r>
      <w:r w:rsidR="005456FE">
        <w:rPr>
          <w:lang w:eastAsia="en-NZ"/>
        </w:rPr>
        <w:t xml:space="preserve">or is found to be noncompliant, </w:t>
      </w:r>
      <w:r w:rsidRPr="002234E6">
        <w:rPr>
          <w:lang w:eastAsia="en-NZ"/>
        </w:rPr>
        <w:t xml:space="preserve">of the National Standards, the CCA reviewer will work with the provider to develop a remedial plan to achieve the requirements. </w:t>
      </w:r>
      <w:r w:rsidRPr="002234E6">
        <w:t>The provider may administer vaccines while the remedial plan is in place, if the required temperature range of +2°C to +8°C can be maintained at all times and the provider works within the agreed timeframes outlined in the plan. The maximum recommended timeframe for completing the remedial plan is three months.</w:t>
      </w:r>
    </w:p>
    <w:p w14:paraId="693CC737" w14:textId="77777777" w:rsidR="00A163F8" w:rsidRPr="002234E6" w:rsidRDefault="00A163F8" w:rsidP="00D01D5E"/>
    <w:p w14:paraId="5BB37939" w14:textId="5759FE3C" w:rsidR="007E44E1" w:rsidRDefault="00A163F8" w:rsidP="00D01D5E">
      <w:r w:rsidRPr="002234E6">
        <w:t>If a provider is not willing to work on a remedial plan or does not keep to the agreed timeframes, the CCA reviewer will notify the PHO, DHB and medical officer of health</w:t>
      </w:r>
      <w:r w:rsidR="005456FE">
        <w:t>, as appropriate</w:t>
      </w:r>
      <w:r w:rsidRPr="002234E6">
        <w:t xml:space="preserve">. </w:t>
      </w:r>
      <w:r w:rsidRPr="00F62A24">
        <w:t>Medicines Control will manage the remedial process for community pharmacies. Where pharmacies are unable to demonstrate compliance</w:t>
      </w:r>
      <w:r>
        <w:t xml:space="preserve"> with the National Standards</w:t>
      </w:r>
      <w:r w:rsidRPr="00F62A24">
        <w:t>, this may result in actions such as a condition being placed on a pharmacy</w:t>
      </w:r>
      <w:r w:rsidR="007E44E1">
        <w:t>’</w:t>
      </w:r>
      <w:r w:rsidRPr="00F62A24">
        <w:t>s licence</w:t>
      </w:r>
      <w:r>
        <w:t>,</w:t>
      </w:r>
      <w:r w:rsidRPr="00F62A24">
        <w:t xml:space="preserve"> which</w:t>
      </w:r>
      <w:r>
        <w:t>,</w:t>
      </w:r>
      <w:r w:rsidRPr="00F62A24">
        <w:t xml:space="preserve"> for example</w:t>
      </w:r>
      <w:r>
        <w:t>,</w:t>
      </w:r>
      <w:r w:rsidRPr="00F62A24">
        <w:t xml:space="preserve"> may prohibit the pharmacy from providing vaccination services.</w:t>
      </w:r>
    </w:p>
    <w:p w14:paraId="0F3E6B28" w14:textId="77777777" w:rsidR="00A163F8" w:rsidRPr="002234E6" w:rsidRDefault="00A163F8" w:rsidP="00D01D5E">
      <w:pPr>
        <w:rPr>
          <w:lang w:eastAsia="en-NZ"/>
        </w:rPr>
      </w:pPr>
    </w:p>
    <w:p w14:paraId="68A1A323" w14:textId="77777777" w:rsidR="00A163F8" w:rsidRPr="002234E6" w:rsidRDefault="00A163F8" w:rsidP="00D01D5E">
      <w:pPr>
        <w:rPr>
          <w:lang w:eastAsia="en-NZ"/>
        </w:rPr>
      </w:pPr>
      <w:r w:rsidRPr="002234E6">
        <w:rPr>
          <w:lang w:eastAsia="en-NZ"/>
        </w:rPr>
        <w:t xml:space="preserve">Each DHB </w:t>
      </w:r>
      <w:r>
        <w:rPr>
          <w:lang w:eastAsia="en-NZ"/>
        </w:rPr>
        <w:t xml:space="preserve">should </w:t>
      </w:r>
      <w:r w:rsidRPr="002234E6">
        <w:rPr>
          <w:lang w:eastAsia="en-NZ"/>
        </w:rPr>
        <w:t xml:space="preserve">work with the CCA reviewer and/or coordinator, PHO, medical officer of health, </w:t>
      </w:r>
      <w:r>
        <w:rPr>
          <w:lang w:eastAsia="en-NZ"/>
        </w:rPr>
        <w:t>the Immunisation Advisory Centre (</w:t>
      </w:r>
      <w:r w:rsidRPr="002234E6">
        <w:rPr>
          <w:lang w:eastAsia="en-NZ"/>
        </w:rPr>
        <w:t>IMAC</w:t>
      </w:r>
      <w:r>
        <w:rPr>
          <w:lang w:eastAsia="en-NZ"/>
        </w:rPr>
        <w:t>)</w:t>
      </w:r>
      <w:r w:rsidRPr="002234E6">
        <w:rPr>
          <w:lang w:eastAsia="en-NZ"/>
        </w:rPr>
        <w:t xml:space="preserve"> and other immunisation stakeholders to develop a process for working through issues where providers are not achieving </w:t>
      </w:r>
      <w:r>
        <w:rPr>
          <w:lang w:eastAsia="en-NZ"/>
        </w:rPr>
        <w:t xml:space="preserve">or maintaining </w:t>
      </w:r>
      <w:r w:rsidRPr="002234E6">
        <w:rPr>
          <w:lang w:eastAsia="en-NZ"/>
        </w:rPr>
        <w:t>CCA. This process may include steps such as:</w:t>
      </w:r>
    </w:p>
    <w:p w14:paraId="1BFC6C1B" w14:textId="77777777" w:rsidR="00A163F8" w:rsidRPr="002234E6" w:rsidRDefault="00A163F8" w:rsidP="00D01D5E">
      <w:pPr>
        <w:pStyle w:val="Bullet"/>
      </w:pPr>
      <w:r w:rsidRPr="002234E6">
        <w:t>developing a provider remedial plan and timeframes</w:t>
      </w:r>
    </w:p>
    <w:p w14:paraId="3DCBFAFC" w14:textId="77777777" w:rsidR="00A163F8" w:rsidRPr="002234E6" w:rsidRDefault="00A163F8" w:rsidP="00D01D5E">
      <w:pPr>
        <w:pStyle w:val="Bullet"/>
      </w:pPr>
      <w:r w:rsidRPr="002234E6">
        <w:t>undertaking a CCA reassessment</w:t>
      </w:r>
    </w:p>
    <w:p w14:paraId="556871B5" w14:textId="77777777" w:rsidR="00A163F8" w:rsidRPr="002234E6" w:rsidRDefault="00A163F8" w:rsidP="00D01D5E">
      <w:pPr>
        <w:pStyle w:val="Bullet"/>
      </w:pPr>
      <w:r w:rsidRPr="002234E6">
        <w:t>following up appropriately if the provider does not complete requirements of the National Standards</w:t>
      </w:r>
    </w:p>
    <w:p w14:paraId="22DF16A1" w14:textId="77777777" w:rsidR="00A163F8" w:rsidRPr="002234E6" w:rsidRDefault="00A163F8" w:rsidP="00D01D5E">
      <w:pPr>
        <w:pStyle w:val="Bullet"/>
      </w:pPr>
      <w:r w:rsidRPr="002234E6">
        <w:t xml:space="preserve">discussing issues with the IMAC regional immunisation advisor, </w:t>
      </w:r>
      <w:r w:rsidRPr="002234E6">
        <w:rPr>
          <w:lang w:eastAsia="en-NZ"/>
        </w:rPr>
        <w:t>medical officer of health</w:t>
      </w:r>
      <w:r w:rsidRPr="002234E6">
        <w:t xml:space="preserve"> and PHO clinical lead</w:t>
      </w:r>
    </w:p>
    <w:p w14:paraId="6373EB37" w14:textId="77777777" w:rsidR="00A163F8" w:rsidRPr="002234E6" w:rsidRDefault="00A163F8" w:rsidP="00D01D5E">
      <w:pPr>
        <w:pStyle w:val="Bullet"/>
      </w:pPr>
      <w:r w:rsidRPr="002234E6">
        <w:t>formally notifying and making recommendations to the provider</w:t>
      </w:r>
    </w:p>
    <w:p w14:paraId="711376D1" w14:textId="77777777" w:rsidR="00A163F8" w:rsidRPr="002234E6" w:rsidRDefault="00A163F8" w:rsidP="00D01D5E">
      <w:pPr>
        <w:pStyle w:val="Bullet"/>
      </w:pPr>
      <w:r w:rsidRPr="002234E6">
        <w:t>revoking the existing CCA</w:t>
      </w:r>
    </w:p>
    <w:p w14:paraId="12C227F7" w14:textId="77777777" w:rsidR="00A163F8" w:rsidRPr="002234E6" w:rsidRDefault="00A163F8" w:rsidP="00D01D5E">
      <w:pPr>
        <w:pStyle w:val="Bullet"/>
      </w:pPr>
      <w:r w:rsidRPr="002234E6">
        <w:t>placing vaccine deliveries to the provider on hold.</w:t>
      </w:r>
    </w:p>
    <w:p w14:paraId="3D83E1E8" w14:textId="77777777" w:rsidR="00A163F8" w:rsidRPr="002234E6" w:rsidRDefault="00A163F8" w:rsidP="00D01D5E">
      <w:pPr>
        <w:rPr>
          <w:lang w:eastAsia="en-NZ"/>
        </w:rPr>
      </w:pPr>
    </w:p>
    <w:p w14:paraId="077E5D72" w14:textId="77777777" w:rsidR="00A163F8" w:rsidRDefault="00A163F8" w:rsidP="00D01D5E">
      <w:pPr>
        <w:rPr>
          <w:lang w:eastAsia="en-NZ"/>
        </w:rPr>
      </w:pPr>
      <w:r w:rsidRPr="00967161">
        <w:rPr>
          <w:lang w:eastAsia="en-NZ"/>
        </w:rPr>
        <w:t xml:space="preserve">All DHBs </w:t>
      </w:r>
      <w:r>
        <w:rPr>
          <w:lang w:eastAsia="en-NZ"/>
        </w:rPr>
        <w:t xml:space="preserve">must </w:t>
      </w:r>
      <w:r w:rsidRPr="00967161">
        <w:rPr>
          <w:lang w:eastAsia="en-NZ"/>
        </w:rPr>
        <w:t>have a Cold Chain Non</w:t>
      </w:r>
      <w:r>
        <w:rPr>
          <w:lang w:eastAsia="en-NZ"/>
        </w:rPr>
        <w:t>-</w:t>
      </w:r>
      <w:r w:rsidRPr="00967161">
        <w:rPr>
          <w:lang w:eastAsia="en-NZ"/>
        </w:rPr>
        <w:t xml:space="preserve">Compliance Policy; which documents the local process for addressing provider </w:t>
      </w:r>
      <w:r>
        <w:rPr>
          <w:lang w:eastAsia="en-NZ"/>
        </w:rPr>
        <w:t>cold chain non-compliance</w:t>
      </w:r>
      <w:r w:rsidRPr="00967161">
        <w:rPr>
          <w:lang w:eastAsia="en-NZ"/>
        </w:rPr>
        <w:t>. Each D</w:t>
      </w:r>
      <w:r>
        <w:rPr>
          <w:lang w:eastAsia="en-NZ"/>
        </w:rPr>
        <w:t>HB must review</w:t>
      </w:r>
      <w:r w:rsidRPr="00967161">
        <w:rPr>
          <w:lang w:eastAsia="en-NZ"/>
        </w:rPr>
        <w:t xml:space="preserve"> this process annually and make the documentation available to the Ministry on request.</w:t>
      </w:r>
    </w:p>
    <w:p w14:paraId="15D3A1ED" w14:textId="77777777" w:rsidR="00A163F8" w:rsidRPr="002234E6" w:rsidRDefault="00A163F8" w:rsidP="00D01D5E">
      <w:pPr>
        <w:rPr>
          <w:lang w:eastAsia="en-NZ"/>
        </w:rPr>
      </w:pPr>
    </w:p>
    <w:p w14:paraId="72F7CDD2" w14:textId="77777777" w:rsidR="00A163F8" w:rsidRPr="00D01D5E" w:rsidRDefault="00A163F8" w:rsidP="00D01D5E">
      <w:r>
        <w:rPr>
          <w:lang w:eastAsia="en-NZ"/>
        </w:rPr>
        <w:t xml:space="preserve">The Ministry publishes a </w:t>
      </w:r>
      <w:r w:rsidRPr="002234E6">
        <w:rPr>
          <w:i/>
          <w:lang w:eastAsia="en-NZ"/>
        </w:rPr>
        <w:t>CCA Provider Self-Assessment Form</w:t>
      </w:r>
      <w:r w:rsidRPr="002234E6">
        <w:rPr>
          <w:lang w:eastAsia="en-NZ"/>
        </w:rPr>
        <w:t xml:space="preserve"> and </w:t>
      </w:r>
      <w:r>
        <w:rPr>
          <w:lang w:eastAsia="en-NZ"/>
        </w:rPr>
        <w:t xml:space="preserve">a </w:t>
      </w:r>
      <w:r w:rsidRPr="002234E6">
        <w:rPr>
          <w:i/>
          <w:lang w:eastAsia="en-NZ"/>
        </w:rPr>
        <w:t>CCA Immunisation Provider Review Form</w:t>
      </w:r>
      <w:r>
        <w:rPr>
          <w:lang w:eastAsia="en-NZ"/>
        </w:rPr>
        <w:t>.</w:t>
      </w:r>
      <w:r w:rsidRPr="002234E6">
        <w:rPr>
          <w:lang w:eastAsia="en-NZ"/>
        </w:rPr>
        <w:t xml:space="preserve"> </w:t>
      </w:r>
      <w:r>
        <w:rPr>
          <w:lang w:eastAsia="en-NZ"/>
        </w:rPr>
        <w:t xml:space="preserve">To access these, </w:t>
      </w:r>
      <w:r w:rsidRPr="002234E6">
        <w:rPr>
          <w:lang w:eastAsia="en-NZ"/>
        </w:rPr>
        <w:t>go to the Ministry of Health</w:t>
      </w:r>
      <w:r w:rsidR="007E44E1">
        <w:rPr>
          <w:lang w:eastAsia="en-NZ"/>
        </w:rPr>
        <w:t>’</w:t>
      </w:r>
      <w:r w:rsidRPr="002234E6">
        <w:rPr>
          <w:lang w:eastAsia="en-NZ"/>
        </w:rPr>
        <w:t xml:space="preserve">s cold chain </w:t>
      </w:r>
      <w:r>
        <w:rPr>
          <w:lang w:eastAsia="en-NZ"/>
        </w:rPr>
        <w:t>web</w:t>
      </w:r>
      <w:r w:rsidRPr="002234E6">
        <w:rPr>
          <w:lang w:eastAsia="en-NZ"/>
        </w:rPr>
        <w:t>page (</w:t>
      </w:r>
      <w:hyperlink r:id="rId22" w:history="1">
        <w:r w:rsidRPr="002234E6">
          <w:rPr>
            <w:rStyle w:val="Hyperlink"/>
            <w:rFonts w:cs="Segoe UI"/>
            <w:bCs/>
            <w:szCs w:val="22"/>
            <w:lang w:eastAsia="en-NZ"/>
          </w:rPr>
          <w:t>www.health.govt.nz/coldchain</w:t>
        </w:r>
      </w:hyperlink>
      <w:r w:rsidRPr="00D01D5E">
        <w:t>).</w:t>
      </w:r>
    </w:p>
    <w:p w14:paraId="279FF17E" w14:textId="77777777" w:rsidR="00A163F8" w:rsidRPr="002234E6" w:rsidRDefault="00A163F8" w:rsidP="00D01D5E">
      <w:pPr>
        <w:rPr>
          <w:lang w:eastAsia="en-NZ"/>
        </w:rPr>
      </w:pPr>
    </w:p>
    <w:p w14:paraId="3E004085" w14:textId="77777777" w:rsidR="00A163F8" w:rsidRPr="002234E6" w:rsidRDefault="00A163F8" w:rsidP="004812C4">
      <w:pPr>
        <w:pStyle w:val="Heading1"/>
      </w:pPr>
      <w:bookmarkStart w:id="26" w:name="_Toc469389332"/>
      <w:bookmarkStart w:id="27" w:name="_Toc9863071"/>
      <w:bookmarkStart w:id="28" w:name="_Toc18062241"/>
      <w:r w:rsidRPr="002234E6">
        <w:lastRenderedPageBreak/>
        <w:t>4</w:t>
      </w:r>
      <w:r w:rsidRPr="002234E6">
        <w:tab/>
        <w:t xml:space="preserve">Cold </w:t>
      </w:r>
      <w:r>
        <w:t>C</w:t>
      </w:r>
      <w:r w:rsidRPr="002234E6">
        <w:t xml:space="preserve">hain </w:t>
      </w:r>
      <w:r>
        <w:t>C</w:t>
      </w:r>
      <w:r w:rsidRPr="002234E6">
        <w:t>ompliance</w:t>
      </w:r>
      <w:bookmarkEnd w:id="26"/>
      <w:bookmarkEnd w:id="27"/>
      <w:bookmarkEnd w:id="28"/>
    </w:p>
    <w:p w14:paraId="2AB80EAD" w14:textId="77777777" w:rsidR="00A163F8" w:rsidRPr="002234E6" w:rsidRDefault="00A163F8" w:rsidP="004812C4">
      <w:r>
        <w:t xml:space="preserve">The existence of the </w:t>
      </w:r>
      <w:r w:rsidRPr="002234E6">
        <w:t xml:space="preserve">category called </w:t>
      </w:r>
      <w:r w:rsidR="007E44E1">
        <w:t>‘</w:t>
      </w:r>
      <w:r>
        <w:t>C</w:t>
      </w:r>
      <w:r w:rsidRPr="002234E6">
        <w:t xml:space="preserve">old </w:t>
      </w:r>
      <w:r>
        <w:t>C</w:t>
      </w:r>
      <w:r w:rsidRPr="002234E6">
        <w:t xml:space="preserve">hain </w:t>
      </w:r>
      <w:r>
        <w:t>C</w:t>
      </w:r>
      <w:r w:rsidRPr="002234E6">
        <w:t>ompliance</w:t>
      </w:r>
      <w:r w:rsidR="007E44E1">
        <w:t>’</w:t>
      </w:r>
      <w:r w:rsidRPr="002234E6">
        <w:t xml:space="preserve"> (CCC) acknowledges that a number of immunisation providers offer only short-term services for influenza vaccine.</w:t>
      </w:r>
    </w:p>
    <w:p w14:paraId="7217CCF3" w14:textId="77777777" w:rsidR="00A163F8" w:rsidRPr="002234E6" w:rsidRDefault="00A163F8" w:rsidP="004812C4"/>
    <w:p w14:paraId="161E78C5" w14:textId="77777777" w:rsidR="007E44E1" w:rsidRDefault="00A163F8" w:rsidP="004812C4">
      <w:r w:rsidRPr="002234E6">
        <w:t>CCC is issued only when an immunisation provider meets all of the requirements for CCA but are unable to show the three</w:t>
      </w:r>
      <w:r>
        <w:t>-</w:t>
      </w:r>
      <w:r w:rsidRPr="002234E6">
        <w:t>month continuous temperature monitoring records</w:t>
      </w:r>
      <w:r>
        <w:t xml:space="preserve">, and </w:t>
      </w:r>
      <w:r w:rsidRPr="002234E6">
        <w:t>when a new immunisation provider is setting up.</w:t>
      </w:r>
      <w:r w:rsidRPr="00F3091B">
        <w:t xml:space="preserve"> </w:t>
      </w:r>
      <w:r>
        <w:t xml:space="preserve">It </w:t>
      </w:r>
      <w:r w:rsidRPr="002234E6">
        <w:t>may also be applied in hospital settings for areas stocking influenza vaccine only.</w:t>
      </w:r>
    </w:p>
    <w:p w14:paraId="2A0BE606" w14:textId="77777777" w:rsidR="00A163F8" w:rsidRPr="002234E6" w:rsidRDefault="00A163F8" w:rsidP="004812C4"/>
    <w:p w14:paraId="25844075" w14:textId="14D9C3F8" w:rsidR="00A163F8" w:rsidRPr="002234E6" w:rsidRDefault="00A163F8" w:rsidP="004812C4">
      <w:r w:rsidRPr="002234E6">
        <w:t>CCC is issued through the same process as CCA: that is, the provider conducts a self-assessment, and then the CCA reviewer undertakes a review of the immunisation provider</w:t>
      </w:r>
      <w:r w:rsidR="007E44E1">
        <w:t>’</w:t>
      </w:r>
      <w:r w:rsidRPr="002234E6">
        <w:t>s cold chain management. A local certificate or letter is issued for CCC</w:t>
      </w:r>
      <w:r>
        <w:t>;</w:t>
      </w:r>
      <w:r w:rsidRPr="002234E6">
        <w:t xml:space="preserve"> </w:t>
      </w:r>
      <w:r>
        <w:t xml:space="preserve">this </w:t>
      </w:r>
      <w:r w:rsidRPr="002234E6">
        <w:t>is valid for up to nine months. The expectation is that the CCC process will be undertaken before the provider begins its immunisation programme each year</w:t>
      </w:r>
      <w:r>
        <w:t>;</w:t>
      </w:r>
      <w:r w:rsidRPr="00F62A24">
        <w:t xml:space="preserve"> where this is not feasible</w:t>
      </w:r>
      <w:r>
        <w:t>,</w:t>
      </w:r>
      <w:r w:rsidRPr="00F62A24">
        <w:t xml:space="preserve"> the provider must complete the CCA self-assessment to confirm they meet the standards requirements and return this to the CCA reviewer </w:t>
      </w:r>
      <w:r w:rsidR="005456FE">
        <w:t xml:space="preserve">for review </w:t>
      </w:r>
      <w:r w:rsidRPr="00F62A24">
        <w:t>prior to recommencing/</w:t>
      </w:r>
      <w:r w:rsidR="004812C4">
        <w:t xml:space="preserve"> </w:t>
      </w:r>
      <w:r w:rsidRPr="00F62A24">
        <w:t>continuing the immunisation service.</w:t>
      </w:r>
    </w:p>
    <w:p w14:paraId="5DA99EE5" w14:textId="77777777" w:rsidR="00A163F8" w:rsidRPr="002234E6" w:rsidRDefault="00A163F8" w:rsidP="004812C4"/>
    <w:p w14:paraId="4F41A197" w14:textId="77777777" w:rsidR="00A163F8" w:rsidRPr="00F62A24" w:rsidRDefault="00A163F8" w:rsidP="004812C4">
      <w:r w:rsidRPr="002234E6">
        <w:t>If a provider offered an immunisation service in the previous year, it must produce its temperature recordings (daily recordings and datalogger downloads</w:t>
      </w:r>
      <w:r>
        <w:t>/records</w:t>
      </w:r>
      <w:r w:rsidRPr="002234E6">
        <w:t xml:space="preserve">) for that year for the CCC review. </w:t>
      </w:r>
      <w:r w:rsidRPr="00F62A24">
        <w:t>All recordings from the previous year should be available</w:t>
      </w:r>
      <w:r>
        <w:t>,</w:t>
      </w:r>
      <w:r w:rsidRPr="00F62A24">
        <w:t xml:space="preserve"> and the reviewer </w:t>
      </w:r>
      <w:r>
        <w:t xml:space="preserve">should be </w:t>
      </w:r>
      <w:r w:rsidRPr="00F62A24">
        <w:t>able to randomly select dates to view off</w:t>
      </w:r>
      <w:r>
        <w:t>-</w:t>
      </w:r>
      <w:r w:rsidRPr="00F62A24">
        <w:t>site clinic data and on</w:t>
      </w:r>
      <w:r>
        <w:t>-</w:t>
      </w:r>
      <w:r w:rsidRPr="00F62A24">
        <w:t>site refrigerator recordings (</w:t>
      </w:r>
      <w:r>
        <w:t xml:space="preserve">note: </w:t>
      </w:r>
      <w:r w:rsidRPr="00F62A24">
        <w:t xml:space="preserve">where the company is the same but the vaccinator contract to provide </w:t>
      </w:r>
      <w:r>
        <w:t>the services is not, this may not be possible</w:t>
      </w:r>
      <w:r w:rsidRPr="00F62A24">
        <w:t>).</w:t>
      </w:r>
    </w:p>
    <w:p w14:paraId="23E0F500" w14:textId="77777777" w:rsidR="00A163F8" w:rsidRPr="002234E6" w:rsidRDefault="00A163F8" w:rsidP="004812C4"/>
    <w:p w14:paraId="0823BDFF" w14:textId="77777777" w:rsidR="00A163F8" w:rsidRPr="002234E6" w:rsidRDefault="00A163F8" w:rsidP="004812C4">
      <w:r w:rsidRPr="002234E6">
        <w:t>CCC is not relevant to community pharmacies providing immunisation services</w:t>
      </w:r>
      <w:r>
        <w:t>, as their compliance with the National Standards is audited as part of Medicines Control</w:t>
      </w:r>
      <w:r w:rsidR="007E44E1">
        <w:t>’</w:t>
      </w:r>
      <w:r>
        <w:t>s regulatory activities.</w:t>
      </w:r>
    </w:p>
    <w:p w14:paraId="5E3C8D91" w14:textId="77777777" w:rsidR="00A163F8" w:rsidRPr="002234E6" w:rsidRDefault="00A163F8" w:rsidP="004812C4"/>
    <w:p w14:paraId="540FDAC7" w14:textId="77777777" w:rsidR="00A163F8" w:rsidRPr="002234E6" w:rsidRDefault="00A163F8" w:rsidP="004812C4">
      <w:pPr>
        <w:pStyle w:val="Heading1"/>
      </w:pPr>
      <w:bookmarkStart w:id="29" w:name="_5.0_People"/>
      <w:bookmarkStart w:id="30" w:name="_Toc469389333"/>
      <w:bookmarkStart w:id="31" w:name="_Toc9863072"/>
      <w:bookmarkStart w:id="32" w:name="_Toc18062242"/>
      <w:bookmarkEnd w:id="29"/>
      <w:r w:rsidRPr="002234E6">
        <w:lastRenderedPageBreak/>
        <w:t>5</w:t>
      </w:r>
      <w:r w:rsidRPr="002234E6">
        <w:tab/>
        <w:t>People</w:t>
      </w:r>
      <w:bookmarkEnd w:id="30"/>
      <w:bookmarkEnd w:id="31"/>
      <w:bookmarkEnd w:id="32"/>
    </w:p>
    <w:p w14:paraId="7F48DBBB" w14:textId="77777777" w:rsidR="00A163F8" w:rsidRPr="002234E6" w:rsidRDefault="00A163F8" w:rsidP="004812C4">
      <w:r w:rsidRPr="002234E6">
        <w:t>People play a key role in ensuring that vaccines are kept within the required +2°C to +8°C temperature range when they are stored and transported. All vaccinators are responsible for ensuring the vaccines they administer have been stored correctly.</w:t>
      </w:r>
    </w:p>
    <w:p w14:paraId="2922942A" w14:textId="77777777" w:rsidR="00A163F8" w:rsidRPr="002234E6" w:rsidRDefault="00A163F8" w:rsidP="004812C4"/>
    <w:p w14:paraId="2E9AD338" w14:textId="77777777" w:rsidR="00A163F8" w:rsidRPr="002234E6" w:rsidRDefault="00A163F8" w:rsidP="004812C4">
      <w:r>
        <w:t>A</w:t>
      </w:r>
      <w:r w:rsidRPr="002234E6">
        <w:t>ll clinical staff need a high level of knowledge about cold chain principles and equipment</w:t>
      </w:r>
      <w:r>
        <w:t>. However</w:t>
      </w:r>
      <w:r w:rsidRPr="002234E6">
        <w:t>, each provider must nominate at least two people to hold overall responsibility for vaccine storage and temperature monitoring.</w:t>
      </w:r>
    </w:p>
    <w:p w14:paraId="04A5DB85" w14:textId="77777777" w:rsidR="00A163F8" w:rsidRPr="002234E6" w:rsidRDefault="00A163F8" w:rsidP="004812C4"/>
    <w:p w14:paraId="69E33E6D" w14:textId="77777777" w:rsidR="00A163F8" w:rsidRPr="002234E6" w:rsidRDefault="00A163F8" w:rsidP="004812C4">
      <w:r w:rsidRPr="002234E6">
        <w:t>All cli</w:t>
      </w:r>
      <w:r w:rsidRPr="004812C4">
        <w:t>n</w:t>
      </w:r>
      <w:r w:rsidRPr="002234E6">
        <w:t>ical staff must have read and understood, and must comply with, their provider</w:t>
      </w:r>
      <w:r w:rsidR="007E44E1">
        <w:t>’</w:t>
      </w:r>
      <w:r w:rsidRPr="002234E6">
        <w:t>s cold chain policy.</w:t>
      </w:r>
    </w:p>
    <w:p w14:paraId="4DDED5E1" w14:textId="77777777" w:rsidR="00A163F8" w:rsidRPr="002234E6" w:rsidRDefault="00A163F8" w:rsidP="004812C4"/>
    <w:p w14:paraId="78C0035C" w14:textId="77777777" w:rsidR="007E44E1" w:rsidRDefault="00A163F8" w:rsidP="004812C4">
      <w:r w:rsidRPr="00F62A24">
        <w:t xml:space="preserve">All relevant clinical staff </w:t>
      </w:r>
      <w:r>
        <w:t xml:space="preserve">must </w:t>
      </w:r>
      <w:r w:rsidRPr="00F62A24">
        <w:t>review cold chain records prior to accessing any vaccine, to ensure vaccine thermostability.</w:t>
      </w:r>
    </w:p>
    <w:p w14:paraId="794DCC77" w14:textId="77777777" w:rsidR="00A163F8" w:rsidRPr="002234E6" w:rsidRDefault="00A163F8" w:rsidP="004812C4"/>
    <w:p w14:paraId="38A9EEBC" w14:textId="77777777" w:rsidR="00A163F8" w:rsidRPr="002234E6" w:rsidRDefault="00A163F8" w:rsidP="004812C4">
      <w:r w:rsidRPr="002234E6">
        <w:t>All relevant clinical staff are expected to take appropriate action if the cold chain is not maintained.</w:t>
      </w:r>
    </w:p>
    <w:p w14:paraId="6A3885B9" w14:textId="77777777" w:rsidR="00A163F8" w:rsidRPr="002234E6" w:rsidRDefault="00A163F8" w:rsidP="004812C4"/>
    <w:p w14:paraId="156F0BD6" w14:textId="77777777" w:rsidR="00A163F8" w:rsidRPr="002234E6" w:rsidRDefault="00A163F8" w:rsidP="004812C4">
      <w:pPr>
        <w:pStyle w:val="Heading2"/>
      </w:pPr>
      <w:bookmarkStart w:id="33" w:name="_Toc469389334"/>
      <w:bookmarkStart w:id="34" w:name="_Toc9863073"/>
      <w:bookmarkStart w:id="35" w:name="_Toc18062243"/>
      <w:r w:rsidRPr="002234E6">
        <w:t>5.1</w:t>
      </w:r>
      <w:r w:rsidRPr="002234E6">
        <w:tab/>
        <w:t>Requirements for all immunisation providers</w:t>
      </w:r>
      <w:bookmarkEnd w:id="33"/>
      <w:bookmarkEnd w:id="34"/>
      <w:bookmarkEnd w:id="35"/>
    </w:p>
    <w:p w14:paraId="6025CD5C" w14:textId="77777777" w:rsidR="00A163F8" w:rsidRPr="002234E6" w:rsidRDefault="00A163F8" w:rsidP="004812C4">
      <w:bookmarkStart w:id="36" w:name="_Toc469389335"/>
      <w:r w:rsidRPr="002234E6">
        <w:t>All immunisation providers must:</w:t>
      </w:r>
      <w:bookmarkEnd w:id="36"/>
    </w:p>
    <w:p w14:paraId="25441A3D" w14:textId="77777777" w:rsidR="00A163F8" w:rsidRPr="002234E6" w:rsidRDefault="00A163F8" w:rsidP="004812C4">
      <w:pPr>
        <w:pStyle w:val="Bullet"/>
      </w:pPr>
      <w:r w:rsidRPr="002234E6">
        <w:t>ensure that the minimum and maximum refrigerator temperatures are checked and recorded daily on a temperature recording chart and that the minimum/maximum thermometer is reset at this time</w:t>
      </w:r>
    </w:p>
    <w:p w14:paraId="40AF6B81" w14:textId="77777777" w:rsidR="00A163F8" w:rsidRPr="002234E6" w:rsidRDefault="00A163F8" w:rsidP="004812C4">
      <w:pPr>
        <w:pStyle w:val="Bullet"/>
      </w:pPr>
      <w:r w:rsidRPr="002234E6">
        <w:t>check the temperature recording chart for variations in temperature before using vaccines</w:t>
      </w:r>
    </w:p>
    <w:p w14:paraId="24BC096F" w14:textId="77777777" w:rsidR="00A163F8" w:rsidRPr="002234E6" w:rsidRDefault="00A163F8" w:rsidP="004812C4">
      <w:pPr>
        <w:pStyle w:val="Bullet"/>
      </w:pPr>
      <w:r w:rsidRPr="002234E6">
        <w:t>store the minimum/maximum temperature recording chart by the refrigerator so that all vaccinators can check the recordings before taking the vaccines out of the refrigerators</w:t>
      </w:r>
    </w:p>
    <w:p w14:paraId="5CC2AB6F" w14:textId="77777777" w:rsidR="00A163F8" w:rsidRPr="002234E6" w:rsidRDefault="00A163F8" w:rsidP="004812C4">
      <w:pPr>
        <w:pStyle w:val="Bullet"/>
      </w:pPr>
      <w:r w:rsidRPr="002234E6">
        <w:t xml:space="preserve">keep the temperature records for </w:t>
      </w:r>
      <w:r w:rsidR="00B11EBF">
        <w:t>10</w:t>
      </w:r>
      <w:r w:rsidRPr="002234E6">
        <w:t xml:space="preserve"> years, consistent</w:t>
      </w:r>
      <w:r>
        <w:t>ly</w:t>
      </w:r>
      <w:r w:rsidRPr="002234E6">
        <w:t xml:space="preserve"> with the Health (Retention of Health Information) Regulations 1996</w:t>
      </w:r>
    </w:p>
    <w:p w14:paraId="33379F6F" w14:textId="77777777" w:rsidR="00A163F8" w:rsidRPr="002234E6" w:rsidRDefault="00A163F8" w:rsidP="004812C4">
      <w:pPr>
        <w:pStyle w:val="Bullet"/>
      </w:pPr>
      <w:r w:rsidRPr="002234E6">
        <w:t>ensure that all relevant clinical staff know how to download</w:t>
      </w:r>
      <w:r>
        <w:t>/access</w:t>
      </w:r>
      <w:r w:rsidRPr="002234E6">
        <w:t>, save and file the datalogger recordings; can review the data and compare it with the minimum/</w:t>
      </w:r>
      <w:r w:rsidR="004812C4">
        <w:t xml:space="preserve"> </w:t>
      </w:r>
      <w:r w:rsidRPr="002234E6">
        <w:t>maximum thermometer readings every week</w:t>
      </w:r>
    </w:p>
    <w:p w14:paraId="77EC448E" w14:textId="77777777" w:rsidR="00A163F8" w:rsidRPr="002234E6" w:rsidRDefault="00A163F8" w:rsidP="004812C4">
      <w:pPr>
        <w:pStyle w:val="Bullet"/>
      </w:pPr>
      <w:r w:rsidRPr="002234E6">
        <w:t xml:space="preserve">immediately act on temperature readings outside the required +2°C to +8°C range by following the process outlined in their cold chain policy; see </w:t>
      </w:r>
      <w:hyperlink w:anchor="_6.4_Process_for" w:history="1">
        <w:r w:rsidRPr="002234E6">
          <w:rPr>
            <w:rStyle w:val="Hyperlink"/>
            <w:rFonts w:cs="Segoe UI"/>
          </w:rPr>
          <w:t>section 6.4</w:t>
        </w:r>
      </w:hyperlink>
      <w:r w:rsidRPr="002234E6">
        <w:t xml:space="preserve"> for more information</w:t>
      </w:r>
    </w:p>
    <w:p w14:paraId="3E0EF69E" w14:textId="77777777" w:rsidR="00A163F8" w:rsidRPr="002234E6" w:rsidRDefault="00A163F8" w:rsidP="004812C4">
      <w:pPr>
        <w:pStyle w:val="Bullet"/>
      </w:pPr>
      <w:r w:rsidRPr="002234E6">
        <w:t>document actions taken and reasons why temperature readings were outside the required +2°C to +8°C range.</w:t>
      </w:r>
    </w:p>
    <w:p w14:paraId="5F17EF20" w14:textId="77777777" w:rsidR="00A163F8" w:rsidRPr="002234E6" w:rsidRDefault="00A163F8" w:rsidP="004812C4"/>
    <w:p w14:paraId="343D95C3" w14:textId="77777777" w:rsidR="00A163F8" w:rsidRPr="002234E6" w:rsidRDefault="00A163F8" w:rsidP="004812C4">
      <w:pPr>
        <w:pStyle w:val="Heading2"/>
      </w:pPr>
      <w:bookmarkStart w:id="37" w:name="_Toc469389336"/>
      <w:bookmarkStart w:id="38" w:name="_Toc9863074"/>
      <w:bookmarkStart w:id="39" w:name="_Toc18062244"/>
      <w:r w:rsidRPr="002234E6">
        <w:lastRenderedPageBreak/>
        <w:t>5.2</w:t>
      </w:r>
      <w:r w:rsidRPr="002234E6">
        <w:tab/>
        <w:t xml:space="preserve">Designated cold chain </w:t>
      </w:r>
      <w:bookmarkEnd w:id="37"/>
      <w:r w:rsidRPr="002234E6">
        <w:t>management leads</w:t>
      </w:r>
      <w:bookmarkEnd w:id="38"/>
      <w:bookmarkEnd w:id="39"/>
    </w:p>
    <w:p w14:paraId="39A72C56" w14:textId="77777777" w:rsidR="00A163F8" w:rsidRPr="002234E6" w:rsidRDefault="00A163F8" w:rsidP="004812C4">
      <w:r w:rsidRPr="002234E6">
        <w:t>The provider</w:t>
      </w:r>
      <w:r w:rsidR="007E44E1">
        <w:t>’</w:t>
      </w:r>
      <w:r w:rsidRPr="002234E6">
        <w:t>s designated cold chain management leads (</w:t>
      </w:r>
      <w:r>
        <w:t xml:space="preserve">a minimum of </w:t>
      </w:r>
      <w:r w:rsidRPr="002234E6">
        <w:t>two people) should be authorised vaccinators, general practitioners or pharmacist vaccinators. Where this is not possible, the provider should discuss the issue with the CCA reviewer and appoint the most appropriate people.</w:t>
      </w:r>
    </w:p>
    <w:p w14:paraId="5D5CB88E" w14:textId="77777777" w:rsidR="00A163F8" w:rsidRPr="002234E6" w:rsidRDefault="00A163F8" w:rsidP="004812C4"/>
    <w:p w14:paraId="49210D35" w14:textId="77777777" w:rsidR="00A163F8" w:rsidRPr="002234E6" w:rsidRDefault="00A163F8" w:rsidP="004812C4">
      <w:r w:rsidRPr="002234E6">
        <w:t>The designated cold chain staff are responsible for:</w:t>
      </w:r>
    </w:p>
    <w:p w14:paraId="14047A21" w14:textId="77777777" w:rsidR="00A163F8" w:rsidRPr="00F62A24" w:rsidRDefault="00A163F8" w:rsidP="004812C4">
      <w:pPr>
        <w:pStyle w:val="Bullet"/>
      </w:pPr>
      <w:r w:rsidRPr="002234E6">
        <w:t xml:space="preserve">ensuring the daily and weekly temperature monitoring checks are undertaken </w:t>
      </w:r>
      <w:r w:rsidRPr="00F62A24">
        <w:t>and documented</w:t>
      </w:r>
      <w:r>
        <w:t>,</w:t>
      </w:r>
      <w:r w:rsidRPr="00F62A24">
        <w:t xml:space="preserve"> including ensuring the datalogger is rotated within the refrigerator</w:t>
      </w:r>
    </w:p>
    <w:p w14:paraId="0ACE0F98" w14:textId="77777777" w:rsidR="00A163F8" w:rsidRPr="00F62A24" w:rsidRDefault="00A163F8" w:rsidP="004812C4">
      <w:pPr>
        <w:pStyle w:val="Bullet"/>
      </w:pPr>
      <w:r>
        <w:t>reviewing records</w:t>
      </w:r>
      <w:r w:rsidRPr="00F62A24">
        <w:t xml:space="preserve"> at the end of each month to check for seasonal fluctuations and trends</w:t>
      </w:r>
    </w:p>
    <w:p w14:paraId="1E38F843" w14:textId="1DC7440D" w:rsidR="00A163F8" w:rsidRPr="00F62A24" w:rsidRDefault="00A163F8" w:rsidP="004812C4">
      <w:pPr>
        <w:pStyle w:val="Bullet"/>
      </w:pPr>
      <w:r w:rsidRPr="00F62A24">
        <w:t>ensuring that any cold chain breaches, excursions or failures have been followed up</w:t>
      </w:r>
    </w:p>
    <w:p w14:paraId="0A98E51B" w14:textId="77777777" w:rsidR="00A163F8" w:rsidRPr="002234E6" w:rsidRDefault="00A163F8" w:rsidP="004812C4">
      <w:pPr>
        <w:pStyle w:val="Bullet"/>
      </w:pPr>
      <w:r w:rsidRPr="002234E6">
        <w:t>ensuring all relevant clinical staff are trained on how to check and reset the minimum/maximum thermometer and how to record the minimum and maximum temperatures, and know what to do if the temperature is outside the +2°C to +8°C range</w:t>
      </w:r>
    </w:p>
    <w:p w14:paraId="2699EA38" w14:textId="77777777" w:rsidR="007E44E1" w:rsidRDefault="00A163F8" w:rsidP="004812C4">
      <w:pPr>
        <w:pStyle w:val="Bullet"/>
      </w:pPr>
      <w:r w:rsidRPr="00F62A24">
        <w:t xml:space="preserve">following up privately purchased vaccine thermostability following a cold chain breach </w:t>
      </w:r>
      <w:r>
        <w:t>(</w:t>
      </w:r>
      <w:r w:rsidRPr="00F62A24">
        <w:t>this should be discussed with the coordinator</w:t>
      </w:r>
      <w:r>
        <w:t>)</w:t>
      </w:r>
    </w:p>
    <w:p w14:paraId="79BB1CAA" w14:textId="77777777" w:rsidR="00A163F8" w:rsidRPr="002234E6" w:rsidRDefault="00A163F8" w:rsidP="004812C4">
      <w:pPr>
        <w:pStyle w:val="Bullet"/>
      </w:pPr>
      <w:r w:rsidRPr="002234E6">
        <w:t>ensuring all relevant clinical staff know how to download</w:t>
      </w:r>
      <w:r>
        <w:t>/access</w:t>
      </w:r>
      <w:r w:rsidRPr="002234E6">
        <w:t xml:space="preserve"> and review the datalogger information and know the actions to take if the recordings are outside the required range</w:t>
      </w:r>
    </w:p>
    <w:p w14:paraId="1A479A0D" w14:textId="77777777" w:rsidR="00A163F8" w:rsidRPr="002234E6" w:rsidRDefault="00A163F8" w:rsidP="004812C4">
      <w:pPr>
        <w:pStyle w:val="Bullet"/>
      </w:pPr>
      <w:r w:rsidRPr="002234E6">
        <w:t>changing, when required, the refrigerator set point</w:t>
      </w:r>
      <w:r>
        <w:t>,</w:t>
      </w:r>
      <w:r w:rsidRPr="002234E6">
        <w:t xml:space="preserve"> </w:t>
      </w:r>
      <w:r>
        <w:t xml:space="preserve">only </w:t>
      </w:r>
      <w:r w:rsidRPr="002234E6">
        <w:t>on advice from the pharmaceutical refrigerator technician</w:t>
      </w:r>
      <w:r>
        <w:t>,</w:t>
      </w:r>
      <w:r w:rsidRPr="002234E6">
        <w:t xml:space="preserve"> manufacturer </w:t>
      </w:r>
      <w:r>
        <w:t xml:space="preserve">or coordinator </w:t>
      </w:r>
      <w:r w:rsidRPr="002234E6">
        <w:t>(this must be documented)</w:t>
      </w:r>
    </w:p>
    <w:p w14:paraId="47ED949A" w14:textId="77777777" w:rsidR="00A163F8" w:rsidRPr="002234E6" w:rsidRDefault="00A163F8" w:rsidP="004812C4">
      <w:pPr>
        <w:pStyle w:val="Bullet"/>
      </w:pPr>
      <w:r w:rsidRPr="002234E6">
        <w:t>ensuring the refrigerator performance and daily temperature monitoring equipment are checked for accuracy on an annual basis as part of the refrigerator service</w:t>
      </w:r>
    </w:p>
    <w:p w14:paraId="006AB469" w14:textId="77777777" w:rsidR="00A163F8" w:rsidRPr="002234E6" w:rsidRDefault="00A163F8" w:rsidP="004812C4">
      <w:pPr>
        <w:pStyle w:val="Bullet"/>
      </w:pPr>
      <w:r w:rsidRPr="002234E6">
        <w:t>ensuring spatial logging of the provider</w:t>
      </w:r>
      <w:r w:rsidR="007E44E1">
        <w:t>’</w:t>
      </w:r>
      <w:r w:rsidRPr="002234E6">
        <w:t>s refrigerator occurs every three years by the coordinator.</w:t>
      </w:r>
    </w:p>
    <w:p w14:paraId="1897D92B" w14:textId="77777777" w:rsidR="00A163F8" w:rsidRPr="002234E6" w:rsidRDefault="00A163F8" w:rsidP="004812C4"/>
    <w:p w14:paraId="147302DE" w14:textId="77777777" w:rsidR="00A163F8" w:rsidRPr="00F62A24" w:rsidRDefault="00A163F8" w:rsidP="004812C4">
      <w:pPr>
        <w:pStyle w:val="Heading2"/>
      </w:pPr>
      <w:bookmarkStart w:id="40" w:name="_Toc8139018"/>
      <w:bookmarkStart w:id="41" w:name="_Toc9863075"/>
      <w:bookmarkStart w:id="42" w:name="_Toc18062245"/>
      <w:r w:rsidRPr="00F62A24">
        <w:lastRenderedPageBreak/>
        <w:t>5.3</w:t>
      </w:r>
      <w:r w:rsidRPr="00F62A24">
        <w:tab/>
        <w:t>Immunisation/</w:t>
      </w:r>
      <w:r>
        <w:t>c</w:t>
      </w:r>
      <w:r w:rsidRPr="00F62A24">
        <w:t>old chain coordinators</w:t>
      </w:r>
      <w:bookmarkEnd w:id="40"/>
      <w:bookmarkEnd w:id="41"/>
      <w:bookmarkEnd w:id="42"/>
    </w:p>
    <w:p w14:paraId="1B41BF20" w14:textId="597A175F" w:rsidR="00A163F8" w:rsidRPr="00F62A24" w:rsidRDefault="00077354" w:rsidP="004812C4">
      <w:pPr>
        <w:keepLines/>
      </w:pPr>
      <w:r>
        <w:t xml:space="preserve">Immunisation coordination services are </w:t>
      </w:r>
      <w:r w:rsidR="00A163F8" w:rsidRPr="00F62A24">
        <w:t>defined through the Crown Funding Agreement (CFA) Immunisation Coordination Services service specification between the Minister of Health and DHBs. This service specification outlines the DHB</w:t>
      </w:r>
      <w:r w:rsidR="007E44E1">
        <w:t>’</w:t>
      </w:r>
      <w:r w:rsidR="00A163F8" w:rsidRPr="00F62A24">
        <w:t xml:space="preserve">s role in ensuring </w:t>
      </w:r>
      <w:r w:rsidR="00A163F8">
        <w:t xml:space="preserve">that </w:t>
      </w:r>
      <w:r w:rsidR="00A163F8" w:rsidRPr="00F62A24">
        <w:t xml:space="preserve">all those involved in immunisation provision offer a </w:t>
      </w:r>
      <w:r w:rsidR="00A163F8">
        <w:t>high-</w:t>
      </w:r>
      <w:r w:rsidR="00A163F8" w:rsidRPr="00F62A24">
        <w:t xml:space="preserve">quality and safe vaccination experience. DHBs either directly contract/employ immunisation/cold chain coordinators or contract another organisation </w:t>
      </w:r>
      <w:r w:rsidR="00A163F8">
        <w:t>(</w:t>
      </w:r>
      <w:proofErr w:type="spellStart"/>
      <w:r w:rsidR="00A163F8">
        <w:t>eg</w:t>
      </w:r>
      <w:proofErr w:type="spellEnd"/>
      <w:r w:rsidR="00A163F8">
        <w:t xml:space="preserve">, a PHO) </w:t>
      </w:r>
      <w:r w:rsidR="00A163F8" w:rsidRPr="00F62A24">
        <w:t xml:space="preserve">to </w:t>
      </w:r>
      <w:r w:rsidR="00A163F8">
        <w:t>do so</w:t>
      </w:r>
      <w:r w:rsidR="00A163F8" w:rsidRPr="00F62A24">
        <w:t xml:space="preserve">. Coordinators provide cold chain education, advice and support, and review cold chain management practices for all immunisation providers, under the CFA. </w:t>
      </w:r>
      <w:r w:rsidR="00A163F8">
        <w:t>T</w:t>
      </w:r>
      <w:r w:rsidR="00A163F8" w:rsidRPr="00F62A24">
        <w:t>his document use</w:t>
      </w:r>
      <w:r w:rsidR="00A163F8">
        <w:t>s</w:t>
      </w:r>
      <w:r w:rsidR="00A163F8" w:rsidRPr="00F62A24">
        <w:t xml:space="preserve"> </w:t>
      </w:r>
      <w:r w:rsidR="007E44E1">
        <w:t>‘</w:t>
      </w:r>
      <w:r w:rsidR="00A163F8" w:rsidRPr="00F62A24">
        <w:t>coordinator</w:t>
      </w:r>
      <w:r w:rsidR="007E44E1">
        <w:t>’</w:t>
      </w:r>
      <w:r w:rsidR="00A163F8" w:rsidRPr="00F62A24">
        <w:t xml:space="preserve"> to refer to any roles that sit under the CFA</w:t>
      </w:r>
      <w:r w:rsidR="00A163F8">
        <w:t>,</w:t>
      </w:r>
      <w:r w:rsidR="00A163F8" w:rsidRPr="00F62A24">
        <w:t xml:space="preserve"> including CCA reviewer.</w:t>
      </w:r>
    </w:p>
    <w:p w14:paraId="444E00DC" w14:textId="77777777" w:rsidR="00A163F8" w:rsidRPr="00F62A24" w:rsidRDefault="00A163F8" w:rsidP="004812C4"/>
    <w:p w14:paraId="7F83CC06" w14:textId="77777777" w:rsidR="00A163F8" w:rsidRPr="00F62A24" w:rsidRDefault="00A163F8" w:rsidP="004812C4">
      <w:r w:rsidRPr="00F62A24">
        <w:t xml:space="preserve">Coordinators need to be familiar with the standards </w:t>
      </w:r>
      <w:r>
        <w:t xml:space="preserve">– and, </w:t>
      </w:r>
      <w:r w:rsidRPr="00F62A24">
        <w:t>in particular</w:t>
      </w:r>
      <w:r>
        <w:t>,</w:t>
      </w:r>
      <w:r w:rsidRPr="00F62A24">
        <w:t xml:space="preserve"> the principles behind the standards </w:t>
      </w:r>
      <w:r>
        <w:t xml:space="preserve">– </w:t>
      </w:r>
      <w:r w:rsidRPr="00F62A24">
        <w:t xml:space="preserve">so they are able to advise in situations that </w:t>
      </w:r>
      <w:r>
        <w:t xml:space="preserve">the standards do </w:t>
      </w:r>
      <w:r w:rsidRPr="00F62A24">
        <w:t>not specifically cover.</w:t>
      </w:r>
    </w:p>
    <w:p w14:paraId="7E371170" w14:textId="77777777" w:rsidR="00A163F8" w:rsidRPr="00F62A24" w:rsidRDefault="00A163F8" w:rsidP="004812C4"/>
    <w:p w14:paraId="21A50148" w14:textId="77777777" w:rsidR="00A163F8" w:rsidRPr="00F62A24" w:rsidRDefault="00A163F8" w:rsidP="004812C4">
      <w:r>
        <w:t>T</w:t>
      </w:r>
      <w:r w:rsidRPr="00F62A24">
        <w:t xml:space="preserve">he standards </w:t>
      </w:r>
      <w:r>
        <w:t xml:space="preserve">identify certain </w:t>
      </w:r>
      <w:r w:rsidRPr="00F62A24">
        <w:t>roles and requirements for coordinators. In summary</w:t>
      </w:r>
      <w:r>
        <w:t>, coordinators</w:t>
      </w:r>
      <w:r w:rsidRPr="00F62A24">
        <w:t>:</w:t>
      </w:r>
    </w:p>
    <w:p w14:paraId="522EE9EB" w14:textId="77777777" w:rsidR="007E44E1" w:rsidRDefault="00A163F8" w:rsidP="004812C4">
      <w:pPr>
        <w:pStyle w:val="Bullet"/>
      </w:pPr>
      <w:r w:rsidRPr="00F62A24">
        <w:t>support providers to implement the standards</w:t>
      </w:r>
      <w:r>
        <w:t>,</w:t>
      </w:r>
      <w:r w:rsidRPr="00F62A24">
        <w:t xml:space="preserve"> and ensure they have appropriate information</w:t>
      </w:r>
    </w:p>
    <w:p w14:paraId="6CD0B023" w14:textId="77777777" w:rsidR="00A163F8" w:rsidRPr="00F62A24" w:rsidRDefault="00A163F8" w:rsidP="004812C4">
      <w:pPr>
        <w:pStyle w:val="Bullet"/>
      </w:pPr>
      <w:r w:rsidRPr="00F62A24">
        <w:t>assess providers</w:t>
      </w:r>
      <w:r w:rsidR="007E44E1">
        <w:t>’</w:t>
      </w:r>
      <w:r w:rsidRPr="00F62A24">
        <w:t xml:space="preserve"> compliance with the standards (other than community pharmacies) using CCA/CCC</w:t>
      </w:r>
    </w:p>
    <w:p w14:paraId="1D0231C4" w14:textId="2752F8A0" w:rsidR="00A163F8" w:rsidRPr="00F62A24" w:rsidRDefault="00A163F8" w:rsidP="004812C4">
      <w:pPr>
        <w:pStyle w:val="Bullet"/>
      </w:pPr>
      <w:r w:rsidRPr="00F62A24">
        <w:t>spatially log all immunisation providers</w:t>
      </w:r>
      <w:r w:rsidR="007E44E1">
        <w:t>’</w:t>
      </w:r>
      <w:r w:rsidRPr="00F62A24">
        <w:t xml:space="preserve"> refrigerators at least every </w:t>
      </w:r>
      <w:r>
        <w:t xml:space="preserve">three </w:t>
      </w:r>
      <w:r w:rsidRPr="00F62A24">
        <w:t>years</w:t>
      </w:r>
      <w:r w:rsidR="00DB04B1">
        <w:t xml:space="preserve"> (including community pharmacies)</w:t>
      </w:r>
      <w:r w:rsidRPr="00F62A24">
        <w:t xml:space="preserve">, or at the time of CCA/CCC assessment </w:t>
      </w:r>
    </w:p>
    <w:p w14:paraId="783BFA33" w14:textId="77777777" w:rsidR="00A163F8" w:rsidRPr="00F62A24" w:rsidRDefault="00A163F8" w:rsidP="004812C4">
      <w:pPr>
        <w:pStyle w:val="Bullet"/>
      </w:pPr>
      <w:r w:rsidRPr="00F62A24">
        <w:t>provide advice to all immunisation providers in the event of an equipment or power failure</w:t>
      </w:r>
    </w:p>
    <w:p w14:paraId="2FFA7A1A" w14:textId="77777777" w:rsidR="007E44E1" w:rsidRDefault="00A163F8" w:rsidP="004812C4">
      <w:pPr>
        <w:pStyle w:val="Bullet"/>
      </w:pPr>
      <w:r w:rsidRPr="00F62A24">
        <w:t xml:space="preserve">respond and provide advice to all immunisation providers in the event of a cold chain breach, excursion or failure, including </w:t>
      </w:r>
      <w:r>
        <w:t xml:space="preserve">by </w:t>
      </w:r>
      <w:r w:rsidRPr="00F62A24">
        <w:t xml:space="preserve">providing thermostability advice on funded vaccines and </w:t>
      </w:r>
      <w:r>
        <w:t xml:space="preserve">by </w:t>
      </w:r>
      <w:r w:rsidRPr="00F62A24">
        <w:t>support</w:t>
      </w:r>
      <w:r>
        <w:t>ing</w:t>
      </w:r>
      <w:r w:rsidRPr="00F62A24">
        <w:t xml:space="preserve"> providers to seek advice for privately purchased vaccines</w:t>
      </w:r>
    </w:p>
    <w:p w14:paraId="372B0FC9" w14:textId="77777777" w:rsidR="007E44E1" w:rsidRDefault="00A163F8" w:rsidP="004812C4">
      <w:pPr>
        <w:pStyle w:val="Bullet"/>
      </w:pPr>
      <w:r w:rsidRPr="00F62A24">
        <w:t xml:space="preserve">report all cold chain excursions </w:t>
      </w:r>
      <w:r w:rsidRPr="00F33473">
        <w:t>to the IMAC Regional Immunisation Advisor (RIA)</w:t>
      </w:r>
      <w:r>
        <w:t xml:space="preserve"> within one week</w:t>
      </w:r>
      <w:r w:rsidRPr="00F33473">
        <w:t>, in addition to local PHO or DHB incident reporting processes</w:t>
      </w:r>
    </w:p>
    <w:p w14:paraId="0A0971C8" w14:textId="77777777" w:rsidR="00A163F8" w:rsidRPr="000A5624" w:rsidRDefault="00A163F8" w:rsidP="004812C4">
      <w:pPr>
        <w:pStyle w:val="Bullet"/>
      </w:pPr>
      <w:r>
        <w:t>report all suspected or confirmed cold chain failures to the RIA</w:t>
      </w:r>
      <w:r w:rsidRPr="00F62A24">
        <w:t xml:space="preserve"> </w:t>
      </w:r>
      <w:r>
        <w:t>within one working day</w:t>
      </w:r>
      <w:r w:rsidRPr="00F33473">
        <w:t>, in addition to local PHO or D</w:t>
      </w:r>
      <w:r>
        <w:t>HB incident reporting processes</w:t>
      </w:r>
    </w:p>
    <w:p w14:paraId="275EBE61" w14:textId="77777777" w:rsidR="00A163F8" w:rsidRPr="00F62A24" w:rsidRDefault="00A163F8" w:rsidP="004812C4">
      <w:pPr>
        <w:pStyle w:val="Bullet"/>
      </w:pPr>
      <w:r w:rsidRPr="00F62A24">
        <w:t>discuss issues of concern with appropriate contact</w:t>
      </w:r>
      <w:r>
        <w:t>s</w:t>
      </w:r>
      <w:r w:rsidRPr="00F62A24">
        <w:t xml:space="preserve"> </w:t>
      </w:r>
      <w:r>
        <w:t>(</w:t>
      </w:r>
      <w:proofErr w:type="spellStart"/>
      <w:r w:rsidRPr="00F62A24">
        <w:t>eg</w:t>
      </w:r>
      <w:proofErr w:type="spellEnd"/>
      <w:r>
        <w:t>,</w:t>
      </w:r>
      <w:r w:rsidRPr="00F62A24">
        <w:t xml:space="preserve"> DHB, PHO, RIA, </w:t>
      </w:r>
      <w:r>
        <w:t>Ministry of Health)</w:t>
      </w:r>
    </w:p>
    <w:p w14:paraId="78BA55F8" w14:textId="77777777" w:rsidR="00A163F8" w:rsidRPr="00F62A24" w:rsidRDefault="00A163F8" w:rsidP="004812C4">
      <w:pPr>
        <w:pStyle w:val="Bullet"/>
      </w:pPr>
      <w:r w:rsidRPr="00F62A24">
        <w:t>follow the Ministry</w:t>
      </w:r>
      <w:r w:rsidR="007E44E1">
        <w:t>’</w:t>
      </w:r>
      <w:r w:rsidRPr="00F62A24">
        <w:t>s process in the event of a possible or confirmed cold chain failure</w:t>
      </w:r>
      <w:r>
        <w:t xml:space="preserve"> (</w:t>
      </w:r>
      <w:hyperlink w:anchor="_6.4_Process_for_1" w:history="1">
        <w:r w:rsidR="004812C4" w:rsidRPr="004812C4">
          <w:rPr>
            <w:rStyle w:val="Hyperlink"/>
          </w:rPr>
          <w:t>section 6.4</w:t>
        </w:r>
      </w:hyperlink>
      <w:r>
        <w:t>)</w:t>
      </w:r>
      <w:r w:rsidRPr="00F62A24">
        <w:t>.</w:t>
      </w:r>
    </w:p>
    <w:p w14:paraId="1F80F6EB" w14:textId="77777777" w:rsidR="00A163F8" w:rsidRPr="002234E6" w:rsidRDefault="00A163F8" w:rsidP="004812C4"/>
    <w:p w14:paraId="318D5789" w14:textId="77777777" w:rsidR="00A163F8" w:rsidRPr="002234E6" w:rsidRDefault="00A163F8" w:rsidP="004812C4">
      <w:pPr>
        <w:pStyle w:val="Heading1"/>
      </w:pPr>
      <w:bookmarkStart w:id="43" w:name="_Toc469389337"/>
      <w:bookmarkStart w:id="44" w:name="_Toc9863076"/>
      <w:bookmarkStart w:id="45" w:name="_Toc18062246"/>
      <w:r w:rsidRPr="002234E6">
        <w:lastRenderedPageBreak/>
        <w:t>6</w:t>
      </w:r>
      <w:r w:rsidRPr="002234E6">
        <w:tab/>
        <w:t>Systems and processes</w:t>
      </w:r>
      <w:bookmarkEnd w:id="43"/>
      <w:bookmarkEnd w:id="44"/>
      <w:bookmarkEnd w:id="45"/>
    </w:p>
    <w:p w14:paraId="1663E529" w14:textId="77777777" w:rsidR="00A163F8" w:rsidRPr="002234E6" w:rsidRDefault="00A163F8" w:rsidP="004812C4">
      <w:r w:rsidRPr="002234E6">
        <w:t>The systems and processes that immunisation providers use ensure the continuity of the cold chain and provide helpful information for all staff in the facility on the appropriate actions to take if a cold chain breach occurs in order to prevent a cold chain failure (that is, to prevent compromised vaccines from being administered to patients).</w:t>
      </w:r>
      <w:r>
        <w:t xml:space="preserve"> These systems and processes</w:t>
      </w:r>
      <w:r w:rsidRPr="00F33473">
        <w:t xml:space="preserve"> may also support cold chain management for the storage of other refrigerated medicines.</w:t>
      </w:r>
    </w:p>
    <w:p w14:paraId="115B06D3" w14:textId="77777777" w:rsidR="00A163F8" w:rsidRPr="002234E6" w:rsidRDefault="00A163F8" w:rsidP="004812C4"/>
    <w:p w14:paraId="6C219794" w14:textId="77777777" w:rsidR="00A163F8" w:rsidRPr="004812C4" w:rsidRDefault="00A163F8" w:rsidP="004812C4">
      <w:r w:rsidRPr="002234E6">
        <w:t>All immunisation providers must have a cold chain policy that contains the required information outlined in the cold chain policy template (</w:t>
      </w:r>
      <w:hyperlink r:id="rId23" w:history="1">
        <w:r w:rsidRPr="002234E6">
          <w:rPr>
            <w:rStyle w:val="Hyperlink"/>
            <w:rFonts w:cs="Segoe UI"/>
          </w:rPr>
          <w:t>www.health.govt.nz/coldchain</w:t>
        </w:r>
      </w:hyperlink>
      <w:r w:rsidRPr="004812C4">
        <w:t>).</w:t>
      </w:r>
    </w:p>
    <w:p w14:paraId="5FC0FB2E" w14:textId="77777777" w:rsidR="00A163F8" w:rsidRPr="002234E6" w:rsidRDefault="00A163F8" w:rsidP="004812C4"/>
    <w:p w14:paraId="0970FBA4" w14:textId="77777777" w:rsidR="00A163F8" w:rsidRPr="002234E6" w:rsidRDefault="00A163F8" w:rsidP="004812C4">
      <w:pPr>
        <w:pStyle w:val="Heading2"/>
      </w:pPr>
      <w:bookmarkStart w:id="46" w:name="_6.1_Provider_cold"/>
      <w:bookmarkStart w:id="47" w:name="_Toc469389338"/>
      <w:bookmarkStart w:id="48" w:name="_Toc9863077"/>
      <w:bookmarkStart w:id="49" w:name="_Toc18062247"/>
      <w:bookmarkEnd w:id="46"/>
      <w:r w:rsidRPr="002234E6">
        <w:t>6.1</w:t>
      </w:r>
      <w:r w:rsidRPr="002234E6">
        <w:tab/>
        <w:t>Provider cold chain policy</w:t>
      </w:r>
      <w:bookmarkEnd w:id="47"/>
      <w:bookmarkEnd w:id="48"/>
      <w:bookmarkEnd w:id="49"/>
    </w:p>
    <w:p w14:paraId="4E727395" w14:textId="77777777" w:rsidR="00A163F8" w:rsidRPr="002234E6" w:rsidRDefault="00A163F8" w:rsidP="004812C4">
      <w:r w:rsidRPr="002234E6">
        <w:t>All immunisation providers storing and/or transporting vaccines must have a written, current cold chain management policy</w:t>
      </w:r>
      <w:r>
        <w:t xml:space="preserve"> that is</w:t>
      </w:r>
      <w:r w:rsidRPr="002234E6">
        <w:t>:</w:t>
      </w:r>
    </w:p>
    <w:p w14:paraId="17C8ED07" w14:textId="77777777" w:rsidR="00A163F8" w:rsidRPr="002234E6" w:rsidRDefault="00A163F8" w:rsidP="004812C4">
      <w:pPr>
        <w:pStyle w:val="Bullet"/>
      </w:pPr>
      <w:r w:rsidRPr="002234E6">
        <w:t>dated and signed by relevant staff</w:t>
      </w:r>
    </w:p>
    <w:p w14:paraId="1239ED7A" w14:textId="77777777" w:rsidR="00A163F8" w:rsidRPr="002234E6" w:rsidRDefault="00A163F8" w:rsidP="004812C4">
      <w:pPr>
        <w:pStyle w:val="Bullet"/>
      </w:pPr>
      <w:r w:rsidRPr="002234E6">
        <w:t>reviewed at least annually</w:t>
      </w:r>
    </w:p>
    <w:p w14:paraId="5358232E" w14:textId="2EAC8B99" w:rsidR="00A163F8" w:rsidRPr="002234E6" w:rsidRDefault="00A163F8" w:rsidP="004812C4">
      <w:pPr>
        <w:pStyle w:val="Bullet"/>
      </w:pPr>
      <w:r w:rsidRPr="002234E6">
        <w:t>reviewed when the designated cold chain staff, vaccine equipment or processes change</w:t>
      </w:r>
      <w:r w:rsidR="00DB04B1">
        <w:t>, a copy of the this should be supplied to the coordinator</w:t>
      </w:r>
      <w:r w:rsidRPr="002234E6">
        <w:t>.</w:t>
      </w:r>
    </w:p>
    <w:p w14:paraId="774A8EF3" w14:textId="77777777" w:rsidR="00A163F8" w:rsidRPr="002234E6" w:rsidRDefault="00A163F8" w:rsidP="004812C4"/>
    <w:p w14:paraId="025AE80F" w14:textId="77777777" w:rsidR="00A163F8" w:rsidRPr="002234E6" w:rsidRDefault="00A163F8" w:rsidP="004812C4">
      <w:r w:rsidRPr="002234E6">
        <w:t>The policy should specify:</w:t>
      </w:r>
    </w:p>
    <w:p w14:paraId="74852A96" w14:textId="3BDF7313" w:rsidR="00A163F8" w:rsidRPr="002234E6" w:rsidRDefault="00A163F8" w:rsidP="004812C4">
      <w:pPr>
        <w:pStyle w:val="Bullet"/>
      </w:pPr>
      <w:r w:rsidRPr="002234E6">
        <w:t xml:space="preserve">the names of </w:t>
      </w:r>
      <w:r>
        <w:t>(at least two)</w:t>
      </w:r>
      <w:r w:rsidRPr="002234E6">
        <w:t xml:space="preserve"> designated staff members responsible for cold chain management</w:t>
      </w:r>
    </w:p>
    <w:p w14:paraId="33BFC3F7" w14:textId="77777777" w:rsidR="00A163F8" w:rsidRPr="002234E6" w:rsidRDefault="00A163F8" w:rsidP="004812C4">
      <w:pPr>
        <w:pStyle w:val="Bullet"/>
      </w:pPr>
      <w:r w:rsidRPr="002234E6">
        <w:t>vaccine and stock requirements for the provider</w:t>
      </w:r>
      <w:r w:rsidR="007E44E1">
        <w:t>’</w:t>
      </w:r>
      <w:r w:rsidRPr="002234E6">
        <w:t>s programme or clinic</w:t>
      </w:r>
    </w:p>
    <w:p w14:paraId="5ECDB4DE" w14:textId="77777777" w:rsidR="00A163F8" w:rsidRPr="002234E6" w:rsidRDefault="00A163F8" w:rsidP="004812C4">
      <w:pPr>
        <w:pStyle w:val="Bullet"/>
      </w:pPr>
      <w:r w:rsidRPr="002234E6">
        <w:t>vaccine ordering and stock taking processe</w:t>
      </w:r>
      <w:r>
        <w:t>s</w:t>
      </w:r>
    </w:p>
    <w:p w14:paraId="14A09632" w14:textId="77777777" w:rsidR="00A163F8" w:rsidRPr="002234E6" w:rsidRDefault="00A163F8" w:rsidP="004812C4">
      <w:pPr>
        <w:pStyle w:val="Bullet"/>
      </w:pPr>
      <w:r w:rsidRPr="002234E6">
        <w:t>processes for receiving and storing vaccines</w:t>
      </w:r>
    </w:p>
    <w:p w14:paraId="6FAEC511" w14:textId="77777777" w:rsidR="00A163F8" w:rsidRPr="002234E6" w:rsidRDefault="00A163F8" w:rsidP="004812C4">
      <w:pPr>
        <w:pStyle w:val="Bullet"/>
      </w:pPr>
      <w:r w:rsidRPr="002234E6">
        <w:t>action to be taken if the provider receives a distributor</w:t>
      </w:r>
      <w:r w:rsidR="007E44E1">
        <w:t>’</w:t>
      </w:r>
      <w:r w:rsidRPr="002234E6">
        <w:t>s temperature monitoring device with their vaccine order (</w:t>
      </w:r>
      <w:proofErr w:type="spellStart"/>
      <w:r w:rsidRPr="002234E6">
        <w:t>eg</w:t>
      </w:r>
      <w:proofErr w:type="spellEnd"/>
      <w:r w:rsidRPr="002234E6">
        <w:t>, influenza or non-funded vaccines)</w:t>
      </w:r>
    </w:p>
    <w:p w14:paraId="1ECB1344" w14:textId="77777777" w:rsidR="00A163F8" w:rsidRPr="002234E6" w:rsidRDefault="00A163F8" w:rsidP="004812C4">
      <w:pPr>
        <w:pStyle w:val="Bullet"/>
      </w:pPr>
      <w:r w:rsidRPr="002234E6">
        <w:t xml:space="preserve">the plan and schedule for cold chain equipment maintenance (including refrigerator annual service </w:t>
      </w:r>
      <w:r>
        <w:t xml:space="preserve">according to </w:t>
      </w:r>
      <w:r w:rsidRPr="002234E6">
        <w:t>the manufacturer</w:t>
      </w:r>
      <w:r w:rsidR="007E44E1">
        <w:t>’</w:t>
      </w:r>
      <w:r w:rsidRPr="002234E6">
        <w:t>s recommendations and cleaning schedule)</w:t>
      </w:r>
    </w:p>
    <w:p w14:paraId="6FAED55E" w14:textId="77777777" w:rsidR="00A163F8" w:rsidRPr="002234E6" w:rsidRDefault="00A163F8" w:rsidP="004812C4">
      <w:pPr>
        <w:pStyle w:val="Bullet"/>
      </w:pPr>
      <w:r w:rsidRPr="002234E6">
        <w:t>processes for monitoring the refrigerator</w:t>
      </w:r>
      <w:r w:rsidR="007E44E1">
        <w:t>’</w:t>
      </w:r>
      <w:r>
        <w:t>s</w:t>
      </w:r>
      <w:r w:rsidRPr="002234E6">
        <w:t xml:space="preserve"> temperature, including instructions on datalogger use</w:t>
      </w:r>
    </w:p>
    <w:p w14:paraId="213C63CC" w14:textId="77777777" w:rsidR="00A163F8" w:rsidRPr="002234E6" w:rsidRDefault="00A163F8" w:rsidP="004812C4">
      <w:pPr>
        <w:pStyle w:val="Bullet"/>
      </w:pPr>
      <w:r w:rsidRPr="002234E6">
        <w:t>details of equipment to use for offsite vaccination clinics, including chilly bins, insulation material and temperature monitoring equipment</w:t>
      </w:r>
    </w:p>
    <w:p w14:paraId="24CD4B46" w14:textId="77777777" w:rsidR="00A163F8" w:rsidRPr="002234E6" w:rsidRDefault="00A163F8" w:rsidP="004812C4">
      <w:pPr>
        <w:pStyle w:val="Bullet"/>
      </w:pPr>
      <w:r w:rsidRPr="002234E6">
        <w:t>process</w:t>
      </w:r>
      <w:r>
        <w:t>es</w:t>
      </w:r>
      <w:r w:rsidRPr="002234E6">
        <w:t xml:space="preserve"> for temperature monitoring while vaccines are being stored in chilly bins for offsite immunisation clinics</w:t>
      </w:r>
    </w:p>
    <w:p w14:paraId="72CD7ED0" w14:textId="77777777" w:rsidR="00A163F8" w:rsidRPr="002234E6" w:rsidRDefault="00A163F8" w:rsidP="004812C4">
      <w:pPr>
        <w:pStyle w:val="Bullet"/>
      </w:pPr>
      <w:r w:rsidRPr="002234E6">
        <w:t>action to be taken when the temperature recordings of the refrigerator or chilly bins are outside the + 2°C to + 8°C range</w:t>
      </w:r>
    </w:p>
    <w:p w14:paraId="5086EF37" w14:textId="77777777" w:rsidR="00A163F8" w:rsidRPr="002234E6" w:rsidRDefault="00A163F8" w:rsidP="004812C4">
      <w:pPr>
        <w:pStyle w:val="Bullet"/>
      </w:pPr>
      <w:r w:rsidRPr="002234E6">
        <w:lastRenderedPageBreak/>
        <w:t xml:space="preserve">emergency plans and equipment to use if a refrigerator fails and/or a power outage occurs, including a nominated back-up provider </w:t>
      </w:r>
      <w:r w:rsidRPr="00F62A24">
        <w:t>(if practical</w:t>
      </w:r>
      <w:r>
        <w:t>,</w:t>
      </w:r>
      <w:r w:rsidRPr="00F62A24">
        <w:t xml:space="preserve"> </w:t>
      </w:r>
      <w:r>
        <w:t>one that would not be a</w:t>
      </w:r>
      <w:r w:rsidRPr="00F62A24">
        <w:t>ffected by a local power outage</w:t>
      </w:r>
      <w:r>
        <w:t>,</w:t>
      </w:r>
      <w:r w:rsidRPr="00F62A24">
        <w:t xml:space="preserve"> </w:t>
      </w:r>
      <w:r>
        <w:t xml:space="preserve">such as a </w:t>
      </w:r>
      <w:r w:rsidRPr="00F62A24">
        <w:t xml:space="preserve">power line </w:t>
      </w:r>
      <w:r>
        <w:t xml:space="preserve">being </w:t>
      </w:r>
      <w:r w:rsidRPr="00F62A24">
        <w:t>down)</w:t>
      </w:r>
      <w:r w:rsidRPr="002234E6">
        <w:t>. If</w:t>
      </w:r>
      <w:r>
        <w:t xml:space="preserve"> a</w:t>
      </w:r>
      <w:r w:rsidRPr="002234E6">
        <w:t xml:space="preserve"> provider </w:t>
      </w:r>
      <w:r>
        <w:t xml:space="preserve">is </w:t>
      </w:r>
      <w:r w:rsidRPr="002234E6">
        <w:t xml:space="preserve">in </w:t>
      </w:r>
      <w:r>
        <w:t xml:space="preserve">an </w:t>
      </w:r>
      <w:r w:rsidRPr="002234E6">
        <w:t xml:space="preserve">area regularly affected by power outages, </w:t>
      </w:r>
      <w:r>
        <w:t xml:space="preserve">it </w:t>
      </w:r>
      <w:r w:rsidRPr="002234E6">
        <w:t>should consider using uninterruptable power supply devices (</w:t>
      </w:r>
      <w:proofErr w:type="spellStart"/>
      <w:r w:rsidRPr="002234E6">
        <w:t>eg</w:t>
      </w:r>
      <w:proofErr w:type="spellEnd"/>
      <w:r>
        <w:t>,</w:t>
      </w:r>
      <w:r w:rsidRPr="002234E6">
        <w:t xml:space="preserve"> generator</w:t>
      </w:r>
      <w:r>
        <w:t>s</w:t>
      </w:r>
      <w:r w:rsidRPr="002234E6">
        <w:t>)</w:t>
      </w:r>
    </w:p>
    <w:p w14:paraId="63940258" w14:textId="77777777" w:rsidR="00A163F8" w:rsidRPr="002234E6" w:rsidRDefault="00A163F8" w:rsidP="004812C4">
      <w:pPr>
        <w:pStyle w:val="Bullet"/>
      </w:pPr>
      <w:r w:rsidRPr="002234E6">
        <w:t>processes for vaccine disposal</w:t>
      </w:r>
    </w:p>
    <w:p w14:paraId="402AE35A" w14:textId="77777777" w:rsidR="00A163F8" w:rsidRPr="002234E6" w:rsidRDefault="00A163F8" w:rsidP="004812C4">
      <w:pPr>
        <w:pStyle w:val="Bullet"/>
      </w:pPr>
      <w:r w:rsidRPr="002234E6">
        <w:t>the date when the next annual cold chain policy review is due</w:t>
      </w:r>
    </w:p>
    <w:p w14:paraId="4860D76D" w14:textId="77777777" w:rsidR="00A163F8" w:rsidRPr="002234E6" w:rsidRDefault="00A163F8" w:rsidP="004812C4">
      <w:pPr>
        <w:pStyle w:val="Bullet"/>
      </w:pPr>
      <w:r w:rsidRPr="002234E6">
        <w:t>a cold chain orientation plan for new staff, including how to download</w:t>
      </w:r>
      <w:r>
        <w:t>/access</w:t>
      </w:r>
      <w:r w:rsidRPr="002234E6">
        <w:t xml:space="preserve"> and read the datalogger</w:t>
      </w:r>
      <w:r>
        <w:t>,</w:t>
      </w:r>
      <w:r w:rsidRPr="002234E6">
        <w:t xml:space="preserve"> </w:t>
      </w:r>
      <w:r w:rsidRPr="00F62A24">
        <w:t xml:space="preserve">what to do </w:t>
      </w:r>
      <w:r>
        <w:t xml:space="preserve">and who to contact </w:t>
      </w:r>
      <w:r w:rsidRPr="00F62A24">
        <w:t>if there is a cold chain issue</w:t>
      </w:r>
      <w:r>
        <w:t>, and</w:t>
      </w:r>
      <w:r w:rsidRPr="00F62A24">
        <w:t xml:space="preserve"> how to pack a chilly bin and move vaccines to an alternative provider</w:t>
      </w:r>
    </w:p>
    <w:p w14:paraId="4635415F" w14:textId="77777777" w:rsidR="007E44E1" w:rsidRDefault="00A163F8" w:rsidP="004812C4">
      <w:pPr>
        <w:pStyle w:val="Bullet"/>
      </w:pPr>
      <w:r w:rsidRPr="002234E6">
        <w:t xml:space="preserve">a cold chain equipment replacement plan. All pharmaceutical refrigerators have a limited life span, usually around </w:t>
      </w:r>
      <w:r w:rsidR="004812C4">
        <w:t>10</w:t>
      </w:r>
      <w:r w:rsidRPr="002234E6">
        <w:t xml:space="preserve"> years – immunisation providers </w:t>
      </w:r>
      <w:r>
        <w:t xml:space="preserve">must </w:t>
      </w:r>
      <w:r w:rsidRPr="002234E6">
        <w:t>actively plan for replacement</w:t>
      </w:r>
      <w:r>
        <w:t>,</w:t>
      </w:r>
      <w:r w:rsidRPr="002234E6">
        <w:t xml:space="preserve"> and replace their refrigerator at or before </w:t>
      </w:r>
      <w:r w:rsidR="004812C4">
        <w:t>10</w:t>
      </w:r>
      <w:r w:rsidRPr="002234E6">
        <w:t xml:space="preserve"> years of age rather than wait until the refrigerator fails to maintain temperature</w:t>
      </w:r>
    </w:p>
    <w:p w14:paraId="0419AC03" w14:textId="77777777" w:rsidR="00A163F8" w:rsidRPr="002234E6" w:rsidRDefault="00A163F8" w:rsidP="004812C4">
      <w:pPr>
        <w:pStyle w:val="Bullet"/>
      </w:pPr>
      <w:r w:rsidRPr="002234E6">
        <w:t>action to be taken when the provider receives a National Cold Chain Audit monitor (this only applies to providers who hold National Immunisation Schedule vaccine stock).</w:t>
      </w:r>
    </w:p>
    <w:p w14:paraId="67E8A20A" w14:textId="77777777" w:rsidR="00A163F8" w:rsidRPr="002234E6" w:rsidRDefault="00A163F8" w:rsidP="004812C4"/>
    <w:p w14:paraId="629D4740" w14:textId="77777777" w:rsidR="00A163F8" w:rsidRPr="002234E6" w:rsidRDefault="00A163F8" w:rsidP="004812C4">
      <w:r w:rsidRPr="002234E6">
        <w:t>The policy should also include space for all relevant staff to sign confirming that they have read and understood the cold chain policy.</w:t>
      </w:r>
    </w:p>
    <w:p w14:paraId="46C3587D" w14:textId="77777777" w:rsidR="00A163F8" w:rsidRPr="002234E6" w:rsidRDefault="00A163F8" w:rsidP="004812C4"/>
    <w:p w14:paraId="4F267F03" w14:textId="77777777" w:rsidR="00A163F8" w:rsidRPr="002234E6" w:rsidRDefault="00A163F8" w:rsidP="004812C4">
      <w:pPr>
        <w:pStyle w:val="Heading2"/>
      </w:pPr>
      <w:bookmarkStart w:id="50" w:name="_6.2_Key_Requirements"/>
      <w:bookmarkStart w:id="51" w:name="_Toc469389339"/>
      <w:bookmarkStart w:id="52" w:name="_Toc9863078"/>
      <w:bookmarkStart w:id="53" w:name="_Toc18062248"/>
      <w:bookmarkEnd w:id="50"/>
      <w:r w:rsidRPr="002234E6">
        <w:t>6.2</w:t>
      </w:r>
      <w:r w:rsidRPr="002234E6">
        <w:tab/>
        <w:t>Key requirements for immunisation providers for vaccine stock management</w:t>
      </w:r>
      <w:bookmarkEnd w:id="51"/>
      <w:bookmarkEnd w:id="52"/>
      <w:bookmarkEnd w:id="53"/>
    </w:p>
    <w:p w14:paraId="12E37A7F" w14:textId="77777777" w:rsidR="00A163F8" w:rsidRPr="002234E6" w:rsidRDefault="00A163F8" w:rsidP="004812C4">
      <w:pPr>
        <w:pStyle w:val="Heading3"/>
      </w:pPr>
      <w:r w:rsidRPr="002234E6">
        <w:t>Stock management principles</w:t>
      </w:r>
    </w:p>
    <w:p w14:paraId="3BDF1CE6" w14:textId="77777777" w:rsidR="00A163F8" w:rsidRPr="002234E6" w:rsidRDefault="00A163F8" w:rsidP="004812C4">
      <w:r w:rsidRPr="002234E6">
        <w:t>All immunisation providers should know how much vaccine stock they require at any one time, according to the size of their clinics, the population they are vaccinating and the size of the refrigerator.</w:t>
      </w:r>
    </w:p>
    <w:p w14:paraId="79647752" w14:textId="77777777" w:rsidR="00A163F8" w:rsidRPr="002234E6" w:rsidRDefault="00A163F8" w:rsidP="004812C4"/>
    <w:p w14:paraId="1E4287D7" w14:textId="77777777" w:rsidR="00A163F8" w:rsidRPr="002234E6" w:rsidRDefault="00A163F8" w:rsidP="004812C4">
      <w:r w:rsidRPr="002234E6">
        <w:t>Where a provider works with a defined population, it should base its vaccine stock requirements on the known population base, using a similar method to that of general practice.</w:t>
      </w:r>
    </w:p>
    <w:p w14:paraId="7962111A" w14:textId="77777777" w:rsidR="00A163F8" w:rsidRPr="002234E6" w:rsidRDefault="00A163F8" w:rsidP="004812C4"/>
    <w:p w14:paraId="42371605" w14:textId="77777777" w:rsidR="00A163F8" w:rsidRPr="002234E6" w:rsidRDefault="00A163F8" w:rsidP="004812C4">
      <w:r w:rsidRPr="002234E6">
        <w:t>Overstocking can lead to increased wastage in the event of cold chain breaches, vaccines reaching their expiry dates and insufficient airflow in the refrigerator.</w:t>
      </w:r>
    </w:p>
    <w:p w14:paraId="56549628" w14:textId="77777777" w:rsidR="00A163F8" w:rsidRPr="002234E6" w:rsidRDefault="00A163F8" w:rsidP="004812C4"/>
    <w:p w14:paraId="06115C4B" w14:textId="77777777" w:rsidR="00A163F8" w:rsidRPr="002234E6" w:rsidRDefault="00A163F8" w:rsidP="004812C4">
      <w:r w:rsidRPr="002234E6">
        <w:t>If a provider finds that it is regularly returning expired vaccines, it should review its stock numbers and ordering process and adjust accordingly.</w:t>
      </w:r>
    </w:p>
    <w:p w14:paraId="630E61F7" w14:textId="77777777" w:rsidR="00A163F8" w:rsidRPr="002234E6" w:rsidRDefault="00A163F8" w:rsidP="004812C4"/>
    <w:p w14:paraId="39D12DD4" w14:textId="77777777" w:rsidR="00A163F8" w:rsidRPr="002234E6" w:rsidRDefault="00A163F8" w:rsidP="004812C4">
      <w:r w:rsidRPr="002234E6">
        <w:t>The coordinator can help with working out minimum and maximum stock levels.</w:t>
      </w:r>
    </w:p>
    <w:p w14:paraId="28D7E37A" w14:textId="77777777" w:rsidR="00A163F8" w:rsidRPr="002234E6" w:rsidRDefault="00A163F8" w:rsidP="004812C4"/>
    <w:p w14:paraId="7D3E8167" w14:textId="77777777" w:rsidR="00A163F8" w:rsidRPr="00D95700" w:rsidRDefault="00A163F8" w:rsidP="004812C4">
      <w:pPr>
        <w:pStyle w:val="Heading4"/>
      </w:pPr>
      <w:r w:rsidRPr="002234E6">
        <w:lastRenderedPageBreak/>
        <w:t>General practice</w:t>
      </w:r>
    </w:p>
    <w:p w14:paraId="61F75490" w14:textId="5FF82EB4" w:rsidR="00A163F8" w:rsidRPr="002234E6" w:rsidRDefault="00A163F8" w:rsidP="004812C4">
      <w:r w:rsidRPr="002234E6">
        <w:t>General practices should keep a minimum of two weeks</w:t>
      </w:r>
      <w:r w:rsidR="007E44E1">
        <w:t>’</w:t>
      </w:r>
      <w:r w:rsidRPr="002234E6">
        <w:t xml:space="preserve"> supply but no more than four weeks </w:t>
      </w:r>
      <w:r w:rsidR="007A38C2">
        <w:t xml:space="preserve">supply </w:t>
      </w:r>
      <w:r w:rsidRPr="002234E6">
        <w:t xml:space="preserve">of vaccines. Tables 3 and 4 can help to calculate </w:t>
      </w:r>
      <w:r>
        <w:t xml:space="preserve">appropriate </w:t>
      </w:r>
      <w:r w:rsidRPr="002234E6">
        <w:t>level</w:t>
      </w:r>
      <w:r>
        <w:t>s</w:t>
      </w:r>
      <w:r w:rsidRPr="002234E6">
        <w:t>.</w:t>
      </w:r>
    </w:p>
    <w:p w14:paraId="6873F3CC" w14:textId="77777777" w:rsidR="004812C4" w:rsidRDefault="004812C4" w:rsidP="004812C4"/>
    <w:p w14:paraId="435CD0FF" w14:textId="77777777" w:rsidR="00A163F8" w:rsidRPr="002234E6" w:rsidRDefault="00A163F8" w:rsidP="004812C4">
      <w:r w:rsidRPr="002234E6">
        <w:t>Many vaccines are dispatched in boxes with multiple doses. Table 4 take</w:t>
      </w:r>
      <w:r>
        <w:t>s</w:t>
      </w:r>
      <w:r w:rsidRPr="002234E6">
        <w:t xml:space="preserve"> this into account.</w:t>
      </w:r>
    </w:p>
    <w:p w14:paraId="5ACA9217" w14:textId="77777777" w:rsidR="004812C4" w:rsidRDefault="004812C4" w:rsidP="004812C4"/>
    <w:p w14:paraId="285352D3" w14:textId="77777777" w:rsidR="00A163F8" w:rsidRPr="002234E6" w:rsidRDefault="00A163F8" w:rsidP="004812C4">
      <w:r w:rsidRPr="002234E6">
        <w:t xml:space="preserve">When ordering Tdap for the 11-year immunisation, </w:t>
      </w:r>
      <w:r>
        <w:t xml:space="preserve">providers should </w:t>
      </w:r>
      <w:r w:rsidRPr="002234E6">
        <w:t xml:space="preserve">also consider the number of vaccines </w:t>
      </w:r>
      <w:r>
        <w:t xml:space="preserve">they </w:t>
      </w:r>
      <w:r w:rsidRPr="002234E6">
        <w:t xml:space="preserve">require for </w:t>
      </w:r>
      <w:r>
        <w:t xml:space="preserve">their </w:t>
      </w:r>
      <w:r w:rsidRPr="002234E6">
        <w:t>population of pregnant women.</w:t>
      </w:r>
    </w:p>
    <w:p w14:paraId="1F9D33A8" w14:textId="77777777" w:rsidR="00A163F8" w:rsidRPr="002234E6" w:rsidRDefault="00A163F8" w:rsidP="004812C4"/>
    <w:p w14:paraId="6CD3870D" w14:textId="77777777" w:rsidR="00A163F8" w:rsidRPr="002234E6" w:rsidRDefault="00A163F8" w:rsidP="004812C4">
      <w:pPr>
        <w:pStyle w:val="Heading4"/>
      </w:pPr>
      <w:r w:rsidRPr="002234E6">
        <w:t>School-based immunisation programmes</w:t>
      </w:r>
    </w:p>
    <w:p w14:paraId="09F0E175" w14:textId="77777777" w:rsidR="00A163F8" w:rsidRPr="002234E6" w:rsidRDefault="00A163F8" w:rsidP="004812C4">
      <w:r w:rsidRPr="002234E6">
        <w:t>School-based immunisation programmes should order vaccines taking into account school roll, consent form return and absenteeism.</w:t>
      </w:r>
    </w:p>
    <w:p w14:paraId="7905EFFC" w14:textId="77777777" w:rsidR="00A163F8" w:rsidRPr="002234E6" w:rsidRDefault="00A163F8" w:rsidP="004812C4"/>
    <w:p w14:paraId="73D4965F" w14:textId="77777777" w:rsidR="00A163F8" w:rsidRPr="002234E6" w:rsidRDefault="00A163F8" w:rsidP="004812C4">
      <w:pPr>
        <w:pStyle w:val="Heading4"/>
      </w:pPr>
      <w:r w:rsidRPr="002234E6">
        <w:t>Immunisation providers with non-defined populations, such as pharmacies and drop</w:t>
      </w:r>
      <w:r w:rsidRPr="002234E6">
        <w:noBreakHyphen/>
        <w:t>in clinics</w:t>
      </w:r>
    </w:p>
    <w:p w14:paraId="3D99B638" w14:textId="77777777" w:rsidR="00A163F8" w:rsidRPr="002234E6" w:rsidRDefault="00A163F8" w:rsidP="004812C4">
      <w:r w:rsidRPr="002234E6">
        <w:t>These providers should base their vaccine order volumes on minimum order numbers, previous numbers administered and space available in the refrigerator.</w:t>
      </w:r>
    </w:p>
    <w:p w14:paraId="4CF057FC" w14:textId="77777777" w:rsidR="00A163F8" w:rsidRPr="002234E6" w:rsidRDefault="00A163F8" w:rsidP="004812C4"/>
    <w:p w14:paraId="3B6C4FFD" w14:textId="77777777" w:rsidR="00A163F8" w:rsidRPr="002234E6" w:rsidRDefault="00A163F8" w:rsidP="004812C4">
      <w:pPr>
        <w:pStyle w:val="Heading3"/>
      </w:pPr>
      <w:r w:rsidRPr="002234E6">
        <w:t>General practice dose requirements</w:t>
      </w:r>
    </w:p>
    <w:p w14:paraId="454576E6" w14:textId="77777777" w:rsidR="00A163F8" w:rsidRPr="002234E6" w:rsidRDefault="00A163F8" w:rsidP="004812C4">
      <w:r w:rsidRPr="002234E6">
        <w:t>General practices can use the calculation tables below to help them estimate the volumes of National Immunisation Schedule vaccines (excluding influenza) they need for their practice population. The</w:t>
      </w:r>
      <w:r>
        <w:t>se</w:t>
      </w:r>
      <w:r w:rsidRPr="002234E6">
        <w:t xml:space="preserve"> calculations are based on:</w:t>
      </w:r>
    </w:p>
    <w:p w14:paraId="14EF352B" w14:textId="77777777" w:rsidR="00A163F8" w:rsidRPr="002234E6" w:rsidRDefault="00A163F8" w:rsidP="004812C4">
      <w:pPr>
        <w:pStyle w:val="Bullet"/>
      </w:pPr>
      <w:r>
        <w:t xml:space="preserve">the </w:t>
      </w:r>
      <w:r w:rsidRPr="002234E6">
        <w:t xml:space="preserve">number of people enrolled in the practice at a particular time, who are aged under five years, 11 </w:t>
      </w:r>
      <w:r>
        <w:t xml:space="preserve">years </w:t>
      </w:r>
      <w:r w:rsidRPr="002234E6">
        <w:t xml:space="preserve">or 12 years (depending on whether a school-based immunisation programme is delivered in the region) and 45 </w:t>
      </w:r>
      <w:r>
        <w:t xml:space="preserve">years </w:t>
      </w:r>
      <w:r w:rsidRPr="002234E6">
        <w:t>and 65 years, assuming 100 percent coverage for all scheduled vaccines</w:t>
      </w:r>
    </w:p>
    <w:p w14:paraId="37D75D68" w14:textId="77777777" w:rsidR="00A163F8" w:rsidRPr="002234E6" w:rsidRDefault="00A163F8" w:rsidP="004812C4">
      <w:pPr>
        <w:pStyle w:val="Bullet"/>
      </w:pPr>
      <w:r>
        <w:t xml:space="preserve">the </w:t>
      </w:r>
      <w:r w:rsidRPr="002234E6">
        <w:t>number of times each vaccine is used on the schedule.</w:t>
      </w:r>
    </w:p>
    <w:p w14:paraId="5C272DC1" w14:textId="77777777" w:rsidR="00A163F8" w:rsidRPr="002234E6" w:rsidRDefault="00A163F8" w:rsidP="004812C4"/>
    <w:p w14:paraId="6613302F" w14:textId="77777777" w:rsidR="00A163F8" w:rsidRPr="002234E6" w:rsidRDefault="00A163F8" w:rsidP="004812C4">
      <w:pPr>
        <w:pStyle w:val="Table"/>
      </w:pPr>
      <w:bookmarkStart w:id="54" w:name="_Toc334179093"/>
      <w:bookmarkStart w:id="55" w:name="_Toc9862600"/>
      <w:bookmarkStart w:id="56" w:name="_Toc18062278"/>
      <w:r w:rsidRPr="002234E6">
        <w:lastRenderedPageBreak/>
        <w:t>Table 3: Two weeks</w:t>
      </w:r>
      <w:r w:rsidR="007E44E1">
        <w:t>’</w:t>
      </w:r>
      <w:r w:rsidRPr="002234E6">
        <w:t xml:space="preserve"> vaccine supply (number of doses), per population served by the general practice</w:t>
      </w:r>
      <w:bookmarkEnd w:id="54"/>
      <w:bookmarkEnd w:id="55"/>
      <w:bookmarkEnd w:id="5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3686"/>
        <w:gridCol w:w="732"/>
        <w:gridCol w:w="732"/>
        <w:gridCol w:w="733"/>
        <w:gridCol w:w="732"/>
        <w:gridCol w:w="732"/>
        <w:gridCol w:w="733"/>
      </w:tblGrid>
      <w:tr w:rsidR="00A163F8" w:rsidRPr="004812C4" w14:paraId="747C713F" w14:textId="77777777" w:rsidTr="004812C4">
        <w:trPr>
          <w:cantSplit/>
        </w:trPr>
        <w:tc>
          <w:tcPr>
            <w:tcW w:w="3686" w:type="dxa"/>
            <w:tcBorders>
              <w:top w:val="nil"/>
              <w:bottom w:val="nil"/>
            </w:tcBorders>
            <w:shd w:val="clear" w:color="auto" w:fill="D9D9D9" w:themeFill="background1" w:themeFillShade="D9"/>
          </w:tcPr>
          <w:p w14:paraId="092C6A92" w14:textId="77777777" w:rsidR="00A163F8" w:rsidRPr="004812C4" w:rsidRDefault="00A163F8" w:rsidP="004812C4">
            <w:pPr>
              <w:pStyle w:val="TableText"/>
              <w:keepNext/>
              <w:rPr>
                <w:b/>
                <w:bCs/>
              </w:rPr>
            </w:pPr>
            <w:r w:rsidRPr="004812C4">
              <w:rPr>
                <w:b/>
              </w:rPr>
              <w:t>&lt;5-year-old population</w:t>
            </w:r>
          </w:p>
        </w:tc>
        <w:tc>
          <w:tcPr>
            <w:tcW w:w="732" w:type="dxa"/>
            <w:tcBorders>
              <w:top w:val="nil"/>
              <w:bottom w:val="nil"/>
            </w:tcBorders>
            <w:shd w:val="clear" w:color="auto" w:fill="D9D9D9" w:themeFill="background1" w:themeFillShade="D9"/>
          </w:tcPr>
          <w:p w14:paraId="0801214F" w14:textId="77777777" w:rsidR="00A163F8" w:rsidRPr="004812C4" w:rsidRDefault="00A163F8" w:rsidP="004812C4">
            <w:pPr>
              <w:pStyle w:val="TableText"/>
              <w:keepNext/>
              <w:jc w:val="center"/>
              <w:rPr>
                <w:b/>
                <w:bCs/>
              </w:rPr>
            </w:pPr>
            <w:r w:rsidRPr="004812C4">
              <w:rPr>
                <w:b/>
              </w:rPr>
              <w:t>50</w:t>
            </w:r>
          </w:p>
        </w:tc>
        <w:tc>
          <w:tcPr>
            <w:tcW w:w="732" w:type="dxa"/>
            <w:tcBorders>
              <w:top w:val="nil"/>
              <w:bottom w:val="nil"/>
            </w:tcBorders>
            <w:shd w:val="clear" w:color="auto" w:fill="D9D9D9" w:themeFill="background1" w:themeFillShade="D9"/>
          </w:tcPr>
          <w:p w14:paraId="2E678501" w14:textId="77777777" w:rsidR="00A163F8" w:rsidRPr="004812C4" w:rsidRDefault="00A163F8" w:rsidP="004812C4">
            <w:pPr>
              <w:pStyle w:val="TableText"/>
              <w:keepNext/>
              <w:jc w:val="center"/>
              <w:rPr>
                <w:b/>
                <w:bCs/>
              </w:rPr>
            </w:pPr>
            <w:r w:rsidRPr="004812C4">
              <w:rPr>
                <w:b/>
              </w:rPr>
              <w:t>100</w:t>
            </w:r>
          </w:p>
        </w:tc>
        <w:tc>
          <w:tcPr>
            <w:tcW w:w="733" w:type="dxa"/>
            <w:tcBorders>
              <w:top w:val="nil"/>
              <w:bottom w:val="nil"/>
            </w:tcBorders>
            <w:shd w:val="clear" w:color="auto" w:fill="D9D9D9" w:themeFill="background1" w:themeFillShade="D9"/>
          </w:tcPr>
          <w:p w14:paraId="54663EC5" w14:textId="77777777" w:rsidR="00A163F8" w:rsidRPr="004812C4" w:rsidRDefault="00A163F8" w:rsidP="004812C4">
            <w:pPr>
              <w:pStyle w:val="TableText"/>
              <w:keepNext/>
              <w:jc w:val="center"/>
              <w:rPr>
                <w:b/>
                <w:bCs/>
              </w:rPr>
            </w:pPr>
            <w:r w:rsidRPr="004812C4">
              <w:rPr>
                <w:b/>
              </w:rPr>
              <w:t>250</w:t>
            </w:r>
          </w:p>
        </w:tc>
        <w:tc>
          <w:tcPr>
            <w:tcW w:w="732" w:type="dxa"/>
            <w:tcBorders>
              <w:top w:val="nil"/>
              <w:bottom w:val="nil"/>
            </w:tcBorders>
            <w:shd w:val="clear" w:color="auto" w:fill="D9D9D9" w:themeFill="background1" w:themeFillShade="D9"/>
          </w:tcPr>
          <w:p w14:paraId="7182E960" w14:textId="77777777" w:rsidR="00A163F8" w:rsidRPr="004812C4" w:rsidRDefault="00A163F8" w:rsidP="004812C4">
            <w:pPr>
              <w:pStyle w:val="TableText"/>
              <w:keepNext/>
              <w:jc w:val="center"/>
              <w:rPr>
                <w:b/>
                <w:bCs/>
              </w:rPr>
            </w:pPr>
            <w:r w:rsidRPr="004812C4">
              <w:rPr>
                <w:b/>
              </w:rPr>
              <w:t>500</w:t>
            </w:r>
          </w:p>
        </w:tc>
        <w:tc>
          <w:tcPr>
            <w:tcW w:w="732" w:type="dxa"/>
            <w:tcBorders>
              <w:top w:val="nil"/>
              <w:bottom w:val="nil"/>
            </w:tcBorders>
            <w:shd w:val="clear" w:color="auto" w:fill="D9D9D9" w:themeFill="background1" w:themeFillShade="D9"/>
          </w:tcPr>
          <w:p w14:paraId="463FF199" w14:textId="77777777" w:rsidR="00A163F8" w:rsidRPr="004812C4" w:rsidRDefault="00A163F8" w:rsidP="004812C4">
            <w:pPr>
              <w:pStyle w:val="TableText"/>
              <w:keepNext/>
              <w:jc w:val="center"/>
              <w:rPr>
                <w:b/>
                <w:bCs/>
              </w:rPr>
            </w:pPr>
            <w:r w:rsidRPr="004812C4">
              <w:rPr>
                <w:b/>
              </w:rPr>
              <w:t>1</w:t>
            </w:r>
            <w:r w:rsidR="004812C4" w:rsidRPr="004812C4">
              <w:rPr>
                <w:b/>
              </w:rPr>
              <w:t>,</w:t>
            </w:r>
            <w:r w:rsidRPr="004812C4">
              <w:rPr>
                <w:b/>
              </w:rPr>
              <w:t>000</w:t>
            </w:r>
          </w:p>
        </w:tc>
        <w:tc>
          <w:tcPr>
            <w:tcW w:w="733" w:type="dxa"/>
            <w:tcBorders>
              <w:top w:val="nil"/>
              <w:bottom w:val="nil"/>
            </w:tcBorders>
            <w:shd w:val="clear" w:color="auto" w:fill="D9D9D9" w:themeFill="background1" w:themeFillShade="D9"/>
          </w:tcPr>
          <w:p w14:paraId="1E245FD0" w14:textId="77777777" w:rsidR="00A163F8" w:rsidRPr="004812C4" w:rsidRDefault="00A163F8" w:rsidP="004812C4">
            <w:pPr>
              <w:pStyle w:val="TableText"/>
              <w:keepNext/>
              <w:jc w:val="center"/>
              <w:rPr>
                <w:b/>
                <w:bCs/>
              </w:rPr>
            </w:pPr>
            <w:r w:rsidRPr="004812C4">
              <w:rPr>
                <w:b/>
              </w:rPr>
              <w:t>1</w:t>
            </w:r>
            <w:r w:rsidR="004812C4" w:rsidRPr="004812C4">
              <w:rPr>
                <w:b/>
              </w:rPr>
              <w:t>,</w:t>
            </w:r>
            <w:r w:rsidRPr="004812C4">
              <w:rPr>
                <w:b/>
              </w:rPr>
              <w:t>250</w:t>
            </w:r>
          </w:p>
        </w:tc>
      </w:tr>
      <w:tr w:rsidR="00A163F8" w:rsidRPr="00F62A24" w14:paraId="3B35D5D4" w14:textId="77777777" w:rsidTr="004812C4">
        <w:trPr>
          <w:cantSplit/>
        </w:trPr>
        <w:tc>
          <w:tcPr>
            <w:tcW w:w="3686" w:type="dxa"/>
            <w:tcBorders>
              <w:top w:val="nil"/>
            </w:tcBorders>
            <w:shd w:val="clear" w:color="auto" w:fill="auto"/>
          </w:tcPr>
          <w:p w14:paraId="6511710D" w14:textId="77777777" w:rsidR="00A163F8" w:rsidRPr="002234E6" w:rsidRDefault="00A163F8" w:rsidP="004812C4">
            <w:pPr>
              <w:pStyle w:val="TableText"/>
              <w:keepNext/>
              <w:rPr>
                <w:bCs/>
              </w:rPr>
            </w:pPr>
            <w:r w:rsidRPr="002234E6">
              <w:t>DTaP-IPV-Hib/</w:t>
            </w:r>
            <w:proofErr w:type="spellStart"/>
            <w:r w:rsidRPr="002234E6">
              <w:t>HepB</w:t>
            </w:r>
            <w:proofErr w:type="spellEnd"/>
          </w:p>
        </w:tc>
        <w:tc>
          <w:tcPr>
            <w:tcW w:w="732" w:type="dxa"/>
            <w:tcBorders>
              <w:top w:val="nil"/>
            </w:tcBorders>
            <w:shd w:val="clear" w:color="auto" w:fill="auto"/>
          </w:tcPr>
          <w:p w14:paraId="692AE09A" w14:textId="77777777" w:rsidR="00A163F8" w:rsidRPr="002234E6" w:rsidRDefault="00A163F8" w:rsidP="004812C4">
            <w:pPr>
              <w:pStyle w:val="TableText"/>
              <w:keepNext/>
              <w:tabs>
                <w:tab w:val="decimal" w:pos="394"/>
              </w:tabs>
              <w:rPr>
                <w:bCs/>
              </w:rPr>
            </w:pPr>
            <w:r w:rsidRPr="002234E6">
              <w:t>2</w:t>
            </w:r>
          </w:p>
        </w:tc>
        <w:tc>
          <w:tcPr>
            <w:tcW w:w="732" w:type="dxa"/>
            <w:tcBorders>
              <w:top w:val="nil"/>
            </w:tcBorders>
            <w:shd w:val="clear" w:color="auto" w:fill="auto"/>
          </w:tcPr>
          <w:p w14:paraId="2CF76ED4" w14:textId="77777777" w:rsidR="00A163F8" w:rsidRPr="002234E6" w:rsidRDefault="00A163F8" w:rsidP="004812C4">
            <w:pPr>
              <w:pStyle w:val="TableText"/>
              <w:keepNext/>
              <w:tabs>
                <w:tab w:val="decimal" w:pos="394"/>
              </w:tabs>
              <w:rPr>
                <w:bCs/>
              </w:rPr>
            </w:pPr>
            <w:r w:rsidRPr="002234E6">
              <w:t>3</w:t>
            </w:r>
          </w:p>
        </w:tc>
        <w:tc>
          <w:tcPr>
            <w:tcW w:w="733" w:type="dxa"/>
            <w:tcBorders>
              <w:top w:val="nil"/>
            </w:tcBorders>
            <w:shd w:val="clear" w:color="auto" w:fill="auto"/>
          </w:tcPr>
          <w:p w14:paraId="2B6390A9" w14:textId="77777777" w:rsidR="00A163F8" w:rsidRPr="002234E6" w:rsidRDefault="00A163F8" w:rsidP="004812C4">
            <w:pPr>
              <w:pStyle w:val="TableText"/>
              <w:keepNext/>
              <w:tabs>
                <w:tab w:val="decimal" w:pos="394"/>
              </w:tabs>
              <w:rPr>
                <w:bCs/>
              </w:rPr>
            </w:pPr>
            <w:r w:rsidRPr="002234E6">
              <w:t>6</w:t>
            </w:r>
          </w:p>
        </w:tc>
        <w:tc>
          <w:tcPr>
            <w:tcW w:w="732" w:type="dxa"/>
            <w:tcBorders>
              <w:top w:val="nil"/>
            </w:tcBorders>
            <w:shd w:val="clear" w:color="auto" w:fill="auto"/>
          </w:tcPr>
          <w:p w14:paraId="25B16E7A" w14:textId="77777777" w:rsidR="00A163F8" w:rsidRPr="002234E6" w:rsidRDefault="00A163F8" w:rsidP="004812C4">
            <w:pPr>
              <w:pStyle w:val="TableText"/>
              <w:keepNext/>
              <w:tabs>
                <w:tab w:val="decimal" w:pos="394"/>
              </w:tabs>
              <w:rPr>
                <w:bCs/>
              </w:rPr>
            </w:pPr>
            <w:r w:rsidRPr="002234E6">
              <w:t>12</w:t>
            </w:r>
          </w:p>
        </w:tc>
        <w:tc>
          <w:tcPr>
            <w:tcW w:w="732" w:type="dxa"/>
            <w:tcBorders>
              <w:top w:val="nil"/>
            </w:tcBorders>
            <w:shd w:val="clear" w:color="auto" w:fill="auto"/>
          </w:tcPr>
          <w:p w14:paraId="22E7F1F3" w14:textId="77777777" w:rsidR="00A163F8" w:rsidRPr="002234E6" w:rsidRDefault="00A163F8" w:rsidP="004812C4">
            <w:pPr>
              <w:pStyle w:val="TableText"/>
              <w:keepNext/>
              <w:tabs>
                <w:tab w:val="decimal" w:pos="394"/>
              </w:tabs>
              <w:rPr>
                <w:bCs/>
              </w:rPr>
            </w:pPr>
            <w:r w:rsidRPr="002234E6">
              <w:t>24</w:t>
            </w:r>
          </w:p>
        </w:tc>
        <w:tc>
          <w:tcPr>
            <w:tcW w:w="733" w:type="dxa"/>
            <w:tcBorders>
              <w:top w:val="nil"/>
            </w:tcBorders>
            <w:shd w:val="clear" w:color="auto" w:fill="auto"/>
          </w:tcPr>
          <w:p w14:paraId="3739B086" w14:textId="77777777" w:rsidR="00A163F8" w:rsidRPr="002234E6" w:rsidRDefault="00A163F8" w:rsidP="004812C4">
            <w:pPr>
              <w:pStyle w:val="TableText"/>
              <w:keepNext/>
              <w:tabs>
                <w:tab w:val="decimal" w:pos="394"/>
              </w:tabs>
              <w:rPr>
                <w:bCs/>
              </w:rPr>
            </w:pPr>
            <w:r w:rsidRPr="002234E6">
              <w:t>29</w:t>
            </w:r>
          </w:p>
        </w:tc>
      </w:tr>
      <w:tr w:rsidR="00A163F8" w:rsidRPr="00F62A24" w14:paraId="0BD3AD65" w14:textId="77777777" w:rsidTr="004812C4">
        <w:trPr>
          <w:cantSplit/>
        </w:trPr>
        <w:tc>
          <w:tcPr>
            <w:tcW w:w="3686" w:type="dxa"/>
            <w:shd w:val="clear" w:color="auto" w:fill="auto"/>
          </w:tcPr>
          <w:p w14:paraId="1B58F4FE" w14:textId="77777777" w:rsidR="00A163F8" w:rsidRPr="002234E6" w:rsidRDefault="00A163F8" w:rsidP="004812C4">
            <w:pPr>
              <w:pStyle w:val="TableText"/>
              <w:keepNext/>
            </w:pPr>
            <w:r w:rsidRPr="002234E6">
              <w:t>RV1</w:t>
            </w:r>
          </w:p>
        </w:tc>
        <w:tc>
          <w:tcPr>
            <w:tcW w:w="732" w:type="dxa"/>
            <w:shd w:val="clear" w:color="auto" w:fill="auto"/>
          </w:tcPr>
          <w:p w14:paraId="3EBB78FC" w14:textId="77777777" w:rsidR="00A163F8" w:rsidRPr="002234E6" w:rsidRDefault="00A163F8" w:rsidP="004812C4">
            <w:pPr>
              <w:pStyle w:val="TableText"/>
              <w:keepNext/>
              <w:tabs>
                <w:tab w:val="decimal" w:pos="394"/>
              </w:tabs>
              <w:rPr>
                <w:bCs/>
              </w:rPr>
            </w:pPr>
            <w:r w:rsidRPr="002234E6">
              <w:t>1</w:t>
            </w:r>
          </w:p>
        </w:tc>
        <w:tc>
          <w:tcPr>
            <w:tcW w:w="732" w:type="dxa"/>
            <w:shd w:val="clear" w:color="auto" w:fill="auto"/>
          </w:tcPr>
          <w:p w14:paraId="391D24AD" w14:textId="77777777" w:rsidR="00A163F8" w:rsidRPr="002234E6" w:rsidRDefault="00A163F8" w:rsidP="004812C4">
            <w:pPr>
              <w:pStyle w:val="TableText"/>
              <w:keepNext/>
              <w:tabs>
                <w:tab w:val="decimal" w:pos="394"/>
              </w:tabs>
              <w:rPr>
                <w:bCs/>
              </w:rPr>
            </w:pPr>
            <w:r w:rsidRPr="002234E6">
              <w:t>2</w:t>
            </w:r>
          </w:p>
        </w:tc>
        <w:tc>
          <w:tcPr>
            <w:tcW w:w="733" w:type="dxa"/>
            <w:shd w:val="clear" w:color="auto" w:fill="auto"/>
          </w:tcPr>
          <w:p w14:paraId="2E14E57A" w14:textId="77777777" w:rsidR="00A163F8" w:rsidRPr="002234E6" w:rsidRDefault="00A163F8" w:rsidP="004812C4">
            <w:pPr>
              <w:pStyle w:val="TableText"/>
              <w:keepNext/>
              <w:tabs>
                <w:tab w:val="decimal" w:pos="394"/>
              </w:tabs>
              <w:rPr>
                <w:bCs/>
              </w:rPr>
            </w:pPr>
            <w:r w:rsidRPr="002234E6">
              <w:t>4</w:t>
            </w:r>
          </w:p>
        </w:tc>
        <w:tc>
          <w:tcPr>
            <w:tcW w:w="732" w:type="dxa"/>
            <w:shd w:val="clear" w:color="auto" w:fill="auto"/>
          </w:tcPr>
          <w:p w14:paraId="72B450FC" w14:textId="77777777" w:rsidR="00A163F8" w:rsidRPr="002234E6" w:rsidRDefault="00A163F8" w:rsidP="004812C4">
            <w:pPr>
              <w:pStyle w:val="TableText"/>
              <w:keepNext/>
              <w:tabs>
                <w:tab w:val="decimal" w:pos="394"/>
              </w:tabs>
              <w:rPr>
                <w:bCs/>
              </w:rPr>
            </w:pPr>
            <w:r w:rsidRPr="002234E6">
              <w:t>8</w:t>
            </w:r>
          </w:p>
        </w:tc>
        <w:tc>
          <w:tcPr>
            <w:tcW w:w="732" w:type="dxa"/>
            <w:shd w:val="clear" w:color="auto" w:fill="auto"/>
          </w:tcPr>
          <w:p w14:paraId="0A93C152" w14:textId="77777777" w:rsidR="00A163F8" w:rsidRPr="002234E6" w:rsidRDefault="00A163F8" w:rsidP="004812C4">
            <w:pPr>
              <w:pStyle w:val="TableText"/>
              <w:keepNext/>
              <w:tabs>
                <w:tab w:val="decimal" w:pos="394"/>
              </w:tabs>
              <w:rPr>
                <w:bCs/>
              </w:rPr>
            </w:pPr>
            <w:r w:rsidRPr="002234E6">
              <w:t>16</w:t>
            </w:r>
          </w:p>
        </w:tc>
        <w:tc>
          <w:tcPr>
            <w:tcW w:w="733" w:type="dxa"/>
            <w:shd w:val="clear" w:color="auto" w:fill="auto"/>
          </w:tcPr>
          <w:p w14:paraId="616C1E4F" w14:textId="77777777" w:rsidR="00A163F8" w:rsidRPr="002234E6" w:rsidRDefault="00A163F8" w:rsidP="004812C4">
            <w:pPr>
              <w:pStyle w:val="TableText"/>
              <w:keepNext/>
              <w:tabs>
                <w:tab w:val="decimal" w:pos="394"/>
              </w:tabs>
              <w:rPr>
                <w:bCs/>
              </w:rPr>
            </w:pPr>
            <w:r w:rsidRPr="002234E6">
              <w:t>20</w:t>
            </w:r>
          </w:p>
        </w:tc>
      </w:tr>
      <w:tr w:rsidR="00A163F8" w:rsidRPr="00F62A24" w14:paraId="77C8A98C" w14:textId="77777777" w:rsidTr="004812C4">
        <w:trPr>
          <w:cantSplit/>
        </w:trPr>
        <w:tc>
          <w:tcPr>
            <w:tcW w:w="3686" w:type="dxa"/>
            <w:shd w:val="clear" w:color="auto" w:fill="auto"/>
          </w:tcPr>
          <w:p w14:paraId="52AFB65C" w14:textId="77777777" w:rsidR="00A163F8" w:rsidRPr="002234E6" w:rsidRDefault="00A163F8" w:rsidP="004812C4">
            <w:pPr>
              <w:pStyle w:val="TableText"/>
              <w:keepNext/>
              <w:rPr>
                <w:bCs/>
              </w:rPr>
            </w:pPr>
            <w:r w:rsidRPr="002234E6">
              <w:t>PCV</w:t>
            </w:r>
          </w:p>
        </w:tc>
        <w:tc>
          <w:tcPr>
            <w:tcW w:w="732" w:type="dxa"/>
            <w:shd w:val="clear" w:color="auto" w:fill="auto"/>
          </w:tcPr>
          <w:p w14:paraId="39F3C9E1" w14:textId="77777777" w:rsidR="00A163F8" w:rsidRPr="002234E6" w:rsidRDefault="00A163F8" w:rsidP="004812C4">
            <w:pPr>
              <w:pStyle w:val="TableText"/>
              <w:keepNext/>
              <w:tabs>
                <w:tab w:val="decimal" w:pos="394"/>
              </w:tabs>
              <w:rPr>
                <w:bCs/>
              </w:rPr>
            </w:pPr>
            <w:r w:rsidRPr="002234E6">
              <w:t>2</w:t>
            </w:r>
          </w:p>
        </w:tc>
        <w:tc>
          <w:tcPr>
            <w:tcW w:w="732" w:type="dxa"/>
            <w:shd w:val="clear" w:color="auto" w:fill="auto"/>
          </w:tcPr>
          <w:p w14:paraId="58948A23" w14:textId="77777777" w:rsidR="00A163F8" w:rsidRPr="002234E6" w:rsidRDefault="00A163F8" w:rsidP="004812C4">
            <w:pPr>
              <w:pStyle w:val="TableText"/>
              <w:keepNext/>
              <w:tabs>
                <w:tab w:val="decimal" w:pos="394"/>
              </w:tabs>
              <w:rPr>
                <w:bCs/>
              </w:rPr>
            </w:pPr>
            <w:r w:rsidRPr="002234E6">
              <w:t>4</w:t>
            </w:r>
          </w:p>
        </w:tc>
        <w:tc>
          <w:tcPr>
            <w:tcW w:w="733" w:type="dxa"/>
            <w:shd w:val="clear" w:color="auto" w:fill="auto"/>
          </w:tcPr>
          <w:p w14:paraId="558452E8" w14:textId="77777777" w:rsidR="00A163F8" w:rsidRPr="002234E6" w:rsidRDefault="00A163F8" w:rsidP="004812C4">
            <w:pPr>
              <w:pStyle w:val="TableText"/>
              <w:keepNext/>
              <w:tabs>
                <w:tab w:val="decimal" w:pos="394"/>
              </w:tabs>
              <w:rPr>
                <w:bCs/>
              </w:rPr>
            </w:pPr>
            <w:r w:rsidRPr="002234E6">
              <w:t>8</w:t>
            </w:r>
          </w:p>
        </w:tc>
        <w:tc>
          <w:tcPr>
            <w:tcW w:w="732" w:type="dxa"/>
            <w:shd w:val="clear" w:color="auto" w:fill="auto"/>
          </w:tcPr>
          <w:p w14:paraId="506D613A" w14:textId="77777777" w:rsidR="00A163F8" w:rsidRPr="002234E6" w:rsidRDefault="00A163F8" w:rsidP="004812C4">
            <w:pPr>
              <w:pStyle w:val="TableText"/>
              <w:keepNext/>
              <w:tabs>
                <w:tab w:val="decimal" w:pos="394"/>
              </w:tabs>
              <w:rPr>
                <w:bCs/>
              </w:rPr>
            </w:pPr>
            <w:r w:rsidRPr="002234E6">
              <w:t>16</w:t>
            </w:r>
          </w:p>
        </w:tc>
        <w:tc>
          <w:tcPr>
            <w:tcW w:w="732" w:type="dxa"/>
            <w:shd w:val="clear" w:color="auto" w:fill="auto"/>
          </w:tcPr>
          <w:p w14:paraId="0F37CAD6" w14:textId="77777777" w:rsidR="00A163F8" w:rsidRPr="002234E6" w:rsidRDefault="00A163F8" w:rsidP="004812C4">
            <w:pPr>
              <w:pStyle w:val="TableText"/>
              <w:keepNext/>
              <w:tabs>
                <w:tab w:val="decimal" w:pos="394"/>
              </w:tabs>
              <w:rPr>
                <w:bCs/>
              </w:rPr>
            </w:pPr>
            <w:r w:rsidRPr="002234E6">
              <w:t>31</w:t>
            </w:r>
          </w:p>
        </w:tc>
        <w:tc>
          <w:tcPr>
            <w:tcW w:w="733" w:type="dxa"/>
            <w:shd w:val="clear" w:color="auto" w:fill="auto"/>
          </w:tcPr>
          <w:p w14:paraId="6A6D2245" w14:textId="77777777" w:rsidR="00A163F8" w:rsidRPr="002234E6" w:rsidRDefault="00A163F8" w:rsidP="004812C4">
            <w:pPr>
              <w:pStyle w:val="TableText"/>
              <w:keepNext/>
              <w:tabs>
                <w:tab w:val="decimal" w:pos="394"/>
              </w:tabs>
              <w:rPr>
                <w:bCs/>
              </w:rPr>
            </w:pPr>
            <w:r w:rsidRPr="002234E6">
              <w:t>39</w:t>
            </w:r>
          </w:p>
        </w:tc>
      </w:tr>
      <w:tr w:rsidR="00A163F8" w:rsidRPr="00F62A24" w14:paraId="45D21400" w14:textId="77777777" w:rsidTr="004812C4">
        <w:trPr>
          <w:cantSplit/>
        </w:trPr>
        <w:tc>
          <w:tcPr>
            <w:tcW w:w="3686" w:type="dxa"/>
            <w:shd w:val="clear" w:color="auto" w:fill="auto"/>
          </w:tcPr>
          <w:p w14:paraId="681D630F" w14:textId="77777777" w:rsidR="00A163F8" w:rsidRPr="002234E6" w:rsidRDefault="00A163F8" w:rsidP="004812C4">
            <w:pPr>
              <w:pStyle w:val="TableText"/>
              <w:keepNext/>
              <w:rPr>
                <w:bCs/>
              </w:rPr>
            </w:pPr>
            <w:r w:rsidRPr="002234E6">
              <w:t>DTaP-IPV</w:t>
            </w:r>
          </w:p>
        </w:tc>
        <w:tc>
          <w:tcPr>
            <w:tcW w:w="732" w:type="dxa"/>
            <w:shd w:val="clear" w:color="auto" w:fill="auto"/>
          </w:tcPr>
          <w:p w14:paraId="4A6E1263" w14:textId="77777777" w:rsidR="00A163F8" w:rsidRPr="002234E6" w:rsidRDefault="00A163F8" w:rsidP="004812C4">
            <w:pPr>
              <w:pStyle w:val="TableText"/>
              <w:keepNext/>
              <w:tabs>
                <w:tab w:val="decimal" w:pos="394"/>
              </w:tabs>
              <w:rPr>
                <w:bCs/>
              </w:rPr>
            </w:pPr>
            <w:r w:rsidRPr="002234E6">
              <w:t>1</w:t>
            </w:r>
          </w:p>
        </w:tc>
        <w:tc>
          <w:tcPr>
            <w:tcW w:w="732" w:type="dxa"/>
            <w:shd w:val="clear" w:color="auto" w:fill="auto"/>
          </w:tcPr>
          <w:p w14:paraId="7BC434EE" w14:textId="77777777" w:rsidR="00A163F8" w:rsidRPr="002234E6" w:rsidRDefault="00A163F8" w:rsidP="004812C4">
            <w:pPr>
              <w:pStyle w:val="TableText"/>
              <w:keepNext/>
              <w:tabs>
                <w:tab w:val="decimal" w:pos="394"/>
              </w:tabs>
              <w:rPr>
                <w:bCs/>
              </w:rPr>
            </w:pPr>
            <w:r w:rsidRPr="002234E6">
              <w:t>1</w:t>
            </w:r>
          </w:p>
        </w:tc>
        <w:tc>
          <w:tcPr>
            <w:tcW w:w="733" w:type="dxa"/>
            <w:shd w:val="clear" w:color="auto" w:fill="auto"/>
          </w:tcPr>
          <w:p w14:paraId="312F8DEA" w14:textId="77777777" w:rsidR="00A163F8" w:rsidRPr="002234E6" w:rsidRDefault="00A163F8" w:rsidP="004812C4">
            <w:pPr>
              <w:pStyle w:val="TableText"/>
              <w:keepNext/>
              <w:tabs>
                <w:tab w:val="decimal" w:pos="394"/>
              </w:tabs>
              <w:rPr>
                <w:bCs/>
              </w:rPr>
            </w:pPr>
            <w:r w:rsidRPr="002234E6">
              <w:t>2</w:t>
            </w:r>
          </w:p>
        </w:tc>
        <w:tc>
          <w:tcPr>
            <w:tcW w:w="732" w:type="dxa"/>
            <w:shd w:val="clear" w:color="auto" w:fill="auto"/>
          </w:tcPr>
          <w:p w14:paraId="086422CD" w14:textId="77777777" w:rsidR="00A163F8" w:rsidRPr="002234E6" w:rsidRDefault="00A163F8" w:rsidP="004812C4">
            <w:pPr>
              <w:pStyle w:val="TableText"/>
              <w:keepNext/>
              <w:tabs>
                <w:tab w:val="decimal" w:pos="394"/>
              </w:tabs>
              <w:rPr>
                <w:bCs/>
              </w:rPr>
            </w:pPr>
            <w:r w:rsidRPr="002234E6">
              <w:t>4</w:t>
            </w:r>
          </w:p>
        </w:tc>
        <w:tc>
          <w:tcPr>
            <w:tcW w:w="732" w:type="dxa"/>
            <w:shd w:val="clear" w:color="auto" w:fill="auto"/>
          </w:tcPr>
          <w:p w14:paraId="0497CF52" w14:textId="77777777" w:rsidR="00A163F8" w:rsidRPr="002234E6" w:rsidRDefault="00A163F8" w:rsidP="004812C4">
            <w:pPr>
              <w:pStyle w:val="TableText"/>
              <w:keepNext/>
              <w:tabs>
                <w:tab w:val="decimal" w:pos="394"/>
              </w:tabs>
              <w:rPr>
                <w:bCs/>
              </w:rPr>
            </w:pPr>
            <w:r w:rsidRPr="002234E6">
              <w:t>8</w:t>
            </w:r>
          </w:p>
        </w:tc>
        <w:tc>
          <w:tcPr>
            <w:tcW w:w="733" w:type="dxa"/>
            <w:shd w:val="clear" w:color="auto" w:fill="auto"/>
          </w:tcPr>
          <w:p w14:paraId="4EF91CC8" w14:textId="77777777" w:rsidR="00A163F8" w:rsidRPr="002234E6" w:rsidRDefault="00A163F8" w:rsidP="004812C4">
            <w:pPr>
              <w:pStyle w:val="TableText"/>
              <w:keepNext/>
              <w:tabs>
                <w:tab w:val="decimal" w:pos="394"/>
              </w:tabs>
              <w:rPr>
                <w:bCs/>
              </w:rPr>
            </w:pPr>
            <w:r w:rsidRPr="002234E6">
              <w:t>10</w:t>
            </w:r>
          </w:p>
        </w:tc>
      </w:tr>
      <w:tr w:rsidR="00A163F8" w:rsidRPr="00F62A24" w14:paraId="31239A46" w14:textId="77777777" w:rsidTr="004812C4">
        <w:trPr>
          <w:cantSplit/>
        </w:trPr>
        <w:tc>
          <w:tcPr>
            <w:tcW w:w="3686" w:type="dxa"/>
            <w:shd w:val="clear" w:color="auto" w:fill="auto"/>
          </w:tcPr>
          <w:p w14:paraId="27561AB2" w14:textId="77777777" w:rsidR="00A163F8" w:rsidRPr="002234E6" w:rsidRDefault="00A163F8" w:rsidP="004812C4">
            <w:pPr>
              <w:pStyle w:val="TableText"/>
              <w:keepNext/>
              <w:rPr>
                <w:vertAlign w:val="superscript"/>
              </w:rPr>
            </w:pPr>
            <w:r w:rsidRPr="002234E6">
              <w:t>Hib and varicella</w:t>
            </w:r>
            <w:r w:rsidRPr="002234E6">
              <w:rPr>
                <w:vertAlign w:val="superscript"/>
              </w:rPr>
              <w:t>1</w:t>
            </w:r>
          </w:p>
        </w:tc>
        <w:tc>
          <w:tcPr>
            <w:tcW w:w="732" w:type="dxa"/>
            <w:shd w:val="clear" w:color="auto" w:fill="auto"/>
          </w:tcPr>
          <w:p w14:paraId="2D4AD836" w14:textId="77777777" w:rsidR="00A163F8" w:rsidRPr="002234E6" w:rsidRDefault="00A163F8" w:rsidP="004812C4">
            <w:pPr>
              <w:pStyle w:val="TableText"/>
              <w:keepNext/>
              <w:tabs>
                <w:tab w:val="decimal" w:pos="394"/>
              </w:tabs>
              <w:rPr>
                <w:bCs/>
              </w:rPr>
            </w:pPr>
            <w:r w:rsidRPr="002234E6">
              <w:t>1</w:t>
            </w:r>
          </w:p>
        </w:tc>
        <w:tc>
          <w:tcPr>
            <w:tcW w:w="732" w:type="dxa"/>
            <w:shd w:val="clear" w:color="auto" w:fill="auto"/>
          </w:tcPr>
          <w:p w14:paraId="2B555647" w14:textId="77777777" w:rsidR="00A163F8" w:rsidRPr="002234E6" w:rsidRDefault="00A163F8" w:rsidP="004812C4">
            <w:pPr>
              <w:pStyle w:val="TableText"/>
              <w:keepNext/>
              <w:tabs>
                <w:tab w:val="decimal" w:pos="394"/>
              </w:tabs>
              <w:rPr>
                <w:bCs/>
              </w:rPr>
            </w:pPr>
            <w:r w:rsidRPr="002234E6">
              <w:t>1</w:t>
            </w:r>
          </w:p>
        </w:tc>
        <w:tc>
          <w:tcPr>
            <w:tcW w:w="733" w:type="dxa"/>
            <w:shd w:val="clear" w:color="auto" w:fill="auto"/>
          </w:tcPr>
          <w:p w14:paraId="03DBA04A" w14:textId="77777777" w:rsidR="00A163F8" w:rsidRPr="002234E6" w:rsidRDefault="00A163F8" w:rsidP="004812C4">
            <w:pPr>
              <w:pStyle w:val="TableText"/>
              <w:keepNext/>
              <w:tabs>
                <w:tab w:val="decimal" w:pos="394"/>
              </w:tabs>
              <w:rPr>
                <w:bCs/>
              </w:rPr>
            </w:pPr>
            <w:r w:rsidRPr="002234E6">
              <w:t>2</w:t>
            </w:r>
          </w:p>
        </w:tc>
        <w:tc>
          <w:tcPr>
            <w:tcW w:w="732" w:type="dxa"/>
            <w:shd w:val="clear" w:color="auto" w:fill="auto"/>
          </w:tcPr>
          <w:p w14:paraId="1BA0D6BB" w14:textId="77777777" w:rsidR="00A163F8" w:rsidRPr="002234E6" w:rsidRDefault="00A163F8" w:rsidP="004812C4">
            <w:pPr>
              <w:pStyle w:val="TableText"/>
              <w:keepNext/>
              <w:tabs>
                <w:tab w:val="decimal" w:pos="394"/>
              </w:tabs>
              <w:rPr>
                <w:bCs/>
              </w:rPr>
            </w:pPr>
            <w:r w:rsidRPr="002234E6">
              <w:t>4</w:t>
            </w:r>
          </w:p>
        </w:tc>
        <w:tc>
          <w:tcPr>
            <w:tcW w:w="732" w:type="dxa"/>
            <w:shd w:val="clear" w:color="auto" w:fill="auto"/>
          </w:tcPr>
          <w:p w14:paraId="045A7EFB" w14:textId="77777777" w:rsidR="00A163F8" w:rsidRPr="002234E6" w:rsidRDefault="00A163F8" w:rsidP="004812C4">
            <w:pPr>
              <w:pStyle w:val="TableText"/>
              <w:keepNext/>
              <w:tabs>
                <w:tab w:val="decimal" w:pos="394"/>
              </w:tabs>
              <w:rPr>
                <w:bCs/>
              </w:rPr>
            </w:pPr>
            <w:r w:rsidRPr="002234E6">
              <w:t>8</w:t>
            </w:r>
          </w:p>
        </w:tc>
        <w:tc>
          <w:tcPr>
            <w:tcW w:w="733" w:type="dxa"/>
            <w:shd w:val="clear" w:color="auto" w:fill="auto"/>
          </w:tcPr>
          <w:p w14:paraId="1EC61BC2" w14:textId="77777777" w:rsidR="00A163F8" w:rsidRPr="002234E6" w:rsidRDefault="00A163F8" w:rsidP="004812C4">
            <w:pPr>
              <w:pStyle w:val="TableText"/>
              <w:keepNext/>
              <w:tabs>
                <w:tab w:val="decimal" w:pos="394"/>
              </w:tabs>
              <w:rPr>
                <w:bCs/>
              </w:rPr>
            </w:pPr>
            <w:r w:rsidRPr="002234E6">
              <w:t>10</w:t>
            </w:r>
          </w:p>
        </w:tc>
      </w:tr>
      <w:tr w:rsidR="00A163F8" w:rsidRPr="00F62A24" w14:paraId="71B10D85" w14:textId="77777777" w:rsidTr="004812C4">
        <w:trPr>
          <w:cantSplit/>
        </w:trPr>
        <w:tc>
          <w:tcPr>
            <w:tcW w:w="3686" w:type="dxa"/>
            <w:shd w:val="clear" w:color="auto" w:fill="auto"/>
          </w:tcPr>
          <w:p w14:paraId="3DE23D21" w14:textId="77777777" w:rsidR="00A163F8" w:rsidRPr="002234E6" w:rsidRDefault="00A163F8" w:rsidP="004812C4">
            <w:pPr>
              <w:pStyle w:val="TableText"/>
              <w:keepNext/>
              <w:rPr>
                <w:bCs/>
              </w:rPr>
            </w:pPr>
            <w:r w:rsidRPr="002234E6">
              <w:t>MMR</w:t>
            </w:r>
          </w:p>
        </w:tc>
        <w:tc>
          <w:tcPr>
            <w:tcW w:w="732" w:type="dxa"/>
            <w:shd w:val="clear" w:color="auto" w:fill="auto"/>
          </w:tcPr>
          <w:p w14:paraId="2B5002B1" w14:textId="77777777" w:rsidR="00A163F8" w:rsidRPr="002234E6" w:rsidRDefault="00A163F8" w:rsidP="004812C4">
            <w:pPr>
              <w:pStyle w:val="TableText"/>
              <w:keepNext/>
              <w:tabs>
                <w:tab w:val="decimal" w:pos="394"/>
              </w:tabs>
              <w:rPr>
                <w:bCs/>
              </w:rPr>
            </w:pPr>
            <w:r w:rsidRPr="002234E6">
              <w:t>1</w:t>
            </w:r>
          </w:p>
        </w:tc>
        <w:tc>
          <w:tcPr>
            <w:tcW w:w="732" w:type="dxa"/>
            <w:shd w:val="clear" w:color="auto" w:fill="auto"/>
          </w:tcPr>
          <w:p w14:paraId="378402C3" w14:textId="77777777" w:rsidR="00A163F8" w:rsidRPr="002234E6" w:rsidRDefault="00A163F8" w:rsidP="004812C4">
            <w:pPr>
              <w:pStyle w:val="TableText"/>
              <w:keepNext/>
              <w:tabs>
                <w:tab w:val="decimal" w:pos="394"/>
              </w:tabs>
              <w:rPr>
                <w:bCs/>
              </w:rPr>
            </w:pPr>
            <w:r w:rsidRPr="002234E6">
              <w:t>2</w:t>
            </w:r>
          </w:p>
        </w:tc>
        <w:tc>
          <w:tcPr>
            <w:tcW w:w="733" w:type="dxa"/>
            <w:shd w:val="clear" w:color="auto" w:fill="auto"/>
          </w:tcPr>
          <w:p w14:paraId="5E6AD119" w14:textId="77777777" w:rsidR="00A163F8" w:rsidRPr="002234E6" w:rsidRDefault="00A163F8" w:rsidP="004812C4">
            <w:pPr>
              <w:pStyle w:val="TableText"/>
              <w:keepNext/>
              <w:tabs>
                <w:tab w:val="decimal" w:pos="394"/>
              </w:tabs>
              <w:rPr>
                <w:bCs/>
              </w:rPr>
            </w:pPr>
            <w:r w:rsidRPr="002234E6">
              <w:t>4</w:t>
            </w:r>
          </w:p>
        </w:tc>
        <w:tc>
          <w:tcPr>
            <w:tcW w:w="732" w:type="dxa"/>
            <w:shd w:val="clear" w:color="auto" w:fill="auto"/>
          </w:tcPr>
          <w:p w14:paraId="42E49941" w14:textId="77777777" w:rsidR="00A163F8" w:rsidRPr="002234E6" w:rsidRDefault="00A163F8" w:rsidP="004812C4">
            <w:pPr>
              <w:pStyle w:val="TableText"/>
              <w:keepNext/>
              <w:tabs>
                <w:tab w:val="decimal" w:pos="394"/>
              </w:tabs>
              <w:rPr>
                <w:bCs/>
              </w:rPr>
            </w:pPr>
            <w:r w:rsidRPr="002234E6">
              <w:t>8</w:t>
            </w:r>
          </w:p>
        </w:tc>
        <w:tc>
          <w:tcPr>
            <w:tcW w:w="732" w:type="dxa"/>
            <w:shd w:val="clear" w:color="auto" w:fill="auto"/>
          </w:tcPr>
          <w:p w14:paraId="56D81F0A" w14:textId="77777777" w:rsidR="00A163F8" w:rsidRPr="002234E6" w:rsidRDefault="00A163F8" w:rsidP="004812C4">
            <w:pPr>
              <w:pStyle w:val="TableText"/>
              <w:keepNext/>
              <w:tabs>
                <w:tab w:val="decimal" w:pos="394"/>
              </w:tabs>
              <w:rPr>
                <w:bCs/>
              </w:rPr>
            </w:pPr>
            <w:r w:rsidRPr="002234E6">
              <w:t>16</w:t>
            </w:r>
          </w:p>
        </w:tc>
        <w:tc>
          <w:tcPr>
            <w:tcW w:w="733" w:type="dxa"/>
            <w:shd w:val="clear" w:color="auto" w:fill="auto"/>
          </w:tcPr>
          <w:p w14:paraId="3C2BA6F6" w14:textId="77777777" w:rsidR="00A163F8" w:rsidRPr="002234E6" w:rsidRDefault="00A163F8" w:rsidP="004812C4">
            <w:pPr>
              <w:pStyle w:val="TableText"/>
              <w:keepNext/>
              <w:tabs>
                <w:tab w:val="decimal" w:pos="394"/>
              </w:tabs>
              <w:rPr>
                <w:bCs/>
              </w:rPr>
            </w:pPr>
            <w:r w:rsidRPr="002234E6">
              <w:t>20</w:t>
            </w:r>
          </w:p>
        </w:tc>
      </w:tr>
      <w:tr w:rsidR="00A163F8" w:rsidRPr="007A38C2" w14:paraId="108D2679" w14:textId="77777777" w:rsidTr="009C0E7A">
        <w:trPr>
          <w:cantSplit/>
        </w:trPr>
        <w:tc>
          <w:tcPr>
            <w:tcW w:w="3686" w:type="dxa"/>
            <w:shd w:val="clear" w:color="auto" w:fill="BFBFBF" w:themeFill="background1" w:themeFillShade="BF"/>
          </w:tcPr>
          <w:p w14:paraId="3060A592" w14:textId="77777777" w:rsidR="00A163F8" w:rsidRPr="009C0E7A" w:rsidRDefault="00A163F8" w:rsidP="004812C4">
            <w:pPr>
              <w:pStyle w:val="TableText"/>
              <w:keepNext/>
              <w:rPr>
                <w:b/>
                <w:bCs/>
              </w:rPr>
            </w:pPr>
            <w:r w:rsidRPr="009C0E7A">
              <w:rPr>
                <w:b/>
                <w:bCs/>
              </w:rPr>
              <w:t>Single-year age group (</w:t>
            </w:r>
            <w:proofErr w:type="spellStart"/>
            <w:r w:rsidRPr="009C0E7A">
              <w:rPr>
                <w:b/>
                <w:bCs/>
              </w:rPr>
              <w:t>eg</w:t>
            </w:r>
            <w:proofErr w:type="spellEnd"/>
            <w:r w:rsidRPr="009C0E7A">
              <w:rPr>
                <w:b/>
                <w:bCs/>
              </w:rPr>
              <w:t>, 11-year-olds)</w:t>
            </w:r>
          </w:p>
        </w:tc>
        <w:tc>
          <w:tcPr>
            <w:tcW w:w="732" w:type="dxa"/>
            <w:shd w:val="clear" w:color="auto" w:fill="BFBFBF" w:themeFill="background1" w:themeFillShade="BF"/>
          </w:tcPr>
          <w:p w14:paraId="06BCAE6E" w14:textId="77777777" w:rsidR="00A163F8" w:rsidRPr="009C0E7A" w:rsidRDefault="00A163F8" w:rsidP="004812C4">
            <w:pPr>
              <w:pStyle w:val="TableText"/>
              <w:keepNext/>
              <w:tabs>
                <w:tab w:val="decimal" w:pos="394"/>
              </w:tabs>
              <w:rPr>
                <w:b/>
                <w:bCs/>
              </w:rPr>
            </w:pPr>
            <w:r w:rsidRPr="009C0E7A">
              <w:rPr>
                <w:b/>
                <w:bCs/>
              </w:rPr>
              <w:t>10</w:t>
            </w:r>
          </w:p>
        </w:tc>
        <w:tc>
          <w:tcPr>
            <w:tcW w:w="732" w:type="dxa"/>
            <w:shd w:val="clear" w:color="auto" w:fill="BFBFBF" w:themeFill="background1" w:themeFillShade="BF"/>
          </w:tcPr>
          <w:p w14:paraId="0F7C6404" w14:textId="77777777" w:rsidR="00A163F8" w:rsidRPr="009C0E7A" w:rsidRDefault="00A163F8" w:rsidP="004812C4">
            <w:pPr>
              <w:pStyle w:val="TableText"/>
              <w:keepNext/>
              <w:tabs>
                <w:tab w:val="decimal" w:pos="394"/>
              </w:tabs>
              <w:rPr>
                <w:b/>
                <w:bCs/>
              </w:rPr>
            </w:pPr>
            <w:r w:rsidRPr="009C0E7A">
              <w:rPr>
                <w:b/>
                <w:bCs/>
              </w:rPr>
              <w:t>20</w:t>
            </w:r>
          </w:p>
        </w:tc>
        <w:tc>
          <w:tcPr>
            <w:tcW w:w="733" w:type="dxa"/>
            <w:shd w:val="clear" w:color="auto" w:fill="BFBFBF" w:themeFill="background1" w:themeFillShade="BF"/>
          </w:tcPr>
          <w:p w14:paraId="3215ADD1" w14:textId="77777777" w:rsidR="00A163F8" w:rsidRPr="009C0E7A" w:rsidRDefault="00A163F8" w:rsidP="004812C4">
            <w:pPr>
              <w:pStyle w:val="TableText"/>
              <w:keepNext/>
              <w:tabs>
                <w:tab w:val="decimal" w:pos="394"/>
              </w:tabs>
              <w:rPr>
                <w:b/>
                <w:bCs/>
              </w:rPr>
            </w:pPr>
            <w:r w:rsidRPr="009C0E7A">
              <w:rPr>
                <w:b/>
                <w:bCs/>
              </w:rPr>
              <w:t>50</w:t>
            </w:r>
          </w:p>
        </w:tc>
        <w:tc>
          <w:tcPr>
            <w:tcW w:w="732" w:type="dxa"/>
            <w:shd w:val="clear" w:color="auto" w:fill="BFBFBF" w:themeFill="background1" w:themeFillShade="BF"/>
          </w:tcPr>
          <w:p w14:paraId="04BA05E5" w14:textId="77777777" w:rsidR="00A163F8" w:rsidRPr="009C0E7A" w:rsidRDefault="00A163F8" w:rsidP="004812C4">
            <w:pPr>
              <w:pStyle w:val="TableText"/>
              <w:keepNext/>
              <w:tabs>
                <w:tab w:val="decimal" w:pos="394"/>
              </w:tabs>
              <w:rPr>
                <w:b/>
                <w:bCs/>
              </w:rPr>
            </w:pPr>
            <w:r w:rsidRPr="009C0E7A">
              <w:rPr>
                <w:b/>
                <w:bCs/>
              </w:rPr>
              <w:t>100</w:t>
            </w:r>
          </w:p>
        </w:tc>
        <w:tc>
          <w:tcPr>
            <w:tcW w:w="732" w:type="dxa"/>
            <w:shd w:val="clear" w:color="auto" w:fill="BFBFBF" w:themeFill="background1" w:themeFillShade="BF"/>
          </w:tcPr>
          <w:p w14:paraId="6F80C2EF" w14:textId="77777777" w:rsidR="00A163F8" w:rsidRPr="009C0E7A" w:rsidRDefault="00A163F8" w:rsidP="004812C4">
            <w:pPr>
              <w:pStyle w:val="TableText"/>
              <w:keepNext/>
              <w:tabs>
                <w:tab w:val="decimal" w:pos="394"/>
              </w:tabs>
              <w:rPr>
                <w:b/>
                <w:bCs/>
              </w:rPr>
            </w:pPr>
            <w:r w:rsidRPr="009C0E7A">
              <w:rPr>
                <w:b/>
                <w:bCs/>
              </w:rPr>
              <w:t>200</w:t>
            </w:r>
          </w:p>
        </w:tc>
        <w:tc>
          <w:tcPr>
            <w:tcW w:w="733" w:type="dxa"/>
            <w:shd w:val="clear" w:color="auto" w:fill="BFBFBF" w:themeFill="background1" w:themeFillShade="BF"/>
          </w:tcPr>
          <w:p w14:paraId="39C33320" w14:textId="77777777" w:rsidR="00A163F8" w:rsidRPr="009C0E7A" w:rsidRDefault="00A163F8" w:rsidP="004812C4">
            <w:pPr>
              <w:pStyle w:val="TableText"/>
              <w:keepNext/>
              <w:tabs>
                <w:tab w:val="decimal" w:pos="394"/>
              </w:tabs>
              <w:rPr>
                <w:b/>
                <w:bCs/>
              </w:rPr>
            </w:pPr>
            <w:r w:rsidRPr="009C0E7A">
              <w:rPr>
                <w:b/>
                <w:bCs/>
              </w:rPr>
              <w:t>250</w:t>
            </w:r>
          </w:p>
        </w:tc>
      </w:tr>
      <w:tr w:rsidR="00A163F8" w:rsidRPr="00F62A24" w14:paraId="35AF5370" w14:textId="77777777" w:rsidTr="004812C4">
        <w:trPr>
          <w:cantSplit/>
        </w:trPr>
        <w:tc>
          <w:tcPr>
            <w:tcW w:w="3686" w:type="dxa"/>
            <w:shd w:val="clear" w:color="auto" w:fill="auto"/>
          </w:tcPr>
          <w:p w14:paraId="1209AD40" w14:textId="77777777" w:rsidR="00A163F8" w:rsidRPr="002234E6" w:rsidRDefault="00A163F8" w:rsidP="004812C4">
            <w:pPr>
              <w:pStyle w:val="TableText"/>
              <w:rPr>
                <w:bCs/>
                <w:vertAlign w:val="superscript"/>
              </w:rPr>
            </w:pPr>
            <w:r w:rsidRPr="002234E6">
              <w:t>Tdap</w:t>
            </w:r>
            <w:r w:rsidRPr="002234E6">
              <w:rPr>
                <w:vertAlign w:val="superscript"/>
              </w:rPr>
              <w:t>2, 3</w:t>
            </w:r>
          </w:p>
        </w:tc>
        <w:tc>
          <w:tcPr>
            <w:tcW w:w="732" w:type="dxa"/>
            <w:shd w:val="clear" w:color="auto" w:fill="auto"/>
          </w:tcPr>
          <w:p w14:paraId="18483A0F" w14:textId="77777777" w:rsidR="00A163F8" w:rsidRPr="002234E6" w:rsidRDefault="00A163F8" w:rsidP="004812C4">
            <w:pPr>
              <w:pStyle w:val="TableText"/>
              <w:tabs>
                <w:tab w:val="decimal" w:pos="394"/>
              </w:tabs>
              <w:rPr>
                <w:bCs/>
              </w:rPr>
            </w:pPr>
            <w:r w:rsidRPr="002234E6">
              <w:t>1</w:t>
            </w:r>
          </w:p>
        </w:tc>
        <w:tc>
          <w:tcPr>
            <w:tcW w:w="732" w:type="dxa"/>
            <w:shd w:val="clear" w:color="auto" w:fill="auto"/>
          </w:tcPr>
          <w:p w14:paraId="25E801B4" w14:textId="77777777" w:rsidR="00A163F8" w:rsidRPr="002234E6" w:rsidRDefault="00A163F8" w:rsidP="004812C4">
            <w:pPr>
              <w:pStyle w:val="TableText"/>
              <w:tabs>
                <w:tab w:val="decimal" w:pos="394"/>
              </w:tabs>
              <w:rPr>
                <w:bCs/>
              </w:rPr>
            </w:pPr>
            <w:r w:rsidRPr="002234E6">
              <w:t>1</w:t>
            </w:r>
          </w:p>
        </w:tc>
        <w:tc>
          <w:tcPr>
            <w:tcW w:w="733" w:type="dxa"/>
            <w:shd w:val="clear" w:color="auto" w:fill="auto"/>
          </w:tcPr>
          <w:p w14:paraId="50962F54" w14:textId="77777777" w:rsidR="00A163F8" w:rsidRPr="002234E6" w:rsidRDefault="00A163F8" w:rsidP="004812C4">
            <w:pPr>
              <w:pStyle w:val="TableText"/>
              <w:tabs>
                <w:tab w:val="decimal" w:pos="394"/>
              </w:tabs>
              <w:rPr>
                <w:bCs/>
              </w:rPr>
            </w:pPr>
            <w:r w:rsidRPr="002234E6">
              <w:t>2</w:t>
            </w:r>
          </w:p>
        </w:tc>
        <w:tc>
          <w:tcPr>
            <w:tcW w:w="732" w:type="dxa"/>
            <w:shd w:val="clear" w:color="auto" w:fill="auto"/>
          </w:tcPr>
          <w:p w14:paraId="2CA29AA9" w14:textId="77777777" w:rsidR="00A163F8" w:rsidRPr="002234E6" w:rsidRDefault="00A163F8" w:rsidP="004812C4">
            <w:pPr>
              <w:pStyle w:val="TableText"/>
              <w:tabs>
                <w:tab w:val="decimal" w:pos="394"/>
              </w:tabs>
              <w:rPr>
                <w:bCs/>
              </w:rPr>
            </w:pPr>
            <w:r w:rsidRPr="002234E6">
              <w:t>4</w:t>
            </w:r>
          </w:p>
        </w:tc>
        <w:tc>
          <w:tcPr>
            <w:tcW w:w="732" w:type="dxa"/>
            <w:shd w:val="clear" w:color="auto" w:fill="auto"/>
          </w:tcPr>
          <w:p w14:paraId="75140382" w14:textId="77777777" w:rsidR="00A163F8" w:rsidRPr="002234E6" w:rsidRDefault="00A163F8" w:rsidP="004812C4">
            <w:pPr>
              <w:pStyle w:val="TableText"/>
              <w:tabs>
                <w:tab w:val="decimal" w:pos="394"/>
              </w:tabs>
              <w:rPr>
                <w:bCs/>
              </w:rPr>
            </w:pPr>
            <w:r w:rsidRPr="002234E6">
              <w:t>8</w:t>
            </w:r>
          </w:p>
        </w:tc>
        <w:tc>
          <w:tcPr>
            <w:tcW w:w="733" w:type="dxa"/>
            <w:shd w:val="clear" w:color="auto" w:fill="auto"/>
          </w:tcPr>
          <w:p w14:paraId="1BD78252" w14:textId="77777777" w:rsidR="00A163F8" w:rsidRPr="002234E6" w:rsidRDefault="00A163F8" w:rsidP="004812C4">
            <w:pPr>
              <w:pStyle w:val="TableText"/>
              <w:tabs>
                <w:tab w:val="decimal" w:pos="394"/>
              </w:tabs>
              <w:rPr>
                <w:bCs/>
              </w:rPr>
            </w:pPr>
            <w:r w:rsidRPr="002234E6">
              <w:t>10</w:t>
            </w:r>
          </w:p>
        </w:tc>
      </w:tr>
      <w:tr w:rsidR="00A163F8" w:rsidRPr="00F62A24" w14:paraId="42F36A2C" w14:textId="77777777" w:rsidTr="004812C4">
        <w:trPr>
          <w:cantSplit/>
        </w:trPr>
        <w:tc>
          <w:tcPr>
            <w:tcW w:w="3686" w:type="dxa"/>
            <w:shd w:val="clear" w:color="auto" w:fill="auto"/>
          </w:tcPr>
          <w:p w14:paraId="2220CCC0" w14:textId="77777777" w:rsidR="00A163F8" w:rsidRPr="002234E6" w:rsidRDefault="00A163F8" w:rsidP="004812C4">
            <w:pPr>
              <w:pStyle w:val="TableText"/>
              <w:rPr>
                <w:bCs/>
              </w:rPr>
            </w:pPr>
            <w:r w:rsidRPr="002234E6">
              <w:t>HPV</w:t>
            </w:r>
            <w:r w:rsidRPr="002234E6">
              <w:rPr>
                <w:vertAlign w:val="superscript"/>
              </w:rPr>
              <w:t>2,4</w:t>
            </w:r>
            <w:r w:rsidRPr="002234E6">
              <w:t xml:space="preserve"> (2 doses)</w:t>
            </w:r>
          </w:p>
        </w:tc>
        <w:tc>
          <w:tcPr>
            <w:tcW w:w="732" w:type="dxa"/>
            <w:shd w:val="clear" w:color="auto" w:fill="auto"/>
          </w:tcPr>
          <w:p w14:paraId="5F5BAC27" w14:textId="77777777" w:rsidR="00A163F8" w:rsidRPr="002234E6" w:rsidRDefault="00A163F8" w:rsidP="004812C4">
            <w:pPr>
              <w:pStyle w:val="TableText"/>
              <w:tabs>
                <w:tab w:val="decimal" w:pos="394"/>
              </w:tabs>
              <w:rPr>
                <w:bCs/>
              </w:rPr>
            </w:pPr>
            <w:r w:rsidRPr="002234E6">
              <w:t>1</w:t>
            </w:r>
          </w:p>
        </w:tc>
        <w:tc>
          <w:tcPr>
            <w:tcW w:w="732" w:type="dxa"/>
            <w:shd w:val="clear" w:color="auto" w:fill="auto"/>
          </w:tcPr>
          <w:p w14:paraId="5AE83C2B" w14:textId="77777777" w:rsidR="00A163F8" w:rsidRPr="002234E6" w:rsidRDefault="00A163F8" w:rsidP="004812C4">
            <w:pPr>
              <w:pStyle w:val="TableText"/>
              <w:tabs>
                <w:tab w:val="decimal" w:pos="394"/>
              </w:tabs>
              <w:rPr>
                <w:bCs/>
              </w:rPr>
            </w:pPr>
            <w:r w:rsidRPr="002234E6">
              <w:t>2</w:t>
            </w:r>
          </w:p>
        </w:tc>
        <w:tc>
          <w:tcPr>
            <w:tcW w:w="733" w:type="dxa"/>
            <w:shd w:val="clear" w:color="auto" w:fill="auto"/>
          </w:tcPr>
          <w:p w14:paraId="1A591BF5" w14:textId="77777777" w:rsidR="00A163F8" w:rsidRPr="002234E6" w:rsidRDefault="00A163F8" w:rsidP="004812C4">
            <w:pPr>
              <w:pStyle w:val="TableText"/>
              <w:tabs>
                <w:tab w:val="decimal" w:pos="394"/>
              </w:tabs>
              <w:rPr>
                <w:bCs/>
              </w:rPr>
            </w:pPr>
            <w:r w:rsidRPr="002234E6">
              <w:t>4</w:t>
            </w:r>
          </w:p>
        </w:tc>
        <w:tc>
          <w:tcPr>
            <w:tcW w:w="732" w:type="dxa"/>
            <w:shd w:val="clear" w:color="auto" w:fill="auto"/>
          </w:tcPr>
          <w:p w14:paraId="679253C7" w14:textId="77777777" w:rsidR="00A163F8" w:rsidRPr="002234E6" w:rsidRDefault="00A163F8" w:rsidP="004812C4">
            <w:pPr>
              <w:pStyle w:val="TableText"/>
              <w:tabs>
                <w:tab w:val="decimal" w:pos="394"/>
              </w:tabs>
              <w:rPr>
                <w:bCs/>
              </w:rPr>
            </w:pPr>
            <w:r w:rsidRPr="002234E6">
              <w:t>8</w:t>
            </w:r>
          </w:p>
        </w:tc>
        <w:tc>
          <w:tcPr>
            <w:tcW w:w="732" w:type="dxa"/>
            <w:shd w:val="clear" w:color="auto" w:fill="auto"/>
          </w:tcPr>
          <w:p w14:paraId="73A4E7F6" w14:textId="77777777" w:rsidR="00A163F8" w:rsidRPr="002234E6" w:rsidRDefault="00A163F8" w:rsidP="004812C4">
            <w:pPr>
              <w:pStyle w:val="TableText"/>
              <w:tabs>
                <w:tab w:val="decimal" w:pos="394"/>
              </w:tabs>
              <w:rPr>
                <w:bCs/>
              </w:rPr>
            </w:pPr>
            <w:r w:rsidRPr="002234E6">
              <w:t>16</w:t>
            </w:r>
          </w:p>
        </w:tc>
        <w:tc>
          <w:tcPr>
            <w:tcW w:w="733" w:type="dxa"/>
            <w:shd w:val="clear" w:color="auto" w:fill="auto"/>
          </w:tcPr>
          <w:p w14:paraId="1863AD13" w14:textId="77777777" w:rsidR="00A163F8" w:rsidRPr="002234E6" w:rsidRDefault="00A163F8" w:rsidP="004812C4">
            <w:pPr>
              <w:pStyle w:val="TableText"/>
              <w:tabs>
                <w:tab w:val="decimal" w:pos="394"/>
              </w:tabs>
              <w:rPr>
                <w:bCs/>
              </w:rPr>
            </w:pPr>
            <w:r w:rsidRPr="002234E6">
              <w:t>20</w:t>
            </w:r>
          </w:p>
        </w:tc>
      </w:tr>
      <w:tr w:rsidR="00A163F8" w:rsidRPr="007A38C2" w14:paraId="7B99D17C" w14:textId="77777777" w:rsidTr="009C0E7A">
        <w:trPr>
          <w:cantSplit/>
        </w:trPr>
        <w:tc>
          <w:tcPr>
            <w:tcW w:w="3686" w:type="dxa"/>
            <w:shd w:val="clear" w:color="auto" w:fill="BFBFBF" w:themeFill="background1" w:themeFillShade="BF"/>
          </w:tcPr>
          <w:p w14:paraId="0F3D03A3" w14:textId="77777777" w:rsidR="00A163F8" w:rsidRPr="009C0E7A" w:rsidRDefault="00A163F8" w:rsidP="004812C4">
            <w:pPr>
              <w:pStyle w:val="TableText"/>
              <w:rPr>
                <w:b/>
                <w:bCs/>
              </w:rPr>
            </w:pPr>
            <w:r w:rsidRPr="009C0E7A">
              <w:rPr>
                <w:b/>
                <w:bCs/>
              </w:rPr>
              <w:t>45- and 65-year-old population (combined)</w:t>
            </w:r>
          </w:p>
        </w:tc>
        <w:tc>
          <w:tcPr>
            <w:tcW w:w="732" w:type="dxa"/>
            <w:shd w:val="clear" w:color="auto" w:fill="BFBFBF" w:themeFill="background1" w:themeFillShade="BF"/>
          </w:tcPr>
          <w:p w14:paraId="32C13C0A" w14:textId="77777777" w:rsidR="00A163F8" w:rsidRPr="009C0E7A" w:rsidRDefault="00A163F8" w:rsidP="004812C4">
            <w:pPr>
              <w:pStyle w:val="TableText"/>
              <w:tabs>
                <w:tab w:val="decimal" w:pos="394"/>
              </w:tabs>
              <w:rPr>
                <w:b/>
                <w:bCs/>
              </w:rPr>
            </w:pPr>
            <w:r w:rsidRPr="009C0E7A">
              <w:rPr>
                <w:b/>
                <w:bCs/>
              </w:rPr>
              <w:t>20</w:t>
            </w:r>
          </w:p>
        </w:tc>
        <w:tc>
          <w:tcPr>
            <w:tcW w:w="732" w:type="dxa"/>
            <w:shd w:val="clear" w:color="auto" w:fill="BFBFBF" w:themeFill="background1" w:themeFillShade="BF"/>
          </w:tcPr>
          <w:p w14:paraId="3A290B79" w14:textId="77777777" w:rsidR="00A163F8" w:rsidRPr="009C0E7A" w:rsidRDefault="00A163F8" w:rsidP="004812C4">
            <w:pPr>
              <w:pStyle w:val="TableText"/>
              <w:tabs>
                <w:tab w:val="decimal" w:pos="394"/>
              </w:tabs>
              <w:rPr>
                <w:b/>
                <w:bCs/>
              </w:rPr>
            </w:pPr>
            <w:r w:rsidRPr="009C0E7A">
              <w:rPr>
                <w:b/>
                <w:bCs/>
              </w:rPr>
              <w:t>40</w:t>
            </w:r>
          </w:p>
        </w:tc>
        <w:tc>
          <w:tcPr>
            <w:tcW w:w="733" w:type="dxa"/>
            <w:shd w:val="clear" w:color="auto" w:fill="BFBFBF" w:themeFill="background1" w:themeFillShade="BF"/>
          </w:tcPr>
          <w:p w14:paraId="53A9F181" w14:textId="77777777" w:rsidR="00A163F8" w:rsidRPr="009C0E7A" w:rsidRDefault="00A163F8" w:rsidP="004812C4">
            <w:pPr>
              <w:pStyle w:val="TableText"/>
              <w:tabs>
                <w:tab w:val="decimal" w:pos="394"/>
              </w:tabs>
              <w:rPr>
                <w:b/>
                <w:bCs/>
              </w:rPr>
            </w:pPr>
            <w:r w:rsidRPr="009C0E7A">
              <w:rPr>
                <w:b/>
                <w:bCs/>
              </w:rPr>
              <w:t>100</w:t>
            </w:r>
          </w:p>
        </w:tc>
        <w:tc>
          <w:tcPr>
            <w:tcW w:w="732" w:type="dxa"/>
            <w:shd w:val="clear" w:color="auto" w:fill="BFBFBF" w:themeFill="background1" w:themeFillShade="BF"/>
          </w:tcPr>
          <w:p w14:paraId="39A2C5D1" w14:textId="77777777" w:rsidR="00A163F8" w:rsidRPr="009C0E7A" w:rsidRDefault="00A163F8" w:rsidP="004812C4">
            <w:pPr>
              <w:pStyle w:val="TableText"/>
              <w:tabs>
                <w:tab w:val="decimal" w:pos="394"/>
              </w:tabs>
              <w:rPr>
                <w:b/>
                <w:bCs/>
              </w:rPr>
            </w:pPr>
            <w:r w:rsidRPr="009C0E7A">
              <w:rPr>
                <w:b/>
                <w:bCs/>
              </w:rPr>
              <w:t>200</w:t>
            </w:r>
          </w:p>
        </w:tc>
        <w:tc>
          <w:tcPr>
            <w:tcW w:w="732" w:type="dxa"/>
            <w:shd w:val="clear" w:color="auto" w:fill="BFBFBF" w:themeFill="background1" w:themeFillShade="BF"/>
          </w:tcPr>
          <w:p w14:paraId="348BC89B" w14:textId="77777777" w:rsidR="00A163F8" w:rsidRPr="009C0E7A" w:rsidRDefault="00A163F8" w:rsidP="004812C4">
            <w:pPr>
              <w:pStyle w:val="TableText"/>
              <w:tabs>
                <w:tab w:val="decimal" w:pos="394"/>
              </w:tabs>
              <w:rPr>
                <w:b/>
                <w:bCs/>
              </w:rPr>
            </w:pPr>
            <w:r w:rsidRPr="009C0E7A">
              <w:rPr>
                <w:b/>
                <w:bCs/>
              </w:rPr>
              <w:t>400</w:t>
            </w:r>
          </w:p>
        </w:tc>
        <w:tc>
          <w:tcPr>
            <w:tcW w:w="733" w:type="dxa"/>
            <w:shd w:val="clear" w:color="auto" w:fill="BFBFBF" w:themeFill="background1" w:themeFillShade="BF"/>
          </w:tcPr>
          <w:p w14:paraId="719BA870" w14:textId="77777777" w:rsidR="00A163F8" w:rsidRPr="009C0E7A" w:rsidRDefault="00A163F8" w:rsidP="004812C4">
            <w:pPr>
              <w:pStyle w:val="TableText"/>
              <w:tabs>
                <w:tab w:val="decimal" w:pos="394"/>
              </w:tabs>
              <w:rPr>
                <w:b/>
                <w:bCs/>
              </w:rPr>
            </w:pPr>
            <w:r w:rsidRPr="009C0E7A">
              <w:rPr>
                <w:b/>
                <w:bCs/>
              </w:rPr>
              <w:t>500</w:t>
            </w:r>
          </w:p>
        </w:tc>
      </w:tr>
      <w:tr w:rsidR="00A163F8" w:rsidRPr="00F62A24" w14:paraId="3814AB3B" w14:textId="77777777" w:rsidTr="004812C4">
        <w:trPr>
          <w:cantSplit/>
        </w:trPr>
        <w:tc>
          <w:tcPr>
            <w:tcW w:w="3686" w:type="dxa"/>
            <w:shd w:val="clear" w:color="auto" w:fill="auto"/>
          </w:tcPr>
          <w:p w14:paraId="57068B8A" w14:textId="77777777" w:rsidR="00A163F8" w:rsidRPr="002234E6" w:rsidRDefault="00A163F8" w:rsidP="004812C4">
            <w:pPr>
              <w:pStyle w:val="TableText"/>
              <w:rPr>
                <w:vertAlign w:val="superscript"/>
              </w:rPr>
            </w:pPr>
            <w:r w:rsidRPr="002234E6">
              <w:t>ADT</w:t>
            </w:r>
            <w:r w:rsidRPr="002234E6">
              <w:rPr>
                <w:vertAlign w:val="superscript"/>
              </w:rPr>
              <w:t>5</w:t>
            </w:r>
          </w:p>
        </w:tc>
        <w:tc>
          <w:tcPr>
            <w:tcW w:w="732" w:type="dxa"/>
            <w:shd w:val="clear" w:color="auto" w:fill="auto"/>
          </w:tcPr>
          <w:p w14:paraId="312412F6" w14:textId="77777777" w:rsidR="00A163F8" w:rsidRPr="002234E6" w:rsidRDefault="00A163F8" w:rsidP="004812C4">
            <w:pPr>
              <w:pStyle w:val="TableText"/>
              <w:tabs>
                <w:tab w:val="decimal" w:pos="394"/>
              </w:tabs>
              <w:rPr>
                <w:bCs/>
              </w:rPr>
            </w:pPr>
            <w:r w:rsidRPr="002234E6">
              <w:rPr>
                <w:bCs/>
              </w:rPr>
              <w:t>2</w:t>
            </w:r>
          </w:p>
        </w:tc>
        <w:tc>
          <w:tcPr>
            <w:tcW w:w="732" w:type="dxa"/>
            <w:shd w:val="clear" w:color="auto" w:fill="auto"/>
          </w:tcPr>
          <w:p w14:paraId="4FF83B70" w14:textId="77777777" w:rsidR="00A163F8" w:rsidRPr="002234E6" w:rsidRDefault="00A163F8" w:rsidP="004812C4">
            <w:pPr>
              <w:pStyle w:val="TableText"/>
              <w:tabs>
                <w:tab w:val="decimal" w:pos="394"/>
              </w:tabs>
              <w:rPr>
                <w:bCs/>
              </w:rPr>
            </w:pPr>
            <w:r w:rsidRPr="002234E6">
              <w:rPr>
                <w:bCs/>
              </w:rPr>
              <w:t>2</w:t>
            </w:r>
          </w:p>
        </w:tc>
        <w:tc>
          <w:tcPr>
            <w:tcW w:w="733" w:type="dxa"/>
            <w:shd w:val="clear" w:color="auto" w:fill="auto"/>
          </w:tcPr>
          <w:p w14:paraId="010D09E3" w14:textId="77777777" w:rsidR="00A163F8" w:rsidRPr="002234E6" w:rsidRDefault="00A163F8" w:rsidP="004812C4">
            <w:pPr>
              <w:pStyle w:val="TableText"/>
              <w:tabs>
                <w:tab w:val="decimal" w:pos="394"/>
              </w:tabs>
              <w:rPr>
                <w:bCs/>
              </w:rPr>
            </w:pPr>
            <w:r w:rsidRPr="002234E6">
              <w:rPr>
                <w:bCs/>
              </w:rPr>
              <w:t>4</w:t>
            </w:r>
          </w:p>
        </w:tc>
        <w:tc>
          <w:tcPr>
            <w:tcW w:w="732" w:type="dxa"/>
            <w:shd w:val="clear" w:color="auto" w:fill="auto"/>
          </w:tcPr>
          <w:p w14:paraId="6C4106E7" w14:textId="77777777" w:rsidR="00A163F8" w:rsidRPr="002234E6" w:rsidRDefault="00A163F8" w:rsidP="004812C4">
            <w:pPr>
              <w:pStyle w:val="TableText"/>
              <w:tabs>
                <w:tab w:val="decimal" w:pos="394"/>
              </w:tabs>
              <w:rPr>
                <w:bCs/>
              </w:rPr>
            </w:pPr>
            <w:r w:rsidRPr="002234E6">
              <w:rPr>
                <w:bCs/>
              </w:rPr>
              <w:t>8</w:t>
            </w:r>
          </w:p>
        </w:tc>
        <w:tc>
          <w:tcPr>
            <w:tcW w:w="732" w:type="dxa"/>
            <w:shd w:val="clear" w:color="auto" w:fill="auto"/>
          </w:tcPr>
          <w:p w14:paraId="15B2CA07" w14:textId="77777777" w:rsidR="00A163F8" w:rsidRPr="002234E6" w:rsidRDefault="00A163F8" w:rsidP="004812C4">
            <w:pPr>
              <w:pStyle w:val="TableText"/>
              <w:tabs>
                <w:tab w:val="decimal" w:pos="394"/>
              </w:tabs>
              <w:rPr>
                <w:bCs/>
              </w:rPr>
            </w:pPr>
            <w:r w:rsidRPr="002234E6">
              <w:rPr>
                <w:bCs/>
              </w:rPr>
              <w:t>16</w:t>
            </w:r>
          </w:p>
        </w:tc>
        <w:tc>
          <w:tcPr>
            <w:tcW w:w="733" w:type="dxa"/>
            <w:shd w:val="clear" w:color="auto" w:fill="auto"/>
          </w:tcPr>
          <w:p w14:paraId="06FD222C" w14:textId="77777777" w:rsidR="00A163F8" w:rsidRPr="002234E6" w:rsidRDefault="00A163F8" w:rsidP="004812C4">
            <w:pPr>
              <w:pStyle w:val="TableText"/>
              <w:tabs>
                <w:tab w:val="decimal" w:pos="394"/>
              </w:tabs>
              <w:rPr>
                <w:bCs/>
              </w:rPr>
            </w:pPr>
            <w:r w:rsidRPr="002234E6">
              <w:rPr>
                <w:bCs/>
              </w:rPr>
              <w:t>20</w:t>
            </w:r>
          </w:p>
        </w:tc>
      </w:tr>
      <w:tr w:rsidR="00A163F8" w:rsidRPr="00F62A24" w14:paraId="42998225" w14:textId="77777777" w:rsidTr="004812C4">
        <w:trPr>
          <w:cantSplit/>
        </w:trPr>
        <w:tc>
          <w:tcPr>
            <w:tcW w:w="3686" w:type="dxa"/>
            <w:shd w:val="clear" w:color="auto" w:fill="auto"/>
          </w:tcPr>
          <w:p w14:paraId="0BF9C796" w14:textId="77777777" w:rsidR="00A163F8" w:rsidRPr="002234E6" w:rsidRDefault="00A163F8" w:rsidP="004812C4">
            <w:pPr>
              <w:pStyle w:val="TableText"/>
            </w:pPr>
            <w:r w:rsidRPr="00F62A24">
              <w:t>VZV (65-year-old population only)</w:t>
            </w:r>
            <w:r w:rsidRPr="00F62A24">
              <w:rPr>
                <w:vertAlign w:val="superscript"/>
              </w:rPr>
              <w:t>6</w:t>
            </w:r>
          </w:p>
        </w:tc>
        <w:tc>
          <w:tcPr>
            <w:tcW w:w="732" w:type="dxa"/>
            <w:shd w:val="clear" w:color="auto" w:fill="auto"/>
          </w:tcPr>
          <w:p w14:paraId="086A6E1B" w14:textId="77777777" w:rsidR="00A163F8" w:rsidRPr="002234E6" w:rsidRDefault="00A163F8" w:rsidP="004812C4">
            <w:pPr>
              <w:pStyle w:val="TableText"/>
              <w:tabs>
                <w:tab w:val="decimal" w:pos="394"/>
              </w:tabs>
              <w:rPr>
                <w:bCs/>
              </w:rPr>
            </w:pPr>
            <w:r w:rsidRPr="00F62A24">
              <w:rPr>
                <w:bCs/>
              </w:rPr>
              <w:t>1</w:t>
            </w:r>
          </w:p>
        </w:tc>
        <w:tc>
          <w:tcPr>
            <w:tcW w:w="732" w:type="dxa"/>
            <w:shd w:val="clear" w:color="auto" w:fill="auto"/>
          </w:tcPr>
          <w:p w14:paraId="760EC684" w14:textId="77777777" w:rsidR="00A163F8" w:rsidRPr="002234E6" w:rsidRDefault="00A163F8" w:rsidP="004812C4">
            <w:pPr>
              <w:pStyle w:val="TableText"/>
              <w:tabs>
                <w:tab w:val="decimal" w:pos="394"/>
              </w:tabs>
              <w:rPr>
                <w:bCs/>
              </w:rPr>
            </w:pPr>
            <w:r w:rsidRPr="00F62A24">
              <w:rPr>
                <w:bCs/>
              </w:rPr>
              <w:t>1</w:t>
            </w:r>
          </w:p>
        </w:tc>
        <w:tc>
          <w:tcPr>
            <w:tcW w:w="733" w:type="dxa"/>
            <w:shd w:val="clear" w:color="auto" w:fill="auto"/>
          </w:tcPr>
          <w:p w14:paraId="2FE2A573" w14:textId="77777777" w:rsidR="00A163F8" w:rsidRPr="002234E6" w:rsidRDefault="00A163F8" w:rsidP="004812C4">
            <w:pPr>
              <w:pStyle w:val="TableText"/>
              <w:tabs>
                <w:tab w:val="decimal" w:pos="394"/>
              </w:tabs>
              <w:rPr>
                <w:bCs/>
              </w:rPr>
            </w:pPr>
            <w:r w:rsidRPr="00F62A24">
              <w:rPr>
                <w:bCs/>
              </w:rPr>
              <w:t>2</w:t>
            </w:r>
          </w:p>
        </w:tc>
        <w:tc>
          <w:tcPr>
            <w:tcW w:w="732" w:type="dxa"/>
            <w:shd w:val="clear" w:color="auto" w:fill="auto"/>
          </w:tcPr>
          <w:p w14:paraId="24F1EB0B" w14:textId="77777777" w:rsidR="00A163F8" w:rsidRPr="002234E6" w:rsidRDefault="00A163F8" w:rsidP="004812C4">
            <w:pPr>
              <w:pStyle w:val="TableText"/>
              <w:tabs>
                <w:tab w:val="decimal" w:pos="394"/>
              </w:tabs>
              <w:rPr>
                <w:bCs/>
              </w:rPr>
            </w:pPr>
            <w:r w:rsidRPr="00F62A24">
              <w:rPr>
                <w:bCs/>
              </w:rPr>
              <w:t>4</w:t>
            </w:r>
          </w:p>
        </w:tc>
        <w:tc>
          <w:tcPr>
            <w:tcW w:w="732" w:type="dxa"/>
            <w:shd w:val="clear" w:color="auto" w:fill="auto"/>
          </w:tcPr>
          <w:p w14:paraId="6FD2DCA9" w14:textId="77777777" w:rsidR="00A163F8" w:rsidRPr="002234E6" w:rsidRDefault="00A163F8" w:rsidP="004812C4">
            <w:pPr>
              <w:pStyle w:val="TableText"/>
              <w:tabs>
                <w:tab w:val="decimal" w:pos="394"/>
              </w:tabs>
              <w:rPr>
                <w:bCs/>
              </w:rPr>
            </w:pPr>
            <w:r w:rsidRPr="00F62A24">
              <w:rPr>
                <w:bCs/>
              </w:rPr>
              <w:t>8</w:t>
            </w:r>
          </w:p>
        </w:tc>
        <w:tc>
          <w:tcPr>
            <w:tcW w:w="733" w:type="dxa"/>
            <w:shd w:val="clear" w:color="auto" w:fill="auto"/>
          </w:tcPr>
          <w:p w14:paraId="07682D2B" w14:textId="77777777" w:rsidR="00A163F8" w:rsidRPr="002234E6" w:rsidRDefault="00A163F8" w:rsidP="004812C4">
            <w:pPr>
              <w:pStyle w:val="TableText"/>
              <w:tabs>
                <w:tab w:val="decimal" w:pos="394"/>
              </w:tabs>
              <w:rPr>
                <w:bCs/>
              </w:rPr>
            </w:pPr>
            <w:r w:rsidRPr="00F62A24">
              <w:rPr>
                <w:bCs/>
              </w:rPr>
              <w:t>10</w:t>
            </w:r>
          </w:p>
        </w:tc>
      </w:tr>
    </w:tbl>
    <w:p w14:paraId="16228FC6" w14:textId="77777777" w:rsidR="00A163F8" w:rsidRPr="002234E6" w:rsidRDefault="00A163F8" w:rsidP="004812C4">
      <w:pPr>
        <w:pStyle w:val="Note"/>
      </w:pPr>
      <w:r w:rsidRPr="002234E6">
        <w:t xml:space="preserve">Key: D = diphtheria, T = tetanus, </w:t>
      </w:r>
      <w:proofErr w:type="spellStart"/>
      <w:r w:rsidRPr="002234E6">
        <w:t>aP</w:t>
      </w:r>
      <w:proofErr w:type="spellEnd"/>
      <w:r w:rsidRPr="002234E6">
        <w:t> = acellular pertussis, IPV = inactivated polio vaccine, Hib = </w:t>
      </w:r>
      <w:r w:rsidRPr="002234E6">
        <w:rPr>
          <w:i/>
        </w:rPr>
        <w:t xml:space="preserve">Haemophilus influenzae </w:t>
      </w:r>
      <w:r w:rsidRPr="002234E6">
        <w:t xml:space="preserve">type b, </w:t>
      </w:r>
      <w:proofErr w:type="spellStart"/>
      <w:r w:rsidRPr="002234E6">
        <w:t>HepB</w:t>
      </w:r>
      <w:proofErr w:type="spellEnd"/>
      <w:r w:rsidRPr="002234E6">
        <w:t xml:space="preserve"> = hepatitis B, RV = rotavirus vaccine, PCV = pneumococcal conjugate vaccine, MMR = measles, mumps and rubella, d = adult type diphtheria, ap = adult type pertussis, HPV = human papillomavirus vaccine, ADT = </w:t>
      </w:r>
      <w:r w:rsidRPr="002234E6">
        <w:rPr>
          <w:szCs w:val="18"/>
        </w:rPr>
        <w:t>adult type tetanus-diphtheria vaccine</w:t>
      </w:r>
      <w:r w:rsidRPr="002234E6">
        <w:t>.</w:t>
      </w:r>
    </w:p>
    <w:p w14:paraId="46F25999" w14:textId="77777777" w:rsidR="00A163F8" w:rsidRPr="002234E6" w:rsidRDefault="00A163F8" w:rsidP="004812C4">
      <w:pPr>
        <w:pStyle w:val="Note"/>
      </w:pPr>
      <w:r w:rsidRPr="002234E6">
        <w:t>Notes</w:t>
      </w:r>
    </w:p>
    <w:p w14:paraId="5A642509" w14:textId="77777777" w:rsidR="00A163F8" w:rsidRPr="002234E6" w:rsidRDefault="00A163F8" w:rsidP="004812C4">
      <w:pPr>
        <w:pStyle w:val="Note"/>
        <w:ind w:left="284" w:hanging="284"/>
      </w:pPr>
      <w:r w:rsidRPr="002234E6">
        <w:t>1</w:t>
      </w:r>
      <w:r w:rsidRPr="002234E6">
        <w:tab/>
        <w:t xml:space="preserve">The calculation for varicella is for the 15-month event only; </w:t>
      </w:r>
      <w:r>
        <w:t xml:space="preserve">providers </w:t>
      </w:r>
      <w:r w:rsidRPr="002234E6">
        <w:t>need to consider the number of vaccines doses required for eligible 11-year-olds.</w:t>
      </w:r>
    </w:p>
    <w:p w14:paraId="4EEDBE08" w14:textId="77777777" w:rsidR="00A163F8" w:rsidRPr="002234E6" w:rsidRDefault="00A163F8" w:rsidP="004812C4">
      <w:pPr>
        <w:pStyle w:val="Note"/>
        <w:ind w:left="284" w:hanging="284"/>
        <w:rPr>
          <w:szCs w:val="18"/>
        </w:rPr>
      </w:pPr>
      <w:r w:rsidRPr="002234E6">
        <w:t>2</w:t>
      </w:r>
      <w:r w:rsidRPr="002234E6">
        <w:tab/>
      </w:r>
      <w:r w:rsidRPr="002234E6">
        <w:rPr>
          <w:szCs w:val="18"/>
        </w:rPr>
        <w:t>Tdap and HPV numbers will depend on the number of children vaccinated in a school-based programme.</w:t>
      </w:r>
    </w:p>
    <w:p w14:paraId="11A02B1A" w14:textId="77777777" w:rsidR="00A163F8" w:rsidRPr="002234E6" w:rsidRDefault="00A163F8" w:rsidP="004812C4">
      <w:pPr>
        <w:pStyle w:val="Note"/>
        <w:ind w:left="284" w:hanging="284"/>
      </w:pPr>
      <w:r w:rsidRPr="002234E6">
        <w:t>3</w:t>
      </w:r>
      <w:r w:rsidRPr="002234E6">
        <w:tab/>
        <w:t xml:space="preserve">When ordering Tdap, </w:t>
      </w:r>
      <w:r>
        <w:t xml:space="preserve">providers should </w:t>
      </w:r>
      <w:r w:rsidRPr="002234E6">
        <w:t xml:space="preserve">consider the number of vaccines </w:t>
      </w:r>
      <w:r>
        <w:t xml:space="preserve">the </w:t>
      </w:r>
      <w:r w:rsidRPr="002234E6">
        <w:t>practice requires for pregnant women.</w:t>
      </w:r>
    </w:p>
    <w:p w14:paraId="48A23107" w14:textId="77777777" w:rsidR="00A163F8" w:rsidRPr="002234E6" w:rsidRDefault="00A163F8" w:rsidP="004812C4">
      <w:pPr>
        <w:pStyle w:val="Note"/>
        <w:ind w:left="284" w:hanging="284"/>
        <w:rPr>
          <w:szCs w:val="18"/>
        </w:rPr>
      </w:pPr>
      <w:r w:rsidRPr="002234E6">
        <w:rPr>
          <w:szCs w:val="18"/>
        </w:rPr>
        <w:t>4</w:t>
      </w:r>
      <w:r w:rsidRPr="002234E6">
        <w:rPr>
          <w:szCs w:val="18"/>
        </w:rPr>
        <w:tab/>
        <w:t xml:space="preserve">When ordering HPV, </w:t>
      </w:r>
      <w:r>
        <w:rPr>
          <w:szCs w:val="18"/>
        </w:rPr>
        <w:t xml:space="preserve">providers should </w:t>
      </w:r>
      <w:r w:rsidRPr="002234E6">
        <w:rPr>
          <w:szCs w:val="18"/>
        </w:rPr>
        <w:t xml:space="preserve">consider the number of vaccines </w:t>
      </w:r>
      <w:r>
        <w:rPr>
          <w:szCs w:val="18"/>
        </w:rPr>
        <w:t xml:space="preserve">the </w:t>
      </w:r>
      <w:r w:rsidRPr="002234E6">
        <w:rPr>
          <w:szCs w:val="18"/>
        </w:rPr>
        <w:t>practice requires for 14</w:t>
      </w:r>
      <w:r w:rsidR="004812C4">
        <w:rPr>
          <w:szCs w:val="18"/>
        </w:rPr>
        <w:noBreakHyphen/>
      </w:r>
      <w:r w:rsidRPr="002234E6">
        <w:rPr>
          <w:szCs w:val="18"/>
        </w:rPr>
        <w:t>year-old catch-ups.</w:t>
      </w:r>
    </w:p>
    <w:p w14:paraId="113FB64F" w14:textId="77777777" w:rsidR="00A163F8" w:rsidRPr="002234E6" w:rsidRDefault="00A163F8" w:rsidP="004812C4">
      <w:pPr>
        <w:pStyle w:val="Note"/>
        <w:ind w:left="284" w:hanging="284"/>
      </w:pPr>
      <w:r w:rsidRPr="002234E6">
        <w:rPr>
          <w:szCs w:val="18"/>
        </w:rPr>
        <w:t>5</w:t>
      </w:r>
      <w:r w:rsidRPr="002234E6">
        <w:rPr>
          <w:szCs w:val="18"/>
        </w:rPr>
        <w:tab/>
        <w:t xml:space="preserve">The volume of ADT stock required will depend on how many people aged 45 and 65 years are enrolled at </w:t>
      </w:r>
      <w:r>
        <w:rPr>
          <w:szCs w:val="18"/>
        </w:rPr>
        <w:t>the</w:t>
      </w:r>
      <w:r w:rsidRPr="002234E6">
        <w:rPr>
          <w:szCs w:val="18"/>
        </w:rPr>
        <w:t xml:space="preserve"> practice and the number of patients seen for acute wound management.</w:t>
      </w:r>
      <w:r w:rsidRPr="002234E6">
        <w:t xml:space="preserve"> The numbers in the table </w:t>
      </w:r>
      <w:r>
        <w:t xml:space="preserve">apply to </w:t>
      </w:r>
      <w:r w:rsidRPr="002234E6">
        <w:t>a combined population number for</w:t>
      </w:r>
      <w:r>
        <w:t xml:space="preserve"> people aged</w:t>
      </w:r>
      <w:r w:rsidRPr="002234E6">
        <w:t xml:space="preserve"> 45 and 65 years of age.</w:t>
      </w:r>
    </w:p>
    <w:p w14:paraId="5441A33B" w14:textId="77777777" w:rsidR="00A163F8" w:rsidRPr="002234E6" w:rsidRDefault="00A163F8" w:rsidP="004812C4">
      <w:pPr>
        <w:pStyle w:val="Note"/>
        <w:ind w:left="284" w:hanging="284"/>
      </w:pPr>
      <w:r w:rsidRPr="00F62A24">
        <w:rPr>
          <w:szCs w:val="18"/>
        </w:rPr>
        <w:t>6</w:t>
      </w:r>
      <w:r w:rsidRPr="00F62A24">
        <w:rPr>
          <w:szCs w:val="18"/>
        </w:rPr>
        <w:tab/>
        <w:t xml:space="preserve">The volume of VZV stock is based on vaccinating only </w:t>
      </w:r>
      <w:r>
        <w:rPr>
          <w:szCs w:val="18"/>
        </w:rPr>
        <w:t>a</w:t>
      </w:r>
      <w:r w:rsidRPr="00F62A24">
        <w:rPr>
          <w:szCs w:val="18"/>
        </w:rPr>
        <w:t xml:space="preserve"> population of people turning 65 years</w:t>
      </w:r>
      <w:r>
        <w:rPr>
          <w:szCs w:val="18"/>
        </w:rPr>
        <w:t>; providers</w:t>
      </w:r>
      <w:r w:rsidRPr="00F62A24">
        <w:rPr>
          <w:szCs w:val="18"/>
        </w:rPr>
        <w:t xml:space="preserve"> need to consider how many vaccines </w:t>
      </w:r>
      <w:r>
        <w:rPr>
          <w:szCs w:val="18"/>
        </w:rPr>
        <w:t xml:space="preserve">they </w:t>
      </w:r>
      <w:r w:rsidRPr="00F62A24">
        <w:rPr>
          <w:szCs w:val="18"/>
        </w:rPr>
        <w:t>require for those eligible for catch</w:t>
      </w:r>
      <w:r>
        <w:rPr>
          <w:szCs w:val="18"/>
        </w:rPr>
        <w:t>-</w:t>
      </w:r>
      <w:r w:rsidRPr="00F62A24">
        <w:rPr>
          <w:szCs w:val="18"/>
        </w:rPr>
        <w:t>up.</w:t>
      </w:r>
    </w:p>
    <w:p w14:paraId="751FE08D" w14:textId="77777777" w:rsidR="00A163F8" w:rsidRDefault="00A163F8" w:rsidP="004812C4">
      <w:bookmarkStart w:id="57" w:name="_Toc334179094"/>
    </w:p>
    <w:p w14:paraId="62F6846C" w14:textId="77777777" w:rsidR="00A163F8" w:rsidRPr="002234E6" w:rsidRDefault="00A163F8" w:rsidP="004812C4">
      <w:pPr>
        <w:pStyle w:val="Table"/>
      </w:pPr>
      <w:bookmarkStart w:id="58" w:name="_Toc9862601"/>
      <w:bookmarkStart w:id="59" w:name="_Toc18062279"/>
      <w:r w:rsidRPr="002234E6">
        <w:lastRenderedPageBreak/>
        <w:t>Table 4: Four weeks</w:t>
      </w:r>
      <w:r w:rsidR="007E44E1">
        <w:t>’</w:t>
      </w:r>
      <w:r w:rsidRPr="002234E6">
        <w:t xml:space="preserve"> vaccine supply (number of doses), per population served by the general practice</w:t>
      </w:r>
      <w:bookmarkEnd w:id="57"/>
      <w:bookmarkEnd w:id="58"/>
      <w:bookmarkEnd w:id="5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3686"/>
        <w:gridCol w:w="732"/>
        <w:gridCol w:w="732"/>
        <w:gridCol w:w="733"/>
        <w:gridCol w:w="732"/>
        <w:gridCol w:w="732"/>
        <w:gridCol w:w="733"/>
      </w:tblGrid>
      <w:tr w:rsidR="00A163F8" w:rsidRPr="004812C4" w14:paraId="7A626E0C" w14:textId="77777777" w:rsidTr="004812C4">
        <w:trPr>
          <w:cantSplit/>
        </w:trPr>
        <w:tc>
          <w:tcPr>
            <w:tcW w:w="3686" w:type="dxa"/>
            <w:tcBorders>
              <w:top w:val="nil"/>
              <w:bottom w:val="nil"/>
            </w:tcBorders>
            <w:shd w:val="clear" w:color="auto" w:fill="D9D9D9" w:themeFill="background1" w:themeFillShade="D9"/>
          </w:tcPr>
          <w:p w14:paraId="2642FF2C" w14:textId="77777777" w:rsidR="00A163F8" w:rsidRPr="004812C4" w:rsidRDefault="00A163F8" w:rsidP="004812C4">
            <w:pPr>
              <w:pStyle w:val="TableText"/>
              <w:keepNext/>
              <w:rPr>
                <w:b/>
                <w:bCs/>
              </w:rPr>
            </w:pPr>
            <w:r w:rsidRPr="004812C4">
              <w:rPr>
                <w:b/>
              </w:rPr>
              <w:t>&lt;5-year-old population</w:t>
            </w:r>
          </w:p>
        </w:tc>
        <w:tc>
          <w:tcPr>
            <w:tcW w:w="732" w:type="dxa"/>
            <w:tcBorders>
              <w:top w:val="nil"/>
              <w:bottom w:val="nil"/>
            </w:tcBorders>
            <w:shd w:val="clear" w:color="auto" w:fill="D9D9D9" w:themeFill="background1" w:themeFillShade="D9"/>
          </w:tcPr>
          <w:p w14:paraId="73440FF3" w14:textId="77777777" w:rsidR="00A163F8" w:rsidRPr="004812C4" w:rsidRDefault="00A163F8" w:rsidP="004812C4">
            <w:pPr>
              <w:pStyle w:val="TableText"/>
              <w:keepNext/>
              <w:jc w:val="center"/>
              <w:rPr>
                <w:b/>
                <w:bCs/>
              </w:rPr>
            </w:pPr>
            <w:r w:rsidRPr="004812C4">
              <w:rPr>
                <w:b/>
              </w:rPr>
              <w:t>50</w:t>
            </w:r>
          </w:p>
        </w:tc>
        <w:tc>
          <w:tcPr>
            <w:tcW w:w="732" w:type="dxa"/>
            <w:tcBorders>
              <w:top w:val="nil"/>
              <w:bottom w:val="nil"/>
            </w:tcBorders>
            <w:shd w:val="clear" w:color="auto" w:fill="D9D9D9" w:themeFill="background1" w:themeFillShade="D9"/>
          </w:tcPr>
          <w:p w14:paraId="1524DCBC" w14:textId="77777777" w:rsidR="00A163F8" w:rsidRPr="004812C4" w:rsidRDefault="00A163F8" w:rsidP="004812C4">
            <w:pPr>
              <w:pStyle w:val="TableText"/>
              <w:keepNext/>
              <w:jc w:val="center"/>
              <w:rPr>
                <w:b/>
                <w:bCs/>
              </w:rPr>
            </w:pPr>
            <w:r w:rsidRPr="004812C4">
              <w:rPr>
                <w:b/>
              </w:rPr>
              <w:t>100</w:t>
            </w:r>
          </w:p>
        </w:tc>
        <w:tc>
          <w:tcPr>
            <w:tcW w:w="733" w:type="dxa"/>
            <w:tcBorders>
              <w:top w:val="nil"/>
              <w:bottom w:val="nil"/>
            </w:tcBorders>
            <w:shd w:val="clear" w:color="auto" w:fill="D9D9D9" w:themeFill="background1" w:themeFillShade="D9"/>
          </w:tcPr>
          <w:p w14:paraId="4234CAB9" w14:textId="77777777" w:rsidR="00A163F8" w:rsidRPr="004812C4" w:rsidRDefault="00A163F8" w:rsidP="004812C4">
            <w:pPr>
              <w:pStyle w:val="TableText"/>
              <w:keepNext/>
              <w:jc w:val="center"/>
              <w:rPr>
                <w:b/>
                <w:bCs/>
              </w:rPr>
            </w:pPr>
            <w:r w:rsidRPr="004812C4">
              <w:rPr>
                <w:b/>
              </w:rPr>
              <w:t>250</w:t>
            </w:r>
          </w:p>
        </w:tc>
        <w:tc>
          <w:tcPr>
            <w:tcW w:w="732" w:type="dxa"/>
            <w:tcBorders>
              <w:top w:val="nil"/>
              <w:bottom w:val="nil"/>
            </w:tcBorders>
            <w:shd w:val="clear" w:color="auto" w:fill="D9D9D9" w:themeFill="background1" w:themeFillShade="D9"/>
          </w:tcPr>
          <w:p w14:paraId="7E51FE69" w14:textId="77777777" w:rsidR="00A163F8" w:rsidRPr="004812C4" w:rsidRDefault="00A163F8" w:rsidP="004812C4">
            <w:pPr>
              <w:pStyle w:val="TableText"/>
              <w:keepNext/>
              <w:jc w:val="center"/>
              <w:rPr>
                <w:b/>
                <w:bCs/>
              </w:rPr>
            </w:pPr>
            <w:r w:rsidRPr="004812C4">
              <w:rPr>
                <w:b/>
              </w:rPr>
              <w:t>500</w:t>
            </w:r>
          </w:p>
        </w:tc>
        <w:tc>
          <w:tcPr>
            <w:tcW w:w="732" w:type="dxa"/>
            <w:tcBorders>
              <w:top w:val="nil"/>
              <w:bottom w:val="nil"/>
            </w:tcBorders>
            <w:shd w:val="clear" w:color="auto" w:fill="D9D9D9" w:themeFill="background1" w:themeFillShade="D9"/>
          </w:tcPr>
          <w:p w14:paraId="2A99EEDE" w14:textId="77777777" w:rsidR="00A163F8" w:rsidRPr="004812C4" w:rsidRDefault="00A163F8" w:rsidP="004812C4">
            <w:pPr>
              <w:pStyle w:val="TableText"/>
              <w:keepNext/>
              <w:jc w:val="center"/>
              <w:rPr>
                <w:b/>
                <w:bCs/>
              </w:rPr>
            </w:pPr>
            <w:r w:rsidRPr="004812C4">
              <w:rPr>
                <w:b/>
              </w:rPr>
              <w:t>1</w:t>
            </w:r>
            <w:r w:rsidR="004812C4">
              <w:rPr>
                <w:b/>
              </w:rPr>
              <w:t>,</w:t>
            </w:r>
            <w:r w:rsidRPr="004812C4">
              <w:rPr>
                <w:b/>
              </w:rPr>
              <w:t>000</w:t>
            </w:r>
          </w:p>
        </w:tc>
        <w:tc>
          <w:tcPr>
            <w:tcW w:w="733" w:type="dxa"/>
            <w:tcBorders>
              <w:top w:val="nil"/>
              <w:bottom w:val="nil"/>
            </w:tcBorders>
            <w:shd w:val="clear" w:color="auto" w:fill="D9D9D9" w:themeFill="background1" w:themeFillShade="D9"/>
          </w:tcPr>
          <w:p w14:paraId="6E6D83B3" w14:textId="77777777" w:rsidR="00A163F8" w:rsidRPr="004812C4" w:rsidRDefault="00A163F8" w:rsidP="004812C4">
            <w:pPr>
              <w:pStyle w:val="TableText"/>
              <w:keepNext/>
              <w:jc w:val="center"/>
              <w:rPr>
                <w:b/>
                <w:bCs/>
              </w:rPr>
            </w:pPr>
            <w:r w:rsidRPr="004812C4">
              <w:rPr>
                <w:b/>
              </w:rPr>
              <w:t>1</w:t>
            </w:r>
            <w:r w:rsidR="004812C4">
              <w:rPr>
                <w:b/>
              </w:rPr>
              <w:t>,</w:t>
            </w:r>
            <w:r w:rsidRPr="004812C4">
              <w:rPr>
                <w:b/>
              </w:rPr>
              <w:t>250</w:t>
            </w:r>
          </w:p>
        </w:tc>
      </w:tr>
      <w:tr w:rsidR="00A163F8" w:rsidRPr="00F62A24" w14:paraId="7F583C28" w14:textId="77777777" w:rsidTr="004812C4">
        <w:trPr>
          <w:cantSplit/>
        </w:trPr>
        <w:tc>
          <w:tcPr>
            <w:tcW w:w="3686" w:type="dxa"/>
            <w:tcBorders>
              <w:top w:val="nil"/>
            </w:tcBorders>
            <w:shd w:val="clear" w:color="auto" w:fill="auto"/>
          </w:tcPr>
          <w:p w14:paraId="2D24C4A9" w14:textId="77777777" w:rsidR="00A163F8" w:rsidRPr="002234E6" w:rsidRDefault="00A163F8" w:rsidP="004812C4">
            <w:pPr>
              <w:pStyle w:val="TableText"/>
              <w:keepNext/>
              <w:rPr>
                <w:bCs/>
              </w:rPr>
            </w:pPr>
            <w:r w:rsidRPr="00F33473">
              <w:t>DTaP-IPV-Hib/</w:t>
            </w:r>
            <w:proofErr w:type="spellStart"/>
            <w:r w:rsidRPr="00F33473">
              <w:t>HepB</w:t>
            </w:r>
            <w:proofErr w:type="spellEnd"/>
          </w:p>
        </w:tc>
        <w:tc>
          <w:tcPr>
            <w:tcW w:w="732" w:type="dxa"/>
            <w:tcBorders>
              <w:top w:val="nil"/>
            </w:tcBorders>
            <w:shd w:val="clear" w:color="auto" w:fill="auto"/>
          </w:tcPr>
          <w:p w14:paraId="76995C6F" w14:textId="77777777" w:rsidR="00A163F8" w:rsidRPr="002234E6" w:rsidRDefault="00A163F8" w:rsidP="004812C4">
            <w:pPr>
              <w:pStyle w:val="TableText"/>
              <w:keepNext/>
              <w:tabs>
                <w:tab w:val="decimal" w:pos="407"/>
              </w:tabs>
              <w:rPr>
                <w:bCs/>
              </w:rPr>
            </w:pPr>
            <w:r>
              <w:t>12</w:t>
            </w:r>
          </w:p>
        </w:tc>
        <w:tc>
          <w:tcPr>
            <w:tcW w:w="732" w:type="dxa"/>
            <w:tcBorders>
              <w:top w:val="nil"/>
            </w:tcBorders>
            <w:shd w:val="clear" w:color="auto" w:fill="auto"/>
          </w:tcPr>
          <w:p w14:paraId="747C14BE" w14:textId="77777777" w:rsidR="00A163F8" w:rsidRPr="002234E6" w:rsidRDefault="00A163F8" w:rsidP="004812C4">
            <w:pPr>
              <w:pStyle w:val="TableText"/>
              <w:keepNext/>
              <w:tabs>
                <w:tab w:val="decimal" w:pos="407"/>
              </w:tabs>
              <w:rPr>
                <w:bCs/>
              </w:rPr>
            </w:pPr>
            <w:r>
              <w:t>13</w:t>
            </w:r>
          </w:p>
        </w:tc>
        <w:tc>
          <w:tcPr>
            <w:tcW w:w="733" w:type="dxa"/>
            <w:tcBorders>
              <w:top w:val="nil"/>
            </w:tcBorders>
            <w:shd w:val="clear" w:color="auto" w:fill="auto"/>
          </w:tcPr>
          <w:p w14:paraId="5734B821" w14:textId="77777777" w:rsidR="00A163F8" w:rsidRPr="002234E6" w:rsidRDefault="00A163F8" w:rsidP="004812C4">
            <w:pPr>
              <w:pStyle w:val="TableText"/>
              <w:keepNext/>
              <w:tabs>
                <w:tab w:val="decimal" w:pos="407"/>
              </w:tabs>
              <w:rPr>
                <w:bCs/>
              </w:rPr>
            </w:pPr>
            <w:r>
              <w:t>16</w:t>
            </w:r>
          </w:p>
        </w:tc>
        <w:tc>
          <w:tcPr>
            <w:tcW w:w="732" w:type="dxa"/>
            <w:tcBorders>
              <w:top w:val="nil"/>
            </w:tcBorders>
            <w:shd w:val="clear" w:color="auto" w:fill="auto"/>
          </w:tcPr>
          <w:p w14:paraId="1C88B49D" w14:textId="77777777" w:rsidR="00A163F8" w:rsidRPr="002234E6" w:rsidRDefault="00A163F8" w:rsidP="004812C4">
            <w:pPr>
              <w:pStyle w:val="TableText"/>
              <w:keepNext/>
              <w:tabs>
                <w:tab w:val="decimal" w:pos="407"/>
              </w:tabs>
              <w:rPr>
                <w:bCs/>
              </w:rPr>
            </w:pPr>
            <w:r>
              <w:t>32</w:t>
            </w:r>
          </w:p>
        </w:tc>
        <w:tc>
          <w:tcPr>
            <w:tcW w:w="732" w:type="dxa"/>
            <w:tcBorders>
              <w:top w:val="nil"/>
            </w:tcBorders>
            <w:shd w:val="clear" w:color="auto" w:fill="auto"/>
          </w:tcPr>
          <w:p w14:paraId="4385B0B8" w14:textId="77777777" w:rsidR="00A163F8" w:rsidRPr="002234E6" w:rsidRDefault="00A163F8" w:rsidP="004812C4">
            <w:pPr>
              <w:pStyle w:val="TableText"/>
              <w:keepNext/>
              <w:tabs>
                <w:tab w:val="decimal" w:pos="407"/>
              </w:tabs>
              <w:rPr>
                <w:bCs/>
              </w:rPr>
            </w:pPr>
            <w:r>
              <w:t>54</w:t>
            </w:r>
          </w:p>
        </w:tc>
        <w:tc>
          <w:tcPr>
            <w:tcW w:w="733" w:type="dxa"/>
            <w:tcBorders>
              <w:top w:val="nil"/>
            </w:tcBorders>
            <w:shd w:val="clear" w:color="auto" w:fill="auto"/>
          </w:tcPr>
          <w:p w14:paraId="7AD959D5" w14:textId="77777777" w:rsidR="00A163F8" w:rsidRPr="002234E6" w:rsidRDefault="00A163F8" w:rsidP="004812C4">
            <w:pPr>
              <w:pStyle w:val="TableText"/>
              <w:keepNext/>
              <w:tabs>
                <w:tab w:val="decimal" w:pos="407"/>
              </w:tabs>
              <w:rPr>
                <w:bCs/>
              </w:rPr>
            </w:pPr>
            <w:r>
              <w:t>59</w:t>
            </w:r>
          </w:p>
        </w:tc>
      </w:tr>
      <w:tr w:rsidR="00A163F8" w:rsidRPr="00F62A24" w14:paraId="1FE8271F" w14:textId="77777777" w:rsidTr="004812C4">
        <w:trPr>
          <w:cantSplit/>
        </w:trPr>
        <w:tc>
          <w:tcPr>
            <w:tcW w:w="3686" w:type="dxa"/>
            <w:shd w:val="clear" w:color="auto" w:fill="auto"/>
          </w:tcPr>
          <w:p w14:paraId="7708CD6E" w14:textId="77777777" w:rsidR="00A163F8" w:rsidRPr="002234E6" w:rsidRDefault="00A163F8" w:rsidP="004812C4">
            <w:pPr>
              <w:pStyle w:val="TableText"/>
              <w:keepNext/>
            </w:pPr>
            <w:r w:rsidRPr="00F33473">
              <w:t>RV1</w:t>
            </w:r>
          </w:p>
        </w:tc>
        <w:tc>
          <w:tcPr>
            <w:tcW w:w="732" w:type="dxa"/>
            <w:shd w:val="clear" w:color="auto" w:fill="auto"/>
          </w:tcPr>
          <w:p w14:paraId="27BDDB64" w14:textId="77777777" w:rsidR="00A163F8" w:rsidRPr="002234E6" w:rsidRDefault="00A163F8" w:rsidP="004812C4">
            <w:pPr>
              <w:pStyle w:val="TableText"/>
              <w:keepNext/>
              <w:tabs>
                <w:tab w:val="decimal" w:pos="407"/>
              </w:tabs>
              <w:rPr>
                <w:bCs/>
              </w:rPr>
            </w:pPr>
            <w:r>
              <w:rPr>
                <w:bCs/>
              </w:rPr>
              <w:t>11</w:t>
            </w:r>
          </w:p>
        </w:tc>
        <w:tc>
          <w:tcPr>
            <w:tcW w:w="732" w:type="dxa"/>
            <w:shd w:val="clear" w:color="auto" w:fill="auto"/>
          </w:tcPr>
          <w:p w14:paraId="39964A7E" w14:textId="77777777" w:rsidR="00A163F8" w:rsidRPr="002234E6" w:rsidRDefault="00A163F8" w:rsidP="004812C4">
            <w:pPr>
              <w:pStyle w:val="TableText"/>
              <w:keepNext/>
              <w:tabs>
                <w:tab w:val="decimal" w:pos="407"/>
              </w:tabs>
              <w:rPr>
                <w:bCs/>
              </w:rPr>
            </w:pPr>
            <w:r>
              <w:rPr>
                <w:bCs/>
              </w:rPr>
              <w:t>12</w:t>
            </w:r>
          </w:p>
        </w:tc>
        <w:tc>
          <w:tcPr>
            <w:tcW w:w="733" w:type="dxa"/>
            <w:shd w:val="clear" w:color="auto" w:fill="auto"/>
          </w:tcPr>
          <w:p w14:paraId="55B4A255" w14:textId="77777777" w:rsidR="00A163F8" w:rsidRPr="002234E6" w:rsidRDefault="00A163F8" w:rsidP="004812C4">
            <w:pPr>
              <w:pStyle w:val="TableText"/>
              <w:keepNext/>
              <w:tabs>
                <w:tab w:val="decimal" w:pos="407"/>
              </w:tabs>
              <w:rPr>
                <w:bCs/>
              </w:rPr>
            </w:pPr>
            <w:r>
              <w:rPr>
                <w:bCs/>
              </w:rPr>
              <w:t>14</w:t>
            </w:r>
          </w:p>
        </w:tc>
        <w:tc>
          <w:tcPr>
            <w:tcW w:w="732" w:type="dxa"/>
            <w:shd w:val="clear" w:color="auto" w:fill="auto"/>
          </w:tcPr>
          <w:p w14:paraId="0DC47990" w14:textId="77777777" w:rsidR="00A163F8" w:rsidRPr="002234E6" w:rsidRDefault="00A163F8" w:rsidP="004812C4">
            <w:pPr>
              <w:pStyle w:val="TableText"/>
              <w:keepNext/>
              <w:tabs>
                <w:tab w:val="decimal" w:pos="407"/>
              </w:tabs>
              <w:rPr>
                <w:bCs/>
              </w:rPr>
            </w:pPr>
            <w:r>
              <w:rPr>
                <w:bCs/>
              </w:rPr>
              <w:t>18</w:t>
            </w:r>
          </w:p>
        </w:tc>
        <w:tc>
          <w:tcPr>
            <w:tcW w:w="732" w:type="dxa"/>
            <w:shd w:val="clear" w:color="auto" w:fill="auto"/>
          </w:tcPr>
          <w:p w14:paraId="45784541" w14:textId="77777777" w:rsidR="00A163F8" w:rsidRPr="002234E6" w:rsidRDefault="00A163F8" w:rsidP="004812C4">
            <w:pPr>
              <w:pStyle w:val="TableText"/>
              <w:keepNext/>
              <w:tabs>
                <w:tab w:val="decimal" w:pos="407"/>
              </w:tabs>
              <w:rPr>
                <w:bCs/>
              </w:rPr>
            </w:pPr>
            <w:r w:rsidRPr="00F33473">
              <w:t>3</w:t>
            </w:r>
            <w:r>
              <w:t>6</w:t>
            </w:r>
          </w:p>
        </w:tc>
        <w:tc>
          <w:tcPr>
            <w:tcW w:w="733" w:type="dxa"/>
            <w:shd w:val="clear" w:color="auto" w:fill="auto"/>
          </w:tcPr>
          <w:p w14:paraId="3205B471" w14:textId="77777777" w:rsidR="00A163F8" w:rsidRPr="002234E6" w:rsidRDefault="00A163F8" w:rsidP="004812C4">
            <w:pPr>
              <w:pStyle w:val="TableText"/>
              <w:keepNext/>
              <w:tabs>
                <w:tab w:val="decimal" w:pos="407"/>
              </w:tabs>
              <w:rPr>
                <w:bCs/>
              </w:rPr>
            </w:pPr>
            <w:r>
              <w:rPr>
                <w:bCs/>
              </w:rPr>
              <w:t>40</w:t>
            </w:r>
          </w:p>
        </w:tc>
      </w:tr>
      <w:tr w:rsidR="00A163F8" w:rsidRPr="00F62A24" w14:paraId="48424175" w14:textId="77777777" w:rsidTr="004812C4">
        <w:trPr>
          <w:cantSplit/>
        </w:trPr>
        <w:tc>
          <w:tcPr>
            <w:tcW w:w="3686" w:type="dxa"/>
            <w:shd w:val="clear" w:color="auto" w:fill="auto"/>
          </w:tcPr>
          <w:p w14:paraId="2831A276" w14:textId="77777777" w:rsidR="00A163F8" w:rsidRPr="002234E6" w:rsidRDefault="00A163F8" w:rsidP="004812C4">
            <w:pPr>
              <w:pStyle w:val="TableText"/>
              <w:keepNext/>
              <w:rPr>
                <w:bCs/>
              </w:rPr>
            </w:pPr>
            <w:r w:rsidRPr="00F33473">
              <w:t>PCV</w:t>
            </w:r>
          </w:p>
        </w:tc>
        <w:tc>
          <w:tcPr>
            <w:tcW w:w="732" w:type="dxa"/>
            <w:shd w:val="clear" w:color="auto" w:fill="auto"/>
          </w:tcPr>
          <w:p w14:paraId="13324650" w14:textId="77777777" w:rsidR="00A163F8" w:rsidRPr="002234E6" w:rsidRDefault="00A163F8" w:rsidP="004812C4">
            <w:pPr>
              <w:pStyle w:val="TableText"/>
              <w:keepNext/>
              <w:tabs>
                <w:tab w:val="decimal" w:pos="407"/>
              </w:tabs>
              <w:rPr>
                <w:bCs/>
              </w:rPr>
            </w:pPr>
            <w:r>
              <w:rPr>
                <w:bCs/>
              </w:rPr>
              <w:t>12</w:t>
            </w:r>
          </w:p>
        </w:tc>
        <w:tc>
          <w:tcPr>
            <w:tcW w:w="732" w:type="dxa"/>
            <w:shd w:val="clear" w:color="auto" w:fill="auto"/>
          </w:tcPr>
          <w:p w14:paraId="0AC01C72" w14:textId="77777777" w:rsidR="00A163F8" w:rsidRPr="002234E6" w:rsidRDefault="00A163F8" w:rsidP="004812C4">
            <w:pPr>
              <w:pStyle w:val="TableText"/>
              <w:keepNext/>
              <w:tabs>
                <w:tab w:val="decimal" w:pos="407"/>
              </w:tabs>
              <w:rPr>
                <w:bCs/>
              </w:rPr>
            </w:pPr>
            <w:r>
              <w:rPr>
                <w:bCs/>
              </w:rPr>
              <w:t>14</w:t>
            </w:r>
          </w:p>
        </w:tc>
        <w:tc>
          <w:tcPr>
            <w:tcW w:w="733" w:type="dxa"/>
            <w:shd w:val="clear" w:color="auto" w:fill="auto"/>
          </w:tcPr>
          <w:p w14:paraId="070FE96E" w14:textId="77777777" w:rsidR="00A163F8" w:rsidRPr="002234E6" w:rsidRDefault="00A163F8" w:rsidP="004812C4">
            <w:pPr>
              <w:pStyle w:val="TableText"/>
              <w:keepNext/>
              <w:tabs>
                <w:tab w:val="decimal" w:pos="407"/>
              </w:tabs>
              <w:rPr>
                <w:bCs/>
              </w:rPr>
            </w:pPr>
            <w:r w:rsidRPr="00F33473">
              <w:t>1</w:t>
            </w:r>
            <w:r>
              <w:t>8</w:t>
            </w:r>
          </w:p>
        </w:tc>
        <w:tc>
          <w:tcPr>
            <w:tcW w:w="732" w:type="dxa"/>
            <w:shd w:val="clear" w:color="auto" w:fill="auto"/>
          </w:tcPr>
          <w:p w14:paraId="087AD44A" w14:textId="77777777" w:rsidR="00A163F8" w:rsidRPr="002234E6" w:rsidRDefault="00A163F8" w:rsidP="004812C4">
            <w:pPr>
              <w:pStyle w:val="TableText"/>
              <w:keepNext/>
              <w:tabs>
                <w:tab w:val="decimal" w:pos="407"/>
              </w:tabs>
              <w:rPr>
                <w:bCs/>
              </w:rPr>
            </w:pPr>
            <w:r w:rsidRPr="00F33473">
              <w:t>3</w:t>
            </w:r>
            <w:r>
              <w:t>6</w:t>
            </w:r>
          </w:p>
        </w:tc>
        <w:tc>
          <w:tcPr>
            <w:tcW w:w="732" w:type="dxa"/>
            <w:shd w:val="clear" w:color="auto" w:fill="auto"/>
          </w:tcPr>
          <w:p w14:paraId="6B2EDE9E" w14:textId="77777777" w:rsidR="00A163F8" w:rsidRPr="002234E6" w:rsidRDefault="00A163F8" w:rsidP="004812C4">
            <w:pPr>
              <w:pStyle w:val="TableText"/>
              <w:keepNext/>
              <w:tabs>
                <w:tab w:val="decimal" w:pos="407"/>
              </w:tabs>
              <w:rPr>
                <w:bCs/>
              </w:rPr>
            </w:pPr>
            <w:r>
              <w:rPr>
                <w:bCs/>
              </w:rPr>
              <w:t>71</w:t>
            </w:r>
          </w:p>
        </w:tc>
        <w:tc>
          <w:tcPr>
            <w:tcW w:w="733" w:type="dxa"/>
            <w:shd w:val="clear" w:color="auto" w:fill="auto"/>
          </w:tcPr>
          <w:p w14:paraId="001F3509" w14:textId="77777777" w:rsidR="00A163F8" w:rsidRPr="002234E6" w:rsidRDefault="00A163F8" w:rsidP="004812C4">
            <w:pPr>
              <w:pStyle w:val="TableText"/>
              <w:keepNext/>
              <w:tabs>
                <w:tab w:val="decimal" w:pos="407"/>
              </w:tabs>
              <w:rPr>
                <w:bCs/>
              </w:rPr>
            </w:pPr>
            <w:r>
              <w:rPr>
                <w:bCs/>
              </w:rPr>
              <w:t>79</w:t>
            </w:r>
          </w:p>
        </w:tc>
      </w:tr>
      <w:tr w:rsidR="00A163F8" w:rsidRPr="00F62A24" w14:paraId="31170890" w14:textId="77777777" w:rsidTr="004812C4">
        <w:trPr>
          <w:cantSplit/>
        </w:trPr>
        <w:tc>
          <w:tcPr>
            <w:tcW w:w="3686" w:type="dxa"/>
            <w:shd w:val="clear" w:color="auto" w:fill="auto"/>
          </w:tcPr>
          <w:p w14:paraId="30D5FF45" w14:textId="77777777" w:rsidR="00A163F8" w:rsidRPr="002234E6" w:rsidRDefault="00A163F8" w:rsidP="004812C4">
            <w:pPr>
              <w:pStyle w:val="TableText"/>
              <w:keepNext/>
              <w:rPr>
                <w:bCs/>
                <w:vertAlign w:val="superscript"/>
              </w:rPr>
            </w:pPr>
            <w:r w:rsidRPr="00F33473">
              <w:t>DTaP-IPV and Varicella</w:t>
            </w:r>
            <w:r w:rsidRPr="00F33473">
              <w:rPr>
                <w:vertAlign w:val="superscript"/>
              </w:rPr>
              <w:t>1</w:t>
            </w:r>
          </w:p>
        </w:tc>
        <w:tc>
          <w:tcPr>
            <w:tcW w:w="732" w:type="dxa"/>
            <w:shd w:val="clear" w:color="auto" w:fill="auto"/>
          </w:tcPr>
          <w:p w14:paraId="1CAED329" w14:textId="77777777" w:rsidR="00A163F8" w:rsidRPr="002234E6" w:rsidRDefault="00A163F8" w:rsidP="004812C4">
            <w:pPr>
              <w:pStyle w:val="TableText"/>
              <w:keepNext/>
              <w:tabs>
                <w:tab w:val="decimal" w:pos="407"/>
              </w:tabs>
              <w:rPr>
                <w:bCs/>
              </w:rPr>
            </w:pPr>
            <w:r>
              <w:rPr>
                <w:bCs/>
              </w:rPr>
              <w:t>11</w:t>
            </w:r>
          </w:p>
        </w:tc>
        <w:tc>
          <w:tcPr>
            <w:tcW w:w="732" w:type="dxa"/>
            <w:shd w:val="clear" w:color="auto" w:fill="auto"/>
          </w:tcPr>
          <w:p w14:paraId="79E77E3E" w14:textId="77777777" w:rsidR="00A163F8" w:rsidRPr="002234E6" w:rsidRDefault="00A163F8" w:rsidP="004812C4">
            <w:pPr>
              <w:pStyle w:val="TableText"/>
              <w:keepNext/>
              <w:tabs>
                <w:tab w:val="decimal" w:pos="407"/>
              </w:tabs>
              <w:rPr>
                <w:bCs/>
              </w:rPr>
            </w:pPr>
            <w:r>
              <w:rPr>
                <w:bCs/>
              </w:rPr>
              <w:t>11</w:t>
            </w:r>
          </w:p>
        </w:tc>
        <w:tc>
          <w:tcPr>
            <w:tcW w:w="733" w:type="dxa"/>
            <w:shd w:val="clear" w:color="auto" w:fill="auto"/>
          </w:tcPr>
          <w:p w14:paraId="40E31320" w14:textId="77777777" w:rsidR="00A163F8" w:rsidRPr="002234E6" w:rsidRDefault="00A163F8" w:rsidP="004812C4">
            <w:pPr>
              <w:pStyle w:val="TableText"/>
              <w:keepNext/>
              <w:tabs>
                <w:tab w:val="decimal" w:pos="407"/>
              </w:tabs>
              <w:rPr>
                <w:bCs/>
              </w:rPr>
            </w:pPr>
            <w:r>
              <w:rPr>
                <w:bCs/>
              </w:rPr>
              <w:t>12</w:t>
            </w:r>
          </w:p>
        </w:tc>
        <w:tc>
          <w:tcPr>
            <w:tcW w:w="732" w:type="dxa"/>
            <w:shd w:val="clear" w:color="auto" w:fill="auto"/>
          </w:tcPr>
          <w:p w14:paraId="62617D2D" w14:textId="77777777" w:rsidR="00A163F8" w:rsidRPr="002234E6" w:rsidRDefault="00A163F8" w:rsidP="004812C4">
            <w:pPr>
              <w:pStyle w:val="TableText"/>
              <w:keepNext/>
              <w:tabs>
                <w:tab w:val="decimal" w:pos="407"/>
              </w:tabs>
              <w:rPr>
                <w:bCs/>
              </w:rPr>
            </w:pPr>
            <w:r>
              <w:rPr>
                <w:bCs/>
              </w:rPr>
              <w:t>14</w:t>
            </w:r>
          </w:p>
        </w:tc>
        <w:tc>
          <w:tcPr>
            <w:tcW w:w="732" w:type="dxa"/>
            <w:shd w:val="clear" w:color="auto" w:fill="auto"/>
          </w:tcPr>
          <w:p w14:paraId="510C1D49" w14:textId="77777777" w:rsidR="00A163F8" w:rsidRPr="002234E6" w:rsidRDefault="00A163F8" w:rsidP="004812C4">
            <w:pPr>
              <w:pStyle w:val="TableText"/>
              <w:keepNext/>
              <w:tabs>
                <w:tab w:val="decimal" w:pos="407"/>
              </w:tabs>
              <w:rPr>
                <w:bCs/>
              </w:rPr>
            </w:pPr>
            <w:r>
              <w:rPr>
                <w:bCs/>
              </w:rPr>
              <w:t>18</w:t>
            </w:r>
          </w:p>
        </w:tc>
        <w:tc>
          <w:tcPr>
            <w:tcW w:w="733" w:type="dxa"/>
            <w:shd w:val="clear" w:color="auto" w:fill="auto"/>
          </w:tcPr>
          <w:p w14:paraId="58CC4F9C" w14:textId="77777777" w:rsidR="00A163F8" w:rsidRPr="002234E6" w:rsidRDefault="00A163F8" w:rsidP="004812C4">
            <w:pPr>
              <w:pStyle w:val="TableText"/>
              <w:keepNext/>
              <w:tabs>
                <w:tab w:val="decimal" w:pos="407"/>
              </w:tabs>
              <w:rPr>
                <w:bCs/>
              </w:rPr>
            </w:pPr>
            <w:r w:rsidRPr="00F33473">
              <w:t>20</w:t>
            </w:r>
          </w:p>
        </w:tc>
      </w:tr>
      <w:tr w:rsidR="00A163F8" w:rsidRPr="00F62A24" w14:paraId="728FA012" w14:textId="77777777" w:rsidTr="004812C4">
        <w:trPr>
          <w:cantSplit/>
        </w:trPr>
        <w:tc>
          <w:tcPr>
            <w:tcW w:w="3686" w:type="dxa"/>
            <w:shd w:val="clear" w:color="auto" w:fill="auto"/>
          </w:tcPr>
          <w:p w14:paraId="5BB03D93" w14:textId="77777777" w:rsidR="00A163F8" w:rsidRPr="002234E6" w:rsidRDefault="00A163F8" w:rsidP="004812C4">
            <w:pPr>
              <w:pStyle w:val="TableText"/>
              <w:keepNext/>
            </w:pPr>
            <w:r w:rsidRPr="00F33473">
              <w:t>Hib</w:t>
            </w:r>
          </w:p>
        </w:tc>
        <w:tc>
          <w:tcPr>
            <w:tcW w:w="732" w:type="dxa"/>
            <w:shd w:val="clear" w:color="auto" w:fill="auto"/>
          </w:tcPr>
          <w:p w14:paraId="13371243" w14:textId="77777777" w:rsidR="00A163F8" w:rsidRPr="002234E6" w:rsidRDefault="00A163F8" w:rsidP="004812C4">
            <w:pPr>
              <w:pStyle w:val="TableText"/>
              <w:keepNext/>
              <w:tabs>
                <w:tab w:val="decimal" w:pos="407"/>
              </w:tabs>
              <w:rPr>
                <w:bCs/>
              </w:rPr>
            </w:pPr>
            <w:r w:rsidRPr="00F33473">
              <w:t>2</w:t>
            </w:r>
          </w:p>
        </w:tc>
        <w:tc>
          <w:tcPr>
            <w:tcW w:w="732" w:type="dxa"/>
            <w:shd w:val="clear" w:color="auto" w:fill="auto"/>
          </w:tcPr>
          <w:p w14:paraId="42C4505C" w14:textId="77777777" w:rsidR="00A163F8" w:rsidRPr="002234E6" w:rsidRDefault="00A163F8" w:rsidP="004812C4">
            <w:pPr>
              <w:pStyle w:val="TableText"/>
              <w:keepNext/>
              <w:tabs>
                <w:tab w:val="decimal" w:pos="407"/>
              </w:tabs>
              <w:rPr>
                <w:bCs/>
              </w:rPr>
            </w:pPr>
            <w:r w:rsidRPr="00F33473">
              <w:t>2</w:t>
            </w:r>
          </w:p>
        </w:tc>
        <w:tc>
          <w:tcPr>
            <w:tcW w:w="733" w:type="dxa"/>
            <w:shd w:val="clear" w:color="auto" w:fill="auto"/>
          </w:tcPr>
          <w:p w14:paraId="004B9FDC" w14:textId="77777777" w:rsidR="00A163F8" w:rsidRPr="002234E6" w:rsidRDefault="00A163F8" w:rsidP="004812C4">
            <w:pPr>
              <w:pStyle w:val="TableText"/>
              <w:keepNext/>
              <w:tabs>
                <w:tab w:val="decimal" w:pos="407"/>
              </w:tabs>
              <w:rPr>
                <w:bCs/>
              </w:rPr>
            </w:pPr>
            <w:r w:rsidRPr="00F33473">
              <w:t>4</w:t>
            </w:r>
          </w:p>
        </w:tc>
        <w:tc>
          <w:tcPr>
            <w:tcW w:w="732" w:type="dxa"/>
            <w:shd w:val="clear" w:color="auto" w:fill="auto"/>
          </w:tcPr>
          <w:p w14:paraId="70406481" w14:textId="77777777" w:rsidR="00A163F8" w:rsidRPr="002234E6" w:rsidRDefault="00A163F8" w:rsidP="004812C4">
            <w:pPr>
              <w:pStyle w:val="TableText"/>
              <w:keepNext/>
              <w:tabs>
                <w:tab w:val="decimal" w:pos="407"/>
              </w:tabs>
              <w:rPr>
                <w:bCs/>
              </w:rPr>
            </w:pPr>
            <w:r w:rsidRPr="00F33473">
              <w:t>8</w:t>
            </w:r>
          </w:p>
        </w:tc>
        <w:tc>
          <w:tcPr>
            <w:tcW w:w="732" w:type="dxa"/>
            <w:shd w:val="clear" w:color="auto" w:fill="auto"/>
          </w:tcPr>
          <w:p w14:paraId="715CA1CC" w14:textId="77777777" w:rsidR="00A163F8" w:rsidRPr="002234E6" w:rsidRDefault="00A163F8" w:rsidP="004812C4">
            <w:pPr>
              <w:pStyle w:val="TableText"/>
              <w:keepNext/>
              <w:tabs>
                <w:tab w:val="decimal" w:pos="407"/>
              </w:tabs>
              <w:rPr>
                <w:bCs/>
              </w:rPr>
            </w:pPr>
            <w:r w:rsidRPr="00F33473">
              <w:t>16</w:t>
            </w:r>
          </w:p>
        </w:tc>
        <w:tc>
          <w:tcPr>
            <w:tcW w:w="733" w:type="dxa"/>
            <w:shd w:val="clear" w:color="auto" w:fill="auto"/>
          </w:tcPr>
          <w:p w14:paraId="09B7FDC8" w14:textId="77777777" w:rsidR="00A163F8" w:rsidRPr="002234E6" w:rsidRDefault="00A163F8" w:rsidP="004812C4">
            <w:pPr>
              <w:pStyle w:val="TableText"/>
              <w:keepNext/>
              <w:tabs>
                <w:tab w:val="decimal" w:pos="407"/>
              </w:tabs>
              <w:rPr>
                <w:bCs/>
              </w:rPr>
            </w:pPr>
            <w:r w:rsidRPr="00F33473">
              <w:t>20</w:t>
            </w:r>
          </w:p>
        </w:tc>
      </w:tr>
      <w:tr w:rsidR="00A163F8" w:rsidRPr="00F62A24" w14:paraId="7BF94D49" w14:textId="77777777" w:rsidTr="004812C4">
        <w:trPr>
          <w:cantSplit/>
        </w:trPr>
        <w:tc>
          <w:tcPr>
            <w:tcW w:w="3686" w:type="dxa"/>
            <w:shd w:val="clear" w:color="auto" w:fill="auto"/>
          </w:tcPr>
          <w:p w14:paraId="0AFCB825" w14:textId="77777777" w:rsidR="00A163F8" w:rsidRPr="002234E6" w:rsidRDefault="00A163F8" w:rsidP="004812C4">
            <w:pPr>
              <w:pStyle w:val="TableText"/>
              <w:keepNext/>
              <w:rPr>
                <w:bCs/>
              </w:rPr>
            </w:pPr>
            <w:r w:rsidRPr="00F33473">
              <w:t>MMR</w:t>
            </w:r>
          </w:p>
        </w:tc>
        <w:tc>
          <w:tcPr>
            <w:tcW w:w="732" w:type="dxa"/>
            <w:shd w:val="clear" w:color="auto" w:fill="auto"/>
          </w:tcPr>
          <w:p w14:paraId="1C31229C" w14:textId="77777777" w:rsidR="00A163F8" w:rsidRPr="002234E6" w:rsidRDefault="00A163F8" w:rsidP="004812C4">
            <w:pPr>
              <w:pStyle w:val="TableText"/>
              <w:keepNext/>
              <w:tabs>
                <w:tab w:val="decimal" w:pos="407"/>
              </w:tabs>
              <w:rPr>
                <w:bCs/>
              </w:rPr>
            </w:pPr>
            <w:r>
              <w:rPr>
                <w:bCs/>
              </w:rPr>
              <w:t>11</w:t>
            </w:r>
          </w:p>
        </w:tc>
        <w:tc>
          <w:tcPr>
            <w:tcW w:w="732" w:type="dxa"/>
            <w:shd w:val="clear" w:color="auto" w:fill="auto"/>
          </w:tcPr>
          <w:p w14:paraId="240972DF" w14:textId="77777777" w:rsidR="00A163F8" w:rsidRPr="002234E6" w:rsidRDefault="00A163F8" w:rsidP="004812C4">
            <w:pPr>
              <w:pStyle w:val="TableText"/>
              <w:keepNext/>
              <w:tabs>
                <w:tab w:val="decimal" w:pos="407"/>
              </w:tabs>
              <w:rPr>
                <w:bCs/>
              </w:rPr>
            </w:pPr>
            <w:r>
              <w:rPr>
                <w:bCs/>
              </w:rPr>
              <w:t>12</w:t>
            </w:r>
          </w:p>
        </w:tc>
        <w:tc>
          <w:tcPr>
            <w:tcW w:w="733" w:type="dxa"/>
            <w:shd w:val="clear" w:color="auto" w:fill="auto"/>
          </w:tcPr>
          <w:p w14:paraId="19889155" w14:textId="77777777" w:rsidR="00A163F8" w:rsidRPr="002234E6" w:rsidRDefault="00A163F8" w:rsidP="004812C4">
            <w:pPr>
              <w:pStyle w:val="TableText"/>
              <w:keepNext/>
              <w:tabs>
                <w:tab w:val="decimal" w:pos="407"/>
              </w:tabs>
              <w:rPr>
                <w:bCs/>
              </w:rPr>
            </w:pPr>
            <w:r>
              <w:rPr>
                <w:bCs/>
              </w:rPr>
              <w:t>14</w:t>
            </w:r>
          </w:p>
        </w:tc>
        <w:tc>
          <w:tcPr>
            <w:tcW w:w="732" w:type="dxa"/>
            <w:shd w:val="clear" w:color="auto" w:fill="auto"/>
          </w:tcPr>
          <w:p w14:paraId="273C25D3" w14:textId="77777777" w:rsidR="00A163F8" w:rsidRPr="002234E6" w:rsidRDefault="00A163F8" w:rsidP="004812C4">
            <w:pPr>
              <w:pStyle w:val="TableText"/>
              <w:keepNext/>
              <w:tabs>
                <w:tab w:val="decimal" w:pos="407"/>
              </w:tabs>
              <w:rPr>
                <w:bCs/>
              </w:rPr>
            </w:pPr>
            <w:r>
              <w:rPr>
                <w:bCs/>
              </w:rPr>
              <w:t>18</w:t>
            </w:r>
          </w:p>
        </w:tc>
        <w:tc>
          <w:tcPr>
            <w:tcW w:w="732" w:type="dxa"/>
            <w:shd w:val="clear" w:color="auto" w:fill="auto"/>
          </w:tcPr>
          <w:p w14:paraId="4983CF1E" w14:textId="77777777" w:rsidR="00A163F8" w:rsidRPr="002234E6" w:rsidRDefault="00A163F8" w:rsidP="004812C4">
            <w:pPr>
              <w:pStyle w:val="TableText"/>
              <w:keepNext/>
              <w:tabs>
                <w:tab w:val="decimal" w:pos="407"/>
              </w:tabs>
              <w:rPr>
                <w:bCs/>
              </w:rPr>
            </w:pPr>
            <w:r>
              <w:rPr>
                <w:bCs/>
              </w:rPr>
              <w:t>36</w:t>
            </w:r>
          </w:p>
        </w:tc>
        <w:tc>
          <w:tcPr>
            <w:tcW w:w="733" w:type="dxa"/>
            <w:shd w:val="clear" w:color="auto" w:fill="auto"/>
          </w:tcPr>
          <w:p w14:paraId="60AD85F7" w14:textId="77777777" w:rsidR="00A163F8" w:rsidRPr="002234E6" w:rsidRDefault="00A163F8" w:rsidP="004812C4">
            <w:pPr>
              <w:pStyle w:val="TableText"/>
              <w:keepNext/>
              <w:tabs>
                <w:tab w:val="decimal" w:pos="407"/>
              </w:tabs>
              <w:rPr>
                <w:bCs/>
              </w:rPr>
            </w:pPr>
            <w:r>
              <w:rPr>
                <w:bCs/>
              </w:rPr>
              <w:t>40</w:t>
            </w:r>
          </w:p>
        </w:tc>
      </w:tr>
      <w:tr w:rsidR="00A163F8" w:rsidRPr="007A38C2" w14:paraId="0D9A63C6" w14:textId="77777777" w:rsidTr="009C0E7A">
        <w:trPr>
          <w:cantSplit/>
        </w:trPr>
        <w:tc>
          <w:tcPr>
            <w:tcW w:w="3686" w:type="dxa"/>
            <w:shd w:val="clear" w:color="auto" w:fill="BFBFBF" w:themeFill="background1" w:themeFillShade="BF"/>
          </w:tcPr>
          <w:p w14:paraId="2616F3B0" w14:textId="77777777" w:rsidR="00A163F8" w:rsidRPr="009C0E7A" w:rsidRDefault="00A163F8" w:rsidP="004812C4">
            <w:pPr>
              <w:pStyle w:val="TableText"/>
              <w:keepNext/>
              <w:rPr>
                <w:b/>
                <w:bCs/>
              </w:rPr>
            </w:pPr>
            <w:r w:rsidRPr="009C0E7A">
              <w:rPr>
                <w:b/>
                <w:bCs/>
              </w:rPr>
              <w:t xml:space="preserve">Single year age group </w:t>
            </w:r>
            <w:proofErr w:type="spellStart"/>
            <w:r w:rsidRPr="009C0E7A">
              <w:rPr>
                <w:b/>
                <w:bCs/>
              </w:rPr>
              <w:t>eg</w:t>
            </w:r>
            <w:proofErr w:type="spellEnd"/>
            <w:r w:rsidRPr="009C0E7A">
              <w:rPr>
                <w:b/>
                <w:bCs/>
              </w:rPr>
              <w:t>, 11-year-olds</w:t>
            </w:r>
          </w:p>
        </w:tc>
        <w:tc>
          <w:tcPr>
            <w:tcW w:w="732" w:type="dxa"/>
            <w:shd w:val="clear" w:color="auto" w:fill="BFBFBF" w:themeFill="background1" w:themeFillShade="BF"/>
          </w:tcPr>
          <w:p w14:paraId="598F7EAD" w14:textId="77777777" w:rsidR="00A163F8" w:rsidRPr="009C0E7A" w:rsidRDefault="00A163F8" w:rsidP="004812C4">
            <w:pPr>
              <w:pStyle w:val="TableText"/>
              <w:keepNext/>
              <w:tabs>
                <w:tab w:val="decimal" w:pos="407"/>
              </w:tabs>
              <w:rPr>
                <w:b/>
                <w:bCs/>
              </w:rPr>
            </w:pPr>
            <w:r w:rsidRPr="009C0E7A">
              <w:rPr>
                <w:b/>
                <w:bCs/>
              </w:rPr>
              <w:t>10</w:t>
            </w:r>
          </w:p>
        </w:tc>
        <w:tc>
          <w:tcPr>
            <w:tcW w:w="732" w:type="dxa"/>
            <w:shd w:val="clear" w:color="auto" w:fill="BFBFBF" w:themeFill="background1" w:themeFillShade="BF"/>
          </w:tcPr>
          <w:p w14:paraId="70FBA795" w14:textId="77777777" w:rsidR="00A163F8" w:rsidRPr="009C0E7A" w:rsidRDefault="00A163F8" w:rsidP="004812C4">
            <w:pPr>
              <w:pStyle w:val="TableText"/>
              <w:keepNext/>
              <w:tabs>
                <w:tab w:val="decimal" w:pos="407"/>
              </w:tabs>
              <w:rPr>
                <w:b/>
                <w:bCs/>
              </w:rPr>
            </w:pPr>
            <w:r w:rsidRPr="009C0E7A">
              <w:rPr>
                <w:b/>
                <w:bCs/>
              </w:rPr>
              <w:t>20</w:t>
            </w:r>
          </w:p>
        </w:tc>
        <w:tc>
          <w:tcPr>
            <w:tcW w:w="733" w:type="dxa"/>
            <w:shd w:val="clear" w:color="auto" w:fill="BFBFBF" w:themeFill="background1" w:themeFillShade="BF"/>
          </w:tcPr>
          <w:p w14:paraId="0158FF2F" w14:textId="77777777" w:rsidR="00A163F8" w:rsidRPr="009C0E7A" w:rsidRDefault="00A163F8" w:rsidP="004812C4">
            <w:pPr>
              <w:pStyle w:val="TableText"/>
              <w:keepNext/>
              <w:tabs>
                <w:tab w:val="decimal" w:pos="407"/>
              </w:tabs>
              <w:rPr>
                <w:b/>
                <w:bCs/>
              </w:rPr>
            </w:pPr>
            <w:r w:rsidRPr="009C0E7A">
              <w:rPr>
                <w:b/>
                <w:bCs/>
              </w:rPr>
              <w:t>50</w:t>
            </w:r>
          </w:p>
        </w:tc>
        <w:tc>
          <w:tcPr>
            <w:tcW w:w="732" w:type="dxa"/>
            <w:shd w:val="clear" w:color="auto" w:fill="BFBFBF" w:themeFill="background1" w:themeFillShade="BF"/>
          </w:tcPr>
          <w:p w14:paraId="4E4271E2" w14:textId="77777777" w:rsidR="00A163F8" w:rsidRPr="009C0E7A" w:rsidRDefault="00A163F8" w:rsidP="004812C4">
            <w:pPr>
              <w:pStyle w:val="TableText"/>
              <w:keepNext/>
              <w:tabs>
                <w:tab w:val="decimal" w:pos="407"/>
              </w:tabs>
              <w:rPr>
                <w:b/>
                <w:bCs/>
              </w:rPr>
            </w:pPr>
            <w:r w:rsidRPr="009C0E7A">
              <w:rPr>
                <w:b/>
                <w:bCs/>
              </w:rPr>
              <w:t>100</w:t>
            </w:r>
          </w:p>
        </w:tc>
        <w:tc>
          <w:tcPr>
            <w:tcW w:w="732" w:type="dxa"/>
            <w:shd w:val="clear" w:color="auto" w:fill="BFBFBF" w:themeFill="background1" w:themeFillShade="BF"/>
          </w:tcPr>
          <w:p w14:paraId="6617D3B3" w14:textId="77777777" w:rsidR="00A163F8" w:rsidRPr="009C0E7A" w:rsidRDefault="00A163F8" w:rsidP="004812C4">
            <w:pPr>
              <w:pStyle w:val="TableText"/>
              <w:keepNext/>
              <w:tabs>
                <w:tab w:val="decimal" w:pos="407"/>
              </w:tabs>
              <w:rPr>
                <w:b/>
                <w:bCs/>
              </w:rPr>
            </w:pPr>
            <w:r w:rsidRPr="009C0E7A">
              <w:rPr>
                <w:b/>
                <w:bCs/>
              </w:rPr>
              <w:t>200</w:t>
            </w:r>
          </w:p>
        </w:tc>
        <w:tc>
          <w:tcPr>
            <w:tcW w:w="733" w:type="dxa"/>
            <w:shd w:val="clear" w:color="auto" w:fill="BFBFBF" w:themeFill="background1" w:themeFillShade="BF"/>
          </w:tcPr>
          <w:p w14:paraId="3B217536" w14:textId="77777777" w:rsidR="00A163F8" w:rsidRPr="009C0E7A" w:rsidRDefault="00A163F8" w:rsidP="004812C4">
            <w:pPr>
              <w:pStyle w:val="TableText"/>
              <w:keepNext/>
              <w:tabs>
                <w:tab w:val="decimal" w:pos="407"/>
              </w:tabs>
              <w:rPr>
                <w:b/>
                <w:bCs/>
              </w:rPr>
            </w:pPr>
            <w:r w:rsidRPr="009C0E7A">
              <w:rPr>
                <w:b/>
                <w:bCs/>
              </w:rPr>
              <w:t>250</w:t>
            </w:r>
          </w:p>
        </w:tc>
      </w:tr>
      <w:tr w:rsidR="00A163F8" w:rsidRPr="00F62A24" w14:paraId="63B2CA9D" w14:textId="77777777" w:rsidTr="004812C4">
        <w:trPr>
          <w:cantSplit/>
        </w:trPr>
        <w:tc>
          <w:tcPr>
            <w:tcW w:w="3686" w:type="dxa"/>
            <w:shd w:val="clear" w:color="auto" w:fill="auto"/>
          </w:tcPr>
          <w:p w14:paraId="76F25D85" w14:textId="77777777" w:rsidR="00A163F8" w:rsidRPr="002234E6" w:rsidRDefault="00A163F8" w:rsidP="004812C4">
            <w:pPr>
              <w:pStyle w:val="TableText"/>
              <w:rPr>
                <w:bCs/>
              </w:rPr>
            </w:pPr>
            <w:r w:rsidRPr="00F33473">
              <w:t>Tdap</w:t>
            </w:r>
            <w:r w:rsidRPr="00F33473">
              <w:rPr>
                <w:vertAlign w:val="superscript"/>
              </w:rPr>
              <w:t>2, 3</w:t>
            </w:r>
          </w:p>
        </w:tc>
        <w:tc>
          <w:tcPr>
            <w:tcW w:w="732" w:type="dxa"/>
            <w:shd w:val="clear" w:color="auto" w:fill="auto"/>
          </w:tcPr>
          <w:p w14:paraId="4AFAB92B" w14:textId="77777777" w:rsidR="00A163F8" w:rsidRPr="002234E6" w:rsidRDefault="00A163F8" w:rsidP="004812C4">
            <w:pPr>
              <w:pStyle w:val="TableText"/>
              <w:tabs>
                <w:tab w:val="decimal" w:pos="407"/>
              </w:tabs>
              <w:rPr>
                <w:bCs/>
              </w:rPr>
            </w:pPr>
            <w:r w:rsidRPr="00E36DE7">
              <w:rPr>
                <w:bCs/>
              </w:rPr>
              <w:t>11</w:t>
            </w:r>
          </w:p>
        </w:tc>
        <w:tc>
          <w:tcPr>
            <w:tcW w:w="732" w:type="dxa"/>
            <w:shd w:val="clear" w:color="auto" w:fill="auto"/>
          </w:tcPr>
          <w:p w14:paraId="0F9E7839" w14:textId="77777777" w:rsidR="00A163F8" w:rsidRPr="002234E6" w:rsidRDefault="00A163F8" w:rsidP="004812C4">
            <w:pPr>
              <w:pStyle w:val="TableText"/>
              <w:tabs>
                <w:tab w:val="decimal" w:pos="407"/>
              </w:tabs>
              <w:rPr>
                <w:bCs/>
              </w:rPr>
            </w:pPr>
            <w:r w:rsidRPr="00E36DE7">
              <w:rPr>
                <w:bCs/>
              </w:rPr>
              <w:t>11</w:t>
            </w:r>
          </w:p>
        </w:tc>
        <w:tc>
          <w:tcPr>
            <w:tcW w:w="733" w:type="dxa"/>
            <w:shd w:val="clear" w:color="auto" w:fill="auto"/>
          </w:tcPr>
          <w:p w14:paraId="4D76CEC4" w14:textId="77777777" w:rsidR="00A163F8" w:rsidRPr="002234E6" w:rsidRDefault="00A163F8" w:rsidP="004812C4">
            <w:pPr>
              <w:pStyle w:val="TableText"/>
              <w:tabs>
                <w:tab w:val="decimal" w:pos="407"/>
              </w:tabs>
              <w:rPr>
                <w:bCs/>
              </w:rPr>
            </w:pPr>
            <w:r>
              <w:rPr>
                <w:bCs/>
              </w:rPr>
              <w:t>12</w:t>
            </w:r>
          </w:p>
        </w:tc>
        <w:tc>
          <w:tcPr>
            <w:tcW w:w="732" w:type="dxa"/>
            <w:shd w:val="clear" w:color="auto" w:fill="auto"/>
          </w:tcPr>
          <w:p w14:paraId="61E7078C" w14:textId="77777777" w:rsidR="00A163F8" w:rsidRPr="002234E6" w:rsidRDefault="00A163F8" w:rsidP="004812C4">
            <w:pPr>
              <w:pStyle w:val="TableText"/>
              <w:tabs>
                <w:tab w:val="decimal" w:pos="407"/>
              </w:tabs>
              <w:rPr>
                <w:bCs/>
              </w:rPr>
            </w:pPr>
            <w:r>
              <w:rPr>
                <w:bCs/>
              </w:rPr>
              <w:t>14</w:t>
            </w:r>
          </w:p>
        </w:tc>
        <w:tc>
          <w:tcPr>
            <w:tcW w:w="732" w:type="dxa"/>
            <w:shd w:val="clear" w:color="auto" w:fill="auto"/>
          </w:tcPr>
          <w:p w14:paraId="77197799" w14:textId="77777777" w:rsidR="00A163F8" w:rsidRPr="002234E6" w:rsidRDefault="00A163F8" w:rsidP="004812C4">
            <w:pPr>
              <w:pStyle w:val="TableText"/>
              <w:tabs>
                <w:tab w:val="decimal" w:pos="407"/>
              </w:tabs>
              <w:rPr>
                <w:bCs/>
              </w:rPr>
            </w:pPr>
            <w:r>
              <w:rPr>
                <w:bCs/>
              </w:rPr>
              <w:t>18</w:t>
            </w:r>
          </w:p>
        </w:tc>
        <w:tc>
          <w:tcPr>
            <w:tcW w:w="733" w:type="dxa"/>
            <w:shd w:val="clear" w:color="auto" w:fill="auto"/>
          </w:tcPr>
          <w:p w14:paraId="270E1E72" w14:textId="77777777" w:rsidR="00A163F8" w:rsidRPr="002234E6" w:rsidRDefault="00A163F8" w:rsidP="004812C4">
            <w:pPr>
              <w:pStyle w:val="TableText"/>
              <w:tabs>
                <w:tab w:val="decimal" w:pos="407"/>
              </w:tabs>
              <w:rPr>
                <w:bCs/>
              </w:rPr>
            </w:pPr>
            <w:r w:rsidRPr="00E36DE7">
              <w:t>20</w:t>
            </w:r>
          </w:p>
        </w:tc>
      </w:tr>
      <w:tr w:rsidR="00A163F8" w:rsidRPr="00F62A24" w14:paraId="07CF9338" w14:textId="77777777" w:rsidTr="004812C4">
        <w:trPr>
          <w:cantSplit/>
        </w:trPr>
        <w:tc>
          <w:tcPr>
            <w:tcW w:w="3686" w:type="dxa"/>
            <w:shd w:val="clear" w:color="auto" w:fill="auto"/>
          </w:tcPr>
          <w:p w14:paraId="5D13C2A6" w14:textId="77777777" w:rsidR="00A163F8" w:rsidRPr="002234E6" w:rsidRDefault="00A163F8" w:rsidP="004812C4">
            <w:pPr>
              <w:pStyle w:val="TableText"/>
              <w:rPr>
                <w:bCs/>
                <w:vertAlign w:val="superscript"/>
              </w:rPr>
            </w:pPr>
            <w:r w:rsidRPr="00F33473">
              <w:t>HPV</w:t>
            </w:r>
            <w:r w:rsidRPr="00F33473">
              <w:rPr>
                <w:vertAlign w:val="superscript"/>
              </w:rPr>
              <w:t xml:space="preserve">2,4 </w:t>
            </w:r>
            <w:r w:rsidRPr="00F33473">
              <w:t>(2 doses)</w:t>
            </w:r>
          </w:p>
        </w:tc>
        <w:tc>
          <w:tcPr>
            <w:tcW w:w="732" w:type="dxa"/>
            <w:shd w:val="clear" w:color="auto" w:fill="auto"/>
          </w:tcPr>
          <w:p w14:paraId="5A1F3D6F" w14:textId="77777777" w:rsidR="00A163F8" w:rsidRPr="002234E6" w:rsidRDefault="00A163F8" w:rsidP="004812C4">
            <w:pPr>
              <w:pStyle w:val="TableText"/>
              <w:tabs>
                <w:tab w:val="decimal" w:pos="407"/>
              </w:tabs>
              <w:rPr>
                <w:bCs/>
              </w:rPr>
            </w:pPr>
            <w:r>
              <w:t>1</w:t>
            </w:r>
            <w:r w:rsidRPr="00E36DE7">
              <w:t>2</w:t>
            </w:r>
          </w:p>
        </w:tc>
        <w:tc>
          <w:tcPr>
            <w:tcW w:w="732" w:type="dxa"/>
            <w:shd w:val="clear" w:color="auto" w:fill="auto"/>
          </w:tcPr>
          <w:p w14:paraId="7B84B113" w14:textId="77777777" w:rsidR="00A163F8" w:rsidRPr="002234E6" w:rsidRDefault="00A163F8" w:rsidP="004812C4">
            <w:pPr>
              <w:pStyle w:val="TableText"/>
              <w:tabs>
                <w:tab w:val="decimal" w:pos="407"/>
              </w:tabs>
              <w:rPr>
                <w:bCs/>
              </w:rPr>
            </w:pPr>
            <w:r>
              <w:t>13</w:t>
            </w:r>
          </w:p>
        </w:tc>
        <w:tc>
          <w:tcPr>
            <w:tcW w:w="733" w:type="dxa"/>
            <w:shd w:val="clear" w:color="auto" w:fill="auto"/>
          </w:tcPr>
          <w:p w14:paraId="2C8A195E" w14:textId="77777777" w:rsidR="00A163F8" w:rsidRPr="002234E6" w:rsidRDefault="00A163F8" w:rsidP="004812C4">
            <w:pPr>
              <w:pStyle w:val="TableText"/>
              <w:tabs>
                <w:tab w:val="decimal" w:pos="407"/>
              </w:tabs>
              <w:rPr>
                <w:bCs/>
              </w:rPr>
            </w:pPr>
            <w:r>
              <w:rPr>
                <w:bCs/>
              </w:rPr>
              <w:t>16</w:t>
            </w:r>
          </w:p>
        </w:tc>
        <w:tc>
          <w:tcPr>
            <w:tcW w:w="732" w:type="dxa"/>
            <w:shd w:val="clear" w:color="auto" w:fill="auto"/>
          </w:tcPr>
          <w:p w14:paraId="48FC018A" w14:textId="77777777" w:rsidR="00A163F8" w:rsidRPr="002234E6" w:rsidRDefault="00A163F8" w:rsidP="004812C4">
            <w:pPr>
              <w:pStyle w:val="TableText"/>
              <w:tabs>
                <w:tab w:val="decimal" w:pos="407"/>
              </w:tabs>
              <w:rPr>
                <w:bCs/>
              </w:rPr>
            </w:pPr>
            <w:r>
              <w:rPr>
                <w:bCs/>
              </w:rPr>
              <w:t>32</w:t>
            </w:r>
          </w:p>
        </w:tc>
        <w:tc>
          <w:tcPr>
            <w:tcW w:w="732" w:type="dxa"/>
            <w:shd w:val="clear" w:color="auto" w:fill="auto"/>
          </w:tcPr>
          <w:p w14:paraId="06D3F589" w14:textId="77777777" w:rsidR="00A163F8" w:rsidRPr="002234E6" w:rsidRDefault="00A163F8" w:rsidP="004812C4">
            <w:pPr>
              <w:pStyle w:val="TableText"/>
              <w:tabs>
                <w:tab w:val="decimal" w:pos="407"/>
              </w:tabs>
              <w:rPr>
                <w:bCs/>
              </w:rPr>
            </w:pPr>
            <w:r>
              <w:rPr>
                <w:bCs/>
              </w:rPr>
              <w:t>54</w:t>
            </w:r>
          </w:p>
        </w:tc>
        <w:tc>
          <w:tcPr>
            <w:tcW w:w="733" w:type="dxa"/>
            <w:shd w:val="clear" w:color="auto" w:fill="auto"/>
          </w:tcPr>
          <w:p w14:paraId="0C7F398D" w14:textId="77777777" w:rsidR="00A163F8" w:rsidRPr="002234E6" w:rsidRDefault="00A163F8" w:rsidP="004812C4">
            <w:pPr>
              <w:pStyle w:val="TableText"/>
              <w:tabs>
                <w:tab w:val="decimal" w:pos="407"/>
              </w:tabs>
              <w:rPr>
                <w:bCs/>
              </w:rPr>
            </w:pPr>
            <w:r>
              <w:rPr>
                <w:bCs/>
              </w:rPr>
              <w:t>59</w:t>
            </w:r>
          </w:p>
        </w:tc>
      </w:tr>
      <w:tr w:rsidR="00A163F8" w:rsidRPr="007A38C2" w14:paraId="16106653" w14:textId="77777777" w:rsidTr="009C0E7A">
        <w:trPr>
          <w:cantSplit/>
        </w:trPr>
        <w:tc>
          <w:tcPr>
            <w:tcW w:w="3686" w:type="dxa"/>
            <w:shd w:val="clear" w:color="auto" w:fill="BFBFBF" w:themeFill="background1" w:themeFillShade="BF"/>
          </w:tcPr>
          <w:p w14:paraId="414F7946" w14:textId="77777777" w:rsidR="00A163F8" w:rsidRPr="009C0E7A" w:rsidRDefault="00A163F8" w:rsidP="004812C4">
            <w:pPr>
              <w:pStyle w:val="TableText"/>
              <w:rPr>
                <w:b/>
                <w:bCs/>
              </w:rPr>
            </w:pPr>
            <w:r w:rsidRPr="009C0E7A">
              <w:rPr>
                <w:b/>
                <w:bCs/>
              </w:rPr>
              <w:t>45- and 65-year-old population (combined)</w:t>
            </w:r>
          </w:p>
        </w:tc>
        <w:tc>
          <w:tcPr>
            <w:tcW w:w="732" w:type="dxa"/>
            <w:shd w:val="clear" w:color="auto" w:fill="BFBFBF" w:themeFill="background1" w:themeFillShade="BF"/>
          </w:tcPr>
          <w:p w14:paraId="20EC5989" w14:textId="77777777" w:rsidR="00A163F8" w:rsidRPr="009C0E7A" w:rsidRDefault="00A163F8" w:rsidP="004812C4">
            <w:pPr>
              <w:pStyle w:val="TableText"/>
              <w:tabs>
                <w:tab w:val="decimal" w:pos="407"/>
              </w:tabs>
              <w:rPr>
                <w:b/>
                <w:bCs/>
              </w:rPr>
            </w:pPr>
            <w:r w:rsidRPr="009C0E7A">
              <w:rPr>
                <w:b/>
                <w:bCs/>
              </w:rPr>
              <w:t>20</w:t>
            </w:r>
          </w:p>
        </w:tc>
        <w:tc>
          <w:tcPr>
            <w:tcW w:w="732" w:type="dxa"/>
            <w:shd w:val="clear" w:color="auto" w:fill="BFBFBF" w:themeFill="background1" w:themeFillShade="BF"/>
          </w:tcPr>
          <w:p w14:paraId="26338DD9" w14:textId="77777777" w:rsidR="00A163F8" w:rsidRPr="009C0E7A" w:rsidRDefault="00A163F8" w:rsidP="004812C4">
            <w:pPr>
              <w:pStyle w:val="TableText"/>
              <w:tabs>
                <w:tab w:val="decimal" w:pos="407"/>
              </w:tabs>
              <w:rPr>
                <w:b/>
                <w:bCs/>
              </w:rPr>
            </w:pPr>
            <w:r w:rsidRPr="009C0E7A">
              <w:rPr>
                <w:b/>
                <w:bCs/>
              </w:rPr>
              <w:t>40</w:t>
            </w:r>
          </w:p>
        </w:tc>
        <w:tc>
          <w:tcPr>
            <w:tcW w:w="733" w:type="dxa"/>
            <w:shd w:val="clear" w:color="auto" w:fill="BFBFBF" w:themeFill="background1" w:themeFillShade="BF"/>
          </w:tcPr>
          <w:p w14:paraId="22D596B3" w14:textId="77777777" w:rsidR="00A163F8" w:rsidRPr="009C0E7A" w:rsidRDefault="00A163F8" w:rsidP="004812C4">
            <w:pPr>
              <w:pStyle w:val="TableText"/>
              <w:tabs>
                <w:tab w:val="decimal" w:pos="407"/>
              </w:tabs>
              <w:rPr>
                <w:b/>
                <w:bCs/>
              </w:rPr>
            </w:pPr>
            <w:r w:rsidRPr="009C0E7A">
              <w:rPr>
                <w:b/>
                <w:bCs/>
              </w:rPr>
              <w:t>100</w:t>
            </w:r>
          </w:p>
        </w:tc>
        <w:tc>
          <w:tcPr>
            <w:tcW w:w="732" w:type="dxa"/>
            <w:shd w:val="clear" w:color="auto" w:fill="BFBFBF" w:themeFill="background1" w:themeFillShade="BF"/>
          </w:tcPr>
          <w:p w14:paraId="770314D6" w14:textId="77777777" w:rsidR="00A163F8" w:rsidRPr="009C0E7A" w:rsidRDefault="00A163F8" w:rsidP="004812C4">
            <w:pPr>
              <w:pStyle w:val="TableText"/>
              <w:tabs>
                <w:tab w:val="decimal" w:pos="407"/>
              </w:tabs>
              <w:rPr>
                <w:b/>
                <w:bCs/>
              </w:rPr>
            </w:pPr>
            <w:r w:rsidRPr="009C0E7A">
              <w:rPr>
                <w:b/>
                <w:bCs/>
              </w:rPr>
              <w:t>200</w:t>
            </w:r>
          </w:p>
        </w:tc>
        <w:tc>
          <w:tcPr>
            <w:tcW w:w="732" w:type="dxa"/>
            <w:shd w:val="clear" w:color="auto" w:fill="BFBFBF" w:themeFill="background1" w:themeFillShade="BF"/>
          </w:tcPr>
          <w:p w14:paraId="4C433E57" w14:textId="77777777" w:rsidR="00A163F8" w:rsidRPr="009C0E7A" w:rsidRDefault="00A163F8" w:rsidP="004812C4">
            <w:pPr>
              <w:pStyle w:val="TableText"/>
              <w:tabs>
                <w:tab w:val="decimal" w:pos="407"/>
              </w:tabs>
              <w:rPr>
                <w:b/>
                <w:bCs/>
              </w:rPr>
            </w:pPr>
            <w:r w:rsidRPr="009C0E7A">
              <w:rPr>
                <w:b/>
                <w:bCs/>
              </w:rPr>
              <w:t>400</w:t>
            </w:r>
          </w:p>
        </w:tc>
        <w:tc>
          <w:tcPr>
            <w:tcW w:w="733" w:type="dxa"/>
            <w:shd w:val="clear" w:color="auto" w:fill="BFBFBF" w:themeFill="background1" w:themeFillShade="BF"/>
          </w:tcPr>
          <w:p w14:paraId="4ABB7F53" w14:textId="77777777" w:rsidR="00A163F8" w:rsidRPr="009C0E7A" w:rsidRDefault="00A163F8" w:rsidP="004812C4">
            <w:pPr>
              <w:pStyle w:val="TableText"/>
              <w:tabs>
                <w:tab w:val="decimal" w:pos="407"/>
              </w:tabs>
              <w:rPr>
                <w:b/>
                <w:bCs/>
              </w:rPr>
            </w:pPr>
            <w:r w:rsidRPr="009C0E7A">
              <w:rPr>
                <w:b/>
                <w:bCs/>
              </w:rPr>
              <w:t>500</w:t>
            </w:r>
          </w:p>
        </w:tc>
      </w:tr>
      <w:tr w:rsidR="00A163F8" w:rsidRPr="00F62A24" w14:paraId="5857BC29" w14:textId="77777777" w:rsidTr="004812C4">
        <w:trPr>
          <w:cantSplit/>
        </w:trPr>
        <w:tc>
          <w:tcPr>
            <w:tcW w:w="3686" w:type="dxa"/>
            <w:shd w:val="clear" w:color="auto" w:fill="auto"/>
          </w:tcPr>
          <w:p w14:paraId="0E324975" w14:textId="77777777" w:rsidR="00A163F8" w:rsidRPr="002234E6" w:rsidRDefault="00A163F8" w:rsidP="004812C4">
            <w:pPr>
              <w:pStyle w:val="TableText"/>
              <w:rPr>
                <w:vertAlign w:val="superscript"/>
              </w:rPr>
            </w:pPr>
            <w:r w:rsidRPr="00F33473">
              <w:t>ADT</w:t>
            </w:r>
            <w:r w:rsidRPr="00F33473">
              <w:rPr>
                <w:vertAlign w:val="superscript"/>
              </w:rPr>
              <w:t>5</w:t>
            </w:r>
          </w:p>
        </w:tc>
        <w:tc>
          <w:tcPr>
            <w:tcW w:w="732" w:type="dxa"/>
            <w:shd w:val="clear" w:color="auto" w:fill="auto"/>
          </w:tcPr>
          <w:p w14:paraId="3A38D609" w14:textId="77777777" w:rsidR="00A163F8" w:rsidRPr="002234E6" w:rsidRDefault="00A163F8" w:rsidP="004812C4">
            <w:pPr>
              <w:pStyle w:val="TableText"/>
              <w:tabs>
                <w:tab w:val="decimal" w:pos="407"/>
              </w:tabs>
              <w:rPr>
                <w:bCs/>
              </w:rPr>
            </w:pPr>
            <w:r>
              <w:rPr>
                <w:bCs/>
              </w:rPr>
              <w:t>12</w:t>
            </w:r>
          </w:p>
        </w:tc>
        <w:tc>
          <w:tcPr>
            <w:tcW w:w="732" w:type="dxa"/>
            <w:shd w:val="clear" w:color="auto" w:fill="auto"/>
          </w:tcPr>
          <w:p w14:paraId="3177EA84" w14:textId="77777777" w:rsidR="00A163F8" w:rsidRPr="002234E6" w:rsidRDefault="00A163F8" w:rsidP="004812C4">
            <w:pPr>
              <w:pStyle w:val="TableText"/>
              <w:tabs>
                <w:tab w:val="decimal" w:pos="407"/>
              </w:tabs>
              <w:rPr>
                <w:bCs/>
              </w:rPr>
            </w:pPr>
            <w:r>
              <w:rPr>
                <w:bCs/>
              </w:rPr>
              <w:t>12</w:t>
            </w:r>
          </w:p>
        </w:tc>
        <w:tc>
          <w:tcPr>
            <w:tcW w:w="733" w:type="dxa"/>
            <w:shd w:val="clear" w:color="auto" w:fill="auto"/>
          </w:tcPr>
          <w:p w14:paraId="606C9C39" w14:textId="77777777" w:rsidR="00A163F8" w:rsidRPr="002234E6" w:rsidRDefault="00A163F8" w:rsidP="004812C4">
            <w:pPr>
              <w:pStyle w:val="TableText"/>
              <w:tabs>
                <w:tab w:val="decimal" w:pos="407"/>
              </w:tabs>
              <w:rPr>
                <w:bCs/>
              </w:rPr>
            </w:pPr>
            <w:r>
              <w:rPr>
                <w:bCs/>
              </w:rPr>
              <w:t>14</w:t>
            </w:r>
          </w:p>
        </w:tc>
        <w:tc>
          <w:tcPr>
            <w:tcW w:w="732" w:type="dxa"/>
            <w:shd w:val="clear" w:color="auto" w:fill="auto"/>
          </w:tcPr>
          <w:p w14:paraId="41B2217B" w14:textId="77777777" w:rsidR="00A163F8" w:rsidRPr="002234E6" w:rsidRDefault="00A163F8" w:rsidP="004812C4">
            <w:pPr>
              <w:pStyle w:val="TableText"/>
              <w:tabs>
                <w:tab w:val="decimal" w:pos="407"/>
              </w:tabs>
              <w:rPr>
                <w:bCs/>
              </w:rPr>
            </w:pPr>
            <w:r>
              <w:rPr>
                <w:bCs/>
              </w:rPr>
              <w:t>18</w:t>
            </w:r>
          </w:p>
        </w:tc>
        <w:tc>
          <w:tcPr>
            <w:tcW w:w="732" w:type="dxa"/>
            <w:shd w:val="clear" w:color="auto" w:fill="auto"/>
          </w:tcPr>
          <w:p w14:paraId="69BB3F4D" w14:textId="77777777" w:rsidR="00A163F8" w:rsidRPr="002234E6" w:rsidRDefault="00A163F8" w:rsidP="004812C4">
            <w:pPr>
              <w:pStyle w:val="TableText"/>
              <w:tabs>
                <w:tab w:val="decimal" w:pos="407"/>
              </w:tabs>
              <w:rPr>
                <w:bCs/>
              </w:rPr>
            </w:pPr>
            <w:r>
              <w:rPr>
                <w:bCs/>
              </w:rPr>
              <w:t>36</w:t>
            </w:r>
          </w:p>
        </w:tc>
        <w:tc>
          <w:tcPr>
            <w:tcW w:w="733" w:type="dxa"/>
            <w:shd w:val="clear" w:color="auto" w:fill="auto"/>
          </w:tcPr>
          <w:p w14:paraId="4F786216" w14:textId="77777777" w:rsidR="00A163F8" w:rsidRPr="002234E6" w:rsidRDefault="00A163F8" w:rsidP="004812C4">
            <w:pPr>
              <w:pStyle w:val="TableText"/>
              <w:tabs>
                <w:tab w:val="decimal" w:pos="407"/>
              </w:tabs>
              <w:rPr>
                <w:bCs/>
              </w:rPr>
            </w:pPr>
            <w:r w:rsidRPr="00F33473">
              <w:t>40</w:t>
            </w:r>
          </w:p>
        </w:tc>
      </w:tr>
      <w:tr w:rsidR="00A163F8" w:rsidRPr="00F62A24" w14:paraId="595B255D" w14:textId="77777777" w:rsidTr="004812C4">
        <w:trPr>
          <w:cantSplit/>
        </w:trPr>
        <w:tc>
          <w:tcPr>
            <w:tcW w:w="3686" w:type="dxa"/>
            <w:shd w:val="clear" w:color="auto" w:fill="auto"/>
          </w:tcPr>
          <w:p w14:paraId="38DA4663" w14:textId="77777777" w:rsidR="00A163F8" w:rsidRPr="002234E6" w:rsidRDefault="00A163F8" w:rsidP="004812C4">
            <w:pPr>
              <w:pStyle w:val="TableText"/>
              <w:rPr>
                <w:vertAlign w:val="superscript"/>
              </w:rPr>
            </w:pPr>
            <w:r w:rsidRPr="00F33473">
              <w:t>VZV (65-year-old population only)</w:t>
            </w:r>
            <w:r w:rsidRPr="00F33473">
              <w:rPr>
                <w:vertAlign w:val="superscript"/>
              </w:rPr>
              <w:t>6</w:t>
            </w:r>
          </w:p>
        </w:tc>
        <w:tc>
          <w:tcPr>
            <w:tcW w:w="732" w:type="dxa"/>
            <w:shd w:val="clear" w:color="auto" w:fill="auto"/>
          </w:tcPr>
          <w:p w14:paraId="28CB2779" w14:textId="77777777" w:rsidR="00A163F8" w:rsidRPr="002234E6" w:rsidRDefault="00A163F8" w:rsidP="004812C4">
            <w:pPr>
              <w:pStyle w:val="TableText"/>
              <w:tabs>
                <w:tab w:val="decimal" w:pos="407"/>
              </w:tabs>
            </w:pPr>
            <w:r>
              <w:t>11</w:t>
            </w:r>
          </w:p>
        </w:tc>
        <w:tc>
          <w:tcPr>
            <w:tcW w:w="732" w:type="dxa"/>
            <w:shd w:val="clear" w:color="auto" w:fill="auto"/>
          </w:tcPr>
          <w:p w14:paraId="14B608D4" w14:textId="77777777" w:rsidR="00A163F8" w:rsidRPr="002234E6" w:rsidRDefault="00A163F8" w:rsidP="004812C4">
            <w:pPr>
              <w:pStyle w:val="TableText"/>
              <w:tabs>
                <w:tab w:val="decimal" w:pos="407"/>
              </w:tabs>
            </w:pPr>
            <w:r>
              <w:t>12</w:t>
            </w:r>
          </w:p>
        </w:tc>
        <w:tc>
          <w:tcPr>
            <w:tcW w:w="733" w:type="dxa"/>
            <w:shd w:val="clear" w:color="auto" w:fill="auto"/>
          </w:tcPr>
          <w:p w14:paraId="267D6583" w14:textId="77777777" w:rsidR="00A163F8" w:rsidRPr="002234E6" w:rsidRDefault="00A163F8" w:rsidP="004812C4">
            <w:pPr>
              <w:pStyle w:val="TableText"/>
              <w:tabs>
                <w:tab w:val="decimal" w:pos="407"/>
              </w:tabs>
            </w:pPr>
            <w:r>
              <w:t>14</w:t>
            </w:r>
          </w:p>
        </w:tc>
        <w:tc>
          <w:tcPr>
            <w:tcW w:w="732" w:type="dxa"/>
            <w:shd w:val="clear" w:color="auto" w:fill="auto"/>
          </w:tcPr>
          <w:p w14:paraId="33AC2AC8" w14:textId="77777777" w:rsidR="00A163F8" w:rsidRPr="002234E6" w:rsidRDefault="00A163F8" w:rsidP="004812C4">
            <w:pPr>
              <w:pStyle w:val="TableText"/>
              <w:tabs>
                <w:tab w:val="decimal" w:pos="407"/>
              </w:tabs>
            </w:pPr>
            <w:r>
              <w:t>18</w:t>
            </w:r>
          </w:p>
        </w:tc>
        <w:tc>
          <w:tcPr>
            <w:tcW w:w="732" w:type="dxa"/>
            <w:shd w:val="clear" w:color="auto" w:fill="auto"/>
          </w:tcPr>
          <w:p w14:paraId="6EF20C7A" w14:textId="77777777" w:rsidR="00A163F8" w:rsidRPr="002234E6" w:rsidRDefault="00A163F8" w:rsidP="004812C4">
            <w:pPr>
              <w:pStyle w:val="TableText"/>
              <w:tabs>
                <w:tab w:val="decimal" w:pos="407"/>
              </w:tabs>
            </w:pPr>
            <w:r>
              <w:t>36</w:t>
            </w:r>
          </w:p>
        </w:tc>
        <w:tc>
          <w:tcPr>
            <w:tcW w:w="733" w:type="dxa"/>
            <w:shd w:val="clear" w:color="auto" w:fill="auto"/>
          </w:tcPr>
          <w:p w14:paraId="56D58BA5" w14:textId="77777777" w:rsidR="00A163F8" w:rsidRPr="002234E6" w:rsidRDefault="00A163F8" w:rsidP="004812C4">
            <w:pPr>
              <w:pStyle w:val="TableText"/>
              <w:tabs>
                <w:tab w:val="decimal" w:pos="407"/>
              </w:tabs>
            </w:pPr>
            <w:r>
              <w:t>40</w:t>
            </w:r>
          </w:p>
        </w:tc>
      </w:tr>
    </w:tbl>
    <w:p w14:paraId="18B53442" w14:textId="77777777" w:rsidR="00A163F8" w:rsidRPr="002234E6" w:rsidRDefault="00A163F8" w:rsidP="004812C4">
      <w:pPr>
        <w:pStyle w:val="Note"/>
      </w:pPr>
      <w:r w:rsidRPr="002234E6">
        <w:t xml:space="preserve">Key: D = diphtheria, T = tetanus, </w:t>
      </w:r>
      <w:proofErr w:type="spellStart"/>
      <w:r w:rsidRPr="002234E6">
        <w:t>aP</w:t>
      </w:r>
      <w:proofErr w:type="spellEnd"/>
      <w:r w:rsidRPr="002234E6">
        <w:t> = acellular pertussis, IPV = inactivated polio vaccine, Hib = </w:t>
      </w:r>
      <w:r w:rsidRPr="002234E6">
        <w:rPr>
          <w:i/>
        </w:rPr>
        <w:t xml:space="preserve">Haemophilus influenzae </w:t>
      </w:r>
      <w:r w:rsidRPr="002234E6">
        <w:t xml:space="preserve">type b, </w:t>
      </w:r>
      <w:proofErr w:type="spellStart"/>
      <w:r w:rsidRPr="002234E6">
        <w:t>HepB</w:t>
      </w:r>
      <w:proofErr w:type="spellEnd"/>
      <w:r w:rsidRPr="002234E6">
        <w:t xml:space="preserve"> = hepatitis B, RV = rotavirus vaccine, PCV = pneumococcal conjugate vaccine, MMR = measles, mumps and rubella, d = adult type diphtheria, ap = adult type pertussis, HPV = human papillomavirus vaccine, ADT = </w:t>
      </w:r>
      <w:r w:rsidRPr="002234E6">
        <w:rPr>
          <w:szCs w:val="18"/>
        </w:rPr>
        <w:t>adult type tetanus-diphtheria vaccine</w:t>
      </w:r>
      <w:r w:rsidRPr="002234E6">
        <w:t>.</w:t>
      </w:r>
    </w:p>
    <w:p w14:paraId="7AA288C9" w14:textId="77777777" w:rsidR="00A163F8" w:rsidRPr="002234E6" w:rsidRDefault="00A163F8" w:rsidP="004812C4">
      <w:pPr>
        <w:pStyle w:val="Note"/>
      </w:pPr>
      <w:r w:rsidRPr="002234E6">
        <w:t>Notes</w:t>
      </w:r>
    </w:p>
    <w:p w14:paraId="48668BCB" w14:textId="77777777" w:rsidR="00A163F8" w:rsidRPr="002234E6" w:rsidRDefault="00A163F8" w:rsidP="004812C4">
      <w:pPr>
        <w:pStyle w:val="Note"/>
        <w:ind w:left="284" w:hanging="284"/>
      </w:pPr>
      <w:r w:rsidRPr="002234E6">
        <w:t>1</w:t>
      </w:r>
      <w:r w:rsidRPr="002234E6">
        <w:tab/>
        <w:t>The calculation for varicella is for the 15-month event only</w:t>
      </w:r>
      <w:r>
        <w:t xml:space="preserve">; providers </w:t>
      </w:r>
      <w:r w:rsidRPr="002234E6">
        <w:t>need to consider the number of vaccines doses required for eligible 11-year-olds.</w:t>
      </w:r>
    </w:p>
    <w:p w14:paraId="210DBF7E" w14:textId="77777777" w:rsidR="00A163F8" w:rsidRPr="002234E6" w:rsidRDefault="00A163F8" w:rsidP="004812C4">
      <w:pPr>
        <w:pStyle w:val="Note"/>
        <w:ind w:left="284" w:hanging="284"/>
        <w:rPr>
          <w:szCs w:val="18"/>
        </w:rPr>
      </w:pPr>
      <w:r w:rsidRPr="002234E6">
        <w:t>2</w:t>
      </w:r>
      <w:r w:rsidRPr="002234E6">
        <w:tab/>
      </w:r>
      <w:r w:rsidRPr="002234E6">
        <w:rPr>
          <w:szCs w:val="18"/>
        </w:rPr>
        <w:t>Tdap and HPV numbers will depend on the number of children vaccinated in a school-based programme.</w:t>
      </w:r>
    </w:p>
    <w:p w14:paraId="277808F6" w14:textId="77777777" w:rsidR="00A163F8" w:rsidRPr="002234E6" w:rsidRDefault="00A163F8" w:rsidP="004812C4">
      <w:pPr>
        <w:pStyle w:val="Note"/>
        <w:ind w:left="284" w:hanging="284"/>
      </w:pPr>
      <w:r w:rsidRPr="002234E6">
        <w:t>3</w:t>
      </w:r>
      <w:r w:rsidRPr="002234E6">
        <w:tab/>
        <w:t xml:space="preserve">When ordering Tdap, </w:t>
      </w:r>
      <w:r>
        <w:t xml:space="preserve">providers should </w:t>
      </w:r>
      <w:r w:rsidRPr="002234E6">
        <w:t xml:space="preserve">consider the number of vaccines </w:t>
      </w:r>
      <w:r>
        <w:t xml:space="preserve">the </w:t>
      </w:r>
      <w:r w:rsidRPr="002234E6">
        <w:t>practice requires for pregnant women.</w:t>
      </w:r>
    </w:p>
    <w:p w14:paraId="42FC8415" w14:textId="77777777" w:rsidR="00A163F8" w:rsidRPr="002234E6" w:rsidRDefault="00A163F8" w:rsidP="004812C4">
      <w:pPr>
        <w:pStyle w:val="Note"/>
        <w:ind w:left="284" w:hanging="284"/>
        <w:rPr>
          <w:szCs w:val="18"/>
        </w:rPr>
      </w:pPr>
      <w:r w:rsidRPr="002234E6">
        <w:rPr>
          <w:szCs w:val="18"/>
        </w:rPr>
        <w:t>4</w:t>
      </w:r>
      <w:r w:rsidRPr="002234E6">
        <w:rPr>
          <w:szCs w:val="18"/>
        </w:rPr>
        <w:tab/>
        <w:t xml:space="preserve">When ordering HPV, </w:t>
      </w:r>
      <w:r>
        <w:rPr>
          <w:szCs w:val="18"/>
        </w:rPr>
        <w:t xml:space="preserve">providers should </w:t>
      </w:r>
      <w:r w:rsidRPr="002234E6">
        <w:rPr>
          <w:szCs w:val="18"/>
        </w:rPr>
        <w:t xml:space="preserve">consider the number of vaccines </w:t>
      </w:r>
      <w:r>
        <w:rPr>
          <w:szCs w:val="18"/>
        </w:rPr>
        <w:t xml:space="preserve">the </w:t>
      </w:r>
      <w:r w:rsidRPr="002234E6">
        <w:rPr>
          <w:szCs w:val="18"/>
        </w:rPr>
        <w:t>practice requires for 14</w:t>
      </w:r>
      <w:r w:rsidR="004812C4">
        <w:rPr>
          <w:szCs w:val="18"/>
        </w:rPr>
        <w:noBreakHyphen/>
      </w:r>
      <w:r w:rsidRPr="002234E6">
        <w:rPr>
          <w:szCs w:val="18"/>
        </w:rPr>
        <w:t>year-old catch-ups.</w:t>
      </w:r>
    </w:p>
    <w:p w14:paraId="6C63F4BD" w14:textId="77777777" w:rsidR="00A163F8" w:rsidRPr="002234E6" w:rsidRDefault="00A163F8" w:rsidP="004812C4">
      <w:pPr>
        <w:pStyle w:val="Note"/>
        <w:ind w:left="284" w:hanging="284"/>
      </w:pPr>
      <w:r w:rsidRPr="002234E6">
        <w:rPr>
          <w:szCs w:val="18"/>
        </w:rPr>
        <w:t>5</w:t>
      </w:r>
      <w:r w:rsidRPr="002234E6">
        <w:rPr>
          <w:szCs w:val="18"/>
        </w:rPr>
        <w:tab/>
        <w:t xml:space="preserve">The volume of ADT stock required will depend on how many people aged 45 and 65 years are enrolled at </w:t>
      </w:r>
      <w:r w:rsidR="0021427C">
        <w:rPr>
          <w:szCs w:val="18"/>
        </w:rPr>
        <w:t>the</w:t>
      </w:r>
      <w:r w:rsidRPr="002234E6">
        <w:rPr>
          <w:szCs w:val="18"/>
        </w:rPr>
        <w:t xml:space="preserve"> practice and the number of patients seen for acute wound management.</w:t>
      </w:r>
      <w:r w:rsidRPr="002234E6">
        <w:t xml:space="preserve"> The numbers in the table </w:t>
      </w:r>
      <w:r>
        <w:t xml:space="preserve">apply to </w:t>
      </w:r>
      <w:r w:rsidRPr="002234E6">
        <w:t xml:space="preserve">a combined population number for </w:t>
      </w:r>
      <w:r>
        <w:t xml:space="preserve">people aged </w:t>
      </w:r>
      <w:r w:rsidRPr="002234E6">
        <w:t>45 and 65 years of age.</w:t>
      </w:r>
    </w:p>
    <w:p w14:paraId="51B0F211" w14:textId="77777777" w:rsidR="00A163F8" w:rsidRPr="00F62A24" w:rsidRDefault="00A163F8" w:rsidP="004812C4">
      <w:pPr>
        <w:pStyle w:val="Note"/>
        <w:ind w:left="284" w:hanging="284"/>
        <w:rPr>
          <w:szCs w:val="18"/>
        </w:rPr>
      </w:pPr>
      <w:r w:rsidRPr="00F62A24">
        <w:rPr>
          <w:szCs w:val="18"/>
        </w:rPr>
        <w:t>6</w:t>
      </w:r>
      <w:r w:rsidRPr="00F62A24">
        <w:rPr>
          <w:szCs w:val="18"/>
        </w:rPr>
        <w:tab/>
        <w:t xml:space="preserve">The volume of VZV stock is based on vaccinating only </w:t>
      </w:r>
      <w:r>
        <w:rPr>
          <w:szCs w:val="18"/>
        </w:rPr>
        <w:t>a</w:t>
      </w:r>
      <w:r w:rsidRPr="00F62A24">
        <w:rPr>
          <w:szCs w:val="18"/>
        </w:rPr>
        <w:t xml:space="preserve"> population of people turning 65 years</w:t>
      </w:r>
      <w:r>
        <w:rPr>
          <w:szCs w:val="18"/>
        </w:rPr>
        <w:t xml:space="preserve">; providers </w:t>
      </w:r>
      <w:r w:rsidRPr="00F62A24">
        <w:rPr>
          <w:szCs w:val="18"/>
        </w:rPr>
        <w:t xml:space="preserve">need to consider how many vaccines </w:t>
      </w:r>
      <w:r>
        <w:rPr>
          <w:szCs w:val="18"/>
        </w:rPr>
        <w:t xml:space="preserve">they </w:t>
      </w:r>
      <w:r w:rsidRPr="00F62A24">
        <w:rPr>
          <w:szCs w:val="18"/>
        </w:rPr>
        <w:t>require for those eligible for catch</w:t>
      </w:r>
      <w:r>
        <w:rPr>
          <w:szCs w:val="18"/>
        </w:rPr>
        <w:t>-</w:t>
      </w:r>
      <w:r w:rsidRPr="00F62A24">
        <w:rPr>
          <w:szCs w:val="18"/>
        </w:rPr>
        <w:t>up.</w:t>
      </w:r>
    </w:p>
    <w:p w14:paraId="0C435650" w14:textId="77777777" w:rsidR="00A163F8" w:rsidRPr="002234E6" w:rsidRDefault="00A163F8" w:rsidP="004812C4"/>
    <w:p w14:paraId="0E52F044" w14:textId="77777777" w:rsidR="00A163F8" w:rsidRPr="002234E6" w:rsidRDefault="00A163F8" w:rsidP="004812C4">
      <w:pPr>
        <w:pStyle w:val="Heading3"/>
      </w:pPr>
      <w:r w:rsidRPr="002234E6">
        <w:t>Influenza vaccine volume requirement</w:t>
      </w:r>
    </w:p>
    <w:p w14:paraId="1ED812D5" w14:textId="77777777" w:rsidR="00A163F8" w:rsidRPr="002234E6" w:rsidRDefault="00A163F8" w:rsidP="004812C4">
      <w:r w:rsidRPr="002234E6">
        <w:t>The number of influenza vaccine doses an immunisation provider requires depends on its service and/or enrolled population, and whether it provides:</w:t>
      </w:r>
    </w:p>
    <w:p w14:paraId="62573CB5" w14:textId="77777777" w:rsidR="00A163F8" w:rsidRPr="002234E6" w:rsidRDefault="00A163F8" w:rsidP="004812C4">
      <w:pPr>
        <w:pStyle w:val="Bullet"/>
      </w:pPr>
      <w:r w:rsidRPr="002234E6">
        <w:t>funded influenza vaccine to pregnant women, those aged under 65 years with certain medical conditions and those aged 65 years and over</w:t>
      </w:r>
    </w:p>
    <w:p w14:paraId="47C0E8F5" w14:textId="77777777" w:rsidR="00A163F8" w:rsidRPr="002234E6" w:rsidRDefault="00A163F8" w:rsidP="004812C4">
      <w:pPr>
        <w:pStyle w:val="Bullet"/>
      </w:pPr>
      <w:r w:rsidRPr="002234E6">
        <w:t>privately purchased influenza vaccines, or</w:t>
      </w:r>
    </w:p>
    <w:p w14:paraId="4EB5ECD9" w14:textId="77777777" w:rsidR="00A163F8" w:rsidRPr="002234E6" w:rsidRDefault="00A163F8" w:rsidP="004812C4">
      <w:pPr>
        <w:pStyle w:val="Bullet"/>
      </w:pPr>
      <w:r w:rsidRPr="002234E6">
        <w:t>an occupational health vaccination service.</w:t>
      </w:r>
    </w:p>
    <w:p w14:paraId="344C259D" w14:textId="77777777" w:rsidR="00A163F8" w:rsidRPr="002234E6" w:rsidRDefault="00A163F8" w:rsidP="004812C4"/>
    <w:p w14:paraId="684BB746" w14:textId="77777777" w:rsidR="00A163F8" w:rsidRPr="002234E6" w:rsidRDefault="00A163F8" w:rsidP="004812C4">
      <w:r w:rsidRPr="002234E6">
        <w:lastRenderedPageBreak/>
        <w:t>Providers should consider the size of their pharmaceutical refrigerators when ordering influenza vaccines</w:t>
      </w:r>
      <w:r>
        <w:t>,</w:t>
      </w:r>
      <w:r w:rsidRPr="002234E6">
        <w:t xml:space="preserve"> because overstocking a refrigerator places </w:t>
      </w:r>
      <w:r w:rsidRPr="002234E6">
        <w:rPr>
          <w:b/>
        </w:rPr>
        <w:t>all</w:t>
      </w:r>
      <w:r w:rsidRPr="002234E6">
        <w:t xml:space="preserve"> the vaccines </w:t>
      </w:r>
      <w:r>
        <w:t xml:space="preserve">in the refrigerator </w:t>
      </w:r>
      <w:r w:rsidRPr="002234E6">
        <w:t>at risk from a cold chain excursion.</w:t>
      </w:r>
    </w:p>
    <w:p w14:paraId="3BC2DDF5" w14:textId="77777777" w:rsidR="00A163F8" w:rsidRPr="002234E6" w:rsidRDefault="00A163F8" w:rsidP="004812C4"/>
    <w:p w14:paraId="3DC9DE90" w14:textId="77777777" w:rsidR="00A163F8" w:rsidRPr="002234E6" w:rsidRDefault="00A163F8" w:rsidP="004812C4">
      <w:pPr>
        <w:pStyle w:val="Heading3"/>
      </w:pPr>
      <w:r w:rsidRPr="002234E6">
        <w:t>Ordering vaccines</w:t>
      </w:r>
    </w:p>
    <w:p w14:paraId="046C1CFF" w14:textId="77777777" w:rsidR="00A163F8" w:rsidRPr="002234E6" w:rsidRDefault="00A163F8" w:rsidP="004812C4">
      <w:r w:rsidRPr="002234E6">
        <w:t>Immunisation providers are entitled to two free deliveries each month for National Immunisation Schedule vaccines.</w:t>
      </w:r>
    </w:p>
    <w:p w14:paraId="42A11E94" w14:textId="77777777" w:rsidR="00A163F8" w:rsidRPr="002234E6" w:rsidRDefault="00A163F8" w:rsidP="004812C4"/>
    <w:p w14:paraId="3A1EF998" w14:textId="77777777" w:rsidR="00A163F8" w:rsidRPr="002234E6" w:rsidRDefault="00A163F8" w:rsidP="004812C4">
      <w:r w:rsidRPr="002234E6">
        <w:t>For online schedule vaccine order forms, go to the regional distribution stores</w:t>
      </w:r>
      <w:r w:rsidR="007E44E1">
        <w:t>’</w:t>
      </w:r>
      <w:r w:rsidRPr="002234E6">
        <w:t xml:space="preserve"> National Immunisation Schedule Funded Vaccines website</w:t>
      </w:r>
      <w:r w:rsidRPr="002234E6">
        <w:rPr>
          <w:rStyle w:val="Hyperlink"/>
          <w:rFonts w:cs="Segoe UI"/>
        </w:rPr>
        <w:t xml:space="preserve"> </w:t>
      </w:r>
      <w:r w:rsidRPr="004812C4">
        <w:t>(</w:t>
      </w:r>
      <w:hyperlink r:id="rId24" w:history="1">
        <w:r w:rsidRPr="002234E6">
          <w:rPr>
            <w:rStyle w:val="Hyperlink"/>
            <w:rFonts w:cs="Segoe UI"/>
          </w:rPr>
          <w:t>www.fundedvaccines.co.nz/vaccines</w:t>
        </w:r>
      </w:hyperlink>
      <w:r w:rsidRPr="004812C4">
        <w:t xml:space="preserve">). </w:t>
      </w:r>
      <w:r w:rsidRPr="002234E6">
        <w:t>Ordering vaccines online provides an audit trail, is less susceptible to errors and is faster than faxing.</w:t>
      </w:r>
    </w:p>
    <w:p w14:paraId="515A104A" w14:textId="77777777" w:rsidR="00A163F8" w:rsidRPr="002234E6" w:rsidRDefault="00A163F8" w:rsidP="004319B9"/>
    <w:p w14:paraId="072FB915" w14:textId="75BC4D68" w:rsidR="007E44E1" w:rsidRDefault="00A163F8" w:rsidP="004319B9">
      <w:r w:rsidRPr="002234E6">
        <w:t xml:space="preserve">Healthcare Logistics distributes influenza vaccine orders to immunisation providers once the vaccine becomes available at the start of the </w:t>
      </w:r>
      <w:r w:rsidR="007A38C2">
        <w:t xml:space="preserve">funded </w:t>
      </w:r>
      <w:r w:rsidRPr="002234E6">
        <w:t>influenza programme (from 1</w:t>
      </w:r>
      <w:r w:rsidR="004319B9">
        <w:t> </w:t>
      </w:r>
      <w:r w:rsidRPr="002234E6">
        <w:t>April each year).</w:t>
      </w:r>
    </w:p>
    <w:p w14:paraId="4CDC1812" w14:textId="77777777" w:rsidR="00A163F8" w:rsidRPr="002234E6" w:rsidRDefault="00A163F8" w:rsidP="004319B9"/>
    <w:p w14:paraId="32944248" w14:textId="77777777" w:rsidR="00A163F8" w:rsidRPr="002234E6" w:rsidRDefault="00A163F8" w:rsidP="004319B9">
      <w:r>
        <w:rPr>
          <w:szCs w:val="22"/>
        </w:rPr>
        <w:t>Providers</w:t>
      </w:r>
      <w:r w:rsidRPr="002234E6">
        <w:rPr>
          <w:szCs w:val="22"/>
        </w:rPr>
        <w:t xml:space="preserve"> can order influenza vaccine from the Healthcare Logistics website (</w:t>
      </w:r>
      <w:hyperlink r:id="rId25" w:history="1">
        <w:r w:rsidRPr="002234E6">
          <w:rPr>
            <w:rStyle w:val="Hyperlink"/>
            <w:rFonts w:cs="Segoe UI"/>
            <w:bCs/>
            <w:szCs w:val="22"/>
          </w:rPr>
          <w:t>www.hcl.co.nz</w:t>
        </w:r>
      </w:hyperlink>
      <w:r w:rsidRPr="004319B9">
        <w:t>)</w:t>
      </w:r>
      <w:r w:rsidRPr="002234E6">
        <w:rPr>
          <w:szCs w:val="22"/>
        </w:rPr>
        <w:t xml:space="preserve">. </w:t>
      </w:r>
      <w:r w:rsidRPr="002234E6">
        <w:t xml:space="preserve">Ordering vaccines online provides an audit trail, is less susceptible to errors and is faster than faxing. For more information about ordering influenza vaccine, see </w:t>
      </w:r>
      <w:hyperlink r:id="rId26" w:history="1">
        <w:r w:rsidRPr="002234E6">
          <w:rPr>
            <w:rStyle w:val="Hyperlink"/>
            <w:rFonts w:cs="Segoe UI"/>
          </w:rPr>
          <w:t>www.influenza.org.nz</w:t>
        </w:r>
      </w:hyperlink>
      <w:r w:rsidR="004319B9" w:rsidRPr="004319B9">
        <w:t>.</w:t>
      </w:r>
    </w:p>
    <w:p w14:paraId="7CBF9287" w14:textId="77777777" w:rsidR="00A163F8" w:rsidRPr="002234E6" w:rsidRDefault="00A163F8" w:rsidP="004319B9"/>
    <w:p w14:paraId="5C654518" w14:textId="77777777" w:rsidR="00A163F8" w:rsidRPr="002234E6" w:rsidRDefault="00A163F8" w:rsidP="004319B9">
      <w:pPr>
        <w:pStyle w:val="Heading3"/>
      </w:pPr>
      <w:r w:rsidRPr="002234E6">
        <w:t>Receiving vaccines</w:t>
      </w:r>
    </w:p>
    <w:p w14:paraId="341893E5" w14:textId="77777777" w:rsidR="00A163F8" w:rsidRPr="002234E6" w:rsidRDefault="00A163F8" w:rsidP="004319B9">
      <w:r w:rsidRPr="002234E6">
        <w:t>When a vaccine delivery arrives at an immunisation provider</w:t>
      </w:r>
      <w:r w:rsidR="007E44E1">
        <w:t>’</w:t>
      </w:r>
      <w:r w:rsidRPr="002234E6">
        <w:t>s premises, a designated staff member should:</w:t>
      </w:r>
    </w:p>
    <w:p w14:paraId="2DEE7A6E" w14:textId="77777777" w:rsidR="00A163F8" w:rsidRPr="002234E6" w:rsidRDefault="00A163F8" w:rsidP="004319B9">
      <w:pPr>
        <w:pStyle w:val="Bullet"/>
      </w:pPr>
      <w:r w:rsidRPr="002234E6">
        <w:t>check the vaccines have arrived within the designated timeframe (check the packing label for time dispatched and timeframe)</w:t>
      </w:r>
    </w:p>
    <w:p w14:paraId="30DB9751" w14:textId="77777777" w:rsidR="00A163F8" w:rsidRPr="002234E6" w:rsidRDefault="00A163F8" w:rsidP="004319B9">
      <w:pPr>
        <w:pStyle w:val="Bullet"/>
      </w:pPr>
      <w:r w:rsidRPr="002234E6">
        <w:t xml:space="preserve">check whether any vaccines have monitoring devices included </w:t>
      </w:r>
      <w:r>
        <w:t>(</w:t>
      </w:r>
      <w:proofErr w:type="spellStart"/>
      <w:r>
        <w:t>eg</w:t>
      </w:r>
      <w:proofErr w:type="spellEnd"/>
      <w:r>
        <w:t xml:space="preserve">, </w:t>
      </w:r>
      <w:r w:rsidRPr="002234E6">
        <w:t>a distributor datalogger</w:t>
      </w:r>
      <w:r>
        <w:t>)</w:t>
      </w:r>
      <w:r w:rsidRPr="002234E6">
        <w:t xml:space="preserve"> and follow any instructions provided on using/returning those devices</w:t>
      </w:r>
    </w:p>
    <w:p w14:paraId="7348D198" w14:textId="77777777" w:rsidR="00A163F8" w:rsidRPr="002234E6" w:rsidRDefault="00A163F8" w:rsidP="004319B9">
      <w:pPr>
        <w:pStyle w:val="Bullet"/>
      </w:pPr>
      <w:r w:rsidRPr="002234E6">
        <w:t>where no monitoring device is included in the delivery, check the vaccines for any visible signs of exposure to high or freezing temperatures (</w:t>
      </w:r>
      <w:proofErr w:type="spellStart"/>
      <w:r>
        <w:t>eg</w:t>
      </w:r>
      <w:proofErr w:type="spellEnd"/>
      <w:r>
        <w:t>,</w:t>
      </w:r>
      <w:r w:rsidRPr="002234E6">
        <w:t xml:space="preserve"> melted ice packs, damp packaging or ice visible on packaging or inside</w:t>
      </w:r>
      <w:r>
        <w:t xml:space="preserve"> the</w:t>
      </w:r>
      <w:r w:rsidRPr="002234E6">
        <w:t xml:space="preserve"> vaccine)</w:t>
      </w:r>
      <w:r w:rsidRPr="00F62A24">
        <w:t xml:space="preserve">. See </w:t>
      </w:r>
      <w:r>
        <w:t xml:space="preserve">the end of this section </w:t>
      </w:r>
      <w:r w:rsidRPr="00F62A24">
        <w:t>for more information on what to do in this situation</w:t>
      </w:r>
    </w:p>
    <w:p w14:paraId="4B9DA5E2" w14:textId="77777777" w:rsidR="00A163F8" w:rsidRPr="002234E6" w:rsidRDefault="00A163F8" w:rsidP="004319B9">
      <w:pPr>
        <w:pStyle w:val="Bullet"/>
      </w:pPr>
      <w:r w:rsidRPr="002234E6">
        <w:t>check the vaccines delivered are those the provider ordered</w:t>
      </w:r>
    </w:p>
    <w:p w14:paraId="79F1BE11" w14:textId="77777777" w:rsidR="00A163F8" w:rsidRPr="002234E6" w:rsidRDefault="00A163F8" w:rsidP="004319B9">
      <w:pPr>
        <w:pStyle w:val="Bullet"/>
      </w:pPr>
      <w:r w:rsidRPr="002234E6">
        <w:t>check all vaccines are at least one month before their expiry date</w:t>
      </w:r>
    </w:p>
    <w:p w14:paraId="4A1592C1" w14:textId="77777777" w:rsidR="00A163F8" w:rsidRPr="002234E6" w:rsidRDefault="00A163F8" w:rsidP="004319B9">
      <w:pPr>
        <w:pStyle w:val="Bullet"/>
      </w:pPr>
      <w:r w:rsidRPr="002234E6">
        <w:t>record vaccine details (including date received, batch number and expiry date) in a vaccine register/log or stock management system</w:t>
      </w:r>
    </w:p>
    <w:p w14:paraId="38ABC444" w14:textId="77777777" w:rsidR="00A163F8" w:rsidRPr="002234E6" w:rsidRDefault="00A163F8" w:rsidP="004319B9">
      <w:pPr>
        <w:pStyle w:val="Bullet"/>
      </w:pPr>
      <w:r w:rsidRPr="002234E6">
        <w:t>document the date the vaccines arrived at the provider on the vaccine box</w:t>
      </w:r>
      <w:r>
        <w:t xml:space="preserve"> or have a documented system for identifying when vaccines were delivered</w:t>
      </w:r>
    </w:p>
    <w:p w14:paraId="3095297D" w14:textId="77777777" w:rsidR="00A163F8" w:rsidRPr="002234E6" w:rsidRDefault="00A163F8" w:rsidP="004319B9">
      <w:pPr>
        <w:pStyle w:val="Bullet"/>
      </w:pPr>
      <w:r w:rsidRPr="002234E6">
        <w:t>leave the vaccines in their original boxes but remove them from the transport container.</w:t>
      </w:r>
    </w:p>
    <w:p w14:paraId="65657082" w14:textId="77777777" w:rsidR="00A163F8" w:rsidRPr="002234E6" w:rsidRDefault="00A163F8" w:rsidP="004319B9"/>
    <w:p w14:paraId="7F9A0BBB" w14:textId="77777777" w:rsidR="00A163F8" w:rsidRPr="002234E6" w:rsidRDefault="00A163F8" w:rsidP="004319B9">
      <w:r w:rsidRPr="002234E6">
        <w:lastRenderedPageBreak/>
        <w:t>If a provider has concerns about the condition of the delivered vaccines (</w:t>
      </w:r>
      <w:proofErr w:type="spellStart"/>
      <w:r>
        <w:t>eg</w:t>
      </w:r>
      <w:proofErr w:type="spellEnd"/>
      <w:r w:rsidRPr="002234E6">
        <w:t>, there is evidence of exposure to high temperatures such as melted ice packs and the vaccines are warm to touch, or the vaccines are extremely cold), they should:</w:t>
      </w:r>
    </w:p>
    <w:p w14:paraId="53C10356" w14:textId="77777777" w:rsidR="00A163F8" w:rsidRPr="002234E6" w:rsidRDefault="00A163F8" w:rsidP="004319B9">
      <w:pPr>
        <w:pStyle w:val="Bullet"/>
      </w:pPr>
      <w:r w:rsidRPr="002234E6">
        <w:t>quarantine the vaccines in the pharmaceutical refrigerator</w:t>
      </w:r>
    </w:p>
    <w:p w14:paraId="2EA9E491" w14:textId="77777777" w:rsidR="00A163F8" w:rsidRPr="002234E6" w:rsidRDefault="00A163F8" w:rsidP="004319B9">
      <w:pPr>
        <w:pStyle w:val="Bullet"/>
      </w:pPr>
      <w:r w:rsidRPr="002234E6">
        <w:t>label the vaccines as not for use until a decision on whether to use the vaccines has been made</w:t>
      </w:r>
    </w:p>
    <w:p w14:paraId="46B25ED9" w14:textId="77777777" w:rsidR="00A163F8" w:rsidRPr="002234E6" w:rsidRDefault="00A163F8" w:rsidP="004319B9">
      <w:pPr>
        <w:pStyle w:val="Bullet"/>
      </w:pPr>
      <w:r w:rsidRPr="002234E6">
        <w:t>notify the regional distribution store (or Healthcare Logistics in the case of influenza or non-funded vaccines)</w:t>
      </w:r>
    </w:p>
    <w:p w14:paraId="43ED924F" w14:textId="77777777" w:rsidR="00A163F8" w:rsidRPr="002234E6" w:rsidRDefault="00A163F8" w:rsidP="004319B9">
      <w:pPr>
        <w:pStyle w:val="Bullet"/>
      </w:pPr>
      <w:r w:rsidRPr="002234E6">
        <w:t>contact the coordinator</w:t>
      </w:r>
    </w:p>
    <w:p w14:paraId="0C12B49F" w14:textId="77777777" w:rsidR="00A163F8" w:rsidRPr="002234E6" w:rsidRDefault="00A163F8" w:rsidP="004319B9">
      <w:pPr>
        <w:pStyle w:val="Bullet"/>
      </w:pPr>
      <w:r w:rsidRPr="002234E6">
        <w:t>not return vaccines until they have authorisation to do so from the distributor</w:t>
      </w:r>
    </w:p>
    <w:p w14:paraId="44A7FC05" w14:textId="77777777" w:rsidR="00A163F8" w:rsidRDefault="00A163F8" w:rsidP="004319B9">
      <w:pPr>
        <w:pStyle w:val="Bullet"/>
      </w:pPr>
      <w:r w:rsidRPr="002234E6">
        <w:t>advise coordinators of all returned vaccines.</w:t>
      </w:r>
    </w:p>
    <w:p w14:paraId="7B7C37DC" w14:textId="77777777" w:rsidR="00A163F8" w:rsidRDefault="00A163F8" w:rsidP="004319B9"/>
    <w:p w14:paraId="6777F046" w14:textId="77777777" w:rsidR="00A163F8" w:rsidRPr="002234E6" w:rsidRDefault="00A163F8" w:rsidP="004319B9">
      <w:r w:rsidRPr="002234E6">
        <w:t xml:space="preserve">If providers are unsure of how to read a monitoring device transported with </w:t>
      </w:r>
      <w:r>
        <w:t xml:space="preserve">a </w:t>
      </w:r>
      <w:r w:rsidRPr="002234E6">
        <w:t xml:space="preserve">vaccine order they should contact the appropriate distributor </w:t>
      </w:r>
      <w:r>
        <w:t xml:space="preserve">or </w:t>
      </w:r>
      <w:r w:rsidRPr="002234E6">
        <w:t xml:space="preserve">their coordinator for more information. </w:t>
      </w:r>
      <w:r>
        <w:t>They</w:t>
      </w:r>
      <w:r w:rsidRPr="002234E6">
        <w:t xml:space="preserve"> must keep the vaccines in quarantine within the </w:t>
      </w:r>
      <w:r w:rsidRPr="002234E6">
        <w:rPr>
          <w:bCs/>
        </w:rPr>
        <w:t>cold chain while this occurs.</w:t>
      </w:r>
    </w:p>
    <w:p w14:paraId="7F49A948" w14:textId="77777777" w:rsidR="00A163F8" w:rsidRPr="002234E6" w:rsidRDefault="00A163F8" w:rsidP="004319B9"/>
    <w:p w14:paraId="47F03906" w14:textId="77777777" w:rsidR="00A163F8" w:rsidRPr="002234E6" w:rsidRDefault="00A163F8" w:rsidP="004319B9">
      <w:pPr>
        <w:pStyle w:val="Heading3"/>
      </w:pPr>
      <w:r w:rsidRPr="002234E6">
        <w:t>Placing vaccines in a pharmaceutical refrigerator</w:t>
      </w:r>
    </w:p>
    <w:p w14:paraId="65C87D69" w14:textId="77777777" w:rsidR="00A163F8" w:rsidRPr="002234E6" w:rsidRDefault="00A163F8" w:rsidP="004319B9">
      <w:r w:rsidRPr="002234E6">
        <w:t>Place vaccines (and other refrigerated pharmaceuticals) in the pharmaceutical refrigerator:</w:t>
      </w:r>
    </w:p>
    <w:p w14:paraId="57800401" w14:textId="77777777" w:rsidR="00A163F8" w:rsidRPr="002234E6" w:rsidRDefault="00A163F8" w:rsidP="004319B9">
      <w:pPr>
        <w:pStyle w:val="Bullet"/>
      </w:pPr>
      <w:r w:rsidRPr="002234E6">
        <w:t>without any packing material except their original box</w:t>
      </w:r>
    </w:p>
    <w:p w14:paraId="6526728D" w14:textId="77777777" w:rsidR="00A163F8" w:rsidRPr="002234E6" w:rsidRDefault="00A163F8" w:rsidP="004319B9">
      <w:pPr>
        <w:pStyle w:val="Bullet"/>
      </w:pPr>
      <w:r w:rsidRPr="002234E6">
        <w:t>with a 2–3 cm gap between vaccine boxes and the refrigerator walls or plates</w:t>
      </w:r>
    </w:p>
    <w:p w14:paraId="0F058369" w14:textId="77777777" w:rsidR="00A163F8" w:rsidRPr="002234E6" w:rsidRDefault="00A163F8" w:rsidP="004319B9">
      <w:pPr>
        <w:pStyle w:val="Bullet"/>
      </w:pPr>
      <w:r w:rsidRPr="002234E6">
        <w:t>with the delivery date written on the box</w:t>
      </w:r>
      <w:r>
        <w:t xml:space="preserve"> or a documented system for identifying when vaccines were delivered</w:t>
      </w:r>
    </w:p>
    <w:p w14:paraId="618F141B" w14:textId="77777777" w:rsidR="00A163F8" w:rsidRPr="002234E6" w:rsidRDefault="00A163F8" w:rsidP="004319B9">
      <w:pPr>
        <w:pStyle w:val="Bullet"/>
      </w:pPr>
      <w:r w:rsidRPr="002234E6">
        <w:t>with the expiry dates visible (where possible)</w:t>
      </w:r>
      <w:r>
        <w:t>,</w:t>
      </w:r>
      <w:r w:rsidRPr="002234E6">
        <w:t xml:space="preserve"> to ensure </w:t>
      </w:r>
      <w:r>
        <w:t xml:space="preserve">vaccines </w:t>
      </w:r>
      <w:r w:rsidRPr="002234E6">
        <w:t>with the shortest expiry date are used first.</w:t>
      </w:r>
    </w:p>
    <w:p w14:paraId="49033C28" w14:textId="77777777" w:rsidR="00A163F8" w:rsidRDefault="00A163F8" w:rsidP="004319B9"/>
    <w:p w14:paraId="1C279709" w14:textId="77777777" w:rsidR="00A163F8" w:rsidRPr="002234E6" w:rsidRDefault="00A163F8" w:rsidP="004319B9">
      <w:r w:rsidRPr="002234E6">
        <w:t>In addition:</w:t>
      </w:r>
    </w:p>
    <w:p w14:paraId="35D9F934" w14:textId="77777777" w:rsidR="00A163F8" w:rsidRPr="002234E6" w:rsidRDefault="00A163F8" w:rsidP="004319B9">
      <w:pPr>
        <w:pStyle w:val="Bullet"/>
      </w:pPr>
      <w:r w:rsidRPr="002234E6">
        <w:t xml:space="preserve">if the vaccines are put into plastic containers, these </w:t>
      </w:r>
      <w:r>
        <w:t xml:space="preserve">containers </w:t>
      </w:r>
      <w:r w:rsidRPr="002234E6">
        <w:t>must have holes in the side and bottom to allow air to flow</w:t>
      </w:r>
    </w:p>
    <w:p w14:paraId="063A1DEE" w14:textId="56CAA909" w:rsidR="00A163F8" w:rsidRPr="002234E6" w:rsidRDefault="00A163F8" w:rsidP="004319B9">
      <w:pPr>
        <w:pStyle w:val="Bullet"/>
      </w:pPr>
      <w:r w:rsidRPr="00F62A24">
        <w:t xml:space="preserve">other refrigerated pharmaceuticals may be packaged in such a way that </w:t>
      </w:r>
      <w:r>
        <w:t xml:space="preserve">the packaging </w:t>
      </w:r>
      <w:r w:rsidRPr="00F62A24">
        <w:t xml:space="preserve">will </w:t>
      </w:r>
      <w:r w:rsidR="00466266">
        <w:t xml:space="preserve">not </w:t>
      </w:r>
      <w:r w:rsidRPr="00F62A24">
        <w:t>interfere with airflow in the refrigerator</w:t>
      </w:r>
      <w:r>
        <w:t>.</w:t>
      </w:r>
      <w:r w:rsidRPr="00F62A24">
        <w:t xml:space="preserve"> </w:t>
      </w:r>
      <w:r>
        <w:t>A</w:t>
      </w:r>
      <w:r w:rsidRPr="00F62A24">
        <w:t xml:space="preserve"> large interior space may</w:t>
      </w:r>
      <w:r>
        <w:t xml:space="preserve"> </w:t>
      </w:r>
      <w:r w:rsidRPr="00F62A24">
        <w:t>be required to ensure adequate airflow</w:t>
      </w:r>
      <w:r>
        <w:t>;</w:t>
      </w:r>
      <w:r w:rsidRPr="00F62A24">
        <w:t xml:space="preserve"> this should be discussed with the refrigerator technician</w:t>
      </w:r>
    </w:p>
    <w:p w14:paraId="7E9AE55C" w14:textId="77777777" w:rsidR="00A163F8" w:rsidRPr="002234E6" w:rsidRDefault="00A163F8" w:rsidP="004319B9">
      <w:pPr>
        <w:pStyle w:val="Bullet"/>
      </w:pPr>
      <w:r w:rsidRPr="002234E6">
        <w:t>the refrigerated vaccines must not exceed 90 percent of available refrigerator storage space.</w:t>
      </w:r>
    </w:p>
    <w:p w14:paraId="175DF994" w14:textId="77777777" w:rsidR="00A163F8" w:rsidRPr="002234E6" w:rsidRDefault="00A163F8" w:rsidP="004319B9">
      <w:bookmarkStart w:id="60" w:name="_Toc334179082"/>
    </w:p>
    <w:p w14:paraId="0B3C5FB0" w14:textId="77777777" w:rsidR="00A163F8" w:rsidRDefault="00A163F8" w:rsidP="004319B9">
      <w:r>
        <w:t>No food, drink or l</w:t>
      </w:r>
      <w:r w:rsidRPr="00F33473">
        <w:t>aboratory specimens should be stored in the pharmaceutical refrigerator.</w:t>
      </w:r>
    </w:p>
    <w:p w14:paraId="262F89E7" w14:textId="77777777" w:rsidR="004319B9" w:rsidRPr="002234E6" w:rsidRDefault="004319B9" w:rsidP="004319B9"/>
    <w:p w14:paraId="08CA27C8" w14:textId="77777777" w:rsidR="00A163F8" w:rsidRPr="002234E6" w:rsidRDefault="00A163F8" w:rsidP="004319B9">
      <w:pPr>
        <w:pStyle w:val="Heading2"/>
      </w:pPr>
      <w:bookmarkStart w:id="61" w:name="_6.3_During_a"/>
      <w:bookmarkStart w:id="62" w:name="_Toc469389340"/>
      <w:bookmarkStart w:id="63" w:name="_Toc9863079"/>
      <w:bookmarkStart w:id="64" w:name="_Toc18062249"/>
      <w:bookmarkEnd w:id="61"/>
      <w:r w:rsidRPr="002234E6">
        <w:lastRenderedPageBreak/>
        <w:t>6.3</w:t>
      </w:r>
      <w:r w:rsidRPr="002234E6">
        <w:tab/>
        <w:t>During a power outage or equipment failure</w:t>
      </w:r>
      <w:bookmarkEnd w:id="62"/>
      <w:bookmarkEnd w:id="63"/>
      <w:bookmarkEnd w:id="64"/>
    </w:p>
    <w:p w14:paraId="4E64D45C" w14:textId="77777777" w:rsidR="00A163F8" w:rsidRPr="002234E6" w:rsidRDefault="00A163F8" w:rsidP="004319B9">
      <w:r w:rsidRPr="002234E6">
        <w:t>Pharmaceutical refrigerators do not hold their temperatures when the power supply is interrupted, so it is important to monitor the temperature and to respond to rising temperatures. The following practices are recommended when a power outage occurs or equipment fails.</w:t>
      </w:r>
    </w:p>
    <w:p w14:paraId="0D33A9D0" w14:textId="77777777" w:rsidR="00A163F8" w:rsidRPr="002234E6" w:rsidRDefault="00A163F8" w:rsidP="004319B9">
      <w:pPr>
        <w:pStyle w:val="Bullet"/>
      </w:pPr>
      <w:r w:rsidRPr="002234E6">
        <w:t xml:space="preserve">Use </w:t>
      </w:r>
      <w:r w:rsidRPr="002E31DE">
        <w:t>an e</w:t>
      </w:r>
      <w:r w:rsidRPr="002234E6">
        <w:t>xternal digital minimum/maximum thermometer or datalogger with external display to monitor the internal refrigerator temperature (this should be checked and documented every 30 minutes).</w:t>
      </w:r>
    </w:p>
    <w:p w14:paraId="1206429E" w14:textId="77777777" w:rsidR="00A163F8" w:rsidRPr="002234E6" w:rsidRDefault="00A163F8" w:rsidP="004319B9">
      <w:pPr>
        <w:pStyle w:val="Bullet"/>
      </w:pPr>
      <w:r w:rsidRPr="002234E6">
        <w:t>If the internal refrigerator temperature rises above +7.5°C, seek alternative storage, following the provider</w:t>
      </w:r>
      <w:r w:rsidR="007E44E1">
        <w:t>’</w:t>
      </w:r>
      <w:r w:rsidRPr="002234E6">
        <w:t>s cold chain policy.</w:t>
      </w:r>
    </w:p>
    <w:p w14:paraId="153667C4" w14:textId="77777777" w:rsidR="00A163F8" w:rsidRPr="002234E6" w:rsidRDefault="00A163F8" w:rsidP="004319B9">
      <w:pPr>
        <w:pStyle w:val="Bullet"/>
      </w:pPr>
      <w:r w:rsidRPr="002234E6">
        <w:t>If the internal temperature of the refrigerator falls below +2°C, remove the vaccines and place them in alternative storage, following the provider</w:t>
      </w:r>
      <w:r w:rsidR="007E44E1">
        <w:t>’</w:t>
      </w:r>
      <w:r w:rsidRPr="002234E6">
        <w:t>s cold chain policy.</w:t>
      </w:r>
    </w:p>
    <w:p w14:paraId="63377ECD" w14:textId="77777777" w:rsidR="00A163F8" w:rsidRPr="002234E6" w:rsidRDefault="00A163F8" w:rsidP="004319B9">
      <w:pPr>
        <w:pStyle w:val="Bullet"/>
      </w:pPr>
      <w:r w:rsidRPr="002234E6">
        <w:t>If the power outage is widespread, such as across the region or city, contact the coordinator before moving vaccines</w:t>
      </w:r>
      <w:r>
        <w:t>;</w:t>
      </w:r>
      <w:r w:rsidRPr="002234E6">
        <w:t xml:space="preserve"> there need</w:t>
      </w:r>
      <w:r>
        <w:t>s</w:t>
      </w:r>
      <w:r w:rsidRPr="002234E6">
        <w:t xml:space="preserve"> to be a priority system for back-up vaccine storage.</w:t>
      </w:r>
    </w:p>
    <w:p w14:paraId="63086BF1" w14:textId="77777777" w:rsidR="003A1C26" w:rsidRDefault="003A1C26">
      <w:r>
        <w:br w:type="page"/>
      </w:r>
    </w:p>
    <w:p w14:paraId="5521E4DA" w14:textId="77777777" w:rsidR="00A163F8" w:rsidRPr="002234E6" w:rsidRDefault="00A163F8" w:rsidP="004319B9">
      <w:pPr>
        <w:pStyle w:val="Heading2"/>
      </w:pPr>
      <w:bookmarkStart w:id="65" w:name="_6.4_Process_for"/>
      <w:bookmarkStart w:id="66" w:name="_6.4_Process_for_1"/>
      <w:bookmarkStart w:id="67" w:name="_Toc469389341"/>
      <w:bookmarkStart w:id="68" w:name="_Toc9863080"/>
      <w:bookmarkStart w:id="69" w:name="_Toc18062250"/>
      <w:bookmarkEnd w:id="65"/>
      <w:bookmarkEnd w:id="66"/>
      <w:r w:rsidRPr="002234E6">
        <w:lastRenderedPageBreak/>
        <w:t>6.4</w:t>
      </w:r>
      <w:r w:rsidRPr="002234E6">
        <w:tab/>
        <w:t>Process for vaccines stored outside +2°C to +8°C</w:t>
      </w:r>
      <w:bookmarkEnd w:id="67"/>
      <w:bookmarkEnd w:id="68"/>
      <w:bookmarkEnd w:id="69"/>
    </w:p>
    <w:p w14:paraId="1055530B" w14:textId="77777777" w:rsidR="00A163F8" w:rsidRPr="002234E6" w:rsidRDefault="00A163F8" w:rsidP="004319B9">
      <w:pPr>
        <w:keepNext/>
      </w:pPr>
      <w:r w:rsidRPr="002234E6">
        <w:t>When a provider finds vaccines have been stored in temperatures outside the required +2°C to +8°C range, it must collect information on the temperature breach and discuss the issue with the coordinator to confirm vaccine stability before using the vaccines or</w:t>
      </w:r>
      <w:r w:rsidR="003A1C26">
        <w:t xml:space="preserve"> r</w:t>
      </w:r>
      <w:r w:rsidRPr="002234E6">
        <w:t>eturning them for destruction. The steps below outline the initial process a provider should follow.</w:t>
      </w:r>
    </w:p>
    <w:p w14:paraId="345F8A4A" w14:textId="77777777" w:rsidR="00A163F8" w:rsidRPr="002234E6" w:rsidRDefault="00A163F8" w:rsidP="004319B9">
      <w:pPr>
        <w:keepNext/>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A163F8" w:rsidRPr="00F62A24" w14:paraId="1BF8F08F" w14:textId="77777777" w:rsidTr="004319B9">
        <w:trPr>
          <w:cantSplit/>
        </w:trPr>
        <w:tc>
          <w:tcPr>
            <w:tcW w:w="8080" w:type="dxa"/>
            <w:tcBorders>
              <w:bottom w:val="single" w:sz="4" w:space="0" w:color="auto"/>
            </w:tcBorders>
            <w:shd w:val="clear" w:color="auto" w:fill="auto"/>
          </w:tcPr>
          <w:p w14:paraId="504902B0" w14:textId="77777777" w:rsidR="00A163F8" w:rsidRPr="002234E6" w:rsidRDefault="00A163F8" w:rsidP="004319B9">
            <w:pPr>
              <w:pStyle w:val="TableText"/>
              <w:keepNext/>
              <w:rPr>
                <w:rFonts w:cs="Segoe UI"/>
              </w:rPr>
            </w:pPr>
            <w:r w:rsidRPr="002234E6">
              <w:rPr>
                <w:rFonts w:cs="Segoe UI"/>
              </w:rPr>
              <w:t>Vaccine temperatures are recorded outside required temperature range (below +2°C or above +8°C)*</w:t>
            </w:r>
          </w:p>
        </w:tc>
      </w:tr>
      <w:tr w:rsidR="00A163F8" w:rsidRPr="00F62A24" w14:paraId="56EB15D2" w14:textId="77777777" w:rsidTr="004319B9">
        <w:trPr>
          <w:cantSplit/>
        </w:trPr>
        <w:tc>
          <w:tcPr>
            <w:tcW w:w="8080" w:type="dxa"/>
            <w:tcBorders>
              <w:left w:val="nil"/>
              <w:right w:val="nil"/>
            </w:tcBorders>
            <w:shd w:val="clear" w:color="auto" w:fill="auto"/>
          </w:tcPr>
          <w:p w14:paraId="38315087" w14:textId="77777777" w:rsidR="00A163F8" w:rsidRPr="002234E6" w:rsidRDefault="00A163F8" w:rsidP="004319B9">
            <w:pPr>
              <w:pStyle w:val="TableText"/>
              <w:keepNext/>
              <w:jc w:val="center"/>
              <w:rPr>
                <w:rFonts w:cs="Segoe UI"/>
              </w:rPr>
            </w:pPr>
            <w:r w:rsidRPr="002234E6">
              <w:rPr>
                <w:rFonts w:cs="Segoe UI"/>
                <w:noProof/>
                <w:lang w:eastAsia="en-NZ"/>
              </w:rPr>
              <mc:AlternateContent>
                <mc:Choice Requires="wps">
                  <w:drawing>
                    <wp:inline distT="0" distB="0" distL="0" distR="0" wp14:anchorId="2B710F2D" wp14:editId="2B5FF502">
                      <wp:extent cx="160655" cy="257175"/>
                      <wp:effectExtent l="47625" t="19050" r="48895" b="38100"/>
                      <wp:docPr id="4"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57175"/>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081E64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width:12.6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" adj="14853" filled="f" strokeweight="2pt">
                      <w10:anchorlock/>
                    </v:shape>
                  </w:pict>
                </mc:Fallback>
              </mc:AlternateContent>
            </w:r>
          </w:p>
        </w:tc>
      </w:tr>
      <w:tr w:rsidR="00A163F8" w:rsidRPr="00F62A24" w14:paraId="54E06345" w14:textId="77777777" w:rsidTr="004319B9">
        <w:trPr>
          <w:cantSplit/>
        </w:trPr>
        <w:tc>
          <w:tcPr>
            <w:tcW w:w="8080" w:type="dxa"/>
            <w:tcBorders>
              <w:bottom w:val="single" w:sz="4" w:space="0" w:color="auto"/>
            </w:tcBorders>
            <w:shd w:val="clear" w:color="auto" w:fill="auto"/>
          </w:tcPr>
          <w:p w14:paraId="13B0FDC5" w14:textId="77777777" w:rsidR="00A163F8" w:rsidRPr="002234E6" w:rsidRDefault="00A163F8" w:rsidP="004319B9">
            <w:pPr>
              <w:pStyle w:val="TableText"/>
              <w:keepNext/>
            </w:pPr>
            <w:r w:rsidRPr="002234E6">
              <w:t>Quarantine the vaccines.</w:t>
            </w:r>
          </w:p>
          <w:p w14:paraId="0804384D" w14:textId="77777777" w:rsidR="00A163F8" w:rsidRPr="002234E6" w:rsidRDefault="00A163F8" w:rsidP="004319B9">
            <w:pPr>
              <w:pStyle w:val="TableBullet"/>
              <w:keepNext/>
            </w:pPr>
            <w:r w:rsidRPr="002234E6">
              <w:t>Label and quarantine all the vaccines involved.</w:t>
            </w:r>
          </w:p>
          <w:p w14:paraId="24F08B43" w14:textId="77777777" w:rsidR="00A163F8" w:rsidRPr="002234E6" w:rsidRDefault="00A163F8" w:rsidP="004319B9">
            <w:pPr>
              <w:pStyle w:val="TableBullet"/>
              <w:keepNext/>
            </w:pPr>
            <w:r w:rsidRPr="002234E6">
              <w:t>Ensure the vaccines are kept within the required temperature range of +2°C to +8°C. Seek alternative storage arrangements, if required, as per the providers cold chain policy.</w:t>
            </w:r>
          </w:p>
          <w:p w14:paraId="3B1B400A" w14:textId="77777777" w:rsidR="00A163F8" w:rsidRPr="002234E6" w:rsidRDefault="00A163F8" w:rsidP="004319B9">
            <w:pPr>
              <w:pStyle w:val="TableBullet"/>
              <w:keepNext/>
            </w:pPr>
            <w:r w:rsidRPr="002234E6">
              <w:t>Communicate with colleagues to ensure the vaccines are not used until further notice.</w:t>
            </w:r>
          </w:p>
          <w:p w14:paraId="1F748A0A" w14:textId="77777777" w:rsidR="00A163F8" w:rsidRPr="002234E6" w:rsidRDefault="00A163F8" w:rsidP="004319B9">
            <w:pPr>
              <w:pStyle w:val="TableBullet"/>
              <w:keepNext/>
            </w:pPr>
            <w:r w:rsidRPr="002234E6">
              <w:t>Document the incident.</w:t>
            </w:r>
          </w:p>
        </w:tc>
      </w:tr>
      <w:tr w:rsidR="00A163F8" w:rsidRPr="00F62A24" w14:paraId="0EAD3932" w14:textId="77777777" w:rsidTr="004319B9">
        <w:trPr>
          <w:cantSplit/>
        </w:trPr>
        <w:tc>
          <w:tcPr>
            <w:tcW w:w="8080" w:type="dxa"/>
            <w:tcBorders>
              <w:left w:val="nil"/>
              <w:right w:val="nil"/>
            </w:tcBorders>
            <w:shd w:val="clear" w:color="auto" w:fill="auto"/>
          </w:tcPr>
          <w:p w14:paraId="3F4D2C67" w14:textId="77777777" w:rsidR="00A163F8" w:rsidRPr="002234E6" w:rsidRDefault="00A163F8" w:rsidP="004319B9">
            <w:pPr>
              <w:pStyle w:val="TableText"/>
              <w:keepNext/>
              <w:jc w:val="center"/>
              <w:rPr>
                <w:rFonts w:cs="Segoe UI"/>
              </w:rPr>
            </w:pPr>
            <w:r w:rsidRPr="002234E6">
              <w:rPr>
                <w:rFonts w:cs="Segoe UI"/>
                <w:noProof/>
                <w:lang w:eastAsia="en-NZ"/>
              </w:rPr>
              <mc:AlternateContent>
                <mc:Choice Requires="wps">
                  <w:drawing>
                    <wp:inline distT="0" distB="0" distL="0" distR="0" wp14:anchorId="1B472864" wp14:editId="13E555EE">
                      <wp:extent cx="160655" cy="257175"/>
                      <wp:effectExtent l="47625" t="19050" r="48895" b="38100"/>
                      <wp:docPr id="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57175"/>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61394088" id="Down Arrow 9" o:spid="_x0000_s1026" type="#_x0000_t67" style="width:12.6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" adj="14853" filled="f" strokeweight="2pt">
                      <w10:anchorlock/>
                    </v:shape>
                  </w:pict>
                </mc:Fallback>
              </mc:AlternateContent>
            </w:r>
          </w:p>
        </w:tc>
      </w:tr>
      <w:tr w:rsidR="00A163F8" w:rsidRPr="00F62A24" w14:paraId="7F2D772A" w14:textId="77777777" w:rsidTr="004319B9">
        <w:trPr>
          <w:cantSplit/>
        </w:trPr>
        <w:tc>
          <w:tcPr>
            <w:tcW w:w="8080" w:type="dxa"/>
            <w:tcBorders>
              <w:bottom w:val="single" w:sz="4" w:space="0" w:color="auto"/>
            </w:tcBorders>
            <w:shd w:val="clear" w:color="auto" w:fill="auto"/>
          </w:tcPr>
          <w:p w14:paraId="2677FB79" w14:textId="77777777" w:rsidR="00A163F8" w:rsidRPr="002234E6" w:rsidRDefault="00A163F8" w:rsidP="004319B9">
            <w:pPr>
              <w:pStyle w:val="TableText"/>
            </w:pPr>
            <w:r w:rsidRPr="002234E6">
              <w:t>Confirm and define the incident.</w:t>
            </w:r>
          </w:p>
          <w:p w14:paraId="63F70F4C" w14:textId="77777777" w:rsidR="00A163F8" w:rsidRPr="002234E6" w:rsidRDefault="00A163F8" w:rsidP="004319B9">
            <w:pPr>
              <w:pStyle w:val="TableBullet"/>
            </w:pPr>
            <w:r w:rsidRPr="002234E6">
              <w:t>Review the refrigerator temperature records and download</w:t>
            </w:r>
            <w:r>
              <w:t>/access</w:t>
            </w:r>
            <w:r w:rsidRPr="002234E6">
              <w:t xml:space="preserve"> information from the datalogger to clarify the cold chain before this event.</w:t>
            </w:r>
          </w:p>
          <w:p w14:paraId="1812B53F" w14:textId="77777777" w:rsidR="00A163F8" w:rsidRPr="002234E6" w:rsidRDefault="00A163F8" w:rsidP="004319B9">
            <w:pPr>
              <w:pStyle w:val="TableBullet"/>
            </w:pPr>
            <w:r w:rsidRPr="002234E6">
              <w:t>Confirm current refrigerator temperatures.</w:t>
            </w:r>
          </w:p>
          <w:p w14:paraId="20BFF52D" w14:textId="77777777" w:rsidR="00A163F8" w:rsidRPr="002234E6" w:rsidRDefault="00A163F8" w:rsidP="004319B9">
            <w:pPr>
              <w:pStyle w:val="TableBullet"/>
            </w:pPr>
            <w:r w:rsidRPr="002234E6">
              <w:t>Check the refrigerator</w:t>
            </w:r>
            <w:r w:rsidR="007E44E1">
              <w:t>’</w:t>
            </w:r>
            <w:r w:rsidRPr="002234E6">
              <w:t>s service history to date.</w:t>
            </w:r>
          </w:p>
        </w:tc>
      </w:tr>
      <w:tr w:rsidR="00A163F8" w:rsidRPr="00F62A24" w14:paraId="04AA7934" w14:textId="77777777" w:rsidTr="004319B9">
        <w:trPr>
          <w:cantSplit/>
        </w:trPr>
        <w:tc>
          <w:tcPr>
            <w:tcW w:w="8080" w:type="dxa"/>
            <w:tcBorders>
              <w:left w:val="nil"/>
              <w:right w:val="nil"/>
            </w:tcBorders>
            <w:shd w:val="clear" w:color="auto" w:fill="auto"/>
          </w:tcPr>
          <w:p w14:paraId="0E4192D4" w14:textId="77777777" w:rsidR="00A163F8" w:rsidRPr="002234E6" w:rsidRDefault="00A163F8" w:rsidP="00EF002B">
            <w:pPr>
              <w:pStyle w:val="TableText"/>
              <w:jc w:val="center"/>
              <w:rPr>
                <w:rFonts w:cs="Segoe UI"/>
              </w:rPr>
            </w:pPr>
            <w:r w:rsidRPr="002234E6">
              <w:rPr>
                <w:rFonts w:cs="Segoe UI"/>
                <w:noProof/>
                <w:lang w:eastAsia="en-NZ"/>
              </w:rPr>
              <mc:AlternateContent>
                <mc:Choice Requires="wps">
                  <w:drawing>
                    <wp:inline distT="0" distB="0" distL="0" distR="0" wp14:anchorId="601E3784" wp14:editId="0244BBAB">
                      <wp:extent cx="160655" cy="257175"/>
                      <wp:effectExtent l="47625" t="19050" r="48895" b="38100"/>
                      <wp:docPr id="7"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57175"/>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1C399E09" id="Down Arrow 9" o:spid="_x0000_s1026" type="#_x0000_t67" style="width:12.6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" adj="14853" filled="f" strokeweight="2pt">
                      <w10:anchorlock/>
                    </v:shape>
                  </w:pict>
                </mc:Fallback>
              </mc:AlternateContent>
            </w:r>
          </w:p>
        </w:tc>
      </w:tr>
      <w:tr w:rsidR="00A163F8" w:rsidRPr="00F62A24" w14:paraId="6DC1E872" w14:textId="77777777" w:rsidTr="004319B9">
        <w:trPr>
          <w:cantSplit/>
        </w:trPr>
        <w:tc>
          <w:tcPr>
            <w:tcW w:w="8080" w:type="dxa"/>
            <w:tcBorders>
              <w:bottom w:val="single" w:sz="4" w:space="0" w:color="auto"/>
            </w:tcBorders>
            <w:shd w:val="clear" w:color="auto" w:fill="auto"/>
          </w:tcPr>
          <w:p w14:paraId="1AF87D7C" w14:textId="77777777" w:rsidR="00A163F8" w:rsidRPr="002234E6" w:rsidRDefault="00A163F8" w:rsidP="004319B9">
            <w:pPr>
              <w:pStyle w:val="TableText"/>
            </w:pPr>
            <w:r w:rsidRPr="002234E6">
              <w:t>Collect as much information as possible.</w:t>
            </w:r>
          </w:p>
          <w:p w14:paraId="49F2BD5C" w14:textId="77777777" w:rsidR="00A163F8" w:rsidRPr="002234E6" w:rsidRDefault="00A163F8" w:rsidP="004319B9">
            <w:pPr>
              <w:pStyle w:val="TableBullet"/>
            </w:pPr>
            <w:r w:rsidRPr="002234E6">
              <w:t>What monitoring has taken place (maximum, minimum and/or current thermometer readings)?</w:t>
            </w:r>
          </w:p>
          <w:p w14:paraId="00575EEC" w14:textId="77777777" w:rsidR="00A163F8" w:rsidRPr="002234E6" w:rsidRDefault="00A163F8" w:rsidP="004319B9">
            <w:pPr>
              <w:pStyle w:val="TableBullet"/>
            </w:pPr>
            <w:r>
              <w:t>H</w:t>
            </w:r>
            <w:r w:rsidRPr="002234E6">
              <w:t>ow long were the vaccines stored outside of the required +2°C to +8°C range (minutes, hours or days)?</w:t>
            </w:r>
          </w:p>
          <w:p w14:paraId="32E137D0" w14:textId="77777777" w:rsidR="00A163F8" w:rsidRPr="002234E6" w:rsidRDefault="00A163F8" w:rsidP="004319B9">
            <w:pPr>
              <w:pStyle w:val="TableBullet"/>
            </w:pPr>
            <w:r w:rsidRPr="002234E6">
              <w:t>Identify all vaccines stored in the refrigerator, the length of time they were stored, usual stock turnover and expiry dates.</w:t>
            </w:r>
          </w:p>
          <w:p w14:paraId="0526E343" w14:textId="77777777" w:rsidR="00A163F8" w:rsidRPr="002234E6" w:rsidRDefault="00A163F8" w:rsidP="004319B9">
            <w:pPr>
              <w:pStyle w:val="TableBullet"/>
            </w:pPr>
            <w:r w:rsidRPr="002234E6">
              <w:t>Identify any previous events involving these vaccines where the temperature has gone outside the required+2°C to +8°C range.</w:t>
            </w:r>
          </w:p>
          <w:p w14:paraId="3FE921C9" w14:textId="77777777" w:rsidR="00A163F8" w:rsidRPr="002234E6" w:rsidRDefault="00A163F8" w:rsidP="004319B9">
            <w:pPr>
              <w:pStyle w:val="TableBullet"/>
            </w:pPr>
            <w:r>
              <w:t xml:space="preserve">Check whether </w:t>
            </w:r>
            <w:r w:rsidRPr="002234E6">
              <w:t xml:space="preserve">it </w:t>
            </w:r>
            <w:r>
              <w:t xml:space="preserve">is </w:t>
            </w:r>
            <w:r w:rsidRPr="002234E6">
              <w:t>likely that any individuals received a compromised vaccine</w:t>
            </w:r>
            <w:r>
              <w:t>.</w:t>
            </w:r>
          </w:p>
        </w:tc>
      </w:tr>
      <w:tr w:rsidR="00A163F8" w:rsidRPr="00F62A24" w14:paraId="5589F841" w14:textId="77777777" w:rsidTr="004319B9">
        <w:trPr>
          <w:cantSplit/>
        </w:trPr>
        <w:tc>
          <w:tcPr>
            <w:tcW w:w="8080" w:type="dxa"/>
            <w:tcBorders>
              <w:left w:val="nil"/>
              <w:right w:val="nil"/>
            </w:tcBorders>
            <w:shd w:val="clear" w:color="auto" w:fill="auto"/>
          </w:tcPr>
          <w:p w14:paraId="42FF41BE" w14:textId="77777777" w:rsidR="00A163F8" w:rsidRPr="002234E6" w:rsidRDefault="00A163F8" w:rsidP="00EF002B">
            <w:pPr>
              <w:pStyle w:val="TableText"/>
              <w:jc w:val="center"/>
              <w:rPr>
                <w:rFonts w:cs="Segoe UI"/>
              </w:rPr>
            </w:pPr>
            <w:r w:rsidRPr="002234E6">
              <w:rPr>
                <w:rFonts w:cs="Segoe UI"/>
                <w:noProof/>
                <w:lang w:eastAsia="en-NZ"/>
              </w:rPr>
              <mc:AlternateContent>
                <mc:Choice Requires="wps">
                  <w:drawing>
                    <wp:inline distT="0" distB="0" distL="0" distR="0" wp14:anchorId="21E03423" wp14:editId="313CF238">
                      <wp:extent cx="160655" cy="257175"/>
                      <wp:effectExtent l="47625" t="19050" r="48895" b="38100"/>
                      <wp:docPr id="8"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57175"/>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035EB551" id="Down Arrow 9" o:spid="_x0000_s1026" type="#_x0000_t67" style="width:12.6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" adj="14853" filled="f" strokeweight="2pt">
                      <w10:anchorlock/>
                    </v:shape>
                  </w:pict>
                </mc:Fallback>
              </mc:AlternateContent>
            </w:r>
          </w:p>
        </w:tc>
      </w:tr>
      <w:tr w:rsidR="00A163F8" w:rsidRPr="00F62A24" w14:paraId="5AE95E25" w14:textId="77777777" w:rsidTr="004319B9">
        <w:trPr>
          <w:cantSplit/>
        </w:trPr>
        <w:tc>
          <w:tcPr>
            <w:tcW w:w="8080" w:type="dxa"/>
            <w:shd w:val="clear" w:color="auto" w:fill="auto"/>
          </w:tcPr>
          <w:p w14:paraId="2905B479" w14:textId="77777777" w:rsidR="00A163F8" w:rsidRPr="002234E6" w:rsidRDefault="00A163F8" w:rsidP="004319B9">
            <w:pPr>
              <w:pStyle w:val="TableText"/>
            </w:pPr>
            <w:r w:rsidRPr="002234E6">
              <w:t xml:space="preserve">Contact </w:t>
            </w:r>
            <w:r>
              <w:t xml:space="preserve">the </w:t>
            </w:r>
            <w:r w:rsidRPr="002234E6">
              <w:t>coordinator</w:t>
            </w:r>
            <w:r>
              <w:t>,</w:t>
            </w:r>
            <w:r w:rsidRPr="002234E6">
              <w:t xml:space="preserve"> </w:t>
            </w:r>
            <w:r>
              <w:t xml:space="preserve">provide them with </w:t>
            </w:r>
            <w:r w:rsidRPr="002234E6">
              <w:t>all of the available information and work with them through to resolution.</w:t>
            </w:r>
            <w:r>
              <w:t xml:space="preserve"> Complete all required documentation.</w:t>
            </w:r>
          </w:p>
        </w:tc>
      </w:tr>
    </w:tbl>
    <w:p w14:paraId="45CDA9A0" w14:textId="77777777" w:rsidR="00A163F8" w:rsidRPr="002234E6" w:rsidRDefault="00A163F8" w:rsidP="004319B9">
      <w:pPr>
        <w:pStyle w:val="Note"/>
      </w:pPr>
      <w:r w:rsidRPr="002234E6">
        <w:t>Note</w:t>
      </w:r>
    </w:p>
    <w:p w14:paraId="7DF14673" w14:textId="77777777" w:rsidR="00A163F8" w:rsidRPr="002234E6" w:rsidRDefault="00A163F8" w:rsidP="004319B9">
      <w:pPr>
        <w:pStyle w:val="Note"/>
        <w:ind w:left="284" w:hanging="284"/>
      </w:pPr>
      <w:r w:rsidRPr="002234E6">
        <w:t>*</w:t>
      </w:r>
      <w:r w:rsidRPr="002234E6">
        <w:tab/>
        <w:t>When one-off temperature variations of up to 12°C for less than 30 minutes occur for known reasons (</w:t>
      </w:r>
      <w:proofErr w:type="spellStart"/>
      <w:r w:rsidRPr="002234E6">
        <w:t>eg</w:t>
      </w:r>
      <w:proofErr w:type="spellEnd"/>
      <w:r w:rsidRPr="002234E6">
        <w:t>, stocktake), a provider does not need to notify the coordinator; however, it must document the variations in its records.</w:t>
      </w:r>
      <w:r>
        <w:t xml:space="preserve"> This does not apply to buffered probes.</w:t>
      </w:r>
    </w:p>
    <w:p w14:paraId="2C289620" w14:textId="77777777" w:rsidR="00A163F8" w:rsidRPr="002234E6" w:rsidRDefault="00A163F8" w:rsidP="004319B9"/>
    <w:p w14:paraId="2C141647" w14:textId="6182316E" w:rsidR="00A163F8" w:rsidRPr="002234E6" w:rsidRDefault="00A163F8" w:rsidP="004319B9">
      <w:r w:rsidRPr="002234E6">
        <w:lastRenderedPageBreak/>
        <w:t xml:space="preserve">If staff do not follow up cold chain breaches and the provider does not contact the coordinator, CCA or CCC may be withheld or revoked and vaccine delivery suspended. If a provider fails to take actions following a cold chain excursion and </w:t>
      </w:r>
      <w:r>
        <w:t>this failure</w:t>
      </w:r>
      <w:r w:rsidRPr="002234E6">
        <w:t xml:space="preserve"> leads to a cold chain failure (</w:t>
      </w:r>
      <w:proofErr w:type="spellStart"/>
      <w:r w:rsidRPr="002234E6">
        <w:t>ie</w:t>
      </w:r>
      <w:proofErr w:type="spellEnd"/>
      <w:r w:rsidRPr="002234E6">
        <w:t>, vaccines in a cold chain excursion are administered to patients), then the coordinator, along with the provider, is required to in</w:t>
      </w:r>
      <w:r>
        <w:t>form</w:t>
      </w:r>
      <w:r w:rsidRPr="002234E6">
        <w:t xml:space="preserve"> the IMAC regional immunisation advisor, PHO clinical lead, DHB lead and the local medical officer of health</w:t>
      </w:r>
      <w:r w:rsidR="00466266">
        <w:t xml:space="preserve"> (as appropriate)</w:t>
      </w:r>
      <w:r w:rsidRPr="002234E6">
        <w:t xml:space="preserve">. The coordinator must notify the Ministry of Health immunisation team by email, on </w:t>
      </w:r>
      <w:hyperlink r:id="rId27" w:history="1">
        <w:r w:rsidRPr="002234E6">
          <w:rPr>
            <w:rStyle w:val="Hyperlink"/>
            <w:rFonts w:cs="Segoe UI"/>
          </w:rPr>
          <w:t>immunisation</w:t>
        </w:r>
        <w:r w:rsidRPr="00015434">
          <w:rPr>
            <w:rStyle w:val="Hyperlink"/>
            <w:rFonts w:cs="Segoe UI"/>
          </w:rPr>
          <w:t>@health.</w:t>
        </w:r>
        <w:r w:rsidRPr="002234E6">
          <w:rPr>
            <w:rStyle w:val="Hyperlink"/>
            <w:rFonts w:cs="Segoe UI"/>
          </w:rPr>
          <w:t>govt.nz</w:t>
        </w:r>
      </w:hyperlink>
      <w:r w:rsidRPr="002234E6">
        <w:rPr>
          <w:rStyle w:val="Hyperlink"/>
          <w:rFonts w:cs="Segoe UI"/>
        </w:rPr>
        <w:t>,</w:t>
      </w:r>
      <w:r w:rsidRPr="002234E6">
        <w:t xml:space="preserve"> when a cold chain failure has occurred.</w:t>
      </w:r>
    </w:p>
    <w:p w14:paraId="19A774AB" w14:textId="77777777" w:rsidR="00A163F8" w:rsidRPr="002234E6" w:rsidRDefault="00A163F8" w:rsidP="004319B9"/>
    <w:p w14:paraId="4833738D" w14:textId="77777777" w:rsidR="00A163F8" w:rsidRPr="002234E6" w:rsidRDefault="00A163F8" w:rsidP="004319B9">
      <w:r w:rsidRPr="002234E6">
        <w:t>Failure to follow up and document temperatures that are outside the required range may result in clinical staff (and</w:t>
      </w:r>
      <w:r>
        <w:t>,</w:t>
      </w:r>
      <w:r w:rsidRPr="002234E6">
        <w:t xml:space="preserve"> in the case of community pharmacy, the pharmacy premises) being referred for competence review by their regulatory body</w:t>
      </w:r>
      <w:r>
        <w:t xml:space="preserve"> (in the case of community pharmacy, to Medicines Control),</w:t>
      </w:r>
      <w:r w:rsidRPr="002234E6">
        <w:t xml:space="preserve"> particularly where a cold chain failure could have been prevented if </w:t>
      </w:r>
      <w:r>
        <w:t xml:space="preserve">appropriate </w:t>
      </w:r>
      <w:r w:rsidRPr="002234E6">
        <w:t>action had been taken.</w:t>
      </w:r>
    </w:p>
    <w:p w14:paraId="78E4C13C" w14:textId="77777777" w:rsidR="00A163F8" w:rsidRPr="002234E6" w:rsidRDefault="00A163F8" w:rsidP="004319B9"/>
    <w:p w14:paraId="7AD612E7" w14:textId="77777777" w:rsidR="00A163F8" w:rsidRPr="002234E6" w:rsidRDefault="00A163F8" w:rsidP="004319B9">
      <w:pPr>
        <w:pStyle w:val="Heading2"/>
      </w:pPr>
      <w:bookmarkStart w:id="70" w:name="_Toc334179084"/>
      <w:bookmarkStart w:id="71" w:name="_Toc469389342"/>
      <w:bookmarkStart w:id="72" w:name="_Toc9863081"/>
      <w:bookmarkStart w:id="73" w:name="_Toc18062251"/>
      <w:r w:rsidRPr="002234E6">
        <w:t>6.5</w:t>
      </w:r>
      <w:r w:rsidRPr="002234E6">
        <w:tab/>
        <w:t>Vaccine disposal</w:t>
      </w:r>
      <w:bookmarkEnd w:id="70"/>
      <w:bookmarkEnd w:id="71"/>
      <w:bookmarkEnd w:id="72"/>
      <w:bookmarkEnd w:id="73"/>
    </w:p>
    <w:p w14:paraId="01A02EB8" w14:textId="3518D650" w:rsidR="00A163F8" w:rsidRPr="002234E6" w:rsidRDefault="00A163F8" w:rsidP="004319B9">
      <w:r w:rsidRPr="002234E6">
        <w:t xml:space="preserve">Providers </w:t>
      </w:r>
      <w:r w:rsidR="00466266">
        <w:t>must</w:t>
      </w:r>
      <w:r w:rsidR="00466266" w:rsidRPr="002234E6">
        <w:t xml:space="preserve"> </w:t>
      </w:r>
      <w:r w:rsidRPr="002234E6">
        <w:t>return all unwanted, discontinued, expired or thermally compromised vaccines to their regional distribution store for secure destruction</w:t>
      </w:r>
      <w:r>
        <w:t>, including private market vaccines</w:t>
      </w:r>
      <w:r w:rsidRPr="002234E6">
        <w:t>.</w:t>
      </w:r>
    </w:p>
    <w:p w14:paraId="792CF3A0" w14:textId="77777777" w:rsidR="00A163F8" w:rsidRPr="002234E6" w:rsidRDefault="00A163F8" w:rsidP="004319B9"/>
    <w:p w14:paraId="4C8B3677" w14:textId="77777777" w:rsidR="00A163F8" w:rsidRPr="002234E6" w:rsidRDefault="00A163F8" w:rsidP="004319B9">
      <w:r>
        <w:t>R</w:t>
      </w:r>
      <w:r w:rsidRPr="002234E6">
        <w:t>egional distribution stores use a medical waste facility in which vaccines are heat sterilised to make them inactive, and then crushed and buried in a sterile landfill, consistent with requirements under the Resource Management Act 1991.</w:t>
      </w:r>
    </w:p>
    <w:p w14:paraId="13B5437B" w14:textId="77777777" w:rsidR="00A163F8" w:rsidRPr="002234E6" w:rsidRDefault="00A163F8" w:rsidP="004319B9"/>
    <w:p w14:paraId="2BEA8DC4" w14:textId="77777777" w:rsidR="00A163F8" w:rsidRPr="002234E6" w:rsidRDefault="00A163F8" w:rsidP="004319B9">
      <w:r w:rsidRPr="002234E6">
        <w:t>Providers must contact their immunisation coordinator before disposing of any vaccines</w:t>
      </w:r>
      <w:r>
        <w:t>,</w:t>
      </w:r>
      <w:r w:rsidRPr="002234E6">
        <w:t xml:space="preserve"> and for help in managing events that result in vaccine wastage, except in cases where vaccines have expired or been discontinued.</w:t>
      </w:r>
    </w:p>
    <w:p w14:paraId="604D6800" w14:textId="77777777" w:rsidR="00A163F8" w:rsidRPr="002234E6" w:rsidRDefault="00A163F8" w:rsidP="004319B9"/>
    <w:p w14:paraId="149BB300" w14:textId="77777777" w:rsidR="00A163F8" w:rsidRPr="002234E6" w:rsidRDefault="00A163F8" w:rsidP="004319B9">
      <w:r w:rsidRPr="002234E6">
        <w:t xml:space="preserve">To prepare the vaccines for </w:t>
      </w:r>
      <w:r>
        <w:t xml:space="preserve">return to </w:t>
      </w:r>
      <w:r w:rsidRPr="002234E6">
        <w:t>the regional distribution store</w:t>
      </w:r>
      <w:r>
        <w:t>, providers should</w:t>
      </w:r>
      <w:r w:rsidRPr="002234E6">
        <w:t>:</w:t>
      </w:r>
    </w:p>
    <w:p w14:paraId="342EC92A" w14:textId="77777777" w:rsidR="00A163F8" w:rsidRPr="002234E6" w:rsidRDefault="00A163F8" w:rsidP="004319B9">
      <w:pPr>
        <w:pStyle w:val="Bullet"/>
      </w:pPr>
      <w:r w:rsidRPr="002234E6">
        <w:t>clearly label them and attach the regional distribution store</w:t>
      </w:r>
      <w:r w:rsidR="007E44E1">
        <w:t>’</w:t>
      </w:r>
      <w:r w:rsidRPr="002234E6">
        <w:t>s</w:t>
      </w:r>
      <w:r w:rsidRPr="002234E6" w:rsidDel="00294858">
        <w:t xml:space="preserve"> </w:t>
      </w:r>
      <w:r w:rsidR="007E44E1">
        <w:t>‘</w:t>
      </w:r>
      <w:r w:rsidRPr="002234E6">
        <w:t>Vaccines for Destruction</w:t>
      </w:r>
      <w:r w:rsidR="007E44E1">
        <w:t>’</w:t>
      </w:r>
      <w:r w:rsidRPr="002234E6">
        <w:t xml:space="preserve"> sticker (which </w:t>
      </w:r>
      <w:r>
        <w:t xml:space="preserve">providers </w:t>
      </w:r>
      <w:r w:rsidRPr="002234E6">
        <w:t>can download from the regional distribution stores</w:t>
      </w:r>
      <w:r w:rsidR="007E44E1">
        <w:t>’</w:t>
      </w:r>
      <w:r w:rsidRPr="002234E6" w:rsidDel="00294858">
        <w:t xml:space="preserve"> </w:t>
      </w:r>
      <w:r w:rsidRPr="002234E6">
        <w:t>website</w:t>
      </w:r>
      <w:r>
        <w:t>:</w:t>
      </w:r>
      <w:r w:rsidRPr="002234E6">
        <w:t xml:space="preserve"> </w:t>
      </w:r>
      <w:hyperlink r:id="rId28" w:history="1">
        <w:r w:rsidRPr="004319B9">
          <w:rPr>
            <w:rStyle w:val="Hyperlink"/>
          </w:rPr>
          <w:t>www.fundedvaccines.co.nz/vaccines</w:t>
        </w:r>
      </w:hyperlink>
      <w:r w:rsidRPr="002234E6">
        <w:t>)</w:t>
      </w:r>
    </w:p>
    <w:p w14:paraId="01E812A6" w14:textId="77777777" w:rsidR="00A163F8" w:rsidRPr="002234E6" w:rsidRDefault="00A163F8" w:rsidP="004319B9">
      <w:pPr>
        <w:pStyle w:val="Bullet"/>
      </w:pPr>
      <w:r w:rsidRPr="002234E6">
        <w:t>pack them using the standard health and safety precautions that apply to medical sharps waste (</w:t>
      </w:r>
      <w:proofErr w:type="spellStart"/>
      <w:r>
        <w:t>eg</w:t>
      </w:r>
      <w:proofErr w:type="spellEnd"/>
      <w:r w:rsidRPr="002234E6">
        <w:t>, using an approved sharps container, or the insulated container in which the vaccines were delivered, and removing all needles other than those attached to unused prefilled syringes; the latter should remain sheathed)</w:t>
      </w:r>
    </w:p>
    <w:p w14:paraId="3F201B3C" w14:textId="77777777" w:rsidR="007E44E1" w:rsidRDefault="00A163F8" w:rsidP="004319B9">
      <w:pPr>
        <w:pStyle w:val="Bullet"/>
      </w:pPr>
      <w:r w:rsidRPr="002234E6">
        <w:t xml:space="preserve">mark them with the reason </w:t>
      </w:r>
      <w:r>
        <w:t xml:space="preserve">the provider is </w:t>
      </w:r>
      <w:r w:rsidRPr="002234E6">
        <w:t>sending them for destruction</w:t>
      </w:r>
      <w:r>
        <w:t>;</w:t>
      </w:r>
      <w:r w:rsidRPr="002234E6">
        <w:t xml:space="preserve"> for example, due to a cold chain excursion or </w:t>
      </w:r>
      <w:r>
        <w:t xml:space="preserve">because they have </w:t>
      </w:r>
      <w:r w:rsidRPr="002234E6">
        <w:t>expired</w:t>
      </w:r>
    </w:p>
    <w:p w14:paraId="4DC197BA" w14:textId="77777777" w:rsidR="00A163F8" w:rsidRPr="002234E6" w:rsidRDefault="00A163F8" w:rsidP="004319B9">
      <w:pPr>
        <w:pStyle w:val="Bullet"/>
      </w:pPr>
      <w:r w:rsidRPr="002234E6">
        <w:t xml:space="preserve">record the vaccines as returned for destruction in </w:t>
      </w:r>
      <w:r>
        <w:t>the provider</w:t>
      </w:r>
      <w:r w:rsidR="007E44E1">
        <w:t>’</w:t>
      </w:r>
      <w:r>
        <w:t>s</w:t>
      </w:r>
      <w:r w:rsidRPr="002234E6">
        <w:t xml:space="preserve"> vaccine register.</w:t>
      </w:r>
    </w:p>
    <w:p w14:paraId="16E69DA1" w14:textId="77777777" w:rsidR="00A163F8" w:rsidRPr="002234E6" w:rsidRDefault="00A163F8" w:rsidP="004319B9"/>
    <w:p w14:paraId="2839E1E9" w14:textId="77777777" w:rsidR="00A163F8" w:rsidRPr="002234E6" w:rsidRDefault="00A163F8" w:rsidP="004319B9">
      <w:pPr>
        <w:pStyle w:val="Heading1"/>
      </w:pPr>
      <w:bookmarkStart w:id="74" w:name="_Toc469389343"/>
      <w:bookmarkStart w:id="75" w:name="_Toc9863082"/>
      <w:bookmarkStart w:id="76" w:name="_Toc18062252"/>
      <w:r w:rsidRPr="002234E6">
        <w:lastRenderedPageBreak/>
        <w:t>7</w:t>
      </w:r>
      <w:r w:rsidRPr="002234E6">
        <w:tab/>
        <w:t>Equipment</w:t>
      </w:r>
      <w:bookmarkEnd w:id="74"/>
      <w:bookmarkEnd w:id="75"/>
      <w:bookmarkEnd w:id="76"/>
    </w:p>
    <w:p w14:paraId="4F9C78DE" w14:textId="77777777" w:rsidR="00A163F8" w:rsidRPr="002234E6" w:rsidRDefault="00A163F8" w:rsidP="004319B9">
      <w:r w:rsidRPr="002234E6">
        <w:t>All equipment used for storing, transporting and monitoring vaccines must be fit for the purpose, appropriately maintained and tested according to the manufacturer</w:t>
      </w:r>
      <w:r w:rsidR="007E44E1">
        <w:t>’</w:t>
      </w:r>
      <w:r w:rsidRPr="002234E6">
        <w:t>s recommendations and the requirements outlined in the National Standards.</w:t>
      </w:r>
    </w:p>
    <w:p w14:paraId="40D5B297" w14:textId="77777777" w:rsidR="00A163F8" w:rsidRPr="002234E6" w:rsidRDefault="00A163F8" w:rsidP="004319B9"/>
    <w:p w14:paraId="613131CE" w14:textId="77777777" w:rsidR="00A163F8" w:rsidRPr="002234E6" w:rsidRDefault="00A163F8" w:rsidP="004319B9">
      <w:r w:rsidRPr="002234E6">
        <w:t xml:space="preserve">All immunisation providers must have a pharmaceutical refrigerator for vaccine storage at each site where they store vaccines. They must replace it every </w:t>
      </w:r>
      <w:r w:rsidR="004319B9">
        <w:t>10</w:t>
      </w:r>
      <w:r w:rsidRPr="002234E6">
        <w:t xml:space="preserve"> years.</w:t>
      </w:r>
    </w:p>
    <w:p w14:paraId="37509BB4" w14:textId="77777777" w:rsidR="00A163F8" w:rsidRPr="002234E6" w:rsidRDefault="00A163F8" w:rsidP="004319B9"/>
    <w:p w14:paraId="2A722980" w14:textId="77777777" w:rsidR="00A163F8" w:rsidRPr="002234E6" w:rsidRDefault="00A163F8" w:rsidP="004319B9">
      <w:r w:rsidRPr="002234E6">
        <w:t xml:space="preserve">All immunisation providers must have appropriate equipment for transporting and storing vaccines if a power outage occurs or equipment fails. For more information refer to </w:t>
      </w:r>
      <w:hyperlink w:anchor="_6.4_Process_for" w:history="1">
        <w:r w:rsidR="004319B9" w:rsidRPr="004319B9">
          <w:rPr>
            <w:rStyle w:val="Hyperlink"/>
          </w:rPr>
          <w:t>section 6.4</w:t>
        </w:r>
      </w:hyperlink>
      <w:r w:rsidRPr="002234E6">
        <w:t>.</w:t>
      </w:r>
    </w:p>
    <w:p w14:paraId="78AED68F" w14:textId="77777777" w:rsidR="00A163F8" w:rsidRPr="002234E6" w:rsidRDefault="00A163F8" w:rsidP="004319B9"/>
    <w:p w14:paraId="666A1B97" w14:textId="77777777" w:rsidR="00A163F8" w:rsidRPr="002234E6" w:rsidRDefault="00A163F8" w:rsidP="004319B9">
      <w:r w:rsidRPr="002234E6">
        <w:t>All immunisation providers who offer offsite immunisation clinics – for example, occupational health, school-based immunisation programmes and outreach immunisation services – must have appropriate</w:t>
      </w:r>
      <w:r>
        <w:t>,</w:t>
      </w:r>
      <w:r w:rsidRPr="002234E6">
        <w:t xml:space="preserve"> tested equipment for this purpose. For more information refer to </w:t>
      </w:r>
      <w:hyperlink w:anchor="_7.3_Transporting_vaccines" w:history="1">
        <w:r w:rsidR="003A1C26">
          <w:rPr>
            <w:rStyle w:val="Hyperlink"/>
          </w:rPr>
          <w:t>section 7.3</w:t>
        </w:r>
      </w:hyperlink>
      <w:r w:rsidRPr="002234E6">
        <w:t>.</w:t>
      </w:r>
    </w:p>
    <w:p w14:paraId="0FB16293" w14:textId="77777777" w:rsidR="00A163F8" w:rsidRPr="002234E6" w:rsidRDefault="00A163F8" w:rsidP="004319B9"/>
    <w:p w14:paraId="231F5867" w14:textId="77777777" w:rsidR="00A163F8" w:rsidRPr="002234E6" w:rsidRDefault="00A163F8" w:rsidP="004319B9">
      <w:pPr>
        <w:pStyle w:val="Heading2"/>
      </w:pPr>
      <w:bookmarkStart w:id="77" w:name="_7.1_Vaccine_refrigerator"/>
      <w:bookmarkStart w:id="78" w:name="_7.1_Pharmaceutical_refrigerator"/>
      <w:bookmarkStart w:id="79" w:name="_Toc469389344"/>
      <w:bookmarkStart w:id="80" w:name="_Toc9863083"/>
      <w:bookmarkStart w:id="81" w:name="_Toc18062253"/>
      <w:bookmarkEnd w:id="77"/>
      <w:bookmarkEnd w:id="78"/>
      <w:r w:rsidRPr="002234E6">
        <w:t>7.1</w:t>
      </w:r>
      <w:r w:rsidRPr="002234E6">
        <w:tab/>
        <w:t>Pharmaceutical refrigerator</w:t>
      </w:r>
      <w:bookmarkEnd w:id="60"/>
      <w:bookmarkEnd w:id="79"/>
      <w:bookmarkEnd w:id="80"/>
      <w:bookmarkEnd w:id="81"/>
    </w:p>
    <w:p w14:paraId="048F2756" w14:textId="77777777" w:rsidR="00A163F8" w:rsidRPr="002234E6" w:rsidRDefault="00A163F8" w:rsidP="004319B9">
      <w:r w:rsidRPr="002234E6">
        <w:t xml:space="preserve">All immunisation providers </w:t>
      </w:r>
      <w:r w:rsidRPr="005B4C02">
        <w:t>must</w:t>
      </w:r>
      <w:r w:rsidRPr="002234E6">
        <w:t xml:space="preserve"> use a pharmaceutical refrigerator to store vaccines.</w:t>
      </w:r>
    </w:p>
    <w:p w14:paraId="02E4BF66" w14:textId="77777777" w:rsidR="00A163F8" w:rsidRPr="002234E6" w:rsidRDefault="00A163F8" w:rsidP="004319B9"/>
    <w:p w14:paraId="1C8F6587" w14:textId="77777777" w:rsidR="00A163F8" w:rsidRPr="002234E6" w:rsidRDefault="00A163F8" w:rsidP="004319B9">
      <w:r w:rsidRPr="002234E6">
        <w:t>The refrigerator must:</w:t>
      </w:r>
    </w:p>
    <w:p w14:paraId="4436ABBC" w14:textId="77777777" w:rsidR="00A163F8" w:rsidRPr="002234E6" w:rsidRDefault="00A163F8" w:rsidP="004319B9">
      <w:pPr>
        <w:pStyle w:val="Bullet"/>
      </w:pPr>
      <w:r w:rsidRPr="002234E6">
        <w:t>be used to store medicines and vaccines only, consistent with the Medicines Act 1981, section 47</w:t>
      </w:r>
    </w:p>
    <w:p w14:paraId="006724EA" w14:textId="77777777" w:rsidR="007E44E1" w:rsidRDefault="00A163F8" w:rsidP="004319B9">
      <w:pPr>
        <w:pStyle w:val="Bullet"/>
      </w:pPr>
      <w:r w:rsidRPr="002234E6">
        <w:t xml:space="preserve">be left on at all times </w:t>
      </w:r>
      <w:r w:rsidRPr="00F62A24">
        <w:t>(unless empty of stock</w:t>
      </w:r>
      <w:r>
        <w:t>;</w:t>
      </w:r>
      <w:r w:rsidRPr="00F62A24">
        <w:t xml:space="preserve"> </w:t>
      </w:r>
      <w:r>
        <w:t xml:space="preserve">in this case, </w:t>
      </w:r>
      <w:r w:rsidRPr="00F62A24">
        <w:t xml:space="preserve">before storing vaccines again, </w:t>
      </w:r>
      <w:r>
        <w:t xml:space="preserve">a provider must </w:t>
      </w:r>
      <w:r w:rsidRPr="00F62A24">
        <w:t>monitor the temperature for a minimum of 24 hours with a datalogger)</w:t>
      </w:r>
    </w:p>
    <w:p w14:paraId="0FFFE1C7" w14:textId="77777777" w:rsidR="00A163F8" w:rsidRPr="002234E6" w:rsidRDefault="00A163F8" w:rsidP="004319B9">
      <w:pPr>
        <w:pStyle w:val="Bullet"/>
      </w:pPr>
      <w:r w:rsidRPr="002234E6">
        <w:t>be plugged into an independent power point</w:t>
      </w:r>
    </w:p>
    <w:p w14:paraId="66854EAF" w14:textId="77777777" w:rsidR="00A163F8" w:rsidRPr="002234E6" w:rsidRDefault="00A163F8" w:rsidP="004319B9">
      <w:pPr>
        <w:pStyle w:val="Bullet"/>
      </w:pPr>
      <w:r>
        <w:t xml:space="preserve">have a </w:t>
      </w:r>
      <w:r w:rsidRPr="002234E6">
        <w:t xml:space="preserve">plug </w:t>
      </w:r>
      <w:r>
        <w:t xml:space="preserve">protected through </w:t>
      </w:r>
      <w:r w:rsidRPr="002234E6">
        <w:t xml:space="preserve">a power point protector and/or a large, bright notice </w:t>
      </w:r>
      <w:r>
        <w:t xml:space="preserve">that </w:t>
      </w:r>
      <w:r w:rsidRPr="002234E6">
        <w:t>tell</w:t>
      </w:r>
      <w:r>
        <w:t>s</w:t>
      </w:r>
      <w:r w:rsidRPr="002234E6">
        <w:t xml:space="preserve"> people not to unplug the refrigerator</w:t>
      </w:r>
    </w:p>
    <w:p w14:paraId="23286B0C" w14:textId="77777777" w:rsidR="00A163F8" w:rsidRPr="002234E6" w:rsidRDefault="00A163F8" w:rsidP="004319B9">
      <w:pPr>
        <w:pStyle w:val="Bullet"/>
      </w:pPr>
      <w:r w:rsidRPr="002234E6">
        <w:t>not be in direct sunlight or against a heat source</w:t>
      </w:r>
    </w:p>
    <w:p w14:paraId="609F5E62" w14:textId="77777777" w:rsidR="00A163F8" w:rsidRPr="002234E6" w:rsidRDefault="00A163F8" w:rsidP="004319B9">
      <w:pPr>
        <w:pStyle w:val="Bullet"/>
      </w:pPr>
      <w:r w:rsidRPr="002234E6">
        <w:t xml:space="preserve">be in a ventilated room </w:t>
      </w:r>
      <w:r>
        <w:t>and operated in ambient temperature conditions according to the manufacturer</w:t>
      </w:r>
      <w:r w:rsidR="007E44E1">
        <w:t>’</w:t>
      </w:r>
      <w:r>
        <w:t>s recommendations</w:t>
      </w:r>
    </w:p>
    <w:p w14:paraId="5CF4CA30" w14:textId="77777777" w:rsidR="00A163F8" w:rsidRPr="002234E6" w:rsidRDefault="00A163F8" w:rsidP="004319B9">
      <w:pPr>
        <w:pStyle w:val="Bullet"/>
      </w:pPr>
      <w:r w:rsidRPr="002234E6">
        <w:t xml:space="preserve">be </w:t>
      </w:r>
      <w:r>
        <w:t xml:space="preserve">installed </w:t>
      </w:r>
      <w:r w:rsidRPr="002234E6">
        <w:t xml:space="preserve">at least 4 cm but preferably 10 cm away </w:t>
      </w:r>
      <w:r>
        <w:t>(or according to the manufacturer</w:t>
      </w:r>
      <w:r w:rsidR="007E44E1">
        <w:t>’</w:t>
      </w:r>
      <w:r>
        <w:t xml:space="preserve">s requirements) </w:t>
      </w:r>
      <w:r w:rsidRPr="002234E6">
        <w:t>from surrounding surfaces, to allow air to circulate around the condenser</w:t>
      </w:r>
    </w:p>
    <w:p w14:paraId="35FD858E" w14:textId="77777777" w:rsidR="00A163F8" w:rsidRPr="002234E6" w:rsidRDefault="00A163F8" w:rsidP="004319B9">
      <w:pPr>
        <w:pStyle w:val="Bullet"/>
      </w:pPr>
      <w:r w:rsidRPr="002234E6">
        <w:t>be levelled in a way that allows the door to close automatically if left ajar</w:t>
      </w:r>
    </w:p>
    <w:p w14:paraId="59F96490" w14:textId="77777777" w:rsidR="00A163F8" w:rsidRPr="002234E6" w:rsidRDefault="00A163F8" w:rsidP="004319B9">
      <w:pPr>
        <w:pStyle w:val="Bullet"/>
      </w:pPr>
      <w:r w:rsidRPr="002234E6">
        <w:t>have door seals in good condition to allow the door to close easily and securely</w:t>
      </w:r>
    </w:p>
    <w:p w14:paraId="4F93C932" w14:textId="77777777" w:rsidR="00A163F8" w:rsidRPr="002234E6" w:rsidRDefault="00A163F8" w:rsidP="004319B9">
      <w:pPr>
        <w:pStyle w:val="Bullet"/>
        <w:keepNext/>
      </w:pPr>
      <w:r w:rsidRPr="002234E6">
        <w:lastRenderedPageBreak/>
        <w:t>have grille-type shelves to allow the air to circulate</w:t>
      </w:r>
    </w:p>
    <w:p w14:paraId="739A57AE" w14:textId="77777777" w:rsidR="00A163F8" w:rsidRPr="002234E6" w:rsidRDefault="00A163F8" w:rsidP="004319B9">
      <w:pPr>
        <w:pStyle w:val="Bullet"/>
        <w:keepNext/>
      </w:pPr>
      <w:r w:rsidRPr="002234E6">
        <w:t xml:space="preserve">be serviced annually </w:t>
      </w:r>
      <w:r>
        <w:t>(</w:t>
      </w:r>
      <w:r w:rsidRPr="00F62A24">
        <w:t>including validation of refrigerator temperature monitoring equipment</w:t>
      </w:r>
      <w:r>
        <w:t>)</w:t>
      </w:r>
      <w:r w:rsidRPr="002234E6">
        <w:t xml:space="preserve"> by an approved/licensed refrigerator technician and documented.</w:t>
      </w:r>
    </w:p>
    <w:p w14:paraId="0322AA39" w14:textId="77777777" w:rsidR="004319B9" w:rsidRDefault="004319B9" w:rsidP="004319B9"/>
    <w:p w14:paraId="63E8F17F" w14:textId="77777777" w:rsidR="00A163F8" w:rsidRPr="002234E6" w:rsidRDefault="00A163F8" w:rsidP="004319B9">
      <w:r w:rsidRPr="002234E6">
        <w:t xml:space="preserve">Note: External surge protectors should be in place </w:t>
      </w:r>
      <w:r>
        <w:t>for all pharmaceutical refrigerators</w:t>
      </w:r>
      <w:r w:rsidRPr="002234E6">
        <w:t xml:space="preserve">. </w:t>
      </w:r>
      <w:r>
        <w:t xml:space="preserve">In addition, </w:t>
      </w:r>
      <w:r w:rsidRPr="002234E6">
        <w:t xml:space="preserve">providers (particularly community-based providers) </w:t>
      </w:r>
      <w:r>
        <w:t xml:space="preserve">should </w:t>
      </w:r>
      <w:r w:rsidRPr="002234E6">
        <w:t xml:space="preserve">put a notice at the meter box advising </w:t>
      </w:r>
      <w:r>
        <w:t xml:space="preserve">staff </w:t>
      </w:r>
      <w:r w:rsidRPr="002234E6">
        <w:t>not to turn off the power before consulting the person responsible for vaccine management.</w:t>
      </w:r>
    </w:p>
    <w:p w14:paraId="7A857618" w14:textId="77777777" w:rsidR="00A163F8" w:rsidRPr="002234E6" w:rsidRDefault="00A163F8" w:rsidP="004319B9"/>
    <w:p w14:paraId="6D106935" w14:textId="77777777" w:rsidR="00A163F8" w:rsidRPr="002234E6" w:rsidRDefault="00A163F8" w:rsidP="004319B9">
      <w:bookmarkStart w:id="82" w:name="_Toc334179083"/>
      <w:r w:rsidRPr="002234E6">
        <w:t>All pharmaceutical refrigerators have a limited life span</w:t>
      </w:r>
      <w:r>
        <w:t>:</w:t>
      </w:r>
      <w:r w:rsidRPr="002234E6">
        <w:t xml:space="preserve"> usually around </w:t>
      </w:r>
      <w:r w:rsidR="00B11EBF">
        <w:t>10</w:t>
      </w:r>
      <w:r w:rsidRPr="002234E6">
        <w:t xml:space="preserve"> years. Immunisation providers </w:t>
      </w:r>
      <w:r>
        <w:t xml:space="preserve">must </w:t>
      </w:r>
      <w:r w:rsidRPr="002234E6">
        <w:t>actively plan for their replacement</w:t>
      </w:r>
      <w:r>
        <w:t>,</w:t>
      </w:r>
      <w:r w:rsidRPr="002234E6">
        <w:t xml:space="preserve"> and replace their refrigerator at or before </w:t>
      </w:r>
      <w:r w:rsidR="004319B9">
        <w:t>10</w:t>
      </w:r>
      <w:r w:rsidRPr="002234E6">
        <w:t xml:space="preserve"> years rather than wait until the refrigerator fails to maintain temperature. See </w:t>
      </w:r>
      <w:hyperlink w:anchor="_Appendix_1:_Vaccine" w:history="1">
        <w:r w:rsidR="004319B9" w:rsidRPr="004319B9">
          <w:rPr>
            <w:rStyle w:val="Hyperlink"/>
          </w:rPr>
          <w:t>Appendix 1</w:t>
        </w:r>
      </w:hyperlink>
      <w:r w:rsidRPr="002234E6">
        <w:t xml:space="preserve"> for more information about pharmaceutical refrigerators.</w:t>
      </w:r>
    </w:p>
    <w:p w14:paraId="29A10513" w14:textId="77777777" w:rsidR="00A163F8" w:rsidRPr="002234E6" w:rsidRDefault="00A163F8" w:rsidP="004319B9"/>
    <w:p w14:paraId="214C7642" w14:textId="77777777" w:rsidR="007E44E1" w:rsidRDefault="00A163F8" w:rsidP="004319B9">
      <w:pPr>
        <w:pStyle w:val="Heading2"/>
      </w:pPr>
      <w:bookmarkStart w:id="83" w:name="_7.2_Vaccine_refrigerator"/>
      <w:bookmarkStart w:id="84" w:name="_Toc9863085"/>
      <w:bookmarkStart w:id="85" w:name="_Toc469389345"/>
      <w:bookmarkStart w:id="86" w:name="_Toc18062254"/>
      <w:bookmarkEnd w:id="83"/>
      <w:r w:rsidRPr="002234E6">
        <w:t>7.</w:t>
      </w:r>
      <w:r>
        <w:t>2</w:t>
      </w:r>
      <w:r w:rsidRPr="002234E6">
        <w:tab/>
        <w:t>Monitoring</w:t>
      </w:r>
      <w:r w:rsidRPr="002234E6" w:rsidDel="0049670F">
        <w:t xml:space="preserve"> </w:t>
      </w:r>
      <w:r w:rsidRPr="002234E6">
        <w:t>the temperature of the pharmaceutical refrigerator</w:t>
      </w:r>
      <w:bookmarkEnd w:id="82"/>
      <w:bookmarkEnd w:id="84"/>
      <w:bookmarkEnd w:id="85"/>
      <w:bookmarkEnd w:id="86"/>
    </w:p>
    <w:p w14:paraId="0D6178FA" w14:textId="77777777" w:rsidR="00A163F8" w:rsidRPr="002234E6" w:rsidRDefault="00A163F8" w:rsidP="004319B9">
      <w:r w:rsidRPr="002234E6">
        <w:t xml:space="preserve">Either the manufacturer or the provider must monitor every new refrigerator on site using a minimum/maximum thermometer and datalogger for a minimum of 24 hours before use, to ensure that the refrigerator is maintaining the +2°C to +8°C range, before placing vaccines into it. </w:t>
      </w:r>
      <w:r>
        <w:t xml:space="preserve">Where this is </w:t>
      </w:r>
      <w:r w:rsidRPr="00F62A24">
        <w:t>not practical</w:t>
      </w:r>
      <w:r>
        <w:t xml:space="preserve"> (</w:t>
      </w:r>
      <w:proofErr w:type="spellStart"/>
      <w:r>
        <w:t>eg</w:t>
      </w:r>
      <w:proofErr w:type="spellEnd"/>
      <w:r>
        <w:t xml:space="preserve">, </w:t>
      </w:r>
      <w:r w:rsidRPr="00F62A24">
        <w:t xml:space="preserve">due </w:t>
      </w:r>
      <w:r>
        <w:t xml:space="preserve">to </w:t>
      </w:r>
      <w:r w:rsidRPr="00F62A24">
        <w:t>ongoing vaccine storage requirements</w:t>
      </w:r>
      <w:r>
        <w:t>)</w:t>
      </w:r>
      <w:r w:rsidRPr="00F62A24">
        <w:t xml:space="preserve">, the provider </w:t>
      </w:r>
      <w:r>
        <w:t xml:space="preserve">should download/access the </w:t>
      </w:r>
      <w:r w:rsidRPr="00F62A24">
        <w:t>datalogger at the end of the business day after the refrigerator has been installed, and again prior to the vaccines being used in the morning of the next day</w:t>
      </w:r>
      <w:r>
        <w:t>,</w:t>
      </w:r>
      <w:r w:rsidRPr="00F62A24">
        <w:t xml:space="preserve"> to confirm that cold chain has been maintained.</w:t>
      </w:r>
    </w:p>
    <w:p w14:paraId="6F6ACEBB" w14:textId="77777777" w:rsidR="00A163F8" w:rsidRPr="002234E6" w:rsidRDefault="00A163F8" w:rsidP="004319B9"/>
    <w:p w14:paraId="6F89D9CF" w14:textId="77777777" w:rsidR="00A163F8" w:rsidRPr="002234E6" w:rsidRDefault="00A163F8" w:rsidP="004319B9">
      <w:r w:rsidRPr="002234E6">
        <w:t xml:space="preserve">The provider should keep temperature recordings for the pharmaceutical refrigerator for at least </w:t>
      </w:r>
      <w:r w:rsidR="004319B9">
        <w:t>10</w:t>
      </w:r>
      <w:r w:rsidRPr="002234E6">
        <w:t xml:space="preserve"> years.</w:t>
      </w:r>
    </w:p>
    <w:p w14:paraId="1675E066" w14:textId="77777777" w:rsidR="00A163F8" w:rsidRPr="002234E6" w:rsidRDefault="00A163F8" w:rsidP="004319B9"/>
    <w:p w14:paraId="432E68D2" w14:textId="77777777" w:rsidR="00A163F8" w:rsidRPr="002234E6" w:rsidRDefault="00A163F8" w:rsidP="004319B9">
      <w:r w:rsidRPr="002234E6">
        <w:t>Each refrigerator must have two forms of temperature monitoring equipment</w:t>
      </w:r>
      <w:r>
        <w:t>, as follows</w:t>
      </w:r>
      <w:r w:rsidRPr="002234E6">
        <w:t>.</w:t>
      </w:r>
    </w:p>
    <w:p w14:paraId="667809DE" w14:textId="77777777" w:rsidR="00A163F8" w:rsidRPr="002234E6" w:rsidRDefault="00A163F8" w:rsidP="004319B9">
      <w:pPr>
        <w:spacing w:before="180"/>
        <w:ind w:left="567" w:hanging="567"/>
      </w:pPr>
      <w:r w:rsidRPr="002234E6">
        <w:t>1.</w:t>
      </w:r>
      <w:r w:rsidRPr="002234E6">
        <w:tab/>
      </w:r>
      <w:r w:rsidRPr="004319B9">
        <w:rPr>
          <w:b/>
        </w:rPr>
        <w:t>The daily check device using a minimum/maximum thermometer with externally visible display</w:t>
      </w:r>
    </w:p>
    <w:p w14:paraId="261F71BA" w14:textId="77777777" w:rsidR="00A163F8" w:rsidRPr="002234E6" w:rsidRDefault="00A163F8" w:rsidP="004319B9">
      <w:pPr>
        <w:pStyle w:val="Bullet"/>
        <w:ind w:left="851"/>
      </w:pPr>
      <w:r w:rsidRPr="002234E6">
        <w:t>If the manufacturer considers it appropriate, the provider may use the inbuilt refrigerator temperature recording device.</w:t>
      </w:r>
    </w:p>
    <w:p w14:paraId="1F5AAB83" w14:textId="77777777" w:rsidR="00A163F8" w:rsidRPr="002234E6" w:rsidRDefault="00A163F8" w:rsidP="004319B9">
      <w:pPr>
        <w:pStyle w:val="Bullet"/>
        <w:ind w:left="851"/>
      </w:pPr>
      <w:r w:rsidRPr="002234E6">
        <w:t>Otherwise the provider can use an external digital minimum/maximum thermometer with audible alarm (placing the probe inside a vaccine box (or skillet)</w:t>
      </w:r>
      <w:r>
        <w:t xml:space="preserve"> </w:t>
      </w:r>
      <w:r w:rsidRPr="002234E6">
        <w:t>in glycol solution or a foam block).</w:t>
      </w:r>
    </w:p>
    <w:p w14:paraId="74728A3E" w14:textId="77777777" w:rsidR="00A163F8" w:rsidRPr="002234E6" w:rsidRDefault="00A163F8" w:rsidP="004319B9">
      <w:pPr>
        <w:spacing w:before="120"/>
        <w:ind w:left="567"/>
      </w:pPr>
      <w:r w:rsidRPr="002234E6">
        <w:t xml:space="preserve">Staff should take minimum and maximum temperature readings and record them once a day </w:t>
      </w:r>
      <w:r>
        <w:t xml:space="preserve">– ideally </w:t>
      </w:r>
      <w:r w:rsidRPr="002234E6">
        <w:t xml:space="preserve">first thing in the morning </w:t>
      </w:r>
      <w:r>
        <w:t xml:space="preserve">– </w:t>
      </w:r>
      <w:r w:rsidRPr="002234E6">
        <w:t>and then reset the monitoring device.</w:t>
      </w:r>
    </w:p>
    <w:p w14:paraId="692E5B91" w14:textId="77777777" w:rsidR="00A163F8" w:rsidRPr="002234E6" w:rsidRDefault="00A163F8" w:rsidP="004319B9">
      <w:pPr>
        <w:keepNext/>
        <w:spacing w:before="180"/>
        <w:ind w:left="567" w:hanging="567"/>
      </w:pPr>
      <w:r w:rsidRPr="002234E6">
        <w:lastRenderedPageBreak/>
        <w:t>2.</w:t>
      </w:r>
      <w:r w:rsidRPr="002234E6">
        <w:tab/>
      </w:r>
      <w:r w:rsidRPr="004319B9">
        <w:rPr>
          <w:b/>
        </w:rPr>
        <w:t>The weekly check device using an electronic temperature recording device</w:t>
      </w:r>
    </w:p>
    <w:p w14:paraId="327BAB02" w14:textId="77777777" w:rsidR="00A163F8" w:rsidRPr="002234E6" w:rsidRDefault="00A163F8" w:rsidP="004319B9">
      <w:pPr>
        <w:spacing w:before="120"/>
        <w:ind w:left="567"/>
      </w:pPr>
      <w:r w:rsidRPr="002234E6">
        <w:t>The weekly check device (datalogger or equivalent</w:t>
      </w:r>
      <w:r>
        <w:t>: see 2a and 2b below</w:t>
      </w:r>
      <w:r w:rsidRPr="002234E6">
        <w:t>) does not override the need for the provider to check and record the daily minimum and maximum temperatures.</w:t>
      </w:r>
    </w:p>
    <w:p w14:paraId="4D5C43B1" w14:textId="77777777" w:rsidR="00A163F8" w:rsidRPr="002234E6" w:rsidRDefault="00A163F8" w:rsidP="004319B9">
      <w:pPr>
        <w:spacing w:before="120"/>
        <w:ind w:left="567"/>
      </w:pPr>
      <w:r w:rsidRPr="002234E6">
        <w:t>Providers should also be aware of where the sensor is for both daily and weekly check devices. The devices should measure the temperature in different parts of the refrigerator</w:t>
      </w:r>
      <w:r>
        <w:t>,</w:t>
      </w:r>
      <w:r w:rsidRPr="002234E6">
        <w:t xml:space="preserve"> and must not share a sensor.</w:t>
      </w:r>
    </w:p>
    <w:p w14:paraId="679DC094" w14:textId="77777777" w:rsidR="00A163F8" w:rsidRPr="002234E6" w:rsidRDefault="00A163F8" w:rsidP="004319B9">
      <w:pPr>
        <w:spacing w:before="120"/>
        <w:ind w:left="567"/>
        <w:rPr>
          <w:bCs/>
        </w:rPr>
      </w:pPr>
      <w:r w:rsidRPr="002234E6">
        <w:rPr>
          <w:bCs/>
        </w:rPr>
        <w:t xml:space="preserve">Providers must ensure that the electronic temperature recordings device data is reviewed weekly and also whenever the daily check minimum/maximum recordings indicate that the refrigerator temperatures have been outside the </w:t>
      </w:r>
      <w:r w:rsidRPr="002234E6">
        <w:t xml:space="preserve">+2°C to +8°C </w:t>
      </w:r>
      <w:r w:rsidRPr="002234E6">
        <w:rPr>
          <w:bCs/>
        </w:rPr>
        <w:t>range.</w:t>
      </w:r>
      <w:r>
        <w:rPr>
          <w:bCs/>
        </w:rPr>
        <w:t xml:space="preserve"> Please note that buffer materials (</w:t>
      </w:r>
      <w:proofErr w:type="spellStart"/>
      <w:r>
        <w:rPr>
          <w:bCs/>
        </w:rPr>
        <w:t>eg</w:t>
      </w:r>
      <w:proofErr w:type="spellEnd"/>
      <w:r>
        <w:rPr>
          <w:bCs/>
        </w:rPr>
        <w:t>, glycol solution) are less sensitive to short-term changes in temperature.</w:t>
      </w:r>
    </w:p>
    <w:p w14:paraId="29F1E175" w14:textId="77777777" w:rsidR="00A163F8" w:rsidRPr="002234E6" w:rsidRDefault="00A163F8" w:rsidP="004319B9">
      <w:pPr>
        <w:spacing w:before="120"/>
        <w:ind w:left="567"/>
        <w:rPr>
          <w:bCs/>
        </w:rPr>
      </w:pPr>
      <w:r w:rsidRPr="002234E6">
        <w:rPr>
          <w:bCs/>
        </w:rPr>
        <w:t xml:space="preserve">The data from the weekly check device may be stored electronically (provided it is backed up) or on a paper system </w:t>
      </w:r>
      <w:r>
        <w:rPr>
          <w:bCs/>
        </w:rPr>
        <w:t xml:space="preserve">recording </w:t>
      </w:r>
      <w:r w:rsidRPr="002234E6">
        <w:rPr>
          <w:bCs/>
        </w:rPr>
        <w:t>daily minimum and maximum recordings (</w:t>
      </w:r>
      <w:r>
        <w:rPr>
          <w:bCs/>
        </w:rPr>
        <w:t>the</w:t>
      </w:r>
      <w:r w:rsidRPr="002234E6">
        <w:rPr>
          <w:bCs/>
        </w:rPr>
        <w:t xml:space="preserve"> system must allow access </w:t>
      </w:r>
      <w:r>
        <w:rPr>
          <w:bCs/>
        </w:rPr>
        <w:t xml:space="preserve">to </w:t>
      </w:r>
      <w:r w:rsidRPr="002234E6">
        <w:rPr>
          <w:bCs/>
        </w:rPr>
        <w:t>the actual logger</w:t>
      </w:r>
      <w:r w:rsidR="007E44E1">
        <w:rPr>
          <w:bCs/>
        </w:rPr>
        <w:t>’</w:t>
      </w:r>
      <w:r w:rsidRPr="002234E6">
        <w:rPr>
          <w:bCs/>
        </w:rPr>
        <w:t>s readings at a later date).</w:t>
      </w:r>
    </w:p>
    <w:p w14:paraId="3F630A5D" w14:textId="77777777" w:rsidR="00A163F8" w:rsidRPr="002234E6" w:rsidRDefault="00A163F8" w:rsidP="004319B9">
      <w:pPr>
        <w:spacing w:before="180"/>
        <w:ind w:left="567" w:hanging="567"/>
      </w:pPr>
      <w:r w:rsidRPr="002234E6">
        <w:t>2a.</w:t>
      </w:r>
      <w:r w:rsidRPr="002234E6">
        <w:tab/>
      </w:r>
      <w:r w:rsidRPr="004319B9">
        <w:rPr>
          <w:b/>
        </w:rPr>
        <w:t>A datalogger</w:t>
      </w:r>
    </w:p>
    <w:p w14:paraId="559168DA" w14:textId="77777777" w:rsidR="00A163F8" w:rsidRPr="002234E6" w:rsidRDefault="00A163F8" w:rsidP="004319B9">
      <w:pPr>
        <w:spacing w:before="120"/>
        <w:ind w:left="567"/>
      </w:pPr>
      <w:r w:rsidRPr="002234E6">
        <w:t>Dataloggers are self-contained temperature recording devices</w:t>
      </w:r>
      <w:r>
        <w:t>;</w:t>
      </w:r>
      <w:r w:rsidRPr="002234E6">
        <w:t xml:space="preserve"> they come in many shapes and sizes. It is necessary to configure them on a computer before placing them in the refrigerator. Dataloggers:</w:t>
      </w:r>
    </w:p>
    <w:p w14:paraId="46704F95" w14:textId="5675C0BA" w:rsidR="00A163F8" w:rsidRPr="002234E6" w:rsidRDefault="00A163F8" w:rsidP="004319B9">
      <w:pPr>
        <w:pStyle w:val="Bullet"/>
        <w:ind w:left="851"/>
      </w:pPr>
      <w:r w:rsidRPr="002234E6">
        <w:t xml:space="preserve">measure the current refrigerator temperature at </w:t>
      </w:r>
      <w:proofErr w:type="spellStart"/>
      <w:r w:rsidRPr="002234E6">
        <w:t>preset</w:t>
      </w:r>
      <w:proofErr w:type="spellEnd"/>
      <w:r w:rsidRPr="002234E6">
        <w:t xml:space="preserve"> intervals and record that information, which can be downloaded/reviewed</w:t>
      </w:r>
    </w:p>
    <w:p w14:paraId="5DA9DF8B" w14:textId="77777777" w:rsidR="00A163F8" w:rsidRPr="002234E6" w:rsidRDefault="00A163F8" w:rsidP="004319B9">
      <w:pPr>
        <w:pStyle w:val="Bullet"/>
        <w:ind w:left="851"/>
      </w:pPr>
      <w:r w:rsidRPr="002234E6">
        <w:t xml:space="preserve">are powered separately from the refrigerator and the minimum/maximum thermometer </w:t>
      </w:r>
      <w:r w:rsidRPr="00F62A24">
        <w:t>(and have a back</w:t>
      </w:r>
      <w:r>
        <w:t>-</w:t>
      </w:r>
      <w:r w:rsidRPr="00F62A24">
        <w:t xml:space="preserve">up power system if </w:t>
      </w:r>
      <w:r>
        <w:t xml:space="preserve">they are </w:t>
      </w:r>
      <w:r w:rsidRPr="00F62A24">
        <w:t>not battery operated)</w:t>
      </w:r>
    </w:p>
    <w:p w14:paraId="58F1BE39" w14:textId="15BDBDDA" w:rsidR="00A163F8" w:rsidRPr="002234E6" w:rsidRDefault="00A163F8" w:rsidP="004319B9">
      <w:pPr>
        <w:pStyle w:val="Bullet"/>
        <w:ind w:left="851"/>
      </w:pPr>
      <w:r w:rsidRPr="002234E6">
        <w:t xml:space="preserve">should be </w:t>
      </w:r>
      <w:proofErr w:type="spellStart"/>
      <w:r w:rsidRPr="002234E6">
        <w:t>preset</w:t>
      </w:r>
      <w:proofErr w:type="spellEnd"/>
      <w:r w:rsidRPr="002234E6">
        <w:t xml:space="preserve"> to record the current temperature at least every </w:t>
      </w:r>
      <w:r w:rsidR="00B11EBF">
        <w:t>10</w:t>
      </w:r>
      <w:r w:rsidRPr="002234E6">
        <w:t xml:space="preserve"> minutes (a five-minute interval is recommended if the logger has the capacity)</w:t>
      </w:r>
    </w:p>
    <w:p w14:paraId="4D1B6BAB" w14:textId="77777777" w:rsidR="00A163F8" w:rsidRPr="002234E6" w:rsidRDefault="00A163F8" w:rsidP="004319B9">
      <w:pPr>
        <w:pStyle w:val="Bullet"/>
        <w:ind w:left="851"/>
      </w:pPr>
      <w:r w:rsidRPr="002234E6">
        <w:t>must have their information downloaded</w:t>
      </w:r>
      <w:r>
        <w:t>/accessed</w:t>
      </w:r>
      <w:r w:rsidRPr="002234E6">
        <w:t xml:space="preserve"> every week and compared with the daily minimum and maximum recordings to check for any unexplained temperature variations</w:t>
      </w:r>
      <w:r>
        <w:t>; in this case providers should take</w:t>
      </w:r>
      <w:r w:rsidRPr="002234E6">
        <w:t xml:space="preserve"> appropriate action, including informing the coordinator</w:t>
      </w:r>
    </w:p>
    <w:p w14:paraId="2FFE6C98" w14:textId="77777777" w:rsidR="00A163F8" w:rsidRPr="002234E6" w:rsidRDefault="00A163F8" w:rsidP="004319B9">
      <w:pPr>
        <w:pStyle w:val="Bullet"/>
        <w:ind w:left="851"/>
      </w:pPr>
      <w:r w:rsidRPr="002234E6">
        <w:t>should have the rollover function enabled to ensure the most recent data is kept if their memory becomes full (this usually occurs if the data is not downloaded</w:t>
      </w:r>
      <w:r>
        <w:t>/accessed</w:t>
      </w:r>
      <w:r w:rsidRPr="002234E6">
        <w:t xml:space="preserve"> regularly)</w:t>
      </w:r>
    </w:p>
    <w:p w14:paraId="4E98C528" w14:textId="77777777" w:rsidR="00A163F8" w:rsidRPr="00F62A24" w:rsidRDefault="00A163F8" w:rsidP="004319B9">
      <w:pPr>
        <w:pStyle w:val="Bullet"/>
        <w:ind w:left="851"/>
      </w:pPr>
      <w:r w:rsidRPr="00F62A24">
        <w:t xml:space="preserve">should be rotated through the interior of the refrigerator to check for any temperature variations </w:t>
      </w:r>
      <w:r>
        <w:t>unless the manufacturer instructs otherwise</w:t>
      </w:r>
    </w:p>
    <w:p w14:paraId="55D06360" w14:textId="77777777" w:rsidR="00A163F8" w:rsidRPr="002234E6" w:rsidRDefault="00A163F8" w:rsidP="004319B9">
      <w:pPr>
        <w:pStyle w:val="Bullet"/>
        <w:ind w:left="851"/>
      </w:pPr>
      <w:r w:rsidRPr="00F62A24">
        <w:t>although not required</w:t>
      </w:r>
      <w:r>
        <w:t>,</w:t>
      </w:r>
      <w:r w:rsidRPr="00F62A24">
        <w:t xml:space="preserve"> </w:t>
      </w:r>
      <w:r>
        <w:t xml:space="preserve">should be </w:t>
      </w:r>
      <w:r w:rsidRPr="00F62A24">
        <w:t>calibrated according to manufacture</w:t>
      </w:r>
      <w:r>
        <w:t>r</w:t>
      </w:r>
      <w:r w:rsidRPr="00F62A24">
        <w:t>s</w:t>
      </w:r>
      <w:r w:rsidR="007E44E1">
        <w:t>’</w:t>
      </w:r>
      <w:r w:rsidRPr="00F62A24">
        <w:t xml:space="preserve"> requirements</w:t>
      </w:r>
    </w:p>
    <w:p w14:paraId="36813D88" w14:textId="77777777" w:rsidR="00A163F8" w:rsidRPr="002234E6" w:rsidRDefault="00A163F8" w:rsidP="004319B9">
      <w:pPr>
        <w:pStyle w:val="Bullet"/>
        <w:ind w:left="851"/>
      </w:pPr>
      <w:r w:rsidRPr="002234E6">
        <w:t>should have their battery checked and replaced before it runs out</w:t>
      </w:r>
      <w:r>
        <w:t>. I</w:t>
      </w:r>
      <w:r w:rsidRPr="00F62A24">
        <w:t xml:space="preserve">f </w:t>
      </w:r>
      <w:r>
        <w:t xml:space="preserve">a provider is </w:t>
      </w:r>
      <w:r w:rsidRPr="00F62A24">
        <w:t xml:space="preserve">unable to change </w:t>
      </w:r>
      <w:r>
        <w:t xml:space="preserve">the </w:t>
      </w:r>
      <w:r w:rsidRPr="00F62A24">
        <w:t>battery</w:t>
      </w:r>
      <w:r>
        <w:t xml:space="preserve">, it should </w:t>
      </w:r>
      <w:r w:rsidRPr="00F62A24">
        <w:t xml:space="preserve">replace </w:t>
      </w:r>
      <w:r>
        <w:t xml:space="preserve">the </w:t>
      </w:r>
      <w:r w:rsidRPr="00F62A24">
        <w:t xml:space="preserve">datalogger </w:t>
      </w:r>
      <w:r>
        <w:t xml:space="preserve">(according to the </w:t>
      </w:r>
      <w:r w:rsidRPr="00F62A24">
        <w:t>manufacturers</w:t>
      </w:r>
      <w:r w:rsidR="007E44E1">
        <w:t>’</w:t>
      </w:r>
      <w:r w:rsidRPr="00F62A24">
        <w:t xml:space="preserve"> recommendations</w:t>
      </w:r>
      <w:r>
        <w:t>)</w:t>
      </w:r>
      <w:r w:rsidRPr="00F62A24">
        <w:t xml:space="preserve"> before it runs out of battery.</w:t>
      </w:r>
    </w:p>
    <w:p w14:paraId="17225437" w14:textId="77777777" w:rsidR="00A163F8" w:rsidRPr="002234E6" w:rsidRDefault="00A163F8" w:rsidP="004319B9">
      <w:pPr>
        <w:keepNext/>
        <w:spacing w:before="180"/>
        <w:ind w:left="567" w:hanging="567"/>
      </w:pPr>
      <w:r w:rsidRPr="002234E6">
        <w:lastRenderedPageBreak/>
        <w:t>2b.</w:t>
      </w:r>
      <w:r w:rsidRPr="002234E6">
        <w:tab/>
      </w:r>
      <w:r w:rsidRPr="004319B9">
        <w:rPr>
          <w:b/>
        </w:rPr>
        <w:t>Continuous monitoring services</w:t>
      </w:r>
    </w:p>
    <w:p w14:paraId="1B05723D" w14:textId="2B290E31" w:rsidR="00A163F8" w:rsidRPr="002234E6" w:rsidRDefault="00A163F8" w:rsidP="004319B9">
      <w:pPr>
        <w:keepLines/>
        <w:spacing w:before="120"/>
        <w:ind w:left="567"/>
      </w:pPr>
      <w:r>
        <w:t>A</w:t>
      </w:r>
      <w:r w:rsidRPr="002234E6">
        <w:t xml:space="preserve"> number of suppliers offer online (external or cloud storage-based) temperature monitoring and alerting services. These devices record </w:t>
      </w:r>
      <w:r>
        <w:t xml:space="preserve">refrigerator </w:t>
      </w:r>
      <w:r w:rsidRPr="002234E6">
        <w:t xml:space="preserve">temperature </w:t>
      </w:r>
      <w:r>
        <w:t>and store</w:t>
      </w:r>
      <w:r w:rsidR="00540BAF">
        <w:t>/send the</w:t>
      </w:r>
      <w:r>
        <w:t xml:space="preserve"> resulting </w:t>
      </w:r>
      <w:r w:rsidRPr="002234E6">
        <w:t xml:space="preserve">recordings at set intervals (not more than </w:t>
      </w:r>
      <w:r w:rsidR="004319B9">
        <w:t>10</w:t>
      </w:r>
      <w:r w:rsidRPr="002234E6">
        <w:t> minutes</w:t>
      </w:r>
      <w:r>
        <w:t>;</w:t>
      </w:r>
      <w:r w:rsidRPr="002234E6">
        <w:t xml:space="preserve"> a five-minute interval is recommended)</w:t>
      </w:r>
      <w:r>
        <w:t xml:space="preserve">. Providers </w:t>
      </w:r>
      <w:r w:rsidRPr="002234E6">
        <w:t xml:space="preserve">can set up </w:t>
      </w:r>
      <w:r>
        <w:t xml:space="preserve">these services </w:t>
      </w:r>
      <w:r w:rsidRPr="002234E6">
        <w:t xml:space="preserve">to send SMS or email alerts if the system picks up recordings outside the </w:t>
      </w:r>
      <w:proofErr w:type="spellStart"/>
      <w:r w:rsidRPr="002234E6">
        <w:t>preset</w:t>
      </w:r>
      <w:proofErr w:type="spellEnd"/>
      <w:r w:rsidRPr="002234E6">
        <w:t xml:space="preserve"> range.</w:t>
      </w:r>
    </w:p>
    <w:p w14:paraId="3AFC40BD" w14:textId="77777777" w:rsidR="00A163F8" w:rsidRPr="002234E6" w:rsidRDefault="00A163F8" w:rsidP="004319B9">
      <w:pPr>
        <w:spacing w:before="120"/>
        <w:ind w:left="567"/>
      </w:pPr>
      <w:r w:rsidRPr="002234E6">
        <w:t>The service should offer:</w:t>
      </w:r>
    </w:p>
    <w:p w14:paraId="7A4C5D6F" w14:textId="77777777" w:rsidR="00A163F8" w:rsidRPr="002234E6" w:rsidRDefault="00A163F8" w:rsidP="004319B9">
      <w:pPr>
        <w:pStyle w:val="Bullet"/>
        <w:ind w:left="851"/>
      </w:pPr>
      <w:r w:rsidRPr="002234E6">
        <w:t>detailed and accurate records of temperature history that the provider can access</w:t>
      </w:r>
    </w:p>
    <w:p w14:paraId="5EA9762A" w14:textId="77777777" w:rsidR="00A163F8" w:rsidRPr="002234E6" w:rsidRDefault="00A163F8" w:rsidP="004319B9">
      <w:pPr>
        <w:pStyle w:val="Bullet"/>
        <w:ind w:left="851"/>
      </w:pPr>
      <w:r>
        <w:t xml:space="preserve">the ability </w:t>
      </w:r>
      <w:r w:rsidRPr="002234E6">
        <w:t>for the provider to download</w:t>
      </w:r>
      <w:r>
        <w:t>/access</w:t>
      </w:r>
      <w:r w:rsidRPr="002234E6">
        <w:t xml:space="preserve"> and review the data every week and compare it with daily minimum and maximum recordings</w:t>
      </w:r>
      <w:r>
        <w:t>,</w:t>
      </w:r>
      <w:r w:rsidRPr="002234E6">
        <w:t xml:space="preserve"> to </w:t>
      </w:r>
      <w:r>
        <w:t xml:space="preserve">allow them to </w:t>
      </w:r>
      <w:r w:rsidRPr="002234E6">
        <w:t>check for any unexplained variations in temperature</w:t>
      </w:r>
    </w:p>
    <w:p w14:paraId="2627196D" w14:textId="77777777" w:rsidR="00A163F8" w:rsidRPr="00F62A24" w:rsidRDefault="00A163F8" w:rsidP="004319B9">
      <w:pPr>
        <w:pStyle w:val="Bullet"/>
        <w:ind w:left="851"/>
      </w:pPr>
      <w:r w:rsidRPr="00F62A24">
        <w:t>an indicator for when the battery in the monitoring device needs replacing, if applicable</w:t>
      </w:r>
    </w:p>
    <w:p w14:paraId="45074137" w14:textId="77777777" w:rsidR="00A163F8" w:rsidRPr="00F62A24" w:rsidRDefault="00A163F8" w:rsidP="004319B9">
      <w:pPr>
        <w:pStyle w:val="Bullet"/>
        <w:ind w:left="851"/>
      </w:pPr>
      <w:r w:rsidRPr="00F62A24">
        <w:t>a monitoring device powered separately from the refrigerator and the minimum/maximum thermometer (or have a back</w:t>
      </w:r>
      <w:r>
        <w:t>-</w:t>
      </w:r>
      <w:r w:rsidRPr="00F62A24">
        <w:t>up power system)</w:t>
      </w:r>
    </w:p>
    <w:p w14:paraId="064E7866" w14:textId="101A4152" w:rsidR="0054794A" w:rsidRDefault="00A163F8" w:rsidP="0054794A">
      <w:pPr>
        <w:pStyle w:val="Bullet"/>
        <w:ind w:left="851"/>
      </w:pPr>
      <w:r w:rsidRPr="00F62A24">
        <w:t>back</w:t>
      </w:r>
      <w:r>
        <w:t>-</w:t>
      </w:r>
      <w:r w:rsidRPr="00F62A24">
        <w:t xml:space="preserve">up of information for at least </w:t>
      </w:r>
      <w:r w:rsidR="004319B9">
        <w:t>10</w:t>
      </w:r>
      <w:r w:rsidRPr="00F62A24">
        <w:t xml:space="preserve"> years.</w:t>
      </w:r>
    </w:p>
    <w:p w14:paraId="5A489FCF" w14:textId="6207CD4B" w:rsidR="0054794A" w:rsidRDefault="0054794A" w:rsidP="0054794A">
      <w:pPr>
        <w:keepNext/>
        <w:spacing w:before="180"/>
        <w:ind w:left="567" w:hanging="567"/>
      </w:pPr>
      <w:r>
        <w:t xml:space="preserve">3. </w:t>
      </w:r>
      <w:r>
        <w:tab/>
      </w:r>
      <w:r w:rsidRPr="0054794A">
        <w:rPr>
          <w:b/>
        </w:rPr>
        <w:t>Cold room temperature monitoring</w:t>
      </w:r>
    </w:p>
    <w:p w14:paraId="77479911" w14:textId="77777777" w:rsidR="00A163F8" w:rsidRDefault="00A163F8" w:rsidP="0054794A">
      <w:pPr>
        <w:keepLines/>
        <w:spacing w:before="120"/>
        <w:ind w:left="567"/>
      </w:pPr>
      <w:r>
        <w:t>Some sites, including DHB hospital pharmacies,</w:t>
      </w:r>
      <w:r w:rsidRPr="00F62A24">
        <w:t xml:space="preserve"> may use a cold room or large walk</w:t>
      </w:r>
      <w:r>
        <w:t>-</w:t>
      </w:r>
      <w:r w:rsidRPr="00F62A24">
        <w:t xml:space="preserve">in chiller to store vaccines. These storage rooms/chillers </w:t>
      </w:r>
      <w:r>
        <w:t xml:space="preserve">do </w:t>
      </w:r>
      <w:r w:rsidRPr="00F62A24">
        <w:t xml:space="preserve">not </w:t>
      </w:r>
      <w:r>
        <w:t xml:space="preserve">need </w:t>
      </w:r>
      <w:r w:rsidRPr="00F62A24">
        <w:t xml:space="preserve">to be replaced every </w:t>
      </w:r>
      <w:r w:rsidR="00B11EBF">
        <w:t>10 </w:t>
      </w:r>
      <w:r w:rsidRPr="00F62A24">
        <w:t>years</w:t>
      </w:r>
      <w:r>
        <w:t xml:space="preserve">. </w:t>
      </w:r>
      <w:r w:rsidRPr="00F62A24">
        <w:t>However</w:t>
      </w:r>
      <w:r>
        <w:t>,</w:t>
      </w:r>
      <w:r w:rsidRPr="00F62A24">
        <w:t xml:space="preserve"> </w:t>
      </w:r>
      <w:r>
        <w:t xml:space="preserve">to meet the requirements for CCA </w:t>
      </w:r>
      <w:r w:rsidRPr="00F62A24">
        <w:t>they must have:</w:t>
      </w:r>
    </w:p>
    <w:p w14:paraId="10C81146" w14:textId="77777777" w:rsidR="00A163F8" w:rsidRPr="00F62A24" w:rsidRDefault="00A163F8" w:rsidP="0054794A">
      <w:pPr>
        <w:pStyle w:val="Bullet"/>
        <w:tabs>
          <w:tab w:val="clear" w:pos="284"/>
        </w:tabs>
        <w:ind w:left="851"/>
      </w:pPr>
      <w:r w:rsidRPr="00F62A24">
        <w:t xml:space="preserve">a suitable </w:t>
      </w:r>
      <w:r>
        <w:t xml:space="preserve">continual monitoring </w:t>
      </w:r>
      <w:r w:rsidRPr="00F62A24">
        <w:t xml:space="preserve">plan </w:t>
      </w:r>
      <w:r>
        <w:t>(</w:t>
      </w:r>
      <w:proofErr w:type="spellStart"/>
      <w:r w:rsidRPr="00F62A24">
        <w:t>eg</w:t>
      </w:r>
      <w:proofErr w:type="spellEnd"/>
      <w:r>
        <w:t>, specifying</w:t>
      </w:r>
      <w:r w:rsidRPr="00F62A24">
        <w:t xml:space="preserve"> documented six</w:t>
      </w:r>
      <w:r>
        <w:t>-</w:t>
      </w:r>
      <w:r w:rsidRPr="00F62A24">
        <w:t xml:space="preserve">monthly maintenance checks by </w:t>
      </w:r>
      <w:r>
        <w:t xml:space="preserve">the </w:t>
      </w:r>
      <w:r w:rsidRPr="00F62A24">
        <w:t>service provider</w:t>
      </w:r>
      <w:r>
        <w:t>)</w:t>
      </w:r>
    </w:p>
    <w:p w14:paraId="664B53B7" w14:textId="77777777" w:rsidR="007E44E1" w:rsidRDefault="00A163F8" w:rsidP="0054794A">
      <w:pPr>
        <w:pStyle w:val="Bullet"/>
        <w:tabs>
          <w:tab w:val="clear" w:pos="284"/>
        </w:tabs>
        <w:ind w:left="851"/>
      </w:pPr>
      <w:r w:rsidRPr="00F62A24">
        <w:t>24</w:t>
      </w:r>
      <w:r>
        <w:t>-</w:t>
      </w:r>
      <w:r w:rsidRPr="00F62A24">
        <w:t>hour</w:t>
      </w:r>
      <w:r>
        <w:t>-</w:t>
      </w:r>
      <w:r w:rsidRPr="00F62A24">
        <w:t>a</w:t>
      </w:r>
      <w:r>
        <w:t>-</w:t>
      </w:r>
      <w:r w:rsidRPr="00F62A24">
        <w:t xml:space="preserve">day monitoring systems via </w:t>
      </w:r>
      <w:r>
        <w:t xml:space="preserve">either a </w:t>
      </w:r>
      <w:r w:rsidRPr="00F62A24">
        <w:t xml:space="preserve">datalogger or </w:t>
      </w:r>
      <w:r>
        <w:t xml:space="preserve">an </w:t>
      </w:r>
      <w:r w:rsidRPr="00F62A24">
        <w:t xml:space="preserve">external monitoring (cloud-based) </w:t>
      </w:r>
      <w:r>
        <w:t xml:space="preserve">system </w:t>
      </w:r>
      <w:r w:rsidRPr="00F62A24">
        <w:t xml:space="preserve">that </w:t>
      </w:r>
      <w:r>
        <w:t xml:space="preserve">allows daily minimum and maximum recordings to be </w:t>
      </w:r>
      <w:r w:rsidRPr="00F62A24">
        <w:t>downloaded weekly and reviewed</w:t>
      </w:r>
    </w:p>
    <w:p w14:paraId="72D7708A" w14:textId="77777777" w:rsidR="007E44E1" w:rsidRDefault="00A163F8" w:rsidP="0054794A">
      <w:pPr>
        <w:pStyle w:val="Bullet"/>
        <w:tabs>
          <w:tab w:val="clear" w:pos="284"/>
        </w:tabs>
        <w:ind w:left="851"/>
      </w:pPr>
      <w:r w:rsidRPr="00F62A24">
        <w:t>an external alarm system set to activate if temperatures go below +2</w:t>
      </w:r>
      <w:r w:rsidRPr="00F12069">
        <w:t xml:space="preserve">°C to </w:t>
      </w:r>
      <w:r w:rsidRPr="00F62A24">
        <w:t>or over +8</w:t>
      </w:r>
      <w:r w:rsidRPr="00F12069">
        <w:t>°C</w:t>
      </w:r>
      <w:r w:rsidRPr="00F62A24">
        <w:t xml:space="preserve"> degrees</w:t>
      </w:r>
    </w:p>
    <w:p w14:paraId="4E054EE6" w14:textId="77777777" w:rsidR="00A163F8" w:rsidRPr="00F62A24" w:rsidRDefault="00A163F8" w:rsidP="0054794A">
      <w:pPr>
        <w:pStyle w:val="Bullet"/>
        <w:tabs>
          <w:tab w:val="clear" w:pos="284"/>
        </w:tabs>
        <w:ind w:left="851"/>
      </w:pPr>
      <w:r w:rsidRPr="00F62A24">
        <w:t>an appropriate documented response process, back</w:t>
      </w:r>
      <w:r>
        <w:t>-</w:t>
      </w:r>
      <w:r w:rsidRPr="00F62A24">
        <w:t xml:space="preserve">up power supply and processes in place for alternative storage if </w:t>
      </w:r>
      <w:r>
        <w:t xml:space="preserve">the </w:t>
      </w:r>
      <w:r w:rsidRPr="00F62A24">
        <w:t>room/chiller malfunctions and cannot store the vaccine within the required temperature ranges.</w:t>
      </w:r>
    </w:p>
    <w:p w14:paraId="3CB0B5A1" w14:textId="77777777" w:rsidR="00A163F8" w:rsidRPr="002234E6" w:rsidRDefault="00A163F8" w:rsidP="00954420"/>
    <w:p w14:paraId="6234C6CA" w14:textId="77777777" w:rsidR="00A163F8" w:rsidRPr="002234E6" w:rsidRDefault="00A163F8" w:rsidP="00954420">
      <w:r w:rsidRPr="002234E6">
        <w:t>For more information on minimum/maximum thermometers and dataloggers, see Appendix 3.</w:t>
      </w:r>
    </w:p>
    <w:p w14:paraId="1DBB2367" w14:textId="77777777" w:rsidR="00A163F8" w:rsidRPr="002234E6" w:rsidRDefault="00A163F8" w:rsidP="00954420"/>
    <w:p w14:paraId="2F49EF1A" w14:textId="77777777" w:rsidR="00A163F8" w:rsidRPr="002234E6" w:rsidRDefault="00A163F8" w:rsidP="00954420">
      <w:pPr>
        <w:pStyle w:val="Heading2"/>
      </w:pPr>
      <w:bookmarkStart w:id="87" w:name="_7.3_Vaccine_transportation"/>
      <w:bookmarkStart w:id="88" w:name="_7.3_Transporting_vaccines"/>
      <w:bookmarkStart w:id="89" w:name="_Toc469389346"/>
      <w:bookmarkStart w:id="90" w:name="_Toc9863086"/>
      <w:bookmarkStart w:id="91" w:name="_Toc18062255"/>
      <w:bookmarkStart w:id="92" w:name="_Toc334179085"/>
      <w:bookmarkEnd w:id="87"/>
      <w:bookmarkEnd w:id="88"/>
      <w:r w:rsidRPr="002234E6">
        <w:lastRenderedPageBreak/>
        <w:t>7.</w:t>
      </w:r>
      <w:r>
        <w:t>3</w:t>
      </w:r>
      <w:r w:rsidRPr="002234E6">
        <w:tab/>
        <w:t>Transporting vaccines using a chilly bin</w:t>
      </w:r>
      <w:bookmarkEnd w:id="89"/>
      <w:bookmarkEnd w:id="90"/>
      <w:bookmarkEnd w:id="91"/>
    </w:p>
    <w:p w14:paraId="42667344" w14:textId="77777777" w:rsidR="00A163F8" w:rsidRPr="002234E6" w:rsidRDefault="00A163F8" w:rsidP="00954420">
      <w:pPr>
        <w:keepNext/>
      </w:pPr>
      <w:r w:rsidRPr="002234E6">
        <w:t>Immunisation providers must use temperature-monitored chilly bins to store vaccines when:</w:t>
      </w:r>
    </w:p>
    <w:p w14:paraId="6F60C1BB" w14:textId="77777777" w:rsidR="00A163F8" w:rsidRPr="002234E6" w:rsidRDefault="00A163F8" w:rsidP="00954420">
      <w:pPr>
        <w:pStyle w:val="Bullet"/>
        <w:keepNext/>
      </w:pPr>
      <w:r w:rsidRPr="002234E6">
        <w:t>transporting vaccines to another provider</w:t>
      </w:r>
    </w:p>
    <w:p w14:paraId="6DF50E74" w14:textId="77777777" w:rsidR="00A163F8" w:rsidRPr="002234E6" w:rsidRDefault="00A163F8" w:rsidP="00954420">
      <w:pPr>
        <w:pStyle w:val="Bullet"/>
      </w:pPr>
      <w:r w:rsidRPr="002234E6">
        <w:t>defrosting refrigerators</w:t>
      </w:r>
    </w:p>
    <w:p w14:paraId="6D386B27" w14:textId="77777777" w:rsidR="00A163F8" w:rsidRPr="002234E6" w:rsidRDefault="00A163F8" w:rsidP="00954420">
      <w:pPr>
        <w:pStyle w:val="Bullet"/>
      </w:pPr>
      <w:r w:rsidRPr="002234E6">
        <w:t>a power outage occurs or equipment fails</w:t>
      </w:r>
    </w:p>
    <w:p w14:paraId="2873B07B" w14:textId="77777777" w:rsidR="00A163F8" w:rsidRPr="002234E6" w:rsidRDefault="00A163F8" w:rsidP="00954420">
      <w:pPr>
        <w:pStyle w:val="Bullet"/>
      </w:pPr>
      <w:r w:rsidRPr="002234E6">
        <w:t>running offsite clinics</w:t>
      </w:r>
      <w:r w:rsidR="00954420">
        <w:t>,</w:t>
      </w:r>
      <w:r w:rsidRPr="002234E6">
        <w:t xml:space="preserve"> for example school-based immunisation programmes, outreach immunisation services or workplace settings.</w:t>
      </w:r>
    </w:p>
    <w:p w14:paraId="79461527" w14:textId="77777777" w:rsidR="00A163F8" w:rsidRPr="002234E6" w:rsidRDefault="00A163F8" w:rsidP="00954420"/>
    <w:p w14:paraId="10A67B66" w14:textId="77777777" w:rsidR="00A163F8" w:rsidRDefault="00A163F8" w:rsidP="00954420">
      <w:pPr>
        <w:pStyle w:val="Heading3"/>
      </w:pPr>
      <w:r w:rsidRPr="002234E6">
        <w:t>General principles</w:t>
      </w:r>
    </w:p>
    <w:p w14:paraId="5DD89FD7" w14:textId="77777777" w:rsidR="00A163F8" w:rsidRPr="0017667B" w:rsidRDefault="00A163F8" w:rsidP="00954420">
      <w:r w:rsidRPr="0017667B">
        <w:t>General principles providers should adhere to when using chilly bins are as follows.</w:t>
      </w:r>
    </w:p>
    <w:p w14:paraId="5A78E640" w14:textId="77777777" w:rsidR="00A163F8" w:rsidRPr="002234E6" w:rsidRDefault="00A163F8" w:rsidP="00954420">
      <w:pPr>
        <w:pStyle w:val="Bullet"/>
      </w:pPr>
      <w:r w:rsidRPr="002234E6">
        <w:t>Store vaccines between +2°C and +8°C at all times.</w:t>
      </w:r>
    </w:p>
    <w:p w14:paraId="6B261BB6" w14:textId="77777777" w:rsidR="00A163F8" w:rsidRPr="002234E6" w:rsidRDefault="00A163F8" w:rsidP="00954420">
      <w:pPr>
        <w:pStyle w:val="Bullet"/>
      </w:pPr>
      <w:r w:rsidRPr="002234E6">
        <w:t>Only use polystyrene</w:t>
      </w:r>
      <w:r>
        <w:t xml:space="preserve"> or hard-walled</w:t>
      </w:r>
      <w:r w:rsidRPr="002234E6">
        <w:t xml:space="preserve"> chilly bins for temporary storage during refrigerator maintenance or for transport to another provider (either planned or as a result of a power outage or equipment failure).</w:t>
      </w:r>
    </w:p>
    <w:p w14:paraId="3001F5A0" w14:textId="4F66A268" w:rsidR="00A163F8" w:rsidRPr="002234E6" w:rsidRDefault="00540BAF" w:rsidP="00954420">
      <w:pPr>
        <w:pStyle w:val="Bullet"/>
      </w:pPr>
      <w:r>
        <w:t>A hard walled/</w:t>
      </w:r>
      <w:r w:rsidR="00A163F8" w:rsidRPr="002234E6">
        <w:t xml:space="preserve">robust chilly bin </w:t>
      </w:r>
      <w:r>
        <w:t xml:space="preserve">must be used </w:t>
      </w:r>
      <w:r w:rsidR="00A163F8" w:rsidRPr="002234E6">
        <w:t>for offsite clinics.</w:t>
      </w:r>
    </w:p>
    <w:p w14:paraId="5638D32A" w14:textId="77777777" w:rsidR="00A163F8" w:rsidRPr="002234E6" w:rsidRDefault="00A163F8" w:rsidP="00954420">
      <w:pPr>
        <w:pStyle w:val="Bullet"/>
      </w:pPr>
      <w:r w:rsidRPr="002234E6">
        <w:t>For each chilly bin, use sufficient ice packs and insulation material.</w:t>
      </w:r>
    </w:p>
    <w:p w14:paraId="5D09DC81" w14:textId="77777777" w:rsidR="00A163F8" w:rsidRPr="00F62A24" w:rsidRDefault="00A163F8" w:rsidP="00954420">
      <w:pPr>
        <w:pStyle w:val="Bullet"/>
      </w:pPr>
      <w:r w:rsidRPr="002234E6">
        <w:t>For each chilly bin, monitor the temperature using either a digital minimum/</w:t>
      </w:r>
      <w:r w:rsidR="00954420">
        <w:t xml:space="preserve"> </w:t>
      </w:r>
      <w:r w:rsidRPr="002234E6">
        <w:t xml:space="preserve">maximum thermometer with </w:t>
      </w:r>
      <w:r>
        <w:t xml:space="preserve">an </w:t>
      </w:r>
      <w:r w:rsidRPr="002234E6">
        <w:t xml:space="preserve">audible alarm or a datalogger with </w:t>
      </w:r>
      <w:r>
        <w:t xml:space="preserve">a </w:t>
      </w:r>
      <w:r w:rsidRPr="002234E6">
        <w:t>probe and an external display (depending on the reason for using the chilly bin</w:t>
      </w:r>
      <w:r>
        <w:t>: for further guidelines on chilly bins used at offsite clinics, see the following section</w:t>
      </w:r>
      <w:r w:rsidRPr="002234E6">
        <w:t xml:space="preserve">). It must be possible to read the temperature without opening the chilly bin. </w:t>
      </w:r>
      <w:r w:rsidRPr="00F62A24">
        <w:t>If using a datalogger:</w:t>
      </w:r>
    </w:p>
    <w:p w14:paraId="5E5D306E" w14:textId="77777777" w:rsidR="00A163F8" w:rsidRPr="00F62A24" w:rsidRDefault="00A163F8" w:rsidP="00954420">
      <w:pPr>
        <w:pStyle w:val="Dash"/>
      </w:pPr>
      <w:r>
        <w:t>providers should c</w:t>
      </w:r>
      <w:r w:rsidRPr="00F62A24">
        <w:t xml:space="preserve">onsider </w:t>
      </w:r>
      <w:r>
        <w:t xml:space="preserve">pursuing the </w:t>
      </w:r>
      <w:r w:rsidRPr="00F62A24">
        <w:t>ability to download</w:t>
      </w:r>
      <w:r>
        <w:t>/access</w:t>
      </w:r>
      <w:r w:rsidRPr="00F62A24">
        <w:t xml:space="preserve"> </w:t>
      </w:r>
      <w:r>
        <w:t xml:space="preserve">the </w:t>
      </w:r>
      <w:r w:rsidRPr="00F62A24">
        <w:t>datalogger remotely, if a review function is not available on the logger</w:t>
      </w:r>
    </w:p>
    <w:p w14:paraId="3817D78F" w14:textId="77777777" w:rsidR="00A163F8" w:rsidRPr="002234E6" w:rsidRDefault="00954420" w:rsidP="00954420">
      <w:pPr>
        <w:pStyle w:val="Dash"/>
      </w:pPr>
      <w:r>
        <w:t>p</w:t>
      </w:r>
      <w:r w:rsidR="00A163F8">
        <w:t>roviders should set d</w:t>
      </w:r>
      <w:r w:rsidR="00A163F8" w:rsidRPr="00F62A24">
        <w:t>ataloggers to record the temperature every five minutes</w:t>
      </w:r>
      <w:r w:rsidR="00A163F8">
        <w:t>, and should</w:t>
      </w:r>
      <w:r w:rsidR="00A163F8" w:rsidRPr="00F62A24">
        <w:t xml:space="preserve"> download</w:t>
      </w:r>
      <w:r w:rsidR="00A163F8">
        <w:t>/access</w:t>
      </w:r>
      <w:r w:rsidR="00A163F8" w:rsidRPr="00F62A24">
        <w:t>, review and save the data after returning to clinic.</w:t>
      </w:r>
    </w:p>
    <w:p w14:paraId="05B55C80" w14:textId="77777777" w:rsidR="00A163F8" w:rsidRPr="002234E6" w:rsidRDefault="00A163F8" w:rsidP="00954420">
      <w:pPr>
        <w:pStyle w:val="Bullet"/>
      </w:pPr>
      <w:r>
        <w:t xml:space="preserve">Carry out </w:t>
      </w:r>
      <w:r w:rsidRPr="002234E6">
        <w:t>trial</w:t>
      </w:r>
      <w:r>
        <w:t>s of</w:t>
      </w:r>
      <w:r w:rsidRPr="002234E6">
        <w:t xml:space="preserve"> the equipment</w:t>
      </w:r>
      <w:r>
        <w:t>,</w:t>
      </w:r>
      <w:r w:rsidRPr="002234E6">
        <w:t xml:space="preserve"> and be able to show that </w:t>
      </w:r>
      <w:r>
        <w:t xml:space="preserve">it </w:t>
      </w:r>
      <w:r w:rsidRPr="002234E6">
        <w:t>can maintain temperatures between +2°C and +8°C at all times.</w:t>
      </w:r>
    </w:p>
    <w:p w14:paraId="19AA3BEC" w14:textId="77777777" w:rsidR="00A163F8" w:rsidRPr="002234E6" w:rsidRDefault="00A163F8" w:rsidP="00954420"/>
    <w:p w14:paraId="32C980A9" w14:textId="77777777" w:rsidR="00A163F8" w:rsidRPr="002234E6" w:rsidRDefault="00A163F8" w:rsidP="00954420">
      <w:r w:rsidRPr="002234E6">
        <w:t>See Appendix 2 for more information on storing ice packs and preparing chilly bins.</w:t>
      </w:r>
      <w:r>
        <w:t xml:space="preserve"> </w:t>
      </w:r>
      <w:r w:rsidRPr="00F62A24">
        <w:t xml:space="preserve">If </w:t>
      </w:r>
      <w:r>
        <w:t xml:space="preserve">a provider has </w:t>
      </w:r>
      <w:r w:rsidRPr="00F62A24">
        <w:t xml:space="preserve">any questions as to which type of chilly bin and monitoring system </w:t>
      </w:r>
      <w:r>
        <w:t xml:space="preserve">it </w:t>
      </w:r>
      <w:r w:rsidRPr="00F62A24">
        <w:t>require</w:t>
      </w:r>
      <w:r>
        <w:t>s</w:t>
      </w:r>
      <w:r w:rsidRPr="00F62A24">
        <w:t xml:space="preserve">, </w:t>
      </w:r>
      <w:r>
        <w:t xml:space="preserve">it </w:t>
      </w:r>
      <w:r w:rsidRPr="00F62A24">
        <w:t xml:space="preserve">should discuss this with </w:t>
      </w:r>
      <w:r>
        <w:t xml:space="preserve">its </w:t>
      </w:r>
      <w:r w:rsidRPr="00F62A24">
        <w:t>coordinator</w:t>
      </w:r>
      <w:r>
        <w:t>,</w:t>
      </w:r>
      <w:r w:rsidRPr="00F62A24">
        <w:t xml:space="preserve"> who </w:t>
      </w:r>
      <w:r>
        <w:t xml:space="preserve">can </w:t>
      </w:r>
      <w:r w:rsidRPr="00F62A24">
        <w:t>advise on the most appropriate equipment that meets both the principles underlying the standards and the needs of the provider.</w:t>
      </w:r>
    </w:p>
    <w:p w14:paraId="7759A883" w14:textId="77777777" w:rsidR="00A163F8" w:rsidRPr="002234E6" w:rsidRDefault="00A163F8" w:rsidP="00954420"/>
    <w:p w14:paraId="45A2909E" w14:textId="77777777" w:rsidR="00A163F8" w:rsidRDefault="00A163F8" w:rsidP="00954420">
      <w:r w:rsidRPr="002234E6">
        <w:t xml:space="preserve">Note: The provider will need to start cooling the chilly bin at least 30 minutes </w:t>
      </w:r>
      <w:r>
        <w:t xml:space="preserve">(depending on the size of the chilly bin) </w:t>
      </w:r>
      <w:r w:rsidRPr="002234E6">
        <w:t>before putting vaccines inside it.</w:t>
      </w:r>
    </w:p>
    <w:p w14:paraId="0892CDF3" w14:textId="77777777" w:rsidR="00A163F8" w:rsidRDefault="00A163F8" w:rsidP="00954420"/>
    <w:p w14:paraId="02F3A0DF" w14:textId="77777777" w:rsidR="00A163F8" w:rsidRPr="00F12069" w:rsidRDefault="00A163F8" w:rsidP="00954420">
      <w:pPr>
        <w:pStyle w:val="Heading3"/>
      </w:pPr>
      <w:r w:rsidRPr="00F12069">
        <w:lastRenderedPageBreak/>
        <w:t>Monitoring chilly bins at offsite immunisation clinics</w:t>
      </w:r>
    </w:p>
    <w:p w14:paraId="576F4A53" w14:textId="77777777" w:rsidR="00A163F8" w:rsidRPr="00F12069" w:rsidRDefault="00A163F8" w:rsidP="00954420">
      <w:r w:rsidRPr="00F12069">
        <w:t>To monitor vaccines stored in chilly bins for offsite immunisation clinics:</w:t>
      </w:r>
    </w:p>
    <w:p w14:paraId="63833EA6" w14:textId="77777777" w:rsidR="00A163F8" w:rsidRPr="00F12069" w:rsidRDefault="00A163F8" w:rsidP="00954420">
      <w:pPr>
        <w:pStyle w:val="Bullet"/>
        <w:spacing w:before="80"/>
      </w:pPr>
      <w:r w:rsidRPr="00F12069">
        <w:t xml:space="preserve">use a datalogger with a probe, external display and alarm to monitor the temperature of the vaccines throughout the time they are stored in </w:t>
      </w:r>
      <w:r>
        <w:t xml:space="preserve">a </w:t>
      </w:r>
      <w:r w:rsidRPr="00F12069">
        <w:t>chilly bin</w:t>
      </w:r>
      <w:r>
        <w:t>,</w:t>
      </w:r>
      <w:r w:rsidRPr="00F12069">
        <w:t xml:space="preserve"> </w:t>
      </w:r>
      <w:r>
        <w:t xml:space="preserve">and </w:t>
      </w:r>
      <w:r w:rsidRPr="00F12069">
        <w:t xml:space="preserve">consider using a secondary back-up device </w:t>
      </w:r>
      <w:r>
        <w:t>(</w:t>
      </w:r>
      <w:proofErr w:type="spellStart"/>
      <w:r w:rsidRPr="00F12069">
        <w:t>eg</w:t>
      </w:r>
      <w:proofErr w:type="spellEnd"/>
      <w:r w:rsidRPr="00F12069">
        <w:t>, digital minimum/maximum thermometer</w:t>
      </w:r>
      <w:r>
        <w:t>)</w:t>
      </w:r>
      <w:r w:rsidRPr="00F12069">
        <w:t>, in case the datalogger gets damaged</w:t>
      </w:r>
    </w:p>
    <w:p w14:paraId="3D0757BF" w14:textId="77777777" w:rsidR="00A163F8" w:rsidRPr="00F12069" w:rsidRDefault="00A163F8" w:rsidP="00954420">
      <w:pPr>
        <w:pStyle w:val="Bullet"/>
        <w:spacing w:before="80"/>
      </w:pPr>
      <w:r w:rsidRPr="00F12069">
        <w:t>record the minimum, maximum and current temperatures at least every 30 minutes after putting the vaccines in the chilly bin</w:t>
      </w:r>
    </w:p>
    <w:p w14:paraId="5DBE1460" w14:textId="77777777" w:rsidR="00A163F8" w:rsidRPr="00B81C05" w:rsidRDefault="00A163F8" w:rsidP="00954420">
      <w:pPr>
        <w:pStyle w:val="Bullet"/>
        <w:spacing w:before="80"/>
      </w:pPr>
      <w:r w:rsidRPr="00B81C05">
        <w:t>set the datalogger to record the temperature every five minutes,</w:t>
      </w:r>
      <w:r w:rsidRPr="00404E18">
        <w:t xml:space="preserve"> and download, review and save the data after returning to the clinic </w:t>
      </w:r>
      <w:r>
        <w:t>(</w:t>
      </w:r>
      <w:r w:rsidRPr="00B81C05">
        <w:t>an exception to this is that a minimum/maximum digital thermometer with audible alarm can be used to measure the temperature of a vaccine during transport to a single patient</w:t>
      </w:r>
      <w:r w:rsidRPr="00F643BC">
        <w:t xml:space="preserve"> </w:t>
      </w:r>
      <w:r>
        <w:t>(</w:t>
      </w:r>
      <w:proofErr w:type="spellStart"/>
      <w:r w:rsidRPr="00B81C05">
        <w:t>eg</w:t>
      </w:r>
      <w:proofErr w:type="spellEnd"/>
      <w:r>
        <w:t>,</w:t>
      </w:r>
      <w:r w:rsidRPr="00B81C05">
        <w:t xml:space="preserve"> </w:t>
      </w:r>
      <w:r>
        <w:t xml:space="preserve">an </w:t>
      </w:r>
      <w:r w:rsidRPr="00B81C05">
        <w:t>influenza vaccine for an elderly person at home</w:t>
      </w:r>
      <w:r>
        <w:t>)</w:t>
      </w:r>
      <w:r w:rsidRPr="00B81C05">
        <w:t xml:space="preserve"> when the </w:t>
      </w:r>
      <w:r w:rsidRPr="00404E18">
        <w:t xml:space="preserve">time </w:t>
      </w:r>
      <w:r>
        <w:t xml:space="preserve">the vaccine will be </w:t>
      </w:r>
      <w:r w:rsidRPr="00B81C05">
        <w:t>in the chilly bin is expected to be less than 120 minutes</w:t>
      </w:r>
      <w:r>
        <w:t>)</w:t>
      </w:r>
      <w:r w:rsidRPr="00B81C05">
        <w:t>.</w:t>
      </w:r>
    </w:p>
    <w:p w14:paraId="6020867B" w14:textId="77777777" w:rsidR="00A163F8" w:rsidRPr="00F12069" w:rsidRDefault="00A163F8" w:rsidP="00954420"/>
    <w:p w14:paraId="5AD41431" w14:textId="77777777" w:rsidR="00A163F8" w:rsidRPr="00F12069" w:rsidRDefault="00A163F8" w:rsidP="00954420">
      <w:r w:rsidRPr="00F12069">
        <w:t xml:space="preserve">Providers must keep documentation associated with monitoring the temperature of vaccines in chilly bins for </w:t>
      </w:r>
      <w:r w:rsidR="00954420">
        <w:t>10</w:t>
      </w:r>
      <w:r w:rsidRPr="00F12069">
        <w:t xml:space="preserve"> years, along with the rest of the cold chain documentation.</w:t>
      </w:r>
    </w:p>
    <w:p w14:paraId="15179124" w14:textId="77777777" w:rsidR="00A163F8" w:rsidRPr="00F12069" w:rsidRDefault="00A163F8" w:rsidP="00954420"/>
    <w:p w14:paraId="4427D6CA" w14:textId="77777777" w:rsidR="00A163F8" w:rsidRPr="002234E6" w:rsidRDefault="00A163F8" w:rsidP="00954420">
      <w:pPr>
        <w:pStyle w:val="Heading3"/>
        <w:spacing w:before="240"/>
      </w:pPr>
      <w:r w:rsidRPr="002234E6">
        <w:t>Monitoring chilly bins for transport or temporary storage</w:t>
      </w:r>
    </w:p>
    <w:p w14:paraId="4767CC83" w14:textId="77777777" w:rsidR="00A163F8" w:rsidRDefault="00A163F8" w:rsidP="00954420">
      <w:r>
        <w:t>P</w:t>
      </w:r>
      <w:r w:rsidRPr="0017667B">
        <w:t xml:space="preserve">roviders should adhere to </w:t>
      </w:r>
      <w:r>
        <w:t xml:space="preserve">the following principles </w:t>
      </w:r>
      <w:r w:rsidRPr="0017667B">
        <w:t xml:space="preserve">when </w:t>
      </w:r>
      <w:r>
        <w:t>monitoring chilly bins for transport or temporary storage</w:t>
      </w:r>
      <w:r w:rsidRPr="0017667B">
        <w:t>.</w:t>
      </w:r>
    </w:p>
    <w:p w14:paraId="741DA237" w14:textId="77777777" w:rsidR="00A163F8" w:rsidRPr="002234E6" w:rsidRDefault="00A163F8" w:rsidP="00954420">
      <w:pPr>
        <w:pStyle w:val="Bullet"/>
        <w:spacing w:before="80"/>
      </w:pPr>
      <w:r w:rsidRPr="002234E6">
        <w:t>Providers must have a minimum/maximum digital thermometer with audible alarm to measure the temperature of vaccines when using chilly bins to transport or temporarily store vaccines.</w:t>
      </w:r>
    </w:p>
    <w:p w14:paraId="2FE51603" w14:textId="77777777" w:rsidR="00A163F8" w:rsidRPr="002234E6" w:rsidRDefault="00A163F8" w:rsidP="00954420">
      <w:pPr>
        <w:pStyle w:val="Bullet"/>
        <w:spacing w:before="80"/>
      </w:pPr>
      <w:r w:rsidRPr="002234E6">
        <w:t>Staff should check and record the minimum, maximum and current temperatures of vaccines:</w:t>
      </w:r>
    </w:p>
    <w:p w14:paraId="028A38A7" w14:textId="77777777" w:rsidR="00A163F8" w:rsidRPr="002234E6" w:rsidRDefault="00A163F8" w:rsidP="00954420">
      <w:pPr>
        <w:pStyle w:val="Dash"/>
        <w:spacing w:before="55"/>
      </w:pPr>
      <w:r w:rsidRPr="002234E6">
        <w:t>before transporting the vaccines</w:t>
      </w:r>
    </w:p>
    <w:p w14:paraId="0BABFDB1" w14:textId="77777777" w:rsidR="00A163F8" w:rsidRPr="002234E6" w:rsidRDefault="00A163F8" w:rsidP="00954420">
      <w:pPr>
        <w:pStyle w:val="Dash"/>
        <w:spacing w:before="55"/>
      </w:pPr>
      <w:r w:rsidRPr="002234E6">
        <w:t>before unpacking them at the alternative storage area</w:t>
      </w:r>
    </w:p>
    <w:p w14:paraId="60302A6B" w14:textId="77777777" w:rsidR="00A163F8" w:rsidRPr="002234E6" w:rsidRDefault="00A163F8" w:rsidP="00954420">
      <w:pPr>
        <w:pStyle w:val="Dash"/>
        <w:spacing w:before="55"/>
      </w:pPr>
      <w:r w:rsidRPr="002234E6">
        <w:t xml:space="preserve">at least every 30 minutes while transporting or temporarily storing them (when </w:t>
      </w:r>
      <w:r>
        <w:t xml:space="preserve">it is </w:t>
      </w:r>
      <w:r w:rsidRPr="002234E6">
        <w:t>safe to do so).</w:t>
      </w:r>
    </w:p>
    <w:p w14:paraId="32D847C5" w14:textId="77777777" w:rsidR="00A163F8" w:rsidRPr="00F62A24" w:rsidRDefault="00A163F8" w:rsidP="00954420">
      <w:pPr>
        <w:pStyle w:val="Bullet"/>
        <w:spacing w:before="80"/>
      </w:pPr>
      <w:r w:rsidRPr="00F62A24">
        <w:t xml:space="preserve">In addition, </w:t>
      </w:r>
      <w:r>
        <w:t xml:space="preserve">providers can use </w:t>
      </w:r>
      <w:r w:rsidRPr="00F62A24">
        <w:t xml:space="preserve">a minimum/maximum digital thermometer with audible alarm to monitor </w:t>
      </w:r>
      <w:r>
        <w:t xml:space="preserve">temperature </w:t>
      </w:r>
      <w:r w:rsidRPr="00F62A24">
        <w:t>in the following circumstances:</w:t>
      </w:r>
    </w:p>
    <w:p w14:paraId="2E461341" w14:textId="025B203A" w:rsidR="007E44E1" w:rsidRPr="00954420" w:rsidRDefault="00A163F8" w:rsidP="00954420">
      <w:pPr>
        <w:pStyle w:val="Dash"/>
        <w:spacing w:before="55"/>
        <w:ind w:left="568" w:right="-142" w:hanging="284"/>
        <w:rPr>
          <w:spacing w:val="-2"/>
        </w:rPr>
      </w:pPr>
      <w:r w:rsidRPr="00954420">
        <w:rPr>
          <w:spacing w:val="-2"/>
        </w:rPr>
        <w:t>transport within a hospital setting/site when a vaccine is being transferred from the pharmacy to a ward (or vice versa) within 120 minutes or less. In this setting, where transport time is expected to be less than 30 minutes, providers may consider the use of pre-cooled chilly bins with ice packs removed and no monitoring equipment, if trials show the temperature remains above 2˚C</w:t>
      </w:r>
      <w:r w:rsidR="00540BAF">
        <w:rPr>
          <w:spacing w:val="-2"/>
        </w:rPr>
        <w:t xml:space="preserve"> and</w:t>
      </w:r>
      <w:r w:rsidRPr="00954420">
        <w:rPr>
          <w:spacing w:val="-2"/>
        </w:rPr>
        <w:t xml:space="preserve"> below +12°C.</w:t>
      </w:r>
    </w:p>
    <w:p w14:paraId="515D716A" w14:textId="77777777" w:rsidR="00A163F8" w:rsidRPr="00F62A24" w:rsidRDefault="00A163F8" w:rsidP="00954420">
      <w:pPr>
        <w:pStyle w:val="Dash"/>
        <w:spacing w:before="55"/>
      </w:pPr>
      <w:r w:rsidRPr="00F62A24">
        <w:t>vaccines stored in a chilly bin for no more than four hours in a clinical room (</w:t>
      </w:r>
      <w:r>
        <w:t xml:space="preserve">in this situation, the provider must transfer </w:t>
      </w:r>
      <w:r w:rsidRPr="00F62A24">
        <w:t>the vaccine doses back to the refrigerator if the chilly bin is not maintaining the required temperature range).</w:t>
      </w:r>
    </w:p>
    <w:p w14:paraId="08D4D052" w14:textId="77777777" w:rsidR="007E44E1" w:rsidRDefault="00A163F8" w:rsidP="00954420">
      <w:pPr>
        <w:spacing w:before="120"/>
      </w:pPr>
      <w:r w:rsidRPr="00F62A24">
        <w:t>Note: in all these situations</w:t>
      </w:r>
      <w:r>
        <w:t>,</w:t>
      </w:r>
      <w:r w:rsidRPr="00F62A24">
        <w:t xml:space="preserve"> </w:t>
      </w:r>
      <w:r>
        <w:t xml:space="preserve">providers need to record </w:t>
      </w:r>
      <w:r w:rsidRPr="00F62A24">
        <w:t xml:space="preserve">the minimum/maximum temperature and </w:t>
      </w:r>
      <w:r>
        <w:t xml:space="preserve">store </w:t>
      </w:r>
      <w:r w:rsidRPr="00F62A24">
        <w:t xml:space="preserve">this documentation for </w:t>
      </w:r>
      <w:r w:rsidR="00954420">
        <w:t>10</w:t>
      </w:r>
      <w:r w:rsidRPr="00F62A24">
        <w:t xml:space="preserve"> years.</w:t>
      </w:r>
    </w:p>
    <w:p w14:paraId="674880F9" w14:textId="77777777" w:rsidR="00A163F8" w:rsidRPr="002234E6" w:rsidRDefault="00A163F8" w:rsidP="00954420">
      <w:pPr>
        <w:pStyle w:val="Heading1"/>
      </w:pPr>
      <w:bookmarkStart w:id="93" w:name="_Toc9863087"/>
      <w:bookmarkStart w:id="94" w:name="_Toc18062256"/>
      <w:bookmarkEnd w:id="92"/>
      <w:r w:rsidRPr="002234E6">
        <w:lastRenderedPageBreak/>
        <w:t>Bibliography</w:t>
      </w:r>
      <w:bookmarkEnd w:id="93"/>
      <w:bookmarkEnd w:id="94"/>
    </w:p>
    <w:p w14:paraId="6388D095" w14:textId="77777777" w:rsidR="00A163F8" w:rsidRPr="002234E6" w:rsidRDefault="00A163F8" w:rsidP="00954420">
      <w:pPr>
        <w:pStyle w:val="References"/>
      </w:pPr>
      <w:r w:rsidRPr="002234E6">
        <w:t>Australian Government. 201</w:t>
      </w:r>
      <w:r>
        <w:t>9</w:t>
      </w:r>
      <w:r w:rsidRPr="002234E6">
        <w:t xml:space="preserve">. </w:t>
      </w:r>
      <w:r w:rsidRPr="002234E6">
        <w:rPr>
          <w:i/>
        </w:rPr>
        <w:t>National Vaccine Storage Guidelines: Strive for 5</w:t>
      </w:r>
      <w:r w:rsidRPr="002234E6">
        <w:t xml:space="preserve"> (</w:t>
      </w:r>
      <w:r>
        <w:t>3rd</w:t>
      </w:r>
      <w:r w:rsidRPr="002234E6">
        <w:t xml:space="preserve"> ed). Canberra: Australian Government Department of Health.</w:t>
      </w:r>
    </w:p>
    <w:p w14:paraId="12B6D533" w14:textId="77777777" w:rsidR="00A163F8" w:rsidRPr="002234E6" w:rsidRDefault="00A163F8" w:rsidP="00954420">
      <w:pPr>
        <w:pStyle w:val="References"/>
      </w:pPr>
      <w:proofErr w:type="spellStart"/>
      <w:r w:rsidRPr="002234E6">
        <w:t>Centers</w:t>
      </w:r>
      <w:proofErr w:type="spellEnd"/>
      <w:r w:rsidRPr="002234E6">
        <w:t xml:space="preserve"> for Disease Control and Prevention. 2019. </w:t>
      </w:r>
      <w:r w:rsidRPr="002234E6">
        <w:rPr>
          <w:i/>
        </w:rPr>
        <w:t>Vaccine Storage &amp; Handling Toolkit</w:t>
      </w:r>
      <w:r w:rsidRPr="002234E6">
        <w:t>. Atlanta: US Department of Health and Human Services.</w:t>
      </w:r>
    </w:p>
    <w:p w14:paraId="0B1DBCAE" w14:textId="77777777" w:rsidR="00A163F8" w:rsidRPr="002234E6" w:rsidRDefault="00A163F8" w:rsidP="00954420">
      <w:pPr>
        <w:pStyle w:val="References"/>
        <w:rPr>
          <w:iCs/>
        </w:rPr>
      </w:pPr>
      <w:proofErr w:type="spellStart"/>
      <w:r w:rsidRPr="002234E6">
        <w:t>Grassby</w:t>
      </w:r>
      <w:proofErr w:type="spellEnd"/>
      <w:r w:rsidRPr="002234E6">
        <w:t xml:space="preserve"> PF. 1993. Safe storage of vaccines: problems and solutions. </w:t>
      </w:r>
      <w:r w:rsidRPr="002234E6">
        <w:rPr>
          <w:i/>
          <w:iCs/>
        </w:rPr>
        <w:t>Pharmaceutical Journal</w:t>
      </w:r>
      <w:r w:rsidRPr="002234E6">
        <w:rPr>
          <w:iCs/>
        </w:rPr>
        <w:t xml:space="preserve"> 241: 323–7.</w:t>
      </w:r>
    </w:p>
    <w:p w14:paraId="0EDC06B4" w14:textId="77777777" w:rsidR="00A163F8" w:rsidRPr="002234E6" w:rsidRDefault="00A163F8" w:rsidP="00954420">
      <w:pPr>
        <w:pStyle w:val="References"/>
      </w:pPr>
      <w:r w:rsidRPr="002234E6">
        <w:t xml:space="preserve">Ministry of Health. 2009. </w:t>
      </w:r>
      <w:r w:rsidRPr="002234E6">
        <w:rPr>
          <w:i/>
        </w:rPr>
        <w:t>New Zealand Code of Good Manufacturing Practice for Manufacture and Distribution of Therapeutic Goods. Part 4: Wholesaling of medicines and medical devices</w:t>
      </w:r>
      <w:r w:rsidRPr="002234E6">
        <w:t>. Wellington: Ministry of Health.</w:t>
      </w:r>
    </w:p>
    <w:p w14:paraId="29F9D04E" w14:textId="77777777" w:rsidR="00A163F8" w:rsidRPr="002234E6" w:rsidRDefault="00A163F8" w:rsidP="00954420">
      <w:pPr>
        <w:pStyle w:val="References"/>
      </w:pPr>
      <w:r w:rsidRPr="002234E6">
        <w:t>Ministry of Health. 201</w:t>
      </w:r>
      <w:r>
        <w:t>7a</w:t>
      </w:r>
      <w:r w:rsidRPr="002234E6">
        <w:t xml:space="preserve">. </w:t>
      </w:r>
      <w:r w:rsidRPr="002234E6">
        <w:rPr>
          <w:i/>
        </w:rPr>
        <w:t xml:space="preserve">National Guidelines for Vaccine Storage and </w:t>
      </w:r>
      <w:r>
        <w:rPr>
          <w:i/>
        </w:rPr>
        <w:t>Transportation for Immunisation Providers 2017</w:t>
      </w:r>
      <w:r w:rsidRPr="002234E6">
        <w:t>. Wellington: Ministry of Health.</w:t>
      </w:r>
    </w:p>
    <w:p w14:paraId="6FB8FA8D" w14:textId="77777777" w:rsidR="00A163F8" w:rsidRPr="002234E6" w:rsidRDefault="00A163F8" w:rsidP="00954420">
      <w:pPr>
        <w:pStyle w:val="References"/>
      </w:pPr>
      <w:r w:rsidRPr="002234E6">
        <w:t>Ministry of Health. 2017</w:t>
      </w:r>
      <w:r>
        <w:t>b</w:t>
      </w:r>
      <w:r w:rsidRPr="002234E6">
        <w:t xml:space="preserve">. </w:t>
      </w:r>
      <w:r w:rsidRPr="002234E6">
        <w:rPr>
          <w:i/>
        </w:rPr>
        <w:t>Immunisation Handbook 2017</w:t>
      </w:r>
      <w:r>
        <w:rPr>
          <w:i/>
        </w:rPr>
        <w:t xml:space="preserve"> </w:t>
      </w:r>
      <w:r w:rsidRPr="002234E6">
        <w:t>(</w:t>
      </w:r>
      <w:r>
        <w:t>2nd</w:t>
      </w:r>
      <w:r w:rsidRPr="002234E6">
        <w:t xml:space="preserve"> ed). Wellington: Ministry of Health.</w:t>
      </w:r>
    </w:p>
    <w:p w14:paraId="2670F899" w14:textId="77777777" w:rsidR="00A163F8" w:rsidRPr="002234E6" w:rsidRDefault="00A163F8" w:rsidP="00954420">
      <w:pPr>
        <w:pStyle w:val="References"/>
      </w:pPr>
      <w:r w:rsidRPr="002234E6">
        <w:t xml:space="preserve">World Health Organization. 1996a. </w:t>
      </w:r>
      <w:r w:rsidRPr="002234E6">
        <w:rPr>
          <w:i/>
        </w:rPr>
        <w:t>Guidelines for Establishing or Improving National, Regional and District Vaccine Stores</w:t>
      </w:r>
      <w:r w:rsidRPr="002234E6">
        <w:t>. Geneva: World Health Organization.</w:t>
      </w:r>
    </w:p>
    <w:p w14:paraId="56FDC558" w14:textId="77777777" w:rsidR="00A163F8" w:rsidRPr="002234E6" w:rsidRDefault="00A163F8" w:rsidP="00954420">
      <w:pPr>
        <w:pStyle w:val="References"/>
      </w:pPr>
      <w:r w:rsidRPr="002234E6">
        <w:t xml:space="preserve">World Health Organization. 1996b. </w:t>
      </w:r>
      <w:r w:rsidRPr="002234E6">
        <w:rPr>
          <w:i/>
        </w:rPr>
        <w:t>Managing Cold Chain Equipment: A guide for national logistics officers</w:t>
      </w:r>
      <w:r w:rsidRPr="002234E6">
        <w:t>. Geneva: World Health Organization.</w:t>
      </w:r>
    </w:p>
    <w:p w14:paraId="6088B0E9" w14:textId="77777777" w:rsidR="00A163F8" w:rsidRPr="002234E6" w:rsidRDefault="00A163F8" w:rsidP="00A163F8">
      <w:pPr>
        <w:rPr>
          <w:rFonts w:cs="Segoe UI"/>
        </w:rPr>
      </w:pPr>
    </w:p>
    <w:p w14:paraId="76F7C2B8" w14:textId="77777777" w:rsidR="00A163F8" w:rsidRPr="002234E6" w:rsidRDefault="00A163F8" w:rsidP="00954420">
      <w:pPr>
        <w:pStyle w:val="Heading1"/>
        <w:ind w:left="0" w:firstLine="0"/>
      </w:pPr>
      <w:bookmarkStart w:id="95" w:name="_Appendix_2:_Vaccine"/>
      <w:bookmarkStart w:id="96" w:name="_Appendix_1:_Vaccine"/>
      <w:bookmarkStart w:id="97" w:name="_Toc334179088"/>
      <w:bookmarkStart w:id="98" w:name="_Toc469389349"/>
      <w:bookmarkStart w:id="99" w:name="_Toc9863088"/>
      <w:bookmarkStart w:id="100" w:name="_Toc18062257"/>
      <w:bookmarkEnd w:id="95"/>
      <w:bookmarkEnd w:id="96"/>
      <w:r w:rsidRPr="002234E6">
        <w:lastRenderedPageBreak/>
        <w:t>Appendix 1:</w:t>
      </w:r>
      <w:r w:rsidR="00954420">
        <w:br/>
      </w:r>
      <w:bookmarkEnd w:id="97"/>
      <w:r w:rsidRPr="002234E6">
        <w:t>Vaccine pharmaceutical refrigerator</w:t>
      </w:r>
      <w:bookmarkEnd w:id="98"/>
      <w:bookmarkEnd w:id="99"/>
      <w:bookmarkEnd w:id="100"/>
    </w:p>
    <w:p w14:paraId="19F5F226" w14:textId="77777777" w:rsidR="007E44E1" w:rsidRDefault="00A163F8" w:rsidP="00954420">
      <w:pPr>
        <w:pStyle w:val="Heading2"/>
        <w:ind w:left="0" w:firstLine="0"/>
      </w:pPr>
      <w:bookmarkStart w:id="101" w:name="_Toc8139032"/>
      <w:bookmarkStart w:id="102" w:name="_Toc9863089"/>
      <w:bookmarkStart w:id="103" w:name="_Toc16689980"/>
      <w:bookmarkStart w:id="104" w:name="_Toc18062258"/>
      <w:r w:rsidRPr="00F62A24">
        <w:t>What is a pharmaceutical refrigerator?</w:t>
      </w:r>
      <w:bookmarkEnd w:id="101"/>
      <w:bookmarkEnd w:id="102"/>
      <w:bookmarkEnd w:id="103"/>
      <w:bookmarkEnd w:id="104"/>
    </w:p>
    <w:p w14:paraId="0B576576" w14:textId="77777777" w:rsidR="007E44E1" w:rsidRDefault="00A163F8" w:rsidP="00954420">
      <w:r w:rsidRPr="00F62A24">
        <w:t>A pharmaceutical refrigerator has been designed and constructed for the specific purpose of storing pharmaceuticals and vaccines between +2°C and +8 °C</w:t>
      </w:r>
      <w:r>
        <w:t xml:space="preserve">, and has a </w:t>
      </w:r>
      <w:r w:rsidRPr="00F62A24">
        <w:t>built</w:t>
      </w:r>
      <w:r>
        <w:t>-</w:t>
      </w:r>
      <w:r w:rsidRPr="00F62A24">
        <w:t>in alarm</w:t>
      </w:r>
      <w:r>
        <w:t xml:space="preserve"> </w:t>
      </w:r>
      <w:r w:rsidRPr="00F62A24">
        <w:t xml:space="preserve">set to activate if temperatures go </w:t>
      </w:r>
      <w:r>
        <w:t>outside this range</w:t>
      </w:r>
      <w:r w:rsidRPr="00F62A24">
        <w:t>.</w:t>
      </w:r>
    </w:p>
    <w:p w14:paraId="32DC288C" w14:textId="77777777" w:rsidR="00A163F8" w:rsidRPr="00F62A24" w:rsidRDefault="00A163F8" w:rsidP="00954420"/>
    <w:p w14:paraId="430C640B" w14:textId="77777777" w:rsidR="00A163F8" w:rsidRPr="00F62A24" w:rsidRDefault="00A163F8" w:rsidP="00954420">
      <w:pPr>
        <w:pStyle w:val="Heading2"/>
        <w:ind w:left="0" w:firstLine="0"/>
      </w:pPr>
      <w:bookmarkStart w:id="105" w:name="_Toc8139033"/>
      <w:bookmarkStart w:id="106" w:name="_Toc9863090"/>
      <w:bookmarkStart w:id="107" w:name="_Toc16689981"/>
      <w:bookmarkStart w:id="108" w:name="_Toc18062259"/>
      <w:r w:rsidRPr="00F62A24">
        <w:t>What to consider when buying a new pharmaceutical refrigerator</w:t>
      </w:r>
      <w:bookmarkEnd w:id="105"/>
      <w:bookmarkEnd w:id="106"/>
      <w:bookmarkEnd w:id="107"/>
      <w:bookmarkEnd w:id="108"/>
    </w:p>
    <w:p w14:paraId="4D66C406" w14:textId="77777777" w:rsidR="00A163F8" w:rsidRDefault="00A163F8" w:rsidP="00954420">
      <w:r>
        <w:t>When looking to buy a new pharmaceutical refrigerator, providers should consider the following.</w:t>
      </w:r>
    </w:p>
    <w:p w14:paraId="7A7B05B3" w14:textId="77777777" w:rsidR="00A163F8" w:rsidRPr="00F62A24" w:rsidRDefault="00A163F8" w:rsidP="00954420">
      <w:pPr>
        <w:pStyle w:val="Bullet"/>
      </w:pPr>
      <w:r w:rsidRPr="00F62A24">
        <w:t>What are the requirements for vaccine stock, including seasonal vaccines?</w:t>
      </w:r>
    </w:p>
    <w:p w14:paraId="5C9696F7" w14:textId="77777777" w:rsidR="00A163F8" w:rsidRPr="00F62A24" w:rsidRDefault="00A163F8" w:rsidP="00954420">
      <w:pPr>
        <w:pStyle w:val="Dash"/>
      </w:pPr>
      <w:r w:rsidRPr="00F62A24">
        <w:t>Is it possible to add more shelves within the refrigerator?</w:t>
      </w:r>
    </w:p>
    <w:p w14:paraId="182A7426" w14:textId="77777777" w:rsidR="00A163F8" w:rsidRPr="00F62A24" w:rsidRDefault="00A163F8" w:rsidP="00954420">
      <w:pPr>
        <w:pStyle w:val="Dash"/>
      </w:pPr>
      <w:r w:rsidRPr="00F62A24">
        <w:t>Can the shelf height be varied?</w:t>
      </w:r>
    </w:p>
    <w:p w14:paraId="2FB6974B" w14:textId="159D9216" w:rsidR="00A163F8" w:rsidRPr="00F62A24" w:rsidRDefault="00A163F8" w:rsidP="00954420">
      <w:pPr>
        <w:pStyle w:val="Dash"/>
      </w:pPr>
      <w:r w:rsidRPr="00F62A24">
        <w:t>What space is available in the facility? For example, will two small refrigerators fit better than one large one?</w:t>
      </w:r>
      <w:r w:rsidR="00956B5D">
        <w:t xml:space="preserve"> </w:t>
      </w:r>
    </w:p>
    <w:p w14:paraId="0AD6E8A6" w14:textId="77777777" w:rsidR="00A163F8" w:rsidRPr="00F62A24" w:rsidRDefault="00A163F8" w:rsidP="00954420">
      <w:pPr>
        <w:pStyle w:val="Dash"/>
      </w:pPr>
      <w:r w:rsidRPr="00F62A24">
        <w:t xml:space="preserve">What size does the manufacturer recommend for </w:t>
      </w:r>
      <w:r>
        <w:t>the provider</w:t>
      </w:r>
      <w:r w:rsidR="007E44E1">
        <w:t>’</w:t>
      </w:r>
      <w:r>
        <w:t>s</w:t>
      </w:r>
      <w:r w:rsidRPr="00F62A24">
        <w:t xml:space="preserve"> maximum stock levels and influenza vaccine requirements?</w:t>
      </w:r>
    </w:p>
    <w:p w14:paraId="71A7D7F5" w14:textId="77777777" w:rsidR="00A163F8" w:rsidRPr="00F62A24" w:rsidRDefault="00A163F8" w:rsidP="00954420">
      <w:pPr>
        <w:pStyle w:val="Bullet"/>
      </w:pPr>
      <w:r w:rsidRPr="00F62A24">
        <w:t xml:space="preserve">An alarm system is required. Consider an alarm system that can notify </w:t>
      </w:r>
      <w:r>
        <w:t>the provider of temperature breaches</w:t>
      </w:r>
      <w:r w:rsidRPr="00F62A24">
        <w:t xml:space="preserve"> when </w:t>
      </w:r>
      <w:r>
        <w:t xml:space="preserve">staff </w:t>
      </w:r>
      <w:r w:rsidRPr="00F62A24">
        <w:t>are offsite.</w:t>
      </w:r>
    </w:p>
    <w:p w14:paraId="4F14BFEC" w14:textId="77777777" w:rsidR="00A163F8" w:rsidRPr="00F62A24" w:rsidRDefault="00A163F8" w:rsidP="00954420">
      <w:pPr>
        <w:pStyle w:val="Bullet"/>
      </w:pPr>
      <w:r w:rsidRPr="00F62A24">
        <w:t xml:space="preserve">The refrigerator must have a </w:t>
      </w:r>
      <w:r w:rsidR="007E44E1">
        <w:t>‘</w:t>
      </w:r>
      <w:r w:rsidRPr="00F62A24">
        <w:t>door left open</w:t>
      </w:r>
      <w:r w:rsidR="007E44E1">
        <w:t>’</w:t>
      </w:r>
      <w:r w:rsidRPr="00F62A24">
        <w:t xml:space="preserve"> alert.</w:t>
      </w:r>
    </w:p>
    <w:p w14:paraId="6A13AC8E" w14:textId="77777777" w:rsidR="00A163F8" w:rsidRPr="00F62A24" w:rsidRDefault="00A163F8" w:rsidP="00954420">
      <w:pPr>
        <w:pStyle w:val="Bullet"/>
      </w:pPr>
      <w:r w:rsidRPr="00F62A24">
        <w:t>It must be possible to adjust the refrigerator</w:t>
      </w:r>
      <w:r w:rsidR="007E44E1">
        <w:t>’</w:t>
      </w:r>
      <w:r w:rsidRPr="00F62A24">
        <w:t>s feet so the door self-closes.</w:t>
      </w:r>
    </w:p>
    <w:p w14:paraId="0FCFAC0A" w14:textId="77777777" w:rsidR="00A163F8" w:rsidRPr="00F62A24" w:rsidRDefault="00A163F8" w:rsidP="00954420">
      <w:pPr>
        <w:pStyle w:val="Bullet"/>
      </w:pPr>
      <w:r w:rsidRPr="00F62A24">
        <w:t>An inbuilt minimum/maximum thermometer with external display is preferable to an additional device.</w:t>
      </w:r>
    </w:p>
    <w:p w14:paraId="2D07B70D" w14:textId="77777777" w:rsidR="00A163F8" w:rsidRPr="00F62A24" w:rsidRDefault="00A163F8" w:rsidP="00954420">
      <w:pPr>
        <w:pStyle w:val="Bullet"/>
      </w:pPr>
      <w:r w:rsidRPr="00F62A24">
        <w:t>Ensure the refrigerator can operate in a local variable ambient room temperature – can it maintain internal temperatures between +2°C and +8°C in that environment?</w:t>
      </w:r>
    </w:p>
    <w:p w14:paraId="1C064923" w14:textId="77777777" w:rsidR="00A163F8" w:rsidRPr="00F62A24" w:rsidRDefault="00A163F8" w:rsidP="00954420">
      <w:pPr>
        <w:pStyle w:val="Bullet"/>
      </w:pPr>
      <w:r w:rsidRPr="00F62A24">
        <w:t xml:space="preserve">Does </w:t>
      </w:r>
      <w:r>
        <w:t xml:space="preserve">the refrigerator </w:t>
      </w:r>
      <w:r w:rsidRPr="00F62A24">
        <w:t xml:space="preserve">have a solid or </w:t>
      </w:r>
      <w:r>
        <w:t xml:space="preserve">a transparent </w:t>
      </w:r>
      <w:r w:rsidRPr="00F62A24">
        <w:t>door? Remember vaccines need to be protected from light.</w:t>
      </w:r>
    </w:p>
    <w:p w14:paraId="38308E45" w14:textId="77777777" w:rsidR="00A163F8" w:rsidRPr="00F62A24" w:rsidRDefault="00A163F8" w:rsidP="00954420">
      <w:pPr>
        <w:pStyle w:val="Bullet"/>
        <w:keepNext/>
      </w:pPr>
      <w:r w:rsidRPr="00F62A24">
        <w:lastRenderedPageBreak/>
        <w:t>Can it be cleaned easily? Does it have any special cleaning requirements?</w:t>
      </w:r>
    </w:p>
    <w:p w14:paraId="39CEBCA4" w14:textId="77777777" w:rsidR="00A163F8" w:rsidRPr="00F62A24" w:rsidRDefault="00A163F8" w:rsidP="00954420">
      <w:pPr>
        <w:pStyle w:val="Bullet"/>
      </w:pPr>
      <w:r w:rsidRPr="00F62A24">
        <w:t>What is covered in the warranty</w:t>
      </w:r>
      <w:r>
        <w:t>,</w:t>
      </w:r>
      <w:r w:rsidRPr="00F62A24">
        <w:t xml:space="preserve"> and what time period does </w:t>
      </w:r>
      <w:r>
        <w:t xml:space="preserve">the warranty </w:t>
      </w:r>
      <w:r w:rsidRPr="00F62A24">
        <w:t>cover?</w:t>
      </w:r>
    </w:p>
    <w:p w14:paraId="4B27B5AC" w14:textId="77777777" w:rsidR="00A163F8" w:rsidRPr="00F62A24" w:rsidRDefault="00A163F8" w:rsidP="00954420">
      <w:pPr>
        <w:pStyle w:val="Bullet"/>
      </w:pPr>
      <w:r w:rsidRPr="00F62A24">
        <w:t xml:space="preserve">What are the </w:t>
      </w:r>
      <w:r>
        <w:t>refrigerator</w:t>
      </w:r>
      <w:r w:rsidR="007E44E1">
        <w:t>’</w:t>
      </w:r>
      <w:r>
        <w:t xml:space="preserve">s </w:t>
      </w:r>
      <w:r w:rsidRPr="00F62A24">
        <w:t>service requirements</w:t>
      </w:r>
      <w:r>
        <w:t>,</w:t>
      </w:r>
      <w:r w:rsidRPr="00F62A24">
        <w:t xml:space="preserve"> and what is the </w:t>
      </w:r>
      <w:r>
        <w:t>service provider</w:t>
      </w:r>
      <w:r w:rsidR="007E44E1">
        <w:t>’</w:t>
      </w:r>
      <w:r>
        <w:t xml:space="preserve">s </w:t>
      </w:r>
      <w:r w:rsidRPr="00F62A24">
        <w:t>response time?</w:t>
      </w:r>
    </w:p>
    <w:p w14:paraId="4D715602" w14:textId="77777777" w:rsidR="00A163F8" w:rsidRPr="00F62A24" w:rsidRDefault="00A163F8" w:rsidP="00954420">
      <w:pPr>
        <w:pStyle w:val="Bullet"/>
      </w:pPr>
      <w:r w:rsidRPr="00F62A24">
        <w:t>Does the supplier offer a recycling service for old refrigerators?</w:t>
      </w:r>
    </w:p>
    <w:p w14:paraId="0FFD725B" w14:textId="77ED0D66" w:rsidR="007E44E1" w:rsidRDefault="00A163F8" w:rsidP="00954420">
      <w:pPr>
        <w:pStyle w:val="Bullet"/>
      </w:pPr>
      <w:r w:rsidRPr="00F62A24">
        <w:t>What is the expected lifetime of the refrigerator</w:t>
      </w:r>
      <w:r>
        <w:t>?</w:t>
      </w:r>
      <w:r w:rsidR="00956B5D">
        <w:t xml:space="preserve"> Remembering that they need to be replace at or before 10 years of age.</w:t>
      </w:r>
    </w:p>
    <w:p w14:paraId="0918C88E" w14:textId="77777777" w:rsidR="00A163F8" w:rsidRPr="00F62A24" w:rsidRDefault="00A163F8" w:rsidP="00954420">
      <w:pPr>
        <w:pStyle w:val="Bullet"/>
      </w:pPr>
      <w:r w:rsidRPr="00F62A24">
        <w:t>Does the manufacturer carry out spatial temperature logging (mapping of the warmer and cooler spots in the refrigerator)</w:t>
      </w:r>
      <w:r>
        <w:t>,</w:t>
      </w:r>
      <w:r w:rsidRPr="00F62A24">
        <w:t xml:space="preserve"> and provide a report</w:t>
      </w:r>
      <w:r>
        <w:t xml:space="preserve"> on its findings</w:t>
      </w:r>
      <w:r w:rsidRPr="00F62A24">
        <w:t xml:space="preserve">? This must be completed before </w:t>
      </w:r>
      <w:r>
        <w:t xml:space="preserve">a provider </w:t>
      </w:r>
      <w:r w:rsidRPr="00F62A24">
        <w:t>stor</w:t>
      </w:r>
      <w:r>
        <w:t>es</w:t>
      </w:r>
      <w:r w:rsidRPr="00F62A24">
        <w:t xml:space="preserve"> vaccines in the refrigerator.</w:t>
      </w:r>
    </w:p>
    <w:p w14:paraId="16D2AB9B" w14:textId="77777777" w:rsidR="00A163F8" w:rsidRPr="002234E6" w:rsidRDefault="00A163F8" w:rsidP="00954420">
      <w:pPr>
        <w:pStyle w:val="Heading1"/>
        <w:ind w:left="0" w:firstLine="0"/>
      </w:pPr>
      <w:bookmarkStart w:id="109" w:name="_Appendix_3:_Transporting"/>
      <w:bookmarkStart w:id="110" w:name="_Appendix_2:_Transporting"/>
      <w:bookmarkStart w:id="111" w:name="_Toc469389350"/>
      <w:bookmarkStart w:id="112" w:name="_Toc9863091"/>
      <w:bookmarkStart w:id="113" w:name="_Toc18062260"/>
      <w:bookmarkEnd w:id="109"/>
      <w:bookmarkEnd w:id="110"/>
      <w:r w:rsidRPr="002234E6">
        <w:lastRenderedPageBreak/>
        <w:t>Appendix 2:</w:t>
      </w:r>
      <w:r w:rsidR="00954420">
        <w:br/>
      </w:r>
      <w:r w:rsidRPr="002234E6">
        <w:t>Transporting or storing vaccines in chilly bins</w:t>
      </w:r>
      <w:bookmarkEnd w:id="111"/>
      <w:bookmarkEnd w:id="112"/>
      <w:bookmarkEnd w:id="113"/>
    </w:p>
    <w:p w14:paraId="2B0E1FBE" w14:textId="77777777" w:rsidR="007E44E1" w:rsidRDefault="00A163F8" w:rsidP="00954420">
      <w:r w:rsidRPr="00F62A24">
        <w:t>Immunisation providers must consider the following factors when transporting or storing vaccines in chilly bins, to ensure the vaccines are kept at +2°C to +8°C. Providers will need a datalogger(s), ice packs, insulation sheets and a chilly bin to transport the vaccines</w:t>
      </w:r>
      <w:r>
        <w:t>, or any other trialled system (</w:t>
      </w:r>
      <w:proofErr w:type="spellStart"/>
      <w:r>
        <w:t>eg</w:t>
      </w:r>
      <w:proofErr w:type="spellEnd"/>
      <w:r>
        <w:t xml:space="preserve">, </w:t>
      </w:r>
      <w:proofErr w:type="spellStart"/>
      <w:r>
        <w:t>Cryopaks</w:t>
      </w:r>
      <w:proofErr w:type="spellEnd"/>
      <w:r>
        <w:t>)</w:t>
      </w:r>
      <w:r w:rsidRPr="00F62A24">
        <w:t>.</w:t>
      </w:r>
    </w:p>
    <w:p w14:paraId="57E48BF9" w14:textId="77777777" w:rsidR="00A163F8" w:rsidRPr="00F62A24" w:rsidRDefault="00A163F8" w:rsidP="00954420"/>
    <w:p w14:paraId="75DAA206" w14:textId="77777777" w:rsidR="00A163F8" w:rsidRPr="00F62A24" w:rsidRDefault="00A163F8" w:rsidP="00954420">
      <w:pPr>
        <w:rPr>
          <w:rFonts w:cs="Segoe UI"/>
        </w:rPr>
      </w:pPr>
      <w:r w:rsidRPr="00F62A24">
        <w:rPr>
          <w:rFonts w:cs="Segoe UI"/>
        </w:rPr>
        <w:t>For advice on selecting the right equipment</w:t>
      </w:r>
      <w:r>
        <w:rPr>
          <w:rFonts w:cs="Segoe UI"/>
        </w:rPr>
        <w:t>,</w:t>
      </w:r>
      <w:r w:rsidRPr="00F62A24">
        <w:rPr>
          <w:rFonts w:cs="Segoe UI"/>
        </w:rPr>
        <w:t xml:space="preserve"> </w:t>
      </w:r>
      <w:r>
        <w:rPr>
          <w:rFonts w:cs="Segoe UI"/>
        </w:rPr>
        <w:t xml:space="preserve">providers can </w:t>
      </w:r>
      <w:r w:rsidRPr="00F62A24">
        <w:rPr>
          <w:rFonts w:cs="Segoe UI"/>
        </w:rPr>
        <w:t xml:space="preserve">refer to </w:t>
      </w:r>
      <w:r>
        <w:rPr>
          <w:rFonts w:cs="Segoe UI"/>
        </w:rPr>
        <w:t>IMAC</w:t>
      </w:r>
      <w:r w:rsidR="007E44E1">
        <w:rPr>
          <w:rFonts w:cs="Segoe UI"/>
        </w:rPr>
        <w:t>’</w:t>
      </w:r>
      <w:r>
        <w:rPr>
          <w:rFonts w:cs="Segoe UI"/>
        </w:rPr>
        <w:t xml:space="preserve">s </w:t>
      </w:r>
      <w:r w:rsidRPr="00F62A24">
        <w:rPr>
          <w:rFonts w:cs="Segoe UI"/>
        </w:rPr>
        <w:t xml:space="preserve">website at </w:t>
      </w:r>
      <w:hyperlink r:id="rId29" w:history="1">
        <w:r w:rsidRPr="00F62A24">
          <w:rPr>
            <w:rStyle w:val="Hyperlink"/>
            <w:rFonts w:cs="Segoe UI"/>
          </w:rPr>
          <w:t>www.immune.org.nz/health-professionals/cold-chain</w:t>
        </w:r>
      </w:hyperlink>
      <w:r>
        <w:rPr>
          <w:rFonts w:cs="Segoe UI"/>
        </w:rPr>
        <w:t xml:space="preserve">, where they can </w:t>
      </w:r>
      <w:r w:rsidRPr="00F62A24">
        <w:rPr>
          <w:rFonts w:cs="Segoe UI"/>
        </w:rPr>
        <w:t>read the COOL Project stakeholder summary.</w:t>
      </w:r>
    </w:p>
    <w:p w14:paraId="5F86C6D3" w14:textId="77777777" w:rsidR="00A163F8" w:rsidRPr="002234E6" w:rsidRDefault="00A163F8" w:rsidP="00954420"/>
    <w:p w14:paraId="5086763A" w14:textId="77777777" w:rsidR="00A163F8" w:rsidRPr="00F62A24" w:rsidRDefault="00A163F8" w:rsidP="00954420">
      <w:pPr>
        <w:pStyle w:val="Heading2"/>
        <w:ind w:left="0" w:firstLine="0"/>
      </w:pPr>
      <w:bookmarkStart w:id="114" w:name="_Toc8139035"/>
      <w:bookmarkStart w:id="115" w:name="_Toc9863092"/>
      <w:bookmarkStart w:id="116" w:name="_Toc16689983"/>
      <w:bookmarkStart w:id="117" w:name="_Toc18062261"/>
      <w:r w:rsidRPr="00F62A24">
        <w:t>Datalogger probe placement in a chilly bin</w:t>
      </w:r>
      <w:bookmarkEnd w:id="114"/>
      <w:bookmarkEnd w:id="115"/>
      <w:bookmarkEnd w:id="116"/>
      <w:bookmarkEnd w:id="117"/>
    </w:p>
    <w:p w14:paraId="51726649" w14:textId="77777777" w:rsidR="00A163F8" w:rsidRPr="00F62A24" w:rsidRDefault="00A163F8" w:rsidP="00954420">
      <w:r>
        <w:t>Providers should s</w:t>
      </w:r>
      <w:r w:rsidRPr="00F62A24">
        <w:t>et datalogger alarms at +2°C (low alarm point) and +8°C (high alarm point)</w:t>
      </w:r>
      <w:r w:rsidR="00954420">
        <w:t>.</w:t>
      </w:r>
    </w:p>
    <w:p w14:paraId="2CCAE8D8" w14:textId="77777777" w:rsidR="00954420" w:rsidRDefault="00954420" w:rsidP="00954420"/>
    <w:p w14:paraId="7F5376A3" w14:textId="77777777" w:rsidR="00A163F8" w:rsidRDefault="00A163F8" w:rsidP="00954420">
      <w:r w:rsidRPr="00F62A24">
        <w:t>The logger probe can be placed in a block of polyethylene foam approximately 60 x 60 x 40mm or an empty vaccine box or in glycol solution, and placed in the chilly bin</w:t>
      </w:r>
      <w:r>
        <w:t>.</w:t>
      </w:r>
    </w:p>
    <w:p w14:paraId="3FFB590E" w14:textId="77777777" w:rsidR="00954420" w:rsidRPr="00F62A24" w:rsidRDefault="00954420" w:rsidP="00954420"/>
    <w:p w14:paraId="28944215" w14:textId="77777777" w:rsidR="00A163F8" w:rsidRDefault="00A163F8" w:rsidP="00954420">
      <w:r>
        <w:t>Providers should m</w:t>
      </w:r>
      <w:r w:rsidRPr="00F62A24">
        <w:t>onitor the temperature in the middle of, and ideally at the same level as</w:t>
      </w:r>
      <w:r>
        <w:t>,</w:t>
      </w:r>
      <w:r w:rsidRPr="00F62A24">
        <w:t xml:space="preserve"> the boxes of vaccine closest to the cooling product in the chilly bin</w:t>
      </w:r>
      <w:r>
        <w:t>.</w:t>
      </w:r>
    </w:p>
    <w:p w14:paraId="5AB7EADB" w14:textId="77777777" w:rsidR="00954420" w:rsidRPr="00F62A24" w:rsidRDefault="00954420" w:rsidP="00954420"/>
    <w:p w14:paraId="5CB9BB7C" w14:textId="77777777" w:rsidR="00A163F8" w:rsidRPr="00F62A24" w:rsidRDefault="00A163F8" w:rsidP="00954420">
      <w:r w:rsidRPr="00F62A24">
        <w:t xml:space="preserve">If an audible low temperature alarm sounds, or a manual temperature reading is at +3°C or lower, </w:t>
      </w:r>
      <w:r>
        <w:t xml:space="preserve">the provider should </w:t>
      </w:r>
      <w:r w:rsidRPr="00F62A24">
        <w:t>remove ice packs and continue to monitor every</w:t>
      </w:r>
      <w:r w:rsidR="00954420">
        <w:br/>
      </w:r>
      <w:r w:rsidRPr="00F62A24">
        <w:t>3</w:t>
      </w:r>
      <w:r>
        <w:t>–</w:t>
      </w:r>
      <w:r w:rsidRPr="00F62A24">
        <w:t xml:space="preserve">5 minutes until the temperature stabilises at a higher point. If the temperature continues to drop, </w:t>
      </w:r>
      <w:r>
        <w:t xml:space="preserve">they should </w:t>
      </w:r>
      <w:r w:rsidRPr="00F62A24">
        <w:t>remove all ice packs and leave the chilly bin open until the temperature stops dropping and increases to +3°C or higher (but below +7°C).</w:t>
      </w:r>
    </w:p>
    <w:p w14:paraId="5C5A5B69" w14:textId="77777777" w:rsidR="00954420" w:rsidRDefault="00954420" w:rsidP="00954420"/>
    <w:p w14:paraId="1171C368" w14:textId="77777777" w:rsidR="00A163F8" w:rsidRPr="00F62A24" w:rsidRDefault="00A163F8" w:rsidP="00954420">
      <w:r w:rsidRPr="00F62A24">
        <w:t xml:space="preserve">If an audible high temperature alarm sounds, or a manual temperature reading is at +7°C or higher, </w:t>
      </w:r>
      <w:r>
        <w:t xml:space="preserve">the provider should </w:t>
      </w:r>
      <w:r w:rsidRPr="00F62A24">
        <w:t>add ice packs and continue to monitor every</w:t>
      </w:r>
      <w:r w:rsidR="00954420">
        <w:br/>
      </w:r>
      <w:r w:rsidRPr="00F62A24">
        <w:t>3</w:t>
      </w:r>
      <w:r>
        <w:t>–</w:t>
      </w:r>
      <w:r w:rsidRPr="00F62A24">
        <w:t>5 minutes until the temperature stabilises at a lower point (but above +3°C).</w:t>
      </w:r>
    </w:p>
    <w:p w14:paraId="546234B6" w14:textId="77777777" w:rsidR="00A163F8" w:rsidRPr="00F62A24" w:rsidRDefault="00A163F8" w:rsidP="00954420"/>
    <w:p w14:paraId="568D1257" w14:textId="77777777" w:rsidR="00A163F8" w:rsidRPr="00F62A24" w:rsidRDefault="00A163F8" w:rsidP="00954420">
      <w:r w:rsidRPr="00F62A24">
        <w:t>Note: The datalogger temperature reading should be used as an early warning as to what could happen inside the boxes of vaccine if action is not taken to either reduce or increase the chilly bin</w:t>
      </w:r>
      <w:r w:rsidR="007E44E1">
        <w:t>’</w:t>
      </w:r>
      <w:r w:rsidRPr="00F62A24">
        <w:t>s temperature.</w:t>
      </w:r>
    </w:p>
    <w:p w14:paraId="7D0586D7" w14:textId="77777777" w:rsidR="00A163F8" w:rsidRPr="00F62A24" w:rsidRDefault="00A163F8" w:rsidP="00954420"/>
    <w:p w14:paraId="5812F43E" w14:textId="77777777" w:rsidR="007E44E1" w:rsidRDefault="00A163F8" w:rsidP="00954420">
      <w:pPr>
        <w:pStyle w:val="Heading2"/>
        <w:ind w:left="0" w:firstLine="0"/>
      </w:pPr>
      <w:bookmarkStart w:id="118" w:name="_Toc8139036"/>
      <w:bookmarkStart w:id="119" w:name="_Toc9863093"/>
      <w:bookmarkStart w:id="120" w:name="_Toc16689984"/>
      <w:bookmarkStart w:id="121" w:name="_Toc18062262"/>
      <w:r w:rsidRPr="00F62A24">
        <w:lastRenderedPageBreak/>
        <w:t>Storing and using ice packs and other cooling products</w:t>
      </w:r>
      <w:bookmarkEnd w:id="118"/>
      <w:bookmarkEnd w:id="119"/>
      <w:bookmarkEnd w:id="120"/>
      <w:bookmarkEnd w:id="121"/>
    </w:p>
    <w:p w14:paraId="6A30DE64" w14:textId="77777777" w:rsidR="00A163F8" w:rsidRPr="00F62A24" w:rsidRDefault="00A163F8" w:rsidP="00954420">
      <w:r w:rsidRPr="00F62A24">
        <w:t xml:space="preserve">Large sheets of gel pack ice replacement are the recommended cooling product (the generic term </w:t>
      </w:r>
      <w:r w:rsidR="007E44E1">
        <w:t>‘</w:t>
      </w:r>
      <w:r w:rsidRPr="00F62A24">
        <w:t>ice pack</w:t>
      </w:r>
      <w:r w:rsidR="007E44E1">
        <w:t>’</w:t>
      </w:r>
      <w:r w:rsidRPr="00F62A24">
        <w:t xml:space="preserve"> is used throughout this document)</w:t>
      </w:r>
      <w:r>
        <w:t>.</w:t>
      </w:r>
      <w:r w:rsidRPr="00F62A24">
        <w:t xml:space="preserve"> </w:t>
      </w:r>
      <w:r>
        <w:t>W</w:t>
      </w:r>
      <w:r w:rsidRPr="00F62A24">
        <w:t>here traditional ice packs are used, they should be the flat bottle type, about 35 mm thick. Slimmer models tend to thaw out more quickly.</w:t>
      </w:r>
    </w:p>
    <w:p w14:paraId="6FD0836F" w14:textId="77777777" w:rsidR="00954420" w:rsidRDefault="00954420" w:rsidP="00954420"/>
    <w:p w14:paraId="2D4F22C0" w14:textId="77777777" w:rsidR="00A163F8" w:rsidRPr="00F62A24" w:rsidRDefault="00A163F8" w:rsidP="00954420">
      <w:r w:rsidRPr="00F62A24">
        <w:t>Ice packs must be frozen, not refrigerated. When freezing traditional ice packs, set them on their edge in the freezer and space them to allow for even freezing.</w:t>
      </w:r>
    </w:p>
    <w:p w14:paraId="4FF4E91B" w14:textId="77777777" w:rsidR="00954420" w:rsidRDefault="00954420" w:rsidP="00954420"/>
    <w:p w14:paraId="019F83FC" w14:textId="77777777" w:rsidR="00A163F8" w:rsidRPr="00F62A24" w:rsidRDefault="00A163F8" w:rsidP="00954420">
      <w:r w:rsidRPr="00F62A24">
        <w:t>The number of ice packs needed to keep the vaccines at +2°C to +8°C throughout the time they are transported or stored will depend on:</w:t>
      </w:r>
    </w:p>
    <w:p w14:paraId="5F96FF7C" w14:textId="77777777" w:rsidR="00A163F8" w:rsidRPr="00F62A24" w:rsidRDefault="00A163F8" w:rsidP="00954420">
      <w:pPr>
        <w:pStyle w:val="Bullet"/>
      </w:pPr>
      <w:r w:rsidRPr="00F62A24">
        <w:t>the size of the container</w:t>
      </w:r>
    </w:p>
    <w:p w14:paraId="3ED426F1" w14:textId="77777777" w:rsidR="00A163F8" w:rsidRPr="00F62A24" w:rsidRDefault="00A163F8" w:rsidP="00954420">
      <w:pPr>
        <w:pStyle w:val="Bullet"/>
      </w:pPr>
      <w:r w:rsidRPr="00F62A24">
        <w:t>the length of time storage is required</w:t>
      </w:r>
    </w:p>
    <w:p w14:paraId="6BE6CA42" w14:textId="77777777" w:rsidR="00A163F8" w:rsidRPr="00F62A24" w:rsidRDefault="00A163F8" w:rsidP="00954420">
      <w:pPr>
        <w:pStyle w:val="Bullet"/>
      </w:pPr>
      <w:r w:rsidRPr="00F62A24">
        <w:t>environmental conditions.</w:t>
      </w:r>
    </w:p>
    <w:p w14:paraId="0FEA3699" w14:textId="77777777" w:rsidR="00954420" w:rsidRDefault="00954420" w:rsidP="00954420"/>
    <w:p w14:paraId="273D3F5C" w14:textId="77777777" w:rsidR="00A163F8" w:rsidRPr="00F62A24" w:rsidRDefault="00A163F8" w:rsidP="00954420">
      <w:r>
        <w:t xml:space="preserve">Providers </w:t>
      </w:r>
      <w:r w:rsidRPr="00F62A24">
        <w:t>should have enough ice packs to ensure the temperature within the chilly bin remain</w:t>
      </w:r>
      <w:r>
        <w:t>s</w:t>
      </w:r>
      <w:r w:rsidRPr="00F62A24">
        <w:t xml:space="preserve"> within the +2°C to +8°C range.</w:t>
      </w:r>
    </w:p>
    <w:p w14:paraId="73B4739A" w14:textId="77777777" w:rsidR="00954420" w:rsidRDefault="00954420" w:rsidP="00954420"/>
    <w:p w14:paraId="6CC3CA36" w14:textId="77777777" w:rsidR="00A163F8" w:rsidRPr="00F62A24" w:rsidRDefault="00A163F8" w:rsidP="00954420">
      <w:r w:rsidRPr="00F62A24">
        <w:t xml:space="preserve">Ice packs should be frost-free before </w:t>
      </w:r>
      <w:r>
        <w:t xml:space="preserve">the provider </w:t>
      </w:r>
      <w:r w:rsidRPr="00F62A24">
        <w:t>place</w:t>
      </w:r>
      <w:r>
        <w:t>s</w:t>
      </w:r>
      <w:r w:rsidRPr="00F62A24">
        <w:t xml:space="preserve"> them in the chilly bin (</w:t>
      </w:r>
      <w:proofErr w:type="spellStart"/>
      <w:r>
        <w:t>ie</w:t>
      </w:r>
      <w:proofErr w:type="spellEnd"/>
      <w:r>
        <w:t xml:space="preserve">, </w:t>
      </w:r>
      <w:r w:rsidRPr="00F62A24">
        <w:t>ice should no longer form on the surface).</w:t>
      </w:r>
    </w:p>
    <w:p w14:paraId="2E316FC8" w14:textId="77777777" w:rsidR="00954420" w:rsidRDefault="00954420" w:rsidP="00954420"/>
    <w:p w14:paraId="399A105E" w14:textId="77777777" w:rsidR="00A163F8" w:rsidRPr="00F62A24" w:rsidRDefault="00A163F8" w:rsidP="00954420">
      <w:r w:rsidRPr="00F62A24">
        <w:t>There is a risk of vaccines freezing if ice packs are not used correctly. Note that fewer commercial ice packs may be required to achieve the required temperature range of +2°C to +8°C. Additives in some commercial ice packs depress their melting point.</w:t>
      </w:r>
    </w:p>
    <w:p w14:paraId="6672AF47" w14:textId="77777777" w:rsidR="00954420" w:rsidRDefault="00954420" w:rsidP="00954420"/>
    <w:p w14:paraId="58BB1B6C" w14:textId="77777777" w:rsidR="00A163F8" w:rsidRPr="00F62A24" w:rsidRDefault="00A163F8" w:rsidP="00954420">
      <w:r w:rsidRPr="00F62A24">
        <w:t>To transport vaccines over longer periods (</w:t>
      </w:r>
      <w:proofErr w:type="spellStart"/>
      <w:r>
        <w:t>eg</w:t>
      </w:r>
      <w:proofErr w:type="spellEnd"/>
      <w:r w:rsidRPr="00F62A24">
        <w:t xml:space="preserve">, for a school-based immunisation programme or an outreach immunisation service), </w:t>
      </w:r>
      <w:r>
        <w:t xml:space="preserve">providers should </w:t>
      </w:r>
      <w:r w:rsidRPr="00F62A24">
        <w:t>take an extra transport container of ice packs to top up the chilly bin containing the vaccines as necessary to maintain the temperature in the +2°C to +8°C range.</w:t>
      </w:r>
    </w:p>
    <w:p w14:paraId="1D17D5E7" w14:textId="77777777" w:rsidR="00A163F8" w:rsidRPr="00F62A24" w:rsidRDefault="00A163F8" w:rsidP="00954420"/>
    <w:p w14:paraId="3675C653" w14:textId="77777777" w:rsidR="00A163F8" w:rsidRPr="00F62A24" w:rsidRDefault="00A163F8" w:rsidP="00954420">
      <w:pPr>
        <w:pStyle w:val="Heading2"/>
        <w:ind w:left="0" w:firstLine="0"/>
      </w:pPr>
      <w:bookmarkStart w:id="122" w:name="_Toc8139037"/>
      <w:bookmarkStart w:id="123" w:name="_Toc9863094"/>
      <w:bookmarkStart w:id="124" w:name="_Toc16689985"/>
      <w:bookmarkStart w:id="125" w:name="_Toc18062263"/>
      <w:r w:rsidRPr="00F62A24">
        <w:lastRenderedPageBreak/>
        <w:t>Packing vaccines for transport or storage in chilly bins</w:t>
      </w:r>
      <w:bookmarkEnd w:id="122"/>
      <w:bookmarkEnd w:id="123"/>
      <w:bookmarkEnd w:id="124"/>
      <w:bookmarkEnd w:id="125"/>
    </w:p>
    <w:p w14:paraId="5F463BF6" w14:textId="77777777" w:rsidR="007E44E1" w:rsidRDefault="00A163F8" w:rsidP="00954420">
      <w:pPr>
        <w:keepNext/>
      </w:pPr>
      <w:r w:rsidRPr="00F62A24">
        <w:t>The amount of vaccine to be transported or stored will determine the size of the chilly bin required.</w:t>
      </w:r>
    </w:p>
    <w:p w14:paraId="24773618" w14:textId="77777777" w:rsidR="00A163F8" w:rsidRPr="00F62A24" w:rsidRDefault="00A163F8" w:rsidP="00954420">
      <w:pPr>
        <w:keepNext/>
      </w:pPr>
    </w:p>
    <w:p w14:paraId="0C62F583" w14:textId="77777777" w:rsidR="007E44E1" w:rsidRDefault="00A163F8" w:rsidP="00954420">
      <w:pPr>
        <w:keepNext/>
      </w:pPr>
      <w:r w:rsidRPr="00F62A24">
        <w:t>In hotter weather, additional ice packs may be needed for precooling to reach the acceptable temperature within 30 minutes. Alternatively, precooling ice packs can be left in the chilly bin overnight.</w:t>
      </w:r>
    </w:p>
    <w:p w14:paraId="4B715E4F" w14:textId="77777777" w:rsidR="00A163F8" w:rsidRPr="00F62A24" w:rsidRDefault="00A163F8" w:rsidP="00954420">
      <w:pPr>
        <w:keepNext/>
      </w:pPr>
    </w:p>
    <w:p w14:paraId="573BCD9F" w14:textId="77777777" w:rsidR="00A163F8" w:rsidRPr="00F62A24" w:rsidRDefault="00A163F8" w:rsidP="00954420">
      <w:pPr>
        <w:keepNext/>
      </w:pPr>
      <w:r w:rsidRPr="00F62A24">
        <w:t>Providers need to trial any alternative equipment and show that they can maintain a temperature of between +2°C to +8°C at all times.</w:t>
      </w:r>
    </w:p>
    <w:p w14:paraId="2C4C2D32" w14:textId="77777777" w:rsidR="00A163F8" w:rsidRPr="00F62A24" w:rsidRDefault="00A163F8" w:rsidP="00954420"/>
    <w:p w14:paraId="016EA83E" w14:textId="77777777" w:rsidR="00A163F8" w:rsidRPr="00954420" w:rsidRDefault="00A163F8" w:rsidP="00954420">
      <w:r w:rsidRPr="00F62A24">
        <w:t>Packing requires two pieces of insulation mat</w:t>
      </w:r>
      <w:r>
        <w:t>:</w:t>
      </w:r>
      <w:r w:rsidRPr="00F62A24">
        <w:t xml:space="preserve"> one for below the vaccine and one for above. The bottom mat should fit the chilly bin; the top mat should be cut larger to allow for 1</w:t>
      </w:r>
      <w:r>
        <w:t>–</w:t>
      </w:r>
      <w:r w:rsidRPr="00F62A24">
        <w:t>2</w:t>
      </w:r>
      <w:r>
        <w:t> </w:t>
      </w:r>
      <w:r w:rsidRPr="00F62A24">
        <w:t xml:space="preserve">cm to go up the sides of the chilly bin. A full packing and monitoring protocol can be found in the COOL Project stakeholder summary on the </w:t>
      </w:r>
      <w:r>
        <w:t xml:space="preserve">IMAC </w:t>
      </w:r>
      <w:r w:rsidRPr="00F62A24">
        <w:t>website</w:t>
      </w:r>
      <w:r>
        <w:t>:</w:t>
      </w:r>
      <w:r w:rsidRPr="00F62A24">
        <w:t xml:space="preserve"> </w:t>
      </w:r>
      <w:hyperlink r:id="rId30" w:history="1">
        <w:r w:rsidRPr="00F62A24">
          <w:rPr>
            <w:rStyle w:val="Hyperlink"/>
            <w:rFonts w:cs="Segoe UI"/>
          </w:rPr>
          <w:t>www.immune.org.nz/health-professionals/cold-chain</w:t>
        </w:r>
      </w:hyperlink>
      <w:r w:rsidR="00954420" w:rsidRPr="00954420">
        <w:t>.</w:t>
      </w:r>
    </w:p>
    <w:p w14:paraId="0D38F42B" w14:textId="77777777" w:rsidR="00A163F8" w:rsidRPr="002234E6" w:rsidRDefault="00A163F8" w:rsidP="00954420"/>
    <w:p w14:paraId="5CFBDE73" w14:textId="77777777" w:rsidR="00A163F8" w:rsidRPr="002234E6" w:rsidRDefault="00A163F8" w:rsidP="00954420">
      <w:pPr>
        <w:pStyle w:val="Heading1"/>
        <w:ind w:left="0" w:firstLine="0"/>
      </w:pPr>
      <w:bookmarkStart w:id="126" w:name="_Appendix_4:_Data"/>
      <w:bookmarkStart w:id="127" w:name="_Toc334179089"/>
      <w:bookmarkStart w:id="128" w:name="_Toc469389351"/>
      <w:bookmarkStart w:id="129" w:name="_Toc9863095"/>
      <w:bookmarkStart w:id="130" w:name="_Toc18062264"/>
      <w:bookmarkEnd w:id="126"/>
      <w:r w:rsidRPr="002234E6">
        <w:lastRenderedPageBreak/>
        <w:t>Appendix 3:</w:t>
      </w:r>
      <w:r w:rsidR="00954420">
        <w:br/>
      </w:r>
      <w:r w:rsidRPr="002234E6">
        <w:t>Dataloggers and digital minimum/maximum thermometers</w:t>
      </w:r>
      <w:bookmarkEnd w:id="127"/>
      <w:bookmarkEnd w:id="128"/>
      <w:bookmarkEnd w:id="129"/>
      <w:bookmarkEnd w:id="130"/>
    </w:p>
    <w:p w14:paraId="4591DC66" w14:textId="77777777" w:rsidR="00A163F8" w:rsidRPr="002234E6" w:rsidRDefault="00A163F8" w:rsidP="00954420">
      <w:pPr>
        <w:pStyle w:val="Heading2"/>
      </w:pPr>
      <w:bookmarkStart w:id="131" w:name="_Toc9863096"/>
      <w:bookmarkStart w:id="132" w:name="_Toc16689987"/>
      <w:bookmarkStart w:id="133" w:name="_Toc18062265"/>
      <w:r w:rsidRPr="002234E6">
        <w:t>Dataloggers</w:t>
      </w:r>
      <w:bookmarkEnd w:id="131"/>
      <w:bookmarkEnd w:id="132"/>
      <w:bookmarkEnd w:id="133"/>
    </w:p>
    <w:p w14:paraId="07C10588" w14:textId="302844B6" w:rsidR="00A163F8" w:rsidRPr="002234E6" w:rsidRDefault="00956B5D" w:rsidP="00954420">
      <w:r>
        <w:rPr>
          <w:bCs/>
        </w:rPr>
        <w:t>E</w:t>
      </w:r>
      <w:r w:rsidRPr="002234E6">
        <w:rPr>
          <w:bCs/>
        </w:rPr>
        <w:t>lectronic temperature recording device</w:t>
      </w:r>
      <w:r>
        <w:rPr>
          <w:bCs/>
        </w:rPr>
        <w:t xml:space="preserve">s (dataloggers) and </w:t>
      </w:r>
      <w:r>
        <w:t>c</w:t>
      </w:r>
      <w:r w:rsidR="00A163F8">
        <w:t xml:space="preserve">ontinuous monitoring systems </w:t>
      </w:r>
      <w:r w:rsidR="00A163F8" w:rsidRPr="002234E6">
        <w:t>are recommended as the gold standard for immunisation providers to monitor the cold chain of the vaccines they store and/or transport. If a power outage or a cold chain breach occurs, dataloggers provide a means of identifying how long the vaccines have been exposed to temperatures outside the required range.</w:t>
      </w:r>
    </w:p>
    <w:p w14:paraId="12FDE908" w14:textId="77777777" w:rsidR="00A163F8" w:rsidRPr="002234E6" w:rsidRDefault="00A163F8" w:rsidP="00954420"/>
    <w:p w14:paraId="31E19B58" w14:textId="77777777" w:rsidR="00A163F8" w:rsidRPr="002234E6" w:rsidRDefault="00A163F8" w:rsidP="00954420">
      <w:r w:rsidRPr="002234E6">
        <w:t>Dataloggers are a self-contained temperature recording device</w:t>
      </w:r>
      <w:r>
        <w:t>;</w:t>
      </w:r>
      <w:r w:rsidRPr="002234E6">
        <w:t xml:space="preserve"> they come in many shapes and sizes. It is necessary to configure them on a computer before placing them in the refrigerator.</w:t>
      </w:r>
    </w:p>
    <w:p w14:paraId="371144BA" w14:textId="77777777" w:rsidR="00A163F8" w:rsidRPr="002234E6" w:rsidRDefault="00A163F8" w:rsidP="00954420"/>
    <w:p w14:paraId="2C867188" w14:textId="611237E7" w:rsidR="00A163F8" w:rsidRPr="002234E6" w:rsidRDefault="00A163F8" w:rsidP="00954420">
      <w:r w:rsidRPr="002234E6">
        <w:t xml:space="preserve">Dataloggers should be </w:t>
      </w:r>
      <w:proofErr w:type="spellStart"/>
      <w:r w:rsidRPr="002234E6">
        <w:t>preset</w:t>
      </w:r>
      <w:proofErr w:type="spellEnd"/>
      <w:r w:rsidRPr="002234E6">
        <w:t xml:space="preserve"> to record the current temperature every </w:t>
      </w:r>
      <w:r w:rsidR="00B11EBF">
        <w:t>10 </w:t>
      </w:r>
      <w:r w:rsidRPr="002234E6">
        <w:t>minutes in refrigerators (a five-minute interval is recommended</w:t>
      </w:r>
      <w:r>
        <w:t>,</w:t>
      </w:r>
      <w:r w:rsidRPr="002234E6">
        <w:t xml:space="preserve"> if the logger has the capacity) and every five minutes in chilly bins. </w:t>
      </w:r>
      <w:r>
        <w:t xml:space="preserve">Providers </w:t>
      </w:r>
      <w:r w:rsidRPr="002234E6">
        <w:t xml:space="preserve">need to reconnect the datalogger to </w:t>
      </w:r>
      <w:r>
        <w:t xml:space="preserve">a </w:t>
      </w:r>
      <w:r w:rsidRPr="002234E6">
        <w:t>computer to download</w:t>
      </w:r>
      <w:r>
        <w:t>/access</w:t>
      </w:r>
      <w:r w:rsidRPr="002234E6">
        <w:t xml:space="preserve"> and save the information</w:t>
      </w:r>
      <w:r>
        <w:t xml:space="preserve"> the datalogger records</w:t>
      </w:r>
      <w:r w:rsidRPr="002234E6">
        <w:t xml:space="preserve">. </w:t>
      </w:r>
      <w:r>
        <w:t xml:space="preserve">They </w:t>
      </w:r>
      <w:r w:rsidRPr="002234E6">
        <w:t>must review the information every week and compare it with recordings from the minimum/maximum thermometer.</w:t>
      </w:r>
    </w:p>
    <w:p w14:paraId="3CBE3FB4" w14:textId="77777777" w:rsidR="00A163F8" w:rsidRPr="002234E6" w:rsidRDefault="00A163F8" w:rsidP="00954420"/>
    <w:p w14:paraId="699EB94D" w14:textId="57EBE212" w:rsidR="00A163F8" w:rsidRPr="00F62A24" w:rsidRDefault="00A163F8" w:rsidP="00954420">
      <w:r w:rsidRPr="002234E6">
        <w:t xml:space="preserve">With a cloud-based </w:t>
      </w:r>
      <w:r w:rsidR="0038129C">
        <w:t xml:space="preserve">continuous </w:t>
      </w:r>
      <w:r w:rsidRPr="002234E6">
        <w:t xml:space="preserve">monitoring system, </w:t>
      </w:r>
      <w:r>
        <w:t xml:space="preserve">providers </w:t>
      </w:r>
      <w:r w:rsidRPr="002234E6">
        <w:t xml:space="preserve">need to log in via the web portal to review the information being sent via the logger in the refrigerator. </w:t>
      </w:r>
      <w:r w:rsidRPr="00F62A24">
        <w:t xml:space="preserve">Providers with cloud-based monitoring </w:t>
      </w:r>
      <w:r>
        <w:t xml:space="preserve">must </w:t>
      </w:r>
      <w:r w:rsidRPr="00F62A24">
        <w:t xml:space="preserve">review this data at least weekly and compare </w:t>
      </w:r>
      <w:r>
        <w:t xml:space="preserve">it </w:t>
      </w:r>
      <w:r w:rsidRPr="00F62A24">
        <w:t>with recordings from the minimum/maximum thermometer</w:t>
      </w:r>
      <w:r>
        <w:t xml:space="preserve">; they should document </w:t>
      </w:r>
      <w:r w:rsidRPr="00F62A24">
        <w:t>this in the</w:t>
      </w:r>
      <w:r>
        <w:t>ir</w:t>
      </w:r>
      <w:r w:rsidRPr="00F62A24">
        <w:t xml:space="preserve"> cold chain records.</w:t>
      </w:r>
    </w:p>
    <w:p w14:paraId="0937A1CF" w14:textId="77777777" w:rsidR="00A163F8" w:rsidRPr="002234E6" w:rsidRDefault="00A163F8" w:rsidP="00954420"/>
    <w:p w14:paraId="364725B7" w14:textId="77777777" w:rsidR="00A163F8" w:rsidRPr="002234E6" w:rsidRDefault="00A163F8" w:rsidP="00954420">
      <w:r>
        <w:t>Providers should b</w:t>
      </w:r>
      <w:r w:rsidRPr="002234E6">
        <w:t>e aware that because datalogger</w:t>
      </w:r>
      <w:r>
        <w:t>s</w:t>
      </w:r>
      <w:r w:rsidRPr="002234E6">
        <w:t xml:space="preserve"> and digital thermometer</w:t>
      </w:r>
      <w:r>
        <w:t>s</w:t>
      </w:r>
      <w:r w:rsidRPr="002234E6">
        <w:t xml:space="preserve"> usually monitor different areas of the refrigerator, the recordings should be consistent but will not be exactly the same.</w:t>
      </w:r>
    </w:p>
    <w:p w14:paraId="627EBB10" w14:textId="77777777" w:rsidR="00A163F8" w:rsidRPr="002234E6" w:rsidRDefault="00A163F8" w:rsidP="00954420"/>
    <w:p w14:paraId="32DB4FFF" w14:textId="77777777" w:rsidR="00A163F8" w:rsidRPr="00F62A24" w:rsidRDefault="00A163F8" w:rsidP="00954420">
      <w:pPr>
        <w:keepLines/>
        <w:rPr>
          <w:spacing w:val="-2"/>
        </w:rPr>
      </w:pPr>
      <w:r w:rsidRPr="002234E6">
        <w:lastRenderedPageBreak/>
        <w:t xml:space="preserve">Immunisation coordinators or CCA reviewers use their own calibrated dataloggers (three) to concurrently monitor different areas within a refrigerator during the CCA or CCC process </w:t>
      </w:r>
      <w:r>
        <w:t>(</w:t>
      </w:r>
      <w:r w:rsidRPr="00F62A24">
        <w:t>or three</w:t>
      </w:r>
      <w:r>
        <w:t>-</w:t>
      </w:r>
      <w:r w:rsidRPr="00F62A24">
        <w:t xml:space="preserve">yearly </w:t>
      </w:r>
      <w:r>
        <w:t xml:space="preserve">for </w:t>
      </w:r>
      <w:r w:rsidRPr="00F62A24">
        <w:t>community pharmacies</w:t>
      </w:r>
      <w:r>
        <w:t>)</w:t>
      </w:r>
      <w:r w:rsidRPr="002234E6">
        <w:t xml:space="preserve">. This </w:t>
      </w:r>
      <w:r w:rsidRPr="002234E6">
        <w:rPr>
          <w:spacing w:val="-2"/>
        </w:rPr>
        <w:t>concurrent monitoring indicates if the temperature varies within the refrigerator</w:t>
      </w:r>
      <w:r>
        <w:rPr>
          <w:spacing w:val="-2"/>
        </w:rPr>
        <w:t>,</w:t>
      </w:r>
      <w:r w:rsidRPr="002234E6">
        <w:rPr>
          <w:spacing w:val="-2"/>
        </w:rPr>
        <w:t xml:space="preserve"> and is an independent validation of the refrigerator temperature monitoring system that is required for CCA. </w:t>
      </w:r>
      <w:r w:rsidRPr="00F62A24">
        <w:rPr>
          <w:spacing w:val="-2"/>
        </w:rPr>
        <w:t xml:space="preserve">Other monitoring equipment can be validated at the same time </w:t>
      </w:r>
      <w:r>
        <w:rPr>
          <w:spacing w:val="-2"/>
        </w:rPr>
        <w:t>(</w:t>
      </w:r>
      <w:proofErr w:type="spellStart"/>
      <w:r w:rsidRPr="00F62A24">
        <w:rPr>
          <w:spacing w:val="-2"/>
        </w:rPr>
        <w:t>eg</w:t>
      </w:r>
      <w:proofErr w:type="spellEnd"/>
      <w:r>
        <w:rPr>
          <w:spacing w:val="-2"/>
        </w:rPr>
        <w:t>,</w:t>
      </w:r>
      <w:r w:rsidRPr="00F62A24">
        <w:rPr>
          <w:spacing w:val="-2"/>
        </w:rPr>
        <w:t xml:space="preserve"> </w:t>
      </w:r>
      <w:r>
        <w:rPr>
          <w:spacing w:val="-2"/>
        </w:rPr>
        <w:t xml:space="preserve">a </w:t>
      </w:r>
      <w:r w:rsidRPr="00F62A24">
        <w:rPr>
          <w:spacing w:val="-2"/>
        </w:rPr>
        <w:t>min</w:t>
      </w:r>
      <w:r>
        <w:rPr>
          <w:spacing w:val="-2"/>
        </w:rPr>
        <w:t>imum</w:t>
      </w:r>
      <w:r w:rsidRPr="00F62A24">
        <w:rPr>
          <w:spacing w:val="-2"/>
        </w:rPr>
        <w:t>/</w:t>
      </w:r>
      <w:r w:rsidR="00954420">
        <w:rPr>
          <w:spacing w:val="-2"/>
        </w:rPr>
        <w:t xml:space="preserve"> </w:t>
      </w:r>
      <w:r w:rsidRPr="00F62A24">
        <w:rPr>
          <w:spacing w:val="-2"/>
        </w:rPr>
        <w:t>max</w:t>
      </w:r>
      <w:r>
        <w:rPr>
          <w:spacing w:val="-2"/>
        </w:rPr>
        <w:t>imum</w:t>
      </w:r>
      <w:r w:rsidRPr="00F62A24">
        <w:rPr>
          <w:spacing w:val="-2"/>
        </w:rPr>
        <w:t xml:space="preserve"> thermometer or datalogger could be put into the fridge during the same time period</w:t>
      </w:r>
      <w:r>
        <w:rPr>
          <w:spacing w:val="-2"/>
        </w:rPr>
        <w:t>)</w:t>
      </w:r>
      <w:r w:rsidRPr="00F62A24">
        <w:rPr>
          <w:spacing w:val="-2"/>
        </w:rPr>
        <w:t>.</w:t>
      </w:r>
    </w:p>
    <w:p w14:paraId="2298B4CB" w14:textId="77777777" w:rsidR="00A163F8" w:rsidRDefault="00A163F8" w:rsidP="00954420"/>
    <w:p w14:paraId="575C8A57" w14:textId="77777777" w:rsidR="00A163F8" w:rsidRPr="002234E6" w:rsidRDefault="00A163F8" w:rsidP="00954420">
      <w:r w:rsidRPr="002234E6">
        <w:t>An increasing number of brands of electronic dataloggers are available. They have the following characteristics in common. (Note that providers should always be aware of the individual manufacturer</w:t>
      </w:r>
      <w:r w:rsidR="007E44E1">
        <w:t>’</w:t>
      </w:r>
      <w:r w:rsidRPr="002234E6">
        <w:t>s specifications.)</w:t>
      </w:r>
    </w:p>
    <w:p w14:paraId="14340719" w14:textId="77777777" w:rsidR="00A163F8" w:rsidRPr="002234E6" w:rsidRDefault="00A163F8" w:rsidP="00954420">
      <w:pPr>
        <w:pStyle w:val="Bullet"/>
      </w:pPr>
      <w:r w:rsidRPr="002234E6">
        <w:t>The manufacturers</w:t>
      </w:r>
      <w:r w:rsidR="007E44E1">
        <w:t>’</w:t>
      </w:r>
      <w:r w:rsidRPr="002234E6">
        <w:t xml:space="preserve"> guarantees range from one to three years, usually.</w:t>
      </w:r>
    </w:p>
    <w:p w14:paraId="2B00F53E" w14:textId="77777777" w:rsidR="00A163F8" w:rsidRPr="002234E6" w:rsidRDefault="00A163F8" w:rsidP="00954420">
      <w:pPr>
        <w:pStyle w:val="Bullet"/>
      </w:pPr>
      <w:r w:rsidRPr="002234E6">
        <w:t>The loggers</w:t>
      </w:r>
      <w:r w:rsidR="007E44E1">
        <w:t>’</w:t>
      </w:r>
      <w:r w:rsidRPr="002234E6">
        <w:t xml:space="preserve"> accuracy at 0°C ranges from ±0.2°C to ±0.3°C at temperatures of –10°C to +70ºC.</w:t>
      </w:r>
    </w:p>
    <w:p w14:paraId="5ECD16FA" w14:textId="77777777" w:rsidR="00A163F8" w:rsidRPr="002234E6" w:rsidRDefault="00A163F8" w:rsidP="00954420">
      <w:pPr>
        <w:pStyle w:val="Bullet"/>
      </w:pPr>
      <w:r w:rsidRPr="002234E6">
        <w:t>The life span for loggers will depend on the environment in which they are being used (</w:t>
      </w:r>
      <w:proofErr w:type="spellStart"/>
      <w:r>
        <w:t>eg</w:t>
      </w:r>
      <w:proofErr w:type="spellEnd"/>
      <w:r w:rsidRPr="002234E6">
        <w:t>, the temperature range they are exposed to, the sample rate/logging interval and the number of uses) and whether they are being used correctly.</w:t>
      </w:r>
    </w:p>
    <w:p w14:paraId="7CF74B49" w14:textId="77777777" w:rsidR="00A163F8" w:rsidRPr="002234E6" w:rsidRDefault="00A163F8" w:rsidP="00954420"/>
    <w:p w14:paraId="361020E3" w14:textId="77777777" w:rsidR="00A163F8" w:rsidRPr="0082355B" w:rsidRDefault="00A163F8" w:rsidP="00954420">
      <w:r w:rsidRPr="002234E6">
        <w:t>When buying a datalogger, providers should request a manufacturer</w:t>
      </w:r>
      <w:r w:rsidR="007E44E1">
        <w:t>’</w:t>
      </w:r>
      <w:r w:rsidRPr="002234E6">
        <w:t>s certificate of accuracy – either an in-house certificate or through International Accreditation New Zealand. Note</w:t>
      </w:r>
      <w:r w:rsidRPr="0082355B">
        <w:t xml:space="preserve">: </w:t>
      </w:r>
      <w:r>
        <w:t>U</w:t>
      </w:r>
      <w:r w:rsidRPr="0082355B">
        <w:t xml:space="preserve">se of </w:t>
      </w:r>
      <w:r>
        <w:t xml:space="preserve">a </w:t>
      </w:r>
      <w:r w:rsidRPr="0082355B">
        <w:t>datalogger does not replace the requirement for minimum/</w:t>
      </w:r>
      <w:r w:rsidR="00954420">
        <w:t xml:space="preserve"> </w:t>
      </w:r>
      <w:r w:rsidRPr="0082355B">
        <w:t>maximum daily recordings</w:t>
      </w:r>
      <w:r>
        <w:t>;</w:t>
      </w:r>
      <w:r w:rsidRPr="0082355B">
        <w:t xml:space="preserve"> both are required to monitor refrigerator temperatures.</w:t>
      </w:r>
    </w:p>
    <w:p w14:paraId="23CA7790" w14:textId="77777777" w:rsidR="00A163F8" w:rsidRDefault="00A163F8" w:rsidP="00954420"/>
    <w:p w14:paraId="295993A6" w14:textId="77777777" w:rsidR="00A163F8" w:rsidRPr="0082355B" w:rsidRDefault="00A163F8" w:rsidP="00954420">
      <w:r w:rsidRPr="001640E9">
        <w:t xml:space="preserve">Community pharmacies </w:t>
      </w:r>
      <w:r>
        <w:t xml:space="preserve">must be able to </w:t>
      </w:r>
      <w:r w:rsidRPr="001640E9">
        <w:t xml:space="preserve">demonstrate that </w:t>
      </w:r>
      <w:r>
        <w:t xml:space="preserve">they check </w:t>
      </w:r>
      <w:r w:rsidRPr="001640E9">
        <w:t xml:space="preserve">all devices </w:t>
      </w:r>
      <w:r>
        <w:t xml:space="preserve">they </w:t>
      </w:r>
      <w:r w:rsidRPr="001640E9">
        <w:t>use for temperature monitoring fo</w:t>
      </w:r>
      <w:r>
        <w:t>r accuracy on a regular basis. M</w:t>
      </w:r>
      <w:r w:rsidRPr="001640E9">
        <w:t>ethod and frequency of validation will be specific to the device</w:t>
      </w:r>
      <w:r>
        <w:t>,</w:t>
      </w:r>
      <w:r w:rsidRPr="001640E9">
        <w:t xml:space="preserve"> and should be based on reputable information</w:t>
      </w:r>
      <w:r>
        <w:t>,</w:t>
      </w:r>
      <w:r w:rsidRPr="001640E9">
        <w:t xml:space="preserve"> where available, or a c</w:t>
      </w:r>
      <w:r>
        <w:t xml:space="preserve">ommonly accepted method, where reputable information is not available. </w:t>
      </w:r>
      <w:r w:rsidRPr="001640E9">
        <w:t xml:space="preserve">Pharmacies should refer to the current </w:t>
      </w:r>
      <w:proofErr w:type="spellStart"/>
      <w:r w:rsidRPr="001640E9">
        <w:t>Medsafe</w:t>
      </w:r>
      <w:proofErr w:type="spellEnd"/>
      <w:r w:rsidRPr="001640E9">
        <w:t xml:space="preserve"> </w:t>
      </w:r>
      <w:r w:rsidR="007E44E1">
        <w:t>‘</w:t>
      </w:r>
      <w:r w:rsidRPr="001640E9">
        <w:t>Pharmacy Equipment</w:t>
      </w:r>
      <w:r w:rsidR="007E44E1">
        <w:t>’</w:t>
      </w:r>
      <w:r w:rsidRPr="001640E9">
        <w:t xml:space="preserve"> document</w:t>
      </w:r>
      <w:r>
        <w:t xml:space="preserve">. </w:t>
      </w:r>
      <w:r w:rsidRPr="0082355B">
        <w:t>Coordinators will spatially log community pharmacy refrigerators every three years</w:t>
      </w:r>
      <w:r>
        <w:t>;</w:t>
      </w:r>
      <w:r w:rsidRPr="0082355B">
        <w:t xml:space="preserve"> if </w:t>
      </w:r>
      <w:r>
        <w:t xml:space="preserve">it is </w:t>
      </w:r>
      <w:r w:rsidRPr="0082355B">
        <w:t>a vaccinating pharmacy, it is the pharmac</w:t>
      </w:r>
      <w:r>
        <w:t>y</w:t>
      </w:r>
      <w:r w:rsidR="007E44E1">
        <w:t>’</w:t>
      </w:r>
      <w:r>
        <w:t>s</w:t>
      </w:r>
      <w:r w:rsidRPr="0082355B">
        <w:t xml:space="preserve"> responsibility to contact the coordinator to arrange this.</w:t>
      </w:r>
    </w:p>
    <w:p w14:paraId="6C8213F4" w14:textId="77777777" w:rsidR="00A163F8" w:rsidRDefault="00A163F8" w:rsidP="00954420"/>
    <w:p w14:paraId="554470E0" w14:textId="77777777" w:rsidR="00A163F8" w:rsidRPr="002234E6" w:rsidRDefault="00A163F8" w:rsidP="00954420">
      <w:pPr>
        <w:pStyle w:val="Heading2"/>
      </w:pPr>
      <w:bookmarkStart w:id="134" w:name="_Toc9863097"/>
      <w:bookmarkStart w:id="135" w:name="_Toc16689988"/>
      <w:bookmarkStart w:id="136" w:name="_Toc18062266"/>
      <w:r w:rsidRPr="002234E6">
        <w:t>Calibration of dataloggers</w:t>
      </w:r>
      <w:bookmarkEnd w:id="134"/>
      <w:bookmarkEnd w:id="135"/>
      <w:bookmarkEnd w:id="136"/>
    </w:p>
    <w:p w14:paraId="3DAB1751" w14:textId="13E0D6BB" w:rsidR="00A163F8" w:rsidRPr="002234E6" w:rsidRDefault="00A163F8" w:rsidP="00954420">
      <w:r w:rsidRPr="002234E6">
        <w:t>These standards do not require</w:t>
      </w:r>
      <w:r w:rsidR="0038129C">
        <w:t xml:space="preserve"> but recommend that</w:t>
      </w:r>
      <w:r w:rsidRPr="002234E6">
        <w:t xml:space="preserve"> immunisation providers to have their dataloggers calibrated. However, a provider may wish to do so to gain additional certainty their equipment is accurate.</w:t>
      </w:r>
    </w:p>
    <w:p w14:paraId="67AA6560" w14:textId="77777777" w:rsidR="00A163F8" w:rsidRPr="002234E6" w:rsidRDefault="00A163F8" w:rsidP="00954420"/>
    <w:p w14:paraId="0F0003BF" w14:textId="77777777" w:rsidR="00A163F8" w:rsidRPr="002234E6" w:rsidRDefault="00A163F8" w:rsidP="00954420">
      <w:r w:rsidRPr="002234E6">
        <w:t>If there is a concern about the cold chain process or a significant difference between the two monitoring systems (minimum/maximum thermometer and the datalogger), a provider will be required to send its logger for calibration or checking.</w:t>
      </w:r>
    </w:p>
    <w:p w14:paraId="0E9C7122" w14:textId="77777777" w:rsidR="00A163F8" w:rsidRPr="002234E6" w:rsidRDefault="00A163F8" w:rsidP="00954420"/>
    <w:p w14:paraId="22ACE86A" w14:textId="77777777" w:rsidR="00A163F8" w:rsidRPr="002234E6" w:rsidRDefault="00A163F8" w:rsidP="00954420">
      <w:r w:rsidRPr="002234E6">
        <w:t>If dataloggers are calibrated, an independent laboratory that is International Accreditation New Zealand accredited should undertake the task and issue a certificate.</w:t>
      </w:r>
    </w:p>
    <w:p w14:paraId="5E5CF3C9" w14:textId="77777777" w:rsidR="00A163F8" w:rsidRPr="002234E6" w:rsidRDefault="00A163F8" w:rsidP="00954420"/>
    <w:p w14:paraId="2F015896" w14:textId="77777777" w:rsidR="00A163F8" w:rsidRPr="002234E6" w:rsidRDefault="00A163F8" w:rsidP="00954420">
      <w:r w:rsidRPr="002234E6">
        <w:lastRenderedPageBreak/>
        <w:t>The dataloggers of immunisation coordinators and CCA reviewers must be calibrated annually or according to the manufacturer</w:t>
      </w:r>
      <w:r w:rsidR="007E44E1">
        <w:t>’</w:t>
      </w:r>
      <w:r w:rsidRPr="002234E6">
        <w:t xml:space="preserve">s recommendations and </w:t>
      </w:r>
      <w:r>
        <w:t>be able to provide evidence of calibration if requested by a provider</w:t>
      </w:r>
      <w:r w:rsidRPr="002234E6">
        <w:t>.</w:t>
      </w:r>
    </w:p>
    <w:p w14:paraId="61B041EA" w14:textId="77777777" w:rsidR="00A163F8" w:rsidRPr="002234E6" w:rsidRDefault="00A163F8" w:rsidP="00954420"/>
    <w:p w14:paraId="41DD9C87" w14:textId="77777777" w:rsidR="00A163F8" w:rsidRPr="002234E6" w:rsidRDefault="00A163F8" w:rsidP="00954420">
      <w:pPr>
        <w:pStyle w:val="Heading2"/>
        <w:ind w:left="0" w:firstLine="0"/>
        <w:rPr>
          <w:szCs w:val="22"/>
        </w:rPr>
      </w:pPr>
      <w:bookmarkStart w:id="137" w:name="_Toc9863098"/>
      <w:bookmarkStart w:id="138" w:name="_Toc16689989"/>
      <w:bookmarkStart w:id="139" w:name="_Toc18062267"/>
      <w:r w:rsidRPr="002234E6">
        <w:t>Digital minimum/maximum thermometers</w:t>
      </w:r>
      <w:bookmarkEnd w:id="137"/>
      <w:bookmarkEnd w:id="138"/>
      <w:bookmarkEnd w:id="139"/>
    </w:p>
    <w:p w14:paraId="6DCABDCF" w14:textId="77777777" w:rsidR="00A163F8" w:rsidRPr="002234E6" w:rsidRDefault="00A163F8" w:rsidP="00954420">
      <w:r w:rsidRPr="002234E6">
        <w:t>Providers must have a digital minimum/maximum thermometer available to:</w:t>
      </w:r>
    </w:p>
    <w:p w14:paraId="15E09514" w14:textId="77777777" w:rsidR="007E44E1" w:rsidRDefault="00A163F8" w:rsidP="00954420">
      <w:pPr>
        <w:pStyle w:val="Bullet"/>
      </w:pPr>
      <w:r w:rsidRPr="002234E6">
        <w:t>measure their daily refrigerator temperatures if the manufacturer considers that the refrigerator display function is not appropriate</w:t>
      </w:r>
    </w:p>
    <w:p w14:paraId="63C3E2E0" w14:textId="77777777" w:rsidR="00A163F8" w:rsidRPr="002234E6" w:rsidRDefault="00A163F8" w:rsidP="00954420">
      <w:pPr>
        <w:pStyle w:val="Bullet"/>
      </w:pPr>
      <w:r w:rsidRPr="002234E6">
        <w:t>use during a power outage (if their datalogger does not have a visible display)</w:t>
      </w:r>
    </w:p>
    <w:p w14:paraId="6CE39792" w14:textId="77777777" w:rsidR="00A163F8" w:rsidRPr="002234E6" w:rsidRDefault="00A163F8" w:rsidP="00954420">
      <w:pPr>
        <w:pStyle w:val="Bullet"/>
      </w:pPr>
      <w:r w:rsidRPr="002234E6">
        <w:t>use when transporting vaccines if equipment fails or a power outage occurs.</w:t>
      </w:r>
    </w:p>
    <w:p w14:paraId="723AA0F7" w14:textId="77777777" w:rsidR="00A163F8" w:rsidRPr="002234E6" w:rsidRDefault="00A163F8" w:rsidP="00954420"/>
    <w:p w14:paraId="4E3E1758" w14:textId="77777777" w:rsidR="007E44E1" w:rsidRDefault="00A163F8" w:rsidP="00954420">
      <w:r w:rsidRPr="002234E6">
        <w:t xml:space="preserve">Such thermometers are a low-cost means of monitoring </w:t>
      </w:r>
      <w:r>
        <w:t xml:space="preserve">the </w:t>
      </w:r>
      <w:r w:rsidRPr="002234E6">
        <w:t>ambient air temperatures of refrigerators.</w:t>
      </w:r>
    </w:p>
    <w:p w14:paraId="3F126F4C" w14:textId="77777777" w:rsidR="00A163F8" w:rsidRPr="002234E6" w:rsidRDefault="00A163F8" w:rsidP="00954420"/>
    <w:p w14:paraId="414498C4" w14:textId="77777777" w:rsidR="00A163F8" w:rsidRPr="002234E6" w:rsidRDefault="00A163F8" w:rsidP="00954420">
      <w:r w:rsidRPr="002234E6">
        <w:t>A number of digital minimum/maximum thermometers are available. Most have the following characteristics in common.</w:t>
      </w:r>
    </w:p>
    <w:p w14:paraId="7FA56F17" w14:textId="77777777" w:rsidR="00A163F8" w:rsidRPr="002234E6" w:rsidRDefault="00A163F8" w:rsidP="00954420">
      <w:pPr>
        <w:pStyle w:val="Bullet"/>
      </w:pPr>
      <w:r w:rsidRPr="002234E6">
        <w:t>The manufacturer</w:t>
      </w:r>
      <w:r w:rsidR="007E44E1">
        <w:t>’</w:t>
      </w:r>
      <w:r w:rsidRPr="002234E6">
        <w:t>s guarantee often applies for one year only.</w:t>
      </w:r>
    </w:p>
    <w:p w14:paraId="08A3C809" w14:textId="77777777" w:rsidR="00A163F8" w:rsidRPr="002234E6" w:rsidRDefault="00A163F8" w:rsidP="00954420">
      <w:pPr>
        <w:pStyle w:val="Bullet"/>
      </w:pPr>
      <w:r w:rsidRPr="002234E6">
        <w:t>Their accuracy at 0°C ranges from ±0.5°C to ±1.0°C.</w:t>
      </w:r>
    </w:p>
    <w:p w14:paraId="0E3DAC5B" w14:textId="77777777" w:rsidR="00A163F8" w:rsidRPr="002234E6" w:rsidRDefault="00A163F8" w:rsidP="00954420">
      <w:pPr>
        <w:pStyle w:val="Bullet"/>
      </w:pPr>
      <w:r w:rsidRPr="002234E6">
        <w:t>The battery must be replaced every one to two years.</w:t>
      </w:r>
    </w:p>
    <w:p w14:paraId="6F09E38A" w14:textId="77777777" w:rsidR="00A163F8" w:rsidRPr="002234E6" w:rsidRDefault="00A163F8" w:rsidP="00954420">
      <w:pPr>
        <w:pStyle w:val="Bullet"/>
      </w:pPr>
      <w:r w:rsidRPr="002234E6">
        <w:t>Their life span will vary depending on use.</w:t>
      </w:r>
    </w:p>
    <w:p w14:paraId="696B2615" w14:textId="77777777" w:rsidR="00954420" w:rsidRDefault="00954420" w:rsidP="00954420"/>
    <w:p w14:paraId="4EA0E4B2" w14:textId="77777777" w:rsidR="00A163F8" w:rsidRPr="002234E6" w:rsidRDefault="00A163F8" w:rsidP="00954420">
      <w:r w:rsidRPr="002234E6">
        <w:t xml:space="preserve">Note: Providers </w:t>
      </w:r>
      <w:r w:rsidRPr="007029EA">
        <w:t>may opt to</w:t>
      </w:r>
      <w:r w:rsidRPr="002234E6">
        <w:t xml:space="preserve"> use their digital minimum/maximum thermometers for additional refrigerator monitoring when</w:t>
      </w:r>
      <w:r>
        <w:t xml:space="preserve"> they are</w:t>
      </w:r>
      <w:r w:rsidRPr="002234E6">
        <w:t xml:space="preserve"> not in use to monitor chilly bins. This is very helpful during a power outage if the datalogger does not have a display, as </w:t>
      </w:r>
      <w:r>
        <w:t xml:space="preserve">in this case </w:t>
      </w:r>
      <w:r w:rsidRPr="002234E6">
        <w:t>the fridge display will not be visible either. A battery</w:t>
      </w:r>
      <w:r>
        <w:t>-</w:t>
      </w:r>
      <w:r w:rsidRPr="002234E6">
        <w:t>powered digital thermometer will continue to monitor and display the current and min</w:t>
      </w:r>
      <w:r>
        <w:t>imum</w:t>
      </w:r>
      <w:r w:rsidRPr="002234E6">
        <w:t>/max</w:t>
      </w:r>
      <w:r>
        <w:t>imum</w:t>
      </w:r>
      <w:r w:rsidRPr="002234E6">
        <w:t xml:space="preserve"> temperatures</w:t>
      </w:r>
      <w:r>
        <w:t xml:space="preserve"> during a power outage.</w:t>
      </w:r>
      <w:r w:rsidRPr="002234E6">
        <w:t xml:space="preserve"> If using digital minimum/maximum thermometers in this way, </w:t>
      </w:r>
      <w:r>
        <w:t xml:space="preserve">providers should </w:t>
      </w:r>
      <w:r w:rsidRPr="002234E6">
        <w:t>reset the min/max memory daily.</w:t>
      </w:r>
    </w:p>
    <w:p w14:paraId="0D725E2E" w14:textId="77777777" w:rsidR="00A163F8" w:rsidRPr="002234E6" w:rsidRDefault="00A163F8" w:rsidP="00954420"/>
    <w:p w14:paraId="7793B232" w14:textId="77777777" w:rsidR="00A163F8" w:rsidRPr="002234E6" w:rsidRDefault="00A163F8" w:rsidP="00954420">
      <w:pPr>
        <w:pStyle w:val="Heading2"/>
      </w:pPr>
      <w:bookmarkStart w:id="140" w:name="_Toc9863099"/>
      <w:bookmarkStart w:id="141" w:name="_Toc16689990"/>
      <w:bookmarkStart w:id="142" w:name="_Toc18062268"/>
      <w:r w:rsidRPr="002234E6">
        <w:lastRenderedPageBreak/>
        <w:t>Accuracy testing (ice pointing)</w:t>
      </w:r>
      <w:bookmarkEnd w:id="140"/>
      <w:bookmarkEnd w:id="141"/>
      <w:bookmarkEnd w:id="142"/>
    </w:p>
    <w:p w14:paraId="78281DCC" w14:textId="77777777" w:rsidR="00A163F8" w:rsidRPr="002234E6" w:rsidRDefault="00A163F8" w:rsidP="00954420">
      <w:pPr>
        <w:keepNext/>
      </w:pPr>
      <w:r>
        <w:t>Providers should t</w:t>
      </w:r>
      <w:r w:rsidRPr="002234E6">
        <w:t>est the accuracy of all minimum/maximum thermometers and dataloggers (if possible) after buying them, after the battery is changed and every 12</w:t>
      </w:r>
      <w:r w:rsidR="00954420">
        <w:t> </w:t>
      </w:r>
      <w:r w:rsidRPr="002234E6">
        <w:t>months.</w:t>
      </w:r>
    </w:p>
    <w:p w14:paraId="360C2235" w14:textId="77777777" w:rsidR="00A163F8" w:rsidRPr="002234E6" w:rsidRDefault="00A163F8" w:rsidP="00954420">
      <w:pPr>
        <w:keepNext/>
      </w:pPr>
    </w:p>
    <w:p w14:paraId="0A8911EA" w14:textId="77777777" w:rsidR="00A163F8" w:rsidRPr="002234E6" w:rsidRDefault="00A163F8" w:rsidP="00954420">
      <w:pPr>
        <w:pStyle w:val="Heading3"/>
      </w:pPr>
      <w:r w:rsidRPr="002234E6">
        <w:t>Performing an ice point test</w:t>
      </w:r>
    </w:p>
    <w:p w14:paraId="4780FC7F" w14:textId="77777777" w:rsidR="00A163F8" w:rsidRPr="002234E6" w:rsidRDefault="00A163F8" w:rsidP="00954420">
      <w:pPr>
        <w:keepNext/>
      </w:pPr>
      <w:r w:rsidRPr="002234E6">
        <w:t>P</w:t>
      </w:r>
      <w:r>
        <w:t>roviders can p</w:t>
      </w:r>
      <w:r w:rsidRPr="002234E6">
        <w:t>erform an ice point test as follows.</w:t>
      </w:r>
    </w:p>
    <w:p w14:paraId="3A6380B5" w14:textId="77777777" w:rsidR="00A163F8" w:rsidRPr="002234E6" w:rsidRDefault="00A163F8" w:rsidP="00954420">
      <w:pPr>
        <w:pStyle w:val="Bullet"/>
      </w:pPr>
      <w:r w:rsidRPr="002234E6">
        <w:t>Take about a cup of ice and remove any white frosty parts by rinsing it in water.</w:t>
      </w:r>
    </w:p>
    <w:p w14:paraId="164D812A" w14:textId="77777777" w:rsidR="00A163F8" w:rsidRPr="002234E6" w:rsidRDefault="00A163F8" w:rsidP="00954420">
      <w:pPr>
        <w:pStyle w:val="Bullet"/>
      </w:pPr>
      <w:r w:rsidRPr="002234E6">
        <w:t>Crush the ice cubes to pea size.</w:t>
      </w:r>
    </w:p>
    <w:p w14:paraId="3660E0D4" w14:textId="77777777" w:rsidR="00A163F8" w:rsidRPr="002234E6" w:rsidRDefault="00A163F8" w:rsidP="00954420">
      <w:pPr>
        <w:pStyle w:val="Bullet"/>
      </w:pPr>
      <w:r w:rsidRPr="002234E6">
        <w:t xml:space="preserve">Place </w:t>
      </w:r>
      <w:r>
        <w:t>the ice cubes</w:t>
      </w:r>
      <w:r w:rsidRPr="002234E6">
        <w:t xml:space="preserve"> in a cup without water.</w:t>
      </w:r>
    </w:p>
    <w:p w14:paraId="3D9E042D" w14:textId="77777777" w:rsidR="00A163F8" w:rsidRPr="002234E6" w:rsidRDefault="00A163F8" w:rsidP="00954420">
      <w:pPr>
        <w:pStyle w:val="Bullet"/>
      </w:pPr>
      <w:r w:rsidRPr="002234E6">
        <w:t>Place the probe in the ice.</w:t>
      </w:r>
    </w:p>
    <w:p w14:paraId="7213000C" w14:textId="77777777" w:rsidR="00A163F8" w:rsidRPr="002234E6" w:rsidRDefault="00A163F8" w:rsidP="00954420">
      <w:pPr>
        <w:pStyle w:val="Bullet"/>
      </w:pPr>
      <w:r w:rsidRPr="002234E6">
        <w:t>Leave for approximately five minutes, or until the reading stabilises.</w:t>
      </w:r>
    </w:p>
    <w:p w14:paraId="5DF5B40F" w14:textId="77777777" w:rsidR="00A163F8" w:rsidRPr="002234E6" w:rsidRDefault="00A163F8" w:rsidP="00954420">
      <w:pPr>
        <w:pStyle w:val="Bullet"/>
      </w:pPr>
      <w:r w:rsidRPr="002234E6">
        <w:t>The thermometer should read 0°C (ice point) plus or minus the manufacturer</w:t>
      </w:r>
      <w:r w:rsidR="007E44E1">
        <w:t>’</w:t>
      </w:r>
      <w:r w:rsidRPr="002234E6">
        <w:t>s stated accuracy specification.</w:t>
      </w:r>
    </w:p>
    <w:p w14:paraId="36098C46" w14:textId="77777777" w:rsidR="00A163F8" w:rsidRPr="002234E6" w:rsidRDefault="00A163F8" w:rsidP="00954420">
      <w:pPr>
        <w:pStyle w:val="Heading1"/>
        <w:ind w:left="0" w:firstLine="0"/>
      </w:pPr>
      <w:bookmarkStart w:id="143" w:name="_Toc334179092"/>
      <w:bookmarkStart w:id="144" w:name="_Toc469389352"/>
      <w:bookmarkStart w:id="145" w:name="_Toc9863100"/>
      <w:bookmarkStart w:id="146" w:name="_Toc18062269"/>
      <w:r w:rsidRPr="002234E6">
        <w:lastRenderedPageBreak/>
        <w:t>Appendix 4:</w:t>
      </w:r>
      <w:r w:rsidR="00954420">
        <w:br/>
      </w:r>
      <w:r w:rsidRPr="002234E6">
        <w:t>Key contacts</w:t>
      </w:r>
      <w:bookmarkEnd w:id="143"/>
      <w:bookmarkEnd w:id="144"/>
      <w:bookmarkEnd w:id="145"/>
      <w:bookmarkEnd w:id="146"/>
    </w:p>
    <w:p w14:paraId="275737B1" w14:textId="77777777" w:rsidR="00A163F8" w:rsidRPr="002234E6" w:rsidRDefault="00A163F8" w:rsidP="00954420">
      <w:pPr>
        <w:pStyle w:val="Heading2"/>
        <w:ind w:left="0" w:firstLine="0"/>
      </w:pPr>
      <w:bookmarkStart w:id="147" w:name="_Toc9863101"/>
      <w:bookmarkStart w:id="148" w:name="_Toc16689992"/>
      <w:bookmarkStart w:id="149" w:name="_Toc18062270"/>
      <w:r w:rsidRPr="002234E6">
        <w:t>Regional immunisation advisors (IMAC)</w:t>
      </w:r>
      <w:bookmarkEnd w:id="147"/>
      <w:bookmarkEnd w:id="148"/>
      <w:bookmarkEnd w:id="149"/>
    </w:p>
    <w:p w14:paraId="5800481B" w14:textId="77777777" w:rsidR="00A163F8" w:rsidRPr="002234E6" w:rsidRDefault="00A163F8" w:rsidP="00A163F8">
      <w:pPr>
        <w:ind w:left="1701" w:hanging="1701"/>
        <w:rPr>
          <w:rFonts w:cs="Segoe UI"/>
        </w:rPr>
      </w:pPr>
      <w:r w:rsidRPr="002234E6">
        <w:rPr>
          <w:rFonts w:cs="Segoe UI"/>
        </w:rPr>
        <w:t>Northern:</w:t>
      </w:r>
      <w:r w:rsidRPr="002234E6">
        <w:rPr>
          <w:rFonts w:cs="Segoe UI"/>
        </w:rPr>
        <w:tab/>
        <w:t>Phone: 027 497 6971</w:t>
      </w:r>
    </w:p>
    <w:p w14:paraId="1DDB269A" w14:textId="339A8AE4" w:rsidR="00A163F8" w:rsidRPr="002234E6" w:rsidRDefault="00A163F8" w:rsidP="00A163F8">
      <w:pPr>
        <w:ind w:left="1701"/>
        <w:rPr>
          <w:rFonts w:cs="Segoe UI"/>
        </w:rPr>
      </w:pPr>
      <w:r w:rsidRPr="002234E6">
        <w:rPr>
          <w:rFonts w:cs="Segoe UI"/>
        </w:rPr>
        <w:t xml:space="preserve">Email: </w:t>
      </w:r>
      <w:r w:rsidRPr="00954420">
        <w:rPr>
          <w:rStyle w:val="Hyperlink"/>
        </w:rPr>
        <w:t>rianorthern</w:t>
      </w:r>
      <w:r w:rsidR="00156BE6">
        <w:rPr>
          <w:rStyle w:val="Hyperlink"/>
        </w:rPr>
        <w:t>@auckland.ac.nz</w:t>
      </w:r>
    </w:p>
    <w:p w14:paraId="7B649FE8" w14:textId="77777777" w:rsidR="00A163F8" w:rsidRPr="002234E6" w:rsidRDefault="00A163F8" w:rsidP="00A163F8">
      <w:pPr>
        <w:spacing w:before="180"/>
        <w:ind w:left="1701" w:hanging="1701"/>
        <w:rPr>
          <w:rFonts w:cs="Segoe UI"/>
        </w:rPr>
      </w:pPr>
      <w:r w:rsidRPr="002234E6">
        <w:rPr>
          <w:rFonts w:cs="Segoe UI"/>
        </w:rPr>
        <w:t>Midland:</w:t>
      </w:r>
      <w:r w:rsidRPr="002234E6">
        <w:rPr>
          <w:rFonts w:cs="Segoe UI"/>
        </w:rPr>
        <w:tab/>
        <w:t>Phone: 027 232 4567</w:t>
      </w:r>
    </w:p>
    <w:p w14:paraId="5E578FCD" w14:textId="4ACF2731" w:rsidR="00A163F8" w:rsidRPr="002234E6" w:rsidRDefault="00A163F8" w:rsidP="00A163F8">
      <w:pPr>
        <w:ind w:left="3402" w:hanging="1701"/>
        <w:rPr>
          <w:rFonts w:cs="Segoe UI"/>
        </w:rPr>
      </w:pPr>
      <w:r w:rsidRPr="002234E6">
        <w:rPr>
          <w:rFonts w:cs="Segoe UI"/>
        </w:rPr>
        <w:t xml:space="preserve">Email: </w:t>
      </w:r>
      <w:r w:rsidRPr="00954420">
        <w:rPr>
          <w:rStyle w:val="Hyperlink"/>
        </w:rPr>
        <w:t>riamidland@</w:t>
      </w:r>
      <w:r w:rsidR="00156BE6">
        <w:rPr>
          <w:rStyle w:val="Hyperlink"/>
        </w:rPr>
        <w:t>auckland.ac.nz</w:t>
      </w:r>
    </w:p>
    <w:p w14:paraId="60348383" w14:textId="081F5EE4" w:rsidR="00A163F8" w:rsidRPr="002234E6" w:rsidRDefault="00A163F8" w:rsidP="00A163F8">
      <w:pPr>
        <w:spacing w:before="180"/>
        <w:ind w:left="1701" w:hanging="1701"/>
        <w:rPr>
          <w:rFonts w:cs="Segoe UI"/>
        </w:rPr>
      </w:pPr>
      <w:r w:rsidRPr="002234E6">
        <w:rPr>
          <w:rFonts w:cs="Segoe UI"/>
        </w:rPr>
        <w:t>Central:</w:t>
      </w:r>
      <w:r w:rsidRPr="002234E6">
        <w:rPr>
          <w:rFonts w:cs="Segoe UI"/>
        </w:rPr>
        <w:tab/>
        <w:t xml:space="preserve">Phone: 027 </w:t>
      </w:r>
      <w:r w:rsidR="00156BE6">
        <w:rPr>
          <w:rFonts w:cs="Segoe UI"/>
        </w:rPr>
        <w:t>292 4174</w:t>
      </w:r>
    </w:p>
    <w:p w14:paraId="59A622D6" w14:textId="461B50B8" w:rsidR="00A163F8" w:rsidRPr="002234E6" w:rsidRDefault="00A163F8" w:rsidP="00A163F8">
      <w:pPr>
        <w:ind w:left="3402" w:hanging="1701"/>
        <w:rPr>
          <w:rFonts w:cs="Segoe UI"/>
        </w:rPr>
      </w:pPr>
      <w:r w:rsidRPr="002234E6">
        <w:rPr>
          <w:rFonts w:cs="Segoe UI"/>
        </w:rPr>
        <w:t xml:space="preserve">Email: </w:t>
      </w:r>
      <w:r w:rsidR="00156BE6" w:rsidRPr="0054794A">
        <w:rPr>
          <w:rStyle w:val="Hyperlink"/>
        </w:rPr>
        <w:t>riacen</w:t>
      </w:r>
      <w:r w:rsidR="00EB3FFA" w:rsidRPr="0054794A">
        <w:rPr>
          <w:rStyle w:val="Hyperlink"/>
        </w:rPr>
        <w:t>tral@auckland.ac.nz</w:t>
      </w:r>
    </w:p>
    <w:p w14:paraId="55935B4F" w14:textId="77777777" w:rsidR="00A163F8" w:rsidRPr="002234E6" w:rsidRDefault="00A163F8" w:rsidP="00A163F8">
      <w:pPr>
        <w:spacing w:before="180"/>
        <w:ind w:left="1701" w:hanging="1701"/>
        <w:rPr>
          <w:rFonts w:cs="Segoe UI"/>
        </w:rPr>
      </w:pPr>
      <w:r w:rsidRPr="002234E6">
        <w:rPr>
          <w:rFonts w:cs="Segoe UI"/>
        </w:rPr>
        <w:t>South Island:</w:t>
      </w:r>
      <w:r w:rsidRPr="002234E6">
        <w:rPr>
          <w:rFonts w:cs="Segoe UI"/>
        </w:rPr>
        <w:tab/>
        <w:t>Phone: 027 242 2451</w:t>
      </w:r>
    </w:p>
    <w:p w14:paraId="1122D14D" w14:textId="36880D5F" w:rsidR="00A163F8" w:rsidRPr="002234E6" w:rsidRDefault="00A163F8" w:rsidP="00A163F8">
      <w:pPr>
        <w:ind w:left="3402" w:hanging="1701"/>
        <w:rPr>
          <w:rFonts w:cs="Segoe UI"/>
        </w:rPr>
      </w:pPr>
      <w:r w:rsidRPr="002234E6">
        <w:rPr>
          <w:rFonts w:cs="Segoe UI"/>
        </w:rPr>
        <w:t xml:space="preserve">Email: </w:t>
      </w:r>
      <w:hyperlink r:id="rId31" w:history="1">
        <w:r w:rsidR="00156BE6" w:rsidRPr="00156BE6">
          <w:rPr>
            <w:rStyle w:val="Hyperlink"/>
            <w:rFonts w:cs="Segoe UI"/>
          </w:rPr>
          <w:t>riasouth@auckland.ac.nz</w:t>
        </w:r>
      </w:hyperlink>
    </w:p>
    <w:p w14:paraId="7FC42427" w14:textId="77777777" w:rsidR="00A163F8" w:rsidRPr="002234E6" w:rsidRDefault="00A163F8" w:rsidP="00954420"/>
    <w:p w14:paraId="22ABDA51" w14:textId="77777777" w:rsidR="00A163F8" w:rsidRPr="00954420" w:rsidRDefault="00A163F8" w:rsidP="00954420">
      <w:r w:rsidRPr="002234E6">
        <w:t>For contact details</w:t>
      </w:r>
      <w:r w:rsidRPr="002234E6">
        <w:rPr>
          <w:bCs/>
        </w:rPr>
        <w:t xml:space="preserve"> of immunisation coordinators</w:t>
      </w:r>
      <w:r w:rsidRPr="002234E6">
        <w:rPr>
          <w:b/>
          <w:bCs/>
        </w:rPr>
        <w:t xml:space="preserve"> </w:t>
      </w:r>
      <w:r w:rsidRPr="002234E6">
        <w:rPr>
          <w:bCs/>
        </w:rPr>
        <w:t>and CCA reviewers</w:t>
      </w:r>
      <w:r w:rsidRPr="002234E6">
        <w:t xml:space="preserve">, see </w:t>
      </w:r>
      <w:hyperlink r:id="rId32" w:history="1">
        <w:r w:rsidRPr="002234E6">
          <w:rPr>
            <w:rStyle w:val="Hyperlink"/>
            <w:rFonts w:cs="Segoe UI"/>
          </w:rPr>
          <w:t>www.immune.org.nz/health-professionals/regional-advisors-and-local-coordinators</w:t>
        </w:r>
      </w:hyperlink>
      <w:r w:rsidR="00954420" w:rsidRPr="00954420">
        <w:t>.</w:t>
      </w:r>
    </w:p>
    <w:p w14:paraId="35E30980" w14:textId="77777777" w:rsidR="00A163F8" w:rsidRPr="002234E6" w:rsidRDefault="00A163F8" w:rsidP="00954420"/>
    <w:p w14:paraId="61F0568E" w14:textId="77777777" w:rsidR="00A163F8" w:rsidRPr="002234E6" w:rsidRDefault="00A163F8" w:rsidP="00954420">
      <w:pPr>
        <w:pStyle w:val="Heading2"/>
        <w:ind w:left="0" w:firstLine="0"/>
      </w:pPr>
      <w:bookmarkStart w:id="150" w:name="_Toc9863102"/>
      <w:bookmarkStart w:id="151" w:name="_Toc16689993"/>
      <w:bookmarkStart w:id="152" w:name="_Toc18062271"/>
      <w:r w:rsidRPr="002234E6">
        <w:t>Immunisation Advisory Centre (IMAC)</w:t>
      </w:r>
      <w:bookmarkEnd w:id="150"/>
      <w:bookmarkEnd w:id="151"/>
      <w:bookmarkEnd w:id="152"/>
    </w:p>
    <w:p w14:paraId="5C35645E" w14:textId="19A2F3C1" w:rsidR="00A163F8" w:rsidRPr="002234E6" w:rsidRDefault="00A163F8" w:rsidP="00A129ED">
      <w:r w:rsidRPr="002234E6">
        <w:t>Phone: (0800) IMMUNE (466</w:t>
      </w:r>
      <w:r w:rsidR="0054794A">
        <w:t xml:space="preserve"> </w:t>
      </w:r>
      <w:r w:rsidRPr="002234E6">
        <w:t xml:space="preserve">863) </w:t>
      </w:r>
    </w:p>
    <w:p w14:paraId="075861BD" w14:textId="77777777" w:rsidR="00A163F8" w:rsidRPr="002234E6" w:rsidRDefault="00A163F8" w:rsidP="00A129ED"/>
    <w:p w14:paraId="64AA3F3D" w14:textId="77777777" w:rsidR="00A163F8" w:rsidRPr="002234E6" w:rsidRDefault="00A163F8" w:rsidP="00A129ED">
      <w:pPr>
        <w:pStyle w:val="Heading2"/>
      </w:pPr>
      <w:bookmarkStart w:id="153" w:name="_Toc9863103"/>
      <w:bookmarkStart w:id="154" w:name="_Toc16689994"/>
      <w:bookmarkStart w:id="155" w:name="_Toc18062272"/>
      <w:r w:rsidRPr="002234E6">
        <w:t>Regional distribution stores</w:t>
      </w:r>
      <w:bookmarkEnd w:id="153"/>
      <w:bookmarkEnd w:id="154"/>
      <w:bookmarkEnd w:id="155"/>
    </w:p>
    <w:p w14:paraId="7248EE1C" w14:textId="77777777" w:rsidR="00A163F8" w:rsidRPr="002234E6" w:rsidRDefault="00A163F8" w:rsidP="00A129ED">
      <w:proofErr w:type="spellStart"/>
      <w:r w:rsidRPr="002234E6">
        <w:t>ProPharma</w:t>
      </w:r>
      <w:proofErr w:type="spellEnd"/>
      <w:r w:rsidRPr="002234E6">
        <w:t xml:space="preserve"> provides a vaccine distribution service only, not a technical inquiry and assistance service. Direct all technical inquiries to your local immunisation coordinator or IMAC regional immunisation advisor in the first instance.</w:t>
      </w:r>
    </w:p>
    <w:p w14:paraId="72E39809" w14:textId="77777777" w:rsidR="00A163F8" w:rsidRPr="002234E6" w:rsidRDefault="00A163F8" w:rsidP="00A129ED"/>
    <w:p w14:paraId="204C98D1" w14:textId="77777777" w:rsidR="007E44E1" w:rsidRPr="00A129ED" w:rsidRDefault="00A163F8" w:rsidP="00A163F8">
      <w:r w:rsidRPr="002234E6">
        <w:rPr>
          <w:rFonts w:cs="Segoe UI"/>
        </w:rPr>
        <w:t xml:space="preserve">For </w:t>
      </w:r>
      <w:proofErr w:type="spellStart"/>
      <w:r w:rsidRPr="002234E6">
        <w:rPr>
          <w:rFonts w:cs="Segoe UI"/>
        </w:rPr>
        <w:t>ProPharma</w:t>
      </w:r>
      <w:proofErr w:type="spellEnd"/>
      <w:r w:rsidRPr="00A129ED">
        <w:t xml:space="preserve"> </w:t>
      </w:r>
      <w:r w:rsidRPr="002234E6">
        <w:rPr>
          <w:rFonts w:cs="Segoe UI"/>
        </w:rPr>
        <w:t xml:space="preserve">vaccine order forms and to place vaccine orders, go to: </w:t>
      </w:r>
      <w:hyperlink r:id="rId33" w:history="1">
        <w:r w:rsidRPr="002234E6">
          <w:rPr>
            <w:rStyle w:val="Hyperlink"/>
            <w:rFonts w:cs="Segoe UI"/>
          </w:rPr>
          <w:t>www.fundedvaccines.co.nz/vaccines</w:t>
        </w:r>
      </w:hyperlink>
      <w:r w:rsidRPr="00A129ED">
        <w:t>.</w:t>
      </w:r>
    </w:p>
    <w:p w14:paraId="358F5408" w14:textId="77777777" w:rsidR="00A163F8" w:rsidRPr="002234E6" w:rsidRDefault="00A163F8" w:rsidP="00A129ED"/>
    <w:p w14:paraId="56978308" w14:textId="77777777" w:rsidR="00A163F8" w:rsidRPr="002234E6" w:rsidRDefault="00A163F8" w:rsidP="00A129ED">
      <w:pPr>
        <w:keepNext/>
      </w:pPr>
      <w:r w:rsidRPr="002234E6">
        <w:lastRenderedPageBreak/>
        <w:t xml:space="preserve">Alternatively, </w:t>
      </w:r>
      <w:r>
        <w:t xml:space="preserve">providers </w:t>
      </w:r>
      <w:r w:rsidRPr="002234E6">
        <w:t xml:space="preserve">can get National Immunisation Schedule vaccine order forms from </w:t>
      </w:r>
      <w:proofErr w:type="spellStart"/>
      <w:r w:rsidRPr="002234E6">
        <w:t>ProPharma</w:t>
      </w:r>
      <w:proofErr w:type="spellEnd"/>
      <w:r w:rsidRPr="002234E6">
        <w:t xml:space="preserve"> regional stores and fax them to the following numbers:</w:t>
      </w:r>
    </w:p>
    <w:p w14:paraId="0D8AB8BB" w14:textId="77777777" w:rsidR="00A163F8" w:rsidRPr="002234E6" w:rsidRDefault="00A163F8" w:rsidP="00A163F8">
      <w:pPr>
        <w:spacing w:before="60"/>
        <w:ind w:left="3969" w:hanging="3402"/>
        <w:rPr>
          <w:rFonts w:cs="Segoe UI"/>
          <w:lang w:val="de-DE"/>
        </w:rPr>
      </w:pPr>
      <w:r w:rsidRPr="002234E6">
        <w:rPr>
          <w:rFonts w:cs="Segoe UI"/>
          <w:lang w:val="de-DE"/>
        </w:rPr>
        <w:t>ProPharma Whangarei</w:t>
      </w:r>
      <w:r w:rsidRPr="002234E6">
        <w:rPr>
          <w:rFonts w:cs="Segoe UI"/>
          <w:lang w:val="de-DE"/>
        </w:rPr>
        <w:tab/>
        <w:t>(09) 438 9681</w:t>
      </w:r>
    </w:p>
    <w:p w14:paraId="1DDD83DA" w14:textId="22D9D77C" w:rsidR="00A163F8" w:rsidRPr="002234E6" w:rsidRDefault="0054794A" w:rsidP="00A163F8">
      <w:pPr>
        <w:spacing w:before="60"/>
        <w:ind w:left="3969" w:hanging="3402"/>
        <w:rPr>
          <w:rFonts w:cs="Segoe UI"/>
          <w:lang w:val="de-DE"/>
        </w:rPr>
      </w:pPr>
      <w:r>
        <w:rPr>
          <w:rFonts w:cs="Segoe UI"/>
          <w:lang w:val="de-DE"/>
        </w:rPr>
        <w:t>ProPharma Auckland</w:t>
      </w:r>
      <w:r>
        <w:rPr>
          <w:rFonts w:cs="Segoe UI"/>
          <w:lang w:val="de-DE"/>
        </w:rPr>
        <w:tab/>
        <w:t>(09) 915 9581</w:t>
      </w:r>
    </w:p>
    <w:p w14:paraId="69833C2A" w14:textId="6AA7F657" w:rsidR="0054794A" w:rsidRDefault="0054794A" w:rsidP="0054794A">
      <w:pPr>
        <w:spacing w:before="60"/>
        <w:ind w:left="3969" w:hanging="3402"/>
        <w:rPr>
          <w:rFonts w:cs="Segoe UI"/>
        </w:rPr>
      </w:pPr>
      <w:proofErr w:type="spellStart"/>
      <w:r>
        <w:rPr>
          <w:rFonts w:cs="Segoe UI"/>
        </w:rPr>
        <w:t>ProPharma</w:t>
      </w:r>
      <w:proofErr w:type="spellEnd"/>
      <w:r>
        <w:rPr>
          <w:rFonts w:cs="Segoe UI"/>
        </w:rPr>
        <w:t xml:space="preserve"> Hamilton</w:t>
      </w:r>
      <w:r>
        <w:rPr>
          <w:rFonts w:cs="Segoe UI"/>
        </w:rPr>
        <w:tab/>
        <w:t>(07) 957 3840</w:t>
      </w:r>
    </w:p>
    <w:p w14:paraId="6A496748" w14:textId="1D0C16F1" w:rsidR="00A11698" w:rsidRPr="002234E6" w:rsidRDefault="00A11698" w:rsidP="0054794A">
      <w:pPr>
        <w:spacing w:before="60"/>
        <w:ind w:left="3969" w:hanging="3402"/>
        <w:rPr>
          <w:rFonts w:cs="Segoe UI"/>
        </w:rPr>
      </w:pPr>
      <w:proofErr w:type="spellStart"/>
      <w:r>
        <w:rPr>
          <w:rFonts w:cs="Segoe UI"/>
        </w:rPr>
        <w:t>ProPharma</w:t>
      </w:r>
      <w:proofErr w:type="spellEnd"/>
      <w:r>
        <w:rPr>
          <w:rFonts w:cs="Segoe UI"/>
        </w:rPr>
        <w:t xml:space="preserve"> Palmerston North</w:t>
      </w:r>
      <w:r>
        <w:rPr>
          <w:rFonts w:cs="Segoe UI"/>
        </w:rPr>
        <w:tab/>
        <w:t>(06) 952 0035</w:t>
      </w:r>
    </w:p>
    <w:p w14:paraId="6FB45F1A" w14:textId="77777777" w:rsidR="00A163F8" w:rsidRDefault="00A163F8" w:rsidP="00A163F8">
      <w:pPr>
        <w:spacing w:before="60"/>
        <w:ind w:left="3969" w:hanging="3402"/>
        <w:rPr>
          <w:rFonts w:cs="Segoe UI"/>
        </w:rPr>
      </w:pPr>
      <w:proofErr w:type="spellStart"/>
      <w:r w:rsidRPr="002234E6">
        <w:rPr>
          <w:rFonts w:cs="Segoe UI"/>
        </w:rPr>
        <w:t>ProPharma</w:t>
      </w:r>
      <w:proofErr w:type="spellEnd"/>
      <w:r w:rsidRPr="002234E6">
        <w:rPr>
          <w:rFonts w:cs="Segoe UI"/>
        </w:rPr>
        <w:t xml:space="preserve"> Wellington</w:t>
      </w:r>
      <w:r w:rsidRPr="002234E6">
        <w:rPr>
          <w:rFonts w:cs="Segoe UI"/>
        </w:rPr>
        <w:tab/>
        <w:t>(04) 576 1811</w:t>
      </w:r>
    </w:p>
    <w:p w14:paraId="73D8D099" w14:textId="5FC76E7F" w:rsidR="00A11698" w:rsidRPr="002234E6" w:rsidRDefault="00A11698" w:rsidP="00A163F8">
      <w:pPr>
        <w:spacing w:before="60"/>
        <w:ind w:left="3969" w:hanging="3402"/>
        <w:rPr>
          <w:rFonts w:cs="Segoe UI"/>
        </w:rPr>
      </w:pPr>
      <w:proofErr w:type="spellStart"/>
      <w:r>
        <w:rPr>
          <w:rFonts w:cs="Segoe UI"/>
        </w:rPr>
        <w:t>ProPharma</w:t>
      </w:r>
      <w:proofErr w:type="spellEnd"/>
      <w:r>
        <w:rPr>
          <w:rFonts w:cs="Segoe UI"/>
        </w:rPr>
        <w:t xml:space="preserve"> Nelson</w:t>
      </w:r>
      <w:r>
        <w:rPr>
          <w:rFonts w:cs="Segoe UI"/>
        </w:rPr>
        <w:tab/>
        <w:t>(03) 547 6455</w:t>
      </w:r>
    </w:p>
    <w:p w14:paraId="75B165F2" w14:textId="77777777" w:rsidR="00A163F8" w:rsidRPr="002234E6" w:rsidRDefault="00A163F8" w:rsidP="00A163F8">
      <w:pPr>
        <w:spacing w:before="60"/>
        <w:ind w:left="3969" w:hanging="3402"/>
        <w:rPr>
          <w:rFonts w:cs="Segoe UI"/>
        </w:rPr>
      </w:pPr>
      <w:proofErr w:type="spellStart"/>
      <w:r w:rsidRPr="002234E6">
        <w:rPr>
          <w:rFonts w:cs="Segoe UI"/>
        </w:rPr>
        <w:t>ProPharma</w:t>
      </w:r>
      <w:proofErr w:type="spellEnd"/>
      <w:r w:rsidRPr="002234E6">
        <w:rPr>
          <w:rFonts w:cs="Segoe UI"/>
        </w:rPr>
        <w:t xml:space="preserve"> Christchurch</w:t>
      </w:r>
      <w:r w:rsidRPr="002234E6">
        <w:rPr>
          <w:rFonts w:cs="Segoe UI"/>
        </w:rPr>
        <w:tab/>
        <w:t>(03) 389 5459</w:t>
      </w:r>
    </w:p>
    <w:p w14:paraId="31A0FEB5" w14:textId="77777777" w:rsidR="00A163F8" w:rsidRPr="002234E6" w:rsidRDefault="00A163F8" w:rsidP="00A163F8">
      <w:pPr>
        <w:spacing w:before="60"/>
        <w:ind w:left="3969" w:hanging="3402"/>
        <w:rPr>
          <w:rFonts w:cs="Segoe UI"/>
          <w:lang w:val="de-DE"/>
        </w:rPr>
      </w:pPr>
      <w:r w:rsidRPr="002234E6">
        <w:rPr>
          <w:rFonts w:cs="Segoe UI"/>
          <w:lang w:val="de-DE"/>
        </w:rPr>
        <w:t>ProPharma Dunedin</w:t>
      </w:r>
      <w:r w:rsidRPr="002234E6">
        <w:rPr>
          <w:rFonts w:cs="Segoe UI"/>
          <w:lang w:val="de-DE"/>
        </w:rPr>
        <w:tab/>
        <w:t>(03) 474 5061</w:t>
      </w:r>
    </w:p>
    <w:p w14:paraId="08584118" w14:textId="77777777" w:rsidR="00A163F8" w:rsidRPr="002234E6" w:rsidRDefault="00A163F8" w:rsidP="00A129ED">
      <w:pPr>
        <w:rPr>
          <w:lang w:val="de-DE"/>
        </w:rPr>
      </w:pPr>
    </w:p>
    <w:p w14:paraId="3CC5F94E" w14:textId="77777777" w:rsidR="00A163F8" w:rsidRPr="002234E6" w:rsidRDefault="00A163F8" w:rsidP="00EF6A73">
      <w:pPr>
        <w:pStyle w:val="Heading2"/>
        <w:spacing w:before="300"/>
      </w:pPr>
      <w:bookmarkStart w:id="156" w:name="_Toc9863104"/>
      <w:bookmarkStart w:id="157" w:name="_Toc16689995"/>
      <w:bookmarkStart w:id="158" w:name="_Toc18062273"/>
      <w:r w:rsidRPr="002234E6">
        <w:t>Healthcare Logistics</w:t>
      </w:r>
      <w:bookmarkEnd w:id="156"/>
      <w:bookmarkEnd w:id="157"/>
      <w:bookmarkEnd w:id="158"/>
    </w:p>
    <w:p w14:paraId="11F9F909" w14:textId="00E6F427" w:rsidR="00A163F8" w:rsidRPr="002234E6" w:rsidRDefault="00A163F8" w:rsidP="00A129ED">
      <w:r w:rsidRPr="002234E6">
        <w:t xml:space="preserve">The Healthcare Logistics customer service number is </w:t>
      </w:r>
      <w:r w:rsidR="00EB3FFA">
        <w:t>09 918</w:t>
      </w:r>
      <w:r w:rsidR="00A11698">
        <w:t xml:space="preserve"> </w:t>
      </w:r>
      <w:r w:rsidR="00EB3FFA">
        <w:t>5100</w:t>
      </w:r>
      <w:r w:rsidRPr="002234E6">
        <w:t>.</w:t>
      </w:r>
    </w:p>
    <w:p w14:paraId="3DD37DA0" w14:textId="77777777" w:rsidR="00A163F8" w:rsidRPr="002234E6" w:rsidRDefault="00A163F8" w:rsidP="00A129ED"/>
    <w:p w14:paraId="7587352B" w14:textId="77777777" w:rsidR="00A163F8" w:rsidRPr="002234E6" w:rsidRDefault="00A163F8" w:rsidP="00A129ED">
      <w:r w:rsidRPr="002234E6">
        <w:t>Healthcare Logistics distributes seasonal influenza vaccine orders on behalf of the manufacturers.</w:t>
      </w:r>
    </w:p>
    <w:p w14:paraId="5F0FAEDA" w14:textId="77777777" w:rsidR="00A163F8" w:rsidRPr="002234E6" w:rsidRDefault="00A163F8" w:rsidP="00A129ED"/>
    <w:p w14:paraId="77B3C153" w14:textId="77777777" w:rsidR="00A163F8" w:rsidRPr="00A129ED" w:rsidRDefault="00A163F8" w:rsidP="00A129ED">
      <w:r w:rsidRPr="002234E6">
        <w:t xml:space="preserve">To order influenza vaccine online, go to: </w:t>
      </w:r>
      <w:hyperlink r:id="rId34" w:history="1">
        <w:r w:rsidRPr="002234E6">
          <w:rPr>
            <w:rStyle w:val="Hyperlink"/>
            <w:rFonts w:cs="Segoe UI"/>
          </w:rPr>
          <w:t>www.hcl.co.nz</w:t>
        </w:r>
      </w:hyperlink>
      <w:r w:rsidR="00A129ED" w:rsidRPr="00A129ED">
        <w:t>.</w:t>
      </w:r>
    </w:p>
    <w:p w14:paraId="460C8F14" w14:textId="77777777" w:rsidR="00A163F8" w:rsidRPr="002234E6" w:rsidRDefault="00A163F8" w:rsidP="00A129ED"/>
    <w:p w14:paraId="6AD9CAE7" w14:textId="77777777" w:rsidR="00A163F8" w:rsidRPr="00A129ED" w:rsidRDefault="00A163F8" w:rsidP="00A129ED">
      <w:r w:rsidRPr="002234E6">
        <w:t xml:space="preserve">Alternatively, you can use the seasonal influenza vaccine order form in the annual </w:t>
      </w:r>
      <w:r w:rsidRPr="002234E6">
        <w:rPr>
          <w:i/>
        </w:rPr>
        <w:t>Everything you need to know about FLU</w:t>
      </w:r>
      <w:r w:rsidRPr="002234E6">
        <w:t xml:space="preserve"> kit, which you can download from </w:t>
      </w:r>
      <w:hyperlink r:id="rId35" w:history="1">
        <w:r w:rsidRPr="002234E6">
          <w:rPr>
            <w:rStyle w:val="Hyperlink"/>
            <w:rFonts w:cs="Segoe UI"/>
          </w:rPr>
          <w:t>www.influenza.org.nz</w:t>
        </w:r>
      </w:hyperlink>
      <w:r w:rsidR="00A129ED" w:rsidRPr="00A129ED">
        <w:t>.</w:t>
      </w:r>
    </w:p>
    <w:p w14:paraId="4049FB8D" w14:textId="77777777" w:rsidR="00A163F8" w:rsidRPr="002234E6" w:rsidRDefault="00A163F8" w:rsidP="00A129ED">
      <w:pPr>
        <w:rPr>
          <w:rStyle w:val="Hyperlink"/>
          <w:rFonts w:cs="Segoe UI"/>
        </w:rPr>
      </w:pPr>
    </w:p>
    <w:p w14:paraId="71441EF8" w14:textId="77777777" w:rsidR="00A163F8" w:rsidRPr="00186CF4" w:rsidRDefault="00A163F8" w:rsidP="00EF6A73">
      <w:pPr>
        <w:pStyle w:val="Heading2"/>
        <w:spacing w:before="300"/>
      </w:pPr>
      <w:bookmarkStart w:id="159" w:name="_Toc8139048"/>
      <w:bookmarkStart w:id="160" w:name="_Toc9863105"/>
      <w:bookmarkStart w:id="161" w:name="_Toc16689996"/>
      <w:bookmarkStart w:id="162" w:name="_Toc18062274"/>
      <w:r w:rsidRPr="00186CF4">
        <w:t>Medicines Control</w:t>
      </w:r>
      <w:bookmarkEnd w:id="159"/>
      <w:bookmarkEnd w:id="160"/>
      <w:bookmarkEnd w:id="161"/>
      <w:bookmarkEnd w:id="162"/>
    </w:p>
    <w:p w14:paraId="5D650CA0" w14:textId="77777777" w:rsidR="00A163F8" w:rsidRPr="00A129ED" w:rsidRDefault="00A163F8" w:rsidP="00A129ED">
      <w:r w:rsidRPr="00186CF4">
        <w:t xml:space="preserve">To contact Medicines Control please call 0800 163 060 or email </w:t>
      </w:r>
      <w:hyperlink r:id="rId36" w:history="1">
        <w:r w:rsidRPr="00015434">
          <w:rPr>
            <w:rStyle w:val="Hyperlink"/>
            <w:rFonts w:cs="Segoe UI"/>
          </w:rPr>
          <w:t>medicinescontrol@health.govt.nz</w:t>
        </w:r>
      </w:hyperlink>
      <w:r w:rsidR="00A129ED" w:rsidRPr="00A129ED">
        <w:t>.</w:t>
      </w:r>
    </w:p>
    <w:p w14:paraId="08A22BC6" w14:textId="77777777" w:rsidR="00A163F8" w:rsidRPr="002234E6" w:rsidRDefault="00A163F8" w:rsidP="00A129ED">
      <w:pPr>
        <w:rPr>
          <w:rStyle w:val="Hyperlink"/>
          <w:rFonts w:cs="Segoe UI"/>
        </w:rPr>
      </w:pPr>
    </w:p>
    <w:p w14:paraId="5075EFA5" w14:textId="77777777" w:rsidR="00A163F8" w:rsidRPr="002234E6" w:rsidRDefault="00A163F8" w:rsidP="00EF6A73">
      <w:pPr>
        <w:pStyle w:val="Heading2"/>
        <w:spacing w:before="300"/>
      </w:pPr>
      <w:bookmarkStart w:id="163" w:name="_Toc9863106"/>
      <w:bookmarkStart w:id="164" w:name="_Toc16689997"/>
      <w:bookmarkStart w:id="165" w:name="_Toc18062275"/>
      <w:r w:rsidRPr="002234E6">
        <w:t>Vaccine manufacturers</w:t>
      </w:r>
      <w:bookmarkEnd w:id="163"/>
      <w:bookmarkEnd w:id="164"/>
      <w:bookmarkEnd w:id="165"/>
    </w:p>
    <w:p w14:paraId="577766EE" w14:textId="77777777" w:rsidR="00A163F8" w:rsidRPr="002234E6" w:rsidRDefault="00A163F8" w:rsidP="00A129ED">
      <w:r w:rsidRPr="002234E6">
        <w:t>The vaccine manufacturing companies also provide technical assistance with cold chain problems. The coordinator is responsible for requesting and following cold chain advice from vaccine companies for National Immunisation Schedule vaccines on behalf of the provider.</w:t>
      </w:r>
    </w:p>
    <w:p w14:paraId="1AB49812" w14:textId="77777777" w:rsidR="00A163F8" w:rsidRPr="002234E6" w:rsidRDefault="00A163F8" w:rsidP="00A129ED"/>
    <w:p w14:paraId="1D3ABBB0" w14:textId="77777777" w:rsidR="00A163F8" w:rsidRPr="002234E6" w:rsidRDefault="00A163F8" w:rsidP="00A129ED">
      <w:r w:rsidRPr="002234E6">
        <w:t>The companies supplying vaccines for the National Immunisation Schedule are:</w:t>
      </w:r>
    </w:p>
    <w:p w14:paraId="713F1DE9" w14:textId="77777777" w:rsidR="00A163F8" w:rsidRPr="002234E6" w:rsidRDefault="00A163F8" w:rsidP="00A129ED">
      <w:pPr>
        <w:pStyle w:val="Bullet"/>
      </w:pPr>
      <w:r w:rsidRPr="002234E6">
        <w:t>GlaxoSmithKline (GSK) (phone 0800 822 2463)</w:t>
      </w:r>
    </w:p>
    <w:p w14:paraId="1D6B5EB8" w14:textId="77777777" w:rsidR="00A163F8" w:rsidRPr="002234E6" w:rsidRDefault="00A163F8" w:rsidP="00A129ED">
      <w:pPr>
        <w:pStyle w:val="Bullet"/>
        <w:rPr>
          <w:lang w:eastAsia="en-NZ"/>
        </w:rPr>
      </w:pPr>
      <w:r w:rsidRPr="002234E6">
        <w:t>Merck, Sharp &amp; Dohme (NZ) Ltd (MSD) (phone 0800 500 673)</w:t>
      </w:r>
    </w:p>
    <w:p w14:paraId="3B1D820D" w14:textId="77777777" w:rsidR="00A163F8" w:rsidRPr="002234E6" w:rsidRDefault="00A163F8" w:rsidP="00A129ED">
      <w:pPr>
        <w:pStyle w:val="Bullet"/>
        <w:rPr>
          <w:lang w:eastAsia="en-NZ"/>
        </w:rPr>
      </w:pPr>
      <w:r w:rsidRPr="002234E6">
        <w:t xml:space="preserve">Sanofi-Aventis (NZ) Ltd (phone </w:t>
      </w:r>
      <w:r w:rsidRPr="002234E6">
        <w:rPr>
          <w:lang w:eastAsia="en-NZ"/>
        </w:rPr>
        <w:t>09 580 1810)</w:t>
      </w:r>
    </w:p>
    <w:p w14:paraId="7612F1F4" w14:textId="77777777" w:rsidR="00A163F8" w:rsidRPr="002234E6" w:rsidRDefault="00A163F8" w:rsidP="00A129ED">
      <w:pPr>
        <w:pStyle w:val="Bullet"/>
      </w:pPr>
      <w:r w:rsidRPr="002234E6">
        <w:t>Seqirus (New Zealand) (phone 0800 502 757)</w:t>
      </w:r>
    </w:p>
    <w:p w14:paraId="4FD9178C" w14:textId="77777777" w:rsidR="00A163F8" w:rsidRPr="002234E6" w:rsidRDefault="00A163F8" w:rsidP="00A129ED">
      <w:pPr>
        <w:pStyle w:val="Bullet"/>
      </w:pPr>
      <w:r w:rsidRPr="002234E6">
        <w:lastRenderedPageBreak/>
        <w:t>Pfizer (New Zealand) (phone 0800 736 363)</w:t>
      </w:r>
    </w:p>
    <w:p w14:paraId="56694414" w14:textId="77777777" w:rsidR="003F2894" w:rsidRPr="009469E2" w:rsidRDefault="00A163F8" w:rsidP="003F2894">
      <w:pPr>
        <w:pStyle w:val="Bullet"/>
      </w:pPr>
      <w:r w:rsidRPr="002234E6">
        <w:t>Mylan (phone 0800 737 271).</w:t>
      </w:r>
    </w:p>
    <w:sectPr w:rsidR="003F2894" w:rsidRPr="009469E2" w:rsidSect="002B7BEC">
      <w:footerReference w:type="even" r:id="rId37"/>
      <w:footerReference w:type="default" r:id="rId38"/>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92A2" w14:textId="77777777" w:rsidR="00F24EEE" w:rsidRDefault="00F24EEE">
      <w:r>
        <w:separator/>
      </w:r>
    </w:p>
    <w:p w14:paraId="7A8FF005" w14:textId="77777777" w:rsidR="00F24EEE" w:rsidRDefault="00F24EEE"/>
  </w:endnote>
  <w:endnote w:type="continuationSeparator" w:id="0">
    <w:p w14:paraId="063BF577" w14:textId="77777777" w:rsidR="00F24EEE" w:rsidRDefault="00F24EEE">
      <w:r>
        <w:continuationSeparator/>
      </w:r>
    </w:p>
    <w:p w14:paraId="454482AA" w14:textId="77777777" w:rsidR="00F24EEE" w:rsidRDefault="00F2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Cambria"/>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C45E" w14:textId="77777777" w:rsidR="00F24EEE" w:rsidRPr="00581136" w:rsidRDefault="00F24EEE" w:rsidP="005A79E5">
    <w:pPr>
      <w:pStyle w:val="Footer"/>
      <w:pBdr>
        <w:bottom w:val="single" w:sz="4" w:space="1" w:color="auto"/>
      </w:pBdr>
      <w:tabs>
        <w:tab w:val="right" w:pos="9639"/>
      </w:tabs>
      <w:rPr>
        <w:b/>
      </w:rPr>
    </w:pPr>
    <w:r w:rsidRPr="00581136">
      <w:rPr>
        <w:b/>
      </w:rPr>
      <w:t>Released 201</w:t>
    </w:r>
    <w:r>
      <w:rPr>
        <w:b/>
      </w:rPr>
      <w:t>7 – updated September 2019</w:t>
    </w:r>
    <w:r w:rsidRPr="00581136">
      <w:rPr>
        <w:b/>
      </w:rPr>
      <w:tab/>
      <w:t>health.govt.nz</w:t>
    </w:r>
  </w:p>
  <w:p w14:paraId="73AC2CFA" w14:textId="77777777" w:rsidR="00F24EEE" w:rsidRPr="005A79E5" w:rsidRDefault="00F24EE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3A8C" w14:textId="77777777" w:rsidR="00F24EEE" w:rsidRDefault="00F24EEE"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4350" w14:textId="77777777" w:rsidR="00F24EEE" w:rsidRDefault="00F24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F24EEE" w14:paraId="64826AFF" w14:textId="77777777" w:rsidTr="00D662F8">
      <w:trPr>
        <w:cantSplit/>
      </w:trPr>
      <w:tc>
        <w:tcPr>
          <w:tcW w:w="709" w:type="dxa"/>
          <w:vAlign w:val="center"/>
        </w:tcPr>
        <w:p w14:paraId="01899B32" w14:textId="77777777" w:rsidR="00F24EEE" w:rsidRPr="00931466" w:rsidRDefault="00F24EE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75E5">
            <w:rPr>
              <w:rStyle w:val="PageNumber"/>
              <w:noProof/>
            </w:rPr>
            <w:t>iv</w:t>
          </w:r>
          <w:r w:rsidRPr="00931466">
            <w:rPr>
              <w:rStyle w:val="PageNumber"/>
            </w:rPr>
            <w:fldChar w:fldCharType="end"/>
          </w:r>
        </w:p>
      </w:tc>
      <w:tc>
        <w:tcPr>
          <w:tcW w:w="8080" w:type="dxa"/>
          <w:vAlign w:val="center"/>
        </w:tcPr>
        <w:p w14:paraId="17138FDA" w14:textId="77777777" w:rsidR="00F24EEE" w:rsidRDefault="00F24EEE" w:rsidP="004C1535">
          <w:pPr>
            <w:pStyle w:val="RectoFooter"/>
            <w:jc w:val="left"/>
          </w:pPr>
          <w:r>
            <w:t>national standards for vaccine storage and transportation for immunisation providers</w:t>
          </w:r>
        </w:p>
      </w:tc>
    </w:tr>
  </w:tbl>
  <w:p w14:paraId="7A4FA4F1" w14:textId="77777777" w:rsidR="00F24EEE" w:rsidRPr="00571223" w:rsidRDefault="00F24EE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24EEE" w14:paraId="78400695" w14:textId="77777777" w:rsidTr="006E2886">
      <w:trPr>
        <w:cantSplit/>
      </w:trPr>
      <w:tc>
        <w:tcPr>
          <w:tcW w:w="8080" w:type="dxa"/>
          <w:vAlign w:val="center"/>
        </w:tcPr>
        <w:p w14:paraId="774426EC" w14:textId="77777777" w:rsidR="00F24EEE" w:rsidRDefault="00F24EEE" w:rsidP="00A163F8">
          <w:pPr>
            <w:pStyle w:val="RectoFooter"/>
          </w:pPr>
          <w:r>
            <w:t>national standards for vaccine storage and transportation for immunisation providers</w:t>
          </w:r>
        </w:p>
      </w:tc>
      <w:tc>
        <w:tcPr>
          <w:tcW w:w="709" w:type="dxa"/>
          <w:vAlign w:val="center"/>
        </w:tcPr>
        <w:p w14:paraId="0C962CC4" w14:textId="77777777" w:rsidR="00F24EEE" w:rsidRPr="00931466" w:rsidRDefault="00F24EEE"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75E5">
            <w:rPr>
              <w:rStyle w:val="PageNumber"/>
              <w:noProof/>
            </w:rPr>
            <w:t>v</w:t>
          </w:r>
          <w:r w:rsidRPr="00931466">
            <w:rPr>
              <w:rStyle w:val="PageNumber"/>
            </w:rPr>
            <w:fldChar w:fldCharType="end"/>
          </w:r>
        </w:p>
      </w:tc>
    </w:tr>
  </w:tbl>
  <w:p w14:paraId="4B4988DA" w14:textId="77777777" w:rsidR="00F24EEE" w:rsidRPr="00581EB8" w:rsidRDefault="00F24EE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F24EEE" w14:paraId="5F29BA99" w14:textId="77777777" w:rsidTr="006E2886">
      <w:trPr>
        <w:cantSplit/>
      </w:trPr>
      <w:tc>
        <w:tcPr>
          <w:tcW w:w="675" w:type="dxa"/>
          <w:vAlign w:val="center"/>
        </w:tcPr>
        <w:p w14:paraId="18235ED8" w14:textId="77777777" w:rsidR="00F24EEE" w:rsidRPr="00931466" w:rsidRDefault="00F24EEE"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75E5">
            <w:rPr>
              <w:rStyle w:val="PageNumber"/>
              <w:noProof/>
            </w:rPr>
            <w:t>vi</w:t>
          </w:r>
          <w:r w:rsidRPr="00931466">
            <w:rPr>
              <w:rStyle w:val="PageNumber"/>
            </w:rPr>
            <w:fldChar w:fldCharType="end"/>
          </w:r>
        </w:p>
      </w:tc>
      <w:tc>
        <w:tcPr>
          <w:tcW w:w="9072" w:type="dxa"/>
          <w:vAlign w:val="center"/>
        </w:tcPr>
        <w:p w14:paraId="1FFA44AF" w14:textId="77777777" w:rsidR="00F24EEE" w:rsidRDefault="00F24EEE" w:rsidP="006E2886">
          <w:pPr>
            <w:pStyle w:val="RectoFooter"/>
            <w:jc w:val="left"/>
          </w:pPr>
          <w:r>
            <w:t>national standards for vaccine storage and transportation for immunisation providers</w:t>
          </w:r>
        </w:p>
      </w:tc>
    </w:tr>
  </w:tbl>
  <w:p w14:paraId="5EE8754B" w14:textId="77777777" w:rsidR="00F24EEE" w:rsidRPr="00571223" w:rsidRDefault="00F24EEE"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F24EEE" w14:paraId="3D38B923" w14:textId="77777777" w:rsidTr="006E2886">
      <w:trPr>
        <w:cantSplit/>
      </w:trPr>
      <w:tc>
        <w:tcPr>
          <w:tcW w:w="675" w:type="dxa"/>
          <w:vAlign w:val="center"/>
        </w:tcPr>
        <w:p w14:paraId="762D5DFF" w14:textId="77777777" w:rsidR="00F24EEE" w:rsidRPr="00931466" w:rsidRDefault="00F24EEE"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75E5">
            <w:rPr>
              <w:rStyle w:val="PageNumber"/>
              <w:noProof/>
            </w:rPr>
            <w:t>14</w:t>
          </w:r>
          <w:r w:rsidRPr="00931466">
            <w:rPr>
              <w:rStyle w:val="PageNumber"/>
            </w:rPr>
            <w:fldChar w:fldCharType="end"/>
          </w:r>
        </w:p>
      </w:tc>
      <w:tc>
        <w:tcPr>
          <w:tcW w:w="9072" w:type="dxa"/>
          <w:vAlign w:val="center"/>
        </w:tcPr>
        <w:p w14:paraId="457BE623" w14:textId="77777777" w:rsidR="00F24EEE" w:rsidRDefault="00F24EEE" w:rsidP="00A163F8">
          <w:pPr>
            <w:pStyle w:val="RectoFooter"/>
            <w:jc w:val="left"/>
          </w:pPr>
          <w:r>
            <w:t>national standards for vaccine storage and transportation for immunisation providers</w:t>
          </w:r>
        </w:p>
      </w:tc>
    </w:tr>
  </w:tbl>
  <w:p w14:paraId="4423472F" w14:textId="77777777" w:rsidR="00F24EEE" w:rsidRPr="00571223" w:rsidRDefault="00F24EEE"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24EEE" w14:paraId="0AB33F57" w14:textId="77777777" w:rsidTr="006E2886">
      <w:trPr>
        <w:cantSplit/>
      </w:trPr>
      <w:tc>
        <w:tcPr>
          <w:tcW w:w="8080" w:type="dxa"/>
          <w:vAlign w:val="center"/>
        </w:tcPr>
        <w:p w14:paraId="6B5F1EA8" w14:textId="77777777" w:rsidR="00F24EEE" w:rsidRDefault="00F24EEE" w:rsidP="00A163F8">
          <w:pPr>
            <w:pStyle w:val="RectoFooter"/>
          </w:pPr>
          <w:r>
            <w:t>national standards for vaccine storage and transportation for immunisation providers</w:t>
          </w:r>
        </w:p>
      </w:tc>
      <w:tc>
        <w:tcPr>
          <w:tcW w:w="709" w:type="dxa"/>
          <w:vAlign w:val="center"/>
        </w:tcPr>
        <w:p w14:paraId="3B280E24" w14:textId="77777777" w:rsidR="00F24EEE" w:rsidRPr="00931466" w:rsidRDefault="00F24EEE"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75E5">
            <w:rPr>
              <w:rStyle w:val="PageNumber"/>
              <w:noProof/>
            </w:rPr>
            <w:t>15</w:t>
          </w:r>
          <w:r w:rsidRPr="00931466">
            <w:rPr>
              <w:rStyle w:val="PageNumber"/>
            </w:rPr>
            <w:fldChar w:fldCharType="end"/>
          </w:r>
        </w:p>
      </w:tc>
    </w:tr>
  </w:tbl>
  <w:p w14:paraId="1991B24B" w14:textId="77777777" w:rsidR="00F24EEE" w:rsidRPr="00581EB8" w:rsidRDefault="00F24EE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66FD" w14:textId="77777777" w:rsidR="00F24EEE" w:rsidRPr="00A26E6B" w:rsidRDefault="00F24EEE" w:rsidP="00A26E6B"/>
  </w:footnote>
  <w:footnote w:type="continuationSeparator" w:id="0">
    <w:p w14:paraId="52DA6333" w14:textId="77777777" w:rsidR="00F24EEE" w:rsidRDefault="00F24EEE">
      <w:r>
        <w:continuationSeparator/>
      </w:r>
    </w:p>
    <w:p w14:paraId="1F1C8AA6" w14:textId="77777777" w:rsidR="00F24EEE" w:rsidRDefault="00F24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F24EEE" w14:paraId="48020475" w14:textId="77777777" w:rsidTr="005A79E5">
      <w:trPr>
        <w:cantSplit/>
      </w:trPr>
      <w:tc>
        <w:tcPr>
          <w:tcW w:w="5210" w:type="dxa"/>
        </w:tcPr>
        <w:p w14:paraId="53CEA4BC" w14:textId="77777777" w:rsidR="00F24EEE" w:rsidRDefault="00F24EEE" w:rsidP="008814E8">
          <w:pPr>
            <w:pStyle w:val="Header"/>
          </w:pPr>
          <w:r>
            <w:rPr>
              <w:noProof/>
              <w:lang w:eastAsia="en-NZ"/>
            </w:rPr>
            <w:drawing>
              <wp:inline distT="0" distB="0" distL="0" distR="0" wp14:anchorId="29D4E549" wp14:editId="676CE195">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99298F0" w14:textId="77777777" w:rsidR="00F24EEE" w:rsidRDefault="00F24EEE" w:rsidP="008814E8">
          <w:pPr>
            <w:pStyle w:val="Header"/>
            <w:jc w:val="right"/>
          </w:pPr>
          <w:r>
            <w:rPr>
              <w:noProof/>
              <w:lang w:eastAsia="en-NZ"/>
            </w:rPr>
            <w:drawing>
              <wp:inline distT="0" distB="0" distL="0" distR="0" wp14:anchorId="5716F695" wp14:editId="26FE89B9">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071CB1B" w14:textId="77777777" w:rsidR="00F24EEE" w:rsidRDefault="00F2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DD3A" w14:textId="77777777" w:rsidR="00F24EEE" w:rsidRDefault="00F24EE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52B2" w14:textId="77777777" w:rsidR="00F24EEE" w:rsidRDefault="00F24EEE"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D29EB2E4"/>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5613"/>
    <w:rsid w:val="00047899"/>
    <w:rsid w:val="00053921"/>
    <w:rsid w:val="00054B44"/>
    <w:rsid w:val="0006006B"/>
    <w:rsid w:val="0006228D"/>
    <w:rsid w:val="00072BD6"/>
    <w:rsid w:val="00075B78"/>
    <w:rsid w:val="000763E9"/>
    <w:rsid w:val="00077354"/>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21DF"/>
    <w:rsid w:val="001342C7"/>
    <w:rsid w:val="0013585C"/>
    <w:rsid w:val="00142261"/>
    <w:rsid w:val="00142954"/>
    <w:rsid w:val="001460E0"/>
    <w:rsid w:val="001472F0"/>
    <w:rsid w:val="00147F71"/>
    <w:rsid w:val="00150A6E"/>
    <w:rsid w:val="00156BE6"/>
    <w:rsid w:val="0016304B"/>
    <w:rsid w:val="0016318F"/>
    <w:rsid w:val="0016468A"/>
    <w:rsid w:val="0017070E"/>
    <w:rsid w:val="00174F02"/>
    <w:rsid w:val="001831E4"/>
    <w:rsid w:val="0018376C"/>
    <w:rsid w:val="0018662D"/>
    <w:rsid w:val="00197427"/>
    <w:rsid w:val="001A21B4"/>
    <w:rsid w:val="001A5CF5"/>
    <w:rsid w:val="001B39D2"/>
    <w:rsid w:val="001B4BF8"/>
    <w:rsid w:val="001B5761"/>
    <w:rsid w:val="001B7B14"/>
    <w:rsid w:val="001C4326"/>
    <w:rsid w:val="001C665E"/>
    <w:rsid w:val="001D3541"/>
    <w:rsid w:val="001D3E4E"/>
    <w:rsid w:val="001E254A"/>
    <w:rsid w:val="001E7386"/>
    <w:rsid w:val="001F45A7"/>
    <w:rsid w:val="001F5E27"/>
    <w:rsid w:val="0020027C"/>
    <w:rsid w:val="00201A01"/>
    <w:rsid w:val="0020754B"/>
    <w:rsid w:val="002104D3"/>
    <w:rsid w:val="0021352C"/>
    <w:rsid w:val="00213A33"/>
    <w:rsid w:val="0021427C"/>
    <w:rsid w:val="0021763B"/>
    <w:rsid w:val="00245748"/>
    <w:rsid w:val="00246DB1"/>
    <w:rsid w:val="002476B5"/>
    <w:rsid w:val="002520CC"/>
    <w:rsid w:val="00253ECF"/>
    <w:rsid w:val="00254044"/>
    <w:rsid w:val="002546A1"/>
    <w:rsid w:val="002575E8"/>
    <w:rsid w:val="00257EF1"/>
    <w:rsid w:val="002628F4"/>
    <w:rsid w:val="002719CC"/>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7DE2"/>
    <w:rsid w:val="002E0B47"/>
    <w:rsid w:val="002F3A0D"/>
    <w:rsid w:val="002F4685"/>
    <w:rsid w:val="002F7213"/>
    <w:rsid w:val="0030382F"/>
    <w:rsid w:val="0030408D"/>
    <w:rsid w:val="003060E4"/>
    <w:rsid w:val="003141CA"/>
    <w:rsid w:val="003160E7"/>
    <w:rsid w:val="0031739E"/>
    <w:rsid w:val="00317DA3"/>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46AA"/>
    <w:rsid w:val="00377264"/>
    <w:rsid w:val="003779D2"/>
    <w:rsid w:val="0038129C"/>
    <w:rsid w:val="00385E38"/>
    <w:rsid w:val="00395144"/>
    <w:rsid w:val="003A1C26"/>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2894"/>
    <w:rsid w:val="003F52A7"/>
    <w:rsid w:val="003F7013"/>
    <w:rsid w:val="003F7F6A"/>
    <w:rsid w:val="0040240C"/>
    <w:rsid w:val="00413021"/>
    <w:rsid w:val="00414C35"/>
    <w:rsid w:val="004171B7"/>
    <w:rsid w:val="004301C6"/>
    <w:rsid w:val="004319B9"/>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6266"/>
    <w:rsid w:val="004812C4"/>
    <w:rsid w:val="004852AB"/>
    <w:rsid w:val="00487C04"/>
    <w:rsid w:val="004907E1"/>
    <w:rsid w:val="00494C8E"/>
    <w:rsid w:val="004A035B"/>
    <w:rsid w:val="004A2108"/>
    <w:rsid w:val="004A38D7"/>
    <w:rsid w:val="004A778C"/>
    <w:rsid w:val="004B14DD"/>
    <w:rsid w:val="004B48C7"/>
    <w:rsid w:val="004C1535"/>
    <w:rsid w:val="004C2E6A"/>
    <w:rsid w:val="004C64B8"/>
    <w:rsid w:val="004D2A2D"/>
    <w:rsid w:val="004D479F"/>
    <w:rsid w:val="004D6689"/>
    <w:rsid w:val="004E1D1D"/>
    <w:rsid w:val="004E3F4A"/>
    <w:rsid w:val="004E7AC8"/>
    <w:rsid w:val="004F05F4"/>
    <w:rsid w:val="004F0C94"/>
    <w:rsid w:val="005019AE"/>
    <w:rsid w:val="00503749"/>
    <w:rsid w:val="00503D59"/>
    <w:rsid w:val="00504CF4"/>
    <w:rsid w:val="0050635B"/>
    <w:rsid w:val="005075B3"/>
    <w:rsid w:val="005151C2"/>
    <w:rsid w:val="005275E8"/>
    <w:rsid w:val="005309FE"/>
    <w:rsid w:val="0053199F"/>
    <w:rsid w:val="00531E12"/>
    <w:rsid w:val="00533B90"/>
    <w:rsid w:val="00540BAF"/>
    <w:rsid w:val="005410F8"/>
    <w:rsid w:val="005448EC"/>
    <w:rsid w:val="005456FE"/>
    <w:rsid w:val="00545963"/>
    <w:rsid w:val="0054794A"/>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D1FFF"/>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3CF9"/>
    <w:rsid w:val="006C78EB"/>
    <w:rsid w:val="006D1660"/>
    <w:rsid w:val="006D63E5"/>
    <w:rsid w:val="006E1753"/>
    <w:rsid w:val="006E2886"/>
    <w:rsid w:val="006E3911"/>
    <w:rsid w:val="006E69F4"/>
    <w:rsid w:val="006F1B67"/>
    <w:rsid w:val="006F4D9C"/>
    <w:rsid w:val="0070091D"/>
    <w:rsid w:val="00702854"/>
    <w:rsid w:val="007154E6"/>
    <w:rsid w:val="0071741C"/>
    <w:rsid w:val="00742B90"/>
    <w:rsid w:val="0074434D"/>
    <w:rsid w:val="00752E53"/>
    <w:rsid w:val="007570C4"/>
    <w:rsid w:val="007605B8"/>
    <w:rsid w:val="0076418A"/>
    <w:rsid w:val="0076541A"/>
    <w:rsid w:val="00771B1E"/>
    <w:rsid w:val="00773C95"/>
    <w:rsid w:val="0078171E"/>
    <w:rsid w:val="0078658E"/>
    <w:rsid w:val="007920E2"/>
    <w:rsid w:val="0079566E"/>
    <w:rsid w:val="00795B34"/>
    <w:rsid w:val="007A067F"/>
    <w:rsid w:val="007A38C2"/>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44E1"/>
    <w:rsid w:val="007E74F1"/>
    <w:rsid w:val="007F0F0C"/>
    <w:rsid w:val="007F1288"/>
    <w:rsid w:val="007F3E11"/>
    <w:rsid w:val="00800A8A"/>
    <w:rsid w:val="0080155C"/>
    <w:rsid w:val="008052E1"/>
    <w:rsid w:val="00811EEB"/>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3B1"/>
    <w:rsid w:val="008814E8"/>
    <w:rsid w:val="00886F64"/>
    <w:rsid w:val="008924DE"/>
    <w:rsid w:val="008A3755"/>
    <w:rsid w:val="008B19DC"/>
    <w:rsid w:val="008B264F"/>
    <w:rsid w:val="008B6F83"/>
    <w:rsid w:val="008B7FD8"/>
    <w:rsid w:val="008C2973"/>
    <w:rsid w:val="008C34EC"/>
    <w:rsid w:val="008C6324"/>
    <w:rsid w:val="008C64C4"/>
    <w:rsid w:val="008D2CDD"/>
    <w:rsid w:val="008D74D5"/>
    <w:rsid w:val="008D7C9F"/>
    <w:rsid w:val="008E04BA"/>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4420"/>
    <w:rsid w:val="0095565C"/>
    <w:rsid w:val="00956B5D"/>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0E7A"/>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11698"/>
    <w:rsid w:val="00A129ED"/>
    <w:rsid w:val="00A163F8"/>
    <w:rsid w:val="00A20B2E"/>
    <w:rsid w:val="00A24F33"/>
    <w:rsid w:val="00A25069"/>
    <w:rsid w:val="00A26E6B"/>
    <w:rsid w:val="00A3068F"/>
    <w:rsid w:val="00A3145B"/>
    <w:rsid w:val="00A323C4"/>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5E5"/>
    <w:rsid w:val="00A97A3A"/>
    <w:rsid w:val="00AA240C"/>
    <w:rsid w:val="00AB0332"/>
    <w:rsid w:val="00AC101C"/>
    <w:rsid w:val="00AD1539"/>
    <w:rsid w:val="00AD4CF1"/>
    <w:rsid w:val="00AD5988"/>
    <w:rsid w:val="00AD6293"/>
    <w:rsid w:val="00AE1643"/>
    <w:rsid w:val="00AE16AF"/>
    <w:rsid w:val="00AF372E"/>
    <w:rsid w:val="00AF7800"/>
    <w:rsid w:val="00B00CF5"/>
    <w:rsid w:val="00B072E0"/>
    <w:rsid w:val="00B1007E"/>
    <w:rsid w:val="00B11EBF"/>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D6BEA"/>
    <w:rsid w:val="00BF3DE1"/>
    <w:rsid w:val="00BF4843"/>
    <w:rsid w:val="00BF5205"/>
    <w:rsid w:val="00C05132"/>
    <w:rsid w:val="00C12508"/>
    <w:rsid w:val="00C23728"/>
    <w:rsid w:val="00C3026C"/>
    <w:rsid w:val="00C309BF"/>
    <w:rsid w:val="00C313A9"/>
    <w:rsid w:val="00C347C8"/>
    <w:rsid w:val="00C358E4"/>
    <w:rsid w:val="00C418EE"/>
    <w:rsid w:val="00C441CF"/>
    <w:rsid w:val="00C45AA2"/>
    <w:rsid w:val="00C4792C"/>
    <w:rsid w:val="00C55BEF"/>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2119"/>
    <w:rsid w:val="00CD237A"/>
    <w:rsid w:val="00CD36AC"/>
    <w:rsid w:val="00CE13A3"/>
    <w:rsid w:val="00CE36BC"/>
    <w:rsid w:val="00CF1747"/>
    <w:rsid w:val="00CF60ED"/>
    <w:rsid w:val="00D01D5E"/>
    <w:rsid w:val="00D05D74"/>
    <w:rsid w:val="00D20C59"/>
    <w:rsid w:val="00D23323"/>
    <w:rsid w:val="00D2392A"/>
    <w:rsid w:val="00D25FFE"/>
    <w:rsid w:val="00D27922"/>
    <w:rsid w:val="00D27A64"/>
    <w:rsid w:val="00D37D80"/>
    <w:rsid w:val="00D442F3"/>
    <w:rsid w:val="00D44483"/>
    <w:rsid w:val="00D4476F"/>
    <w:rsid w:val="00D502F8"/>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04B1"/>
    <w:rsid w:val="00DB39CF"/>
    <w:rsid w:val="00DB7256"/>
    <w:rsid w:val="00DC0401"/>
    <w:rsid w:val="00DC20BD"/>
    <w:rsid w:val="00DD06EE"/>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B3FFA"/>
    <w:rsid w:val="00EC0FC7"/>
    <w:rsid w:val="00EC27DA"/>
    <w:rsid w:val="00EC50CE"/>
    <w:rsid w:val="00EC5B34"/>
    <w:rsid w:val="00ED021E"/>
    <w:rsid w:val="00ED323C"/>
    <w:rsid w:val="00EE0AFD"/>
    <w:rsid w:val="00EE2D5C"/>
    <w:rsid w:val="00EE4ADE"/>
    <w:rsid w:val="00EE4DE8"/>
    <w:rsid w:val="00EE5CB7"/>
    <w:rsid w:val="00EF002B"/>
    <w:rsid w:val="00EF6A73"/>
    <w:rsid w:val="00F000BF"/>
    <w:rsid w:val="00F024FE"/>
    <w:rsid w:val="00F05AD4"/>
    <w:rsid w:val="00F103BE"/>
    <w:rsid w:val="00F10EB6"/>
    <w:rsid w:val="00F13F07"/>
    <w:rsid w:val="00F140B2"/>
    <w:rsid w:val="00F14AF6"/>
    <w:rsid w:val="00F16595"/>
    <w:rsid w:val="00F24EEE"/>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3CC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CE21E0"/>
  <w15:docId w15:val="{6E3B251E-8C30-4202-B815-FE8EAFAC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76541A"/>
    <w:pPr>
      <w:pageBreakBefore/>
      <w:spacing w:after="360" w:line="216" w:lineRule="auto"/>
      <w:ind w:left="851" w:right="-709" w:hanging="851"/>
      <w:outlineLvl w:val="0"/>
    </w:pPr>
    <w:rPr>
      <w:b/>
      <w:color w:val="23305D"/>
      <w:spacing w:val="-15"/>
      <w:sz w:val="72"/>
    </w:rPr>
  </w:style>
  <w:style w:type="paragraph" w:styleId="Heading2">
    <w:name w:val="heading 2"/>
    <w:basedOn w:val="Normal"/>
    <w:next w:val="Normal"/>
    <w:link w:val="Heading2Char"/>
    <w:qFormat/>
    <w:rsid w:val="0076541A"/>
    <w:pPr>
      <w:keepNext/>
      <w:spacing w:before="480" w:after="180"/>
      <w:ind w:left="851" w:hanging="851"/>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541A"/>
    <w:rPr>
      <w:rFonts w:ascii="Segoe UI" w:hAnsi="Segoe UI"/>
      <w:b/>
      <w:color w:val="23305D"/>
      <w:spacing w:val="-15"/>
      <w:sz w:val="72"/>
      <w:lang w:eastAsia="en-GB"/>
    </w:rPr>
  </w:style>
  <w:style w:type="character" w:customStyle="1" w:styleId="Heading2Char">
    <w:name w:val="Heading 2 Char"/>
    <w:link w:val="Heading2"/>
    <w:rsid w:val="0076541A"/>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B5761"/>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1B5761"/>
    <w:pPr>
      <w:tabs>
        <w:tab w:val="right" w:pos="8080"/>
      </w:tabs>
      <w:spacing w:before="60"/>
      <w:ind w:left="1134" w:right="567" w:hanging="567"/>
    </w:pPr>
  </w:style>
  <w:style w:type="paragraph" w:styleId="TOC3">
    <w:name w:val="toc 3"/>
    <w:basedOn w:val="Normal"/>
    <w:next w:val="Normal"/>
    <w:uiPriority w:val="39"/>
    <w:rsid w:val="001B5761"/>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A163F8"/>
    <w:pPr>
      <w:spacing w:line="216" w:lineRule="auto"/>
      <w:ind w:right="3402"/>
    </w:pPr>
    <w:rPr>
      <w:rFonts w:ascii="Segoe UI Black" w:hAnsi="Segoe UI Black" w:cs="Lucida Sans Unicode"/>
      <w:b/>
      <w:sz w:val="64"/>
      <w:szCs w:val="72"/>
    </w:rPr>
  </w:style>
  <w:style w:type="character" w:customStyle="1" w:styleId="TitleChar">
    <w:name w:val="Title Char"/>
    <w:link w:val="Title"/>
    <w:rsid w:val="00A163F8"/>
    <w:rPr>
      <w:rFonts w:ascii="Segoe UI Black" w:hAnsi="Segoe UI Black" w:cs="Lucida Sans Unicode"/>
      <w:b/>
      <w:sz w:val="64"/>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D01D5E"/>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59"/>
    <w:rsid w:val="00A163F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1C26"/>
    <w:rPr>
      <w:color w:val="800080" w:themeColor="followedHyperlink"/>
      <w:u w:val="single"/>
    </w:rPr>
  </w:style>
  <w:style w:type="paragraph" w:styleId="BalloonText">
    <w:name w:val="Balloon Text"/>
    <w:basedOn w:val="Normal"/>
    <w:link w:val="BalloonTextChar"/>
    <w:uiPriority w:val="99"/>
    <w:semiHidden/>
    <w:unhideWhenUsed/>
    <w:rsid w:val="007A38C2"/>
    <w:rPr>
      <w:rFonts w:cs="Segoe UI"/>
      <w:sz w:val="18"/>
      <w:szCs w:val="18"/>
    </w:rPr>
  </w:style>
  <w:style w:type="character" w:customStyle="1" w:styleId="BalloonTextChar">
    <w:name w:val="Balloon Text Char"/>
    <w:basedOn w:val="DefaultParagraphFont"/>
    <w:link w:val="BalloonText"/>
    <w:uiPriority w:val="99"/>
    <w:semiHidden/>
    <w:rsid w:val="007A38C2"/>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156BE6"/>
    <w:rPr>
      <w:color w:val="605E5C"/>
      <w:shd w:val="clear" w:color="auto" w:fill="E1DFDD"/>
    </w:rPr>
  </w:style>
  <w:style w:type="character" w:styleId="CommentReference">
    <w:name w:val="annotation reference"/>
    <w:basedOn w:val="DefaultParagraphFont"/>
    <w:uiPriority w:val="99"/>
    <w:semiHidden/>
    <w:unhideWhenUsed/>
    <w:rsid w:val="007154E6"/>
    <w:rPr>
      <w:sz w:val="16"/>
      <w:szCs w:val="16"/>
    </w:rPr>
  </w:style>
  <w:style w:type="paragraph" w:styleId="CommentText">
    <w:name w:val="annotation text"/>
    <w:basedOn w:val="Normal"/>
    <w:link w:val="CommentTextChar"/>
    <w:uiPriority w:val="99"/>
    <w:semiHidden/>
    <w:unhideWhenUsed/>
    <w:rsid w:val="007154E6"/>
    <w:rPr>
      <w:sz w:val="20"/>
    </w:rPr>
  </w:style>
  <w:style w:type="character" w:customStyle="1" w:styleId="CommentTextChar">
    <w:name w:val="Comment Text Char"/>
    <w:basedOn w:val="DefaultParagraphFont"/>
    <w:link w:val="CommentText"/>
    <w:uiPriority w:val="99"/>
    <w:semiHidden/>
    <w:rsid w:val="007154E6"/>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154E6"/>
    <w:rPr>
      <w:b/>
      <w:bCs/>
    </w:rPr>
  </w:style>
  <w:style w:type="character" w:customStyle="1" w:styleId="CommentSubjectChar">
    <w:name w:val="Comment Subject Char"/>
    <w:basedOn w:val="CommentTextChar"/>
    <w:link w:val="CommentSubject"/>
    <w:uiPriority w:val="99"/>
    <w:semiHidden/>
    <w:rsid w:val="007154E6"/>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influenza.org.n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ealth.govt.nz/coldchain" TargetMode="External"/><Relationship Id="rId34" Type="http://schemas.openxmlformats.org/officeDocument/2006/relationships/hyperlink" Target="http://www.hcl.co.n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hcl.co.nz" TargetMode="External"/><Relationship Id="rId33" Type="http://schemas.openxmlformats.org/officeDocument/2006/relationships/hyperlink" Target="http://www.fundedvaccines.co.nz/vaccines"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ealth.govt.nz/coldchain" TargetMode="External"/><Relationship Id="rId29" Type="http://schemas.openxmlformats.org/officeDocument/2006/relationships/hyperlink" Target="file:///\\moh.govt.nz\dfs-userdata\userstate\dmurfitt\Documents\www.immune.org.nz\health-professionals\cold-ch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undedvaccines.co.nz/vaccines" TargetMode="External"/><Relationship Id="rId32" Type="http://schemas.openxmlformats.org/officeDocument/2006/relationships/hyperlink" Target="http://www.immune.org.nz/health-professionals/regional-advisors-and-local-coordinators"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health.govt.nz/coldchain" TargetMode="External"/><Relationship Id="rId28" Type="http://schemas.openxmlformats.org/officeDocument/2006/relationships/hyperlink" Target="http://www.fundedvaccines.co.nz/vaccines" TargetMode="External"/><Relationship Id="rId36" Type="http://schemas.openxmlformats.org/officeDocument/2006/relationships/hyperlink" Target="mailto:medicinescontrol@health.govt.nz"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mailto:riasouth@auckland.ac.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health.govt.nz/coldchain" TargetMode="External"/><Relationship Id="rId27" Type="http://schemas.openxmlformats.org/officeDocument/2006/relationships/hyperlink" Target="mailto:immunisation@health.govt.nz" TargetMode="External"/><Relationship Id="rId30" Type="http://schemas.openxmlformats.org/officeDocument/2006/relationships/hyperlink" Target="file:///\\moh.govt.nz\dfs-userdata\userstate\dmurfitt\Documents\www.immune.org.nz\health-professionals\cold-chain" TargetMode="External"/><Relationship Id="rId35" Type="http://schemas.openxmlformats.org/officeDocument/2006/relationships/hyperlink" Target="http://www.influenza.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D5B9-7045-4DDC-A724-5F1A9C90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47</Pages>
  <Words>13363</Words>
  <Characters>76171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for Vaccine Storage and Transportation for Immunisation Providers 2017 (2nd edition)</dc:title>
  <dc:creator>Ministry of Health</dc:creator>
  <cp:lastModifiedBy>Ministry of Health</cp:lastModifiedBy>
  <cp:revision>2</cp:revision>
  <cp:lastPrinted>2019-08-30T01:04:00Z</cp:lastPrinted>
  <dcterms:created xsi:type="dcterms:W3CDTF">2019-10-07T01:29:00Z</dcterms:created>
  <dcterms:modified xsi:type="dcterms:W3CDTF">2019-10-07T01:29:00Z</dcterms:modified>
</cp:coreProperties>
</file>