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0D44A5" w:rsidP="00D54D50">
      <w:pPr>
        <w:pStyle w:val="Title"/>
      </w:pPr>
      <w:bookmarkStart w:id="0" w:name="_GoBack"/>
      <w:bookmarkEnd w:id="0"/>
      <w:r>
        <w:t>Report on Maternity</w:t>
      </w:r>
    </w:p>
    <w:p w:rsidR="00455CC9" w:rsidRDefault="000D44A5" w:rsidP="00455CC9">
      <w:pPr>
        <w:pStyle w:val="Year"/>
      </w:pPr>
      <w:r>
        <w:t>2015</w:t>
      </w:r>
    </w:p>
    <w:p w:rsidR="00C86248" w:rsidRDefault="00C86248" w:rsidP="00343365">
      <w:pPr>
        <w:pStyle w:val="Subhead"/>
      </w:pPr>
    </w:p>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0D44A5" w:rsidRDefault="000D44A5" w:rsidP="000D44A5">
      <w:pPr>
        <w:pStyle w:val="Heading3"/>
      </w:pPr>
      <w:r>
        <w:lastRenderedPageBreak/>
        <w:t>Acknowledgements</w:t>
      </w:r>
    </w:p>
    <w:p w:rsidR="000D44A5" w:rsidRDefault="000D44A5" w:rsidP="000D44A5">
      <w:r w:rsidRPr="005725C5">
        <w:t>Many people have assisted in the production of this publication. In particular, the Ministry of Health thanks the peer reviewers from the New Zealand College of Midwives and the Royal Australian and New Zealand College of Obstetricians and Gynaecologists for their valuable contribution, and thanks the members of The National Maternity Monitoring Group for guidance regarding national maternity publications.</w:t>
      </w:r>
    </w:p>
    <w:p w:rsidR="00A80363" w:rsidRPr="00442C1C" w:rsidRDefault="00A80363" w:rsidP="0021121A">
      <w:pPr>
        <w:pStyle w:val="Imprint"/>
        <w:spacing w:before="6480"/>
      </w:pPr>
      <w:r>
        <w:t xml:space="preserve">Citation: </w:t>
      </w:r>
      <w:r w:rsidR="00442C1C">
        <w:t xml:space="preserve">Ministry of Health. </w:t>
      </w:r>
      <w:r w:rsidR="000D44A5">
        <w:t>2017</w:t>
      </w:r>
      <w:r w:rsidR="00442C1C">
        <w:t xml:space="preserve">. </w:t>
      </w:r>
      <w:r w:rsidR="000D44A5">
        <w:rPr>
          <w:i/>
        </w:rPr>
        <w:t>Report on Maternity</w:t>
      </w:r>
      <w:r w:rsidR="00CB5229">
        <w:rPr>
          <w:i/>
        </w:rPr>
        <w:t xml:space="preserve"> 2015</w:t>
      </w:r>
      <w:r w:rsidR="00442C1C">
        <w:t xml:space="preserve">. </w:t>
      </w:r>
      <w:r w:rsidR="0021121A">
        <w:br/>
      </w:r>
      <w:r w:rsidR="00442C1C">
        <w:t>Wellington: Ministry of Health.</w:t>
      </w:r>
    </w:p>
    <w:p w:rsidR="00C86248" w:rsidRDefault="00C86248">
      <w:pPr>
        <w:pStyle w:val="Imprint"/>
      </w:pPr>
      <w:r>
        <w:t xml:space="preserve">Published in </w:t>
      </w:r>
      <w:r w:rsidR="000D44A5">
        <w:t>July 2017</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D863D0" w:rsidP="00082CD6">
      <w:pPr>
        <w:pStyle w:val="Imprint"/>
      </w:pPr>
      <w:r>
        <w:t>ISBN</w:t>
      </w:r>
      <w:r w:rsidR="00442C1C">
        <w:t xml:space="preserve"> </w:t>
      </w:r>
      <w:r w:rsidR="000D44A5">
        <w:t xml:space="preserve">978-1-98-850266-3 </w:t>
      </w:r>
      <w:r>
        <w:t>(</w:t>
      </w:r>
      <w:r w:rsidR="00442C1C">
        <w:t>online</w:t>
      </w:r>
      <w:r>
        <w:t>)</w:t>
      </w:r>
      <w:r w:rsidR="00082CD6">
        <w:br/>
      </w:r>
      <w:r w:rsidR="00082CD6" w:rsidRPr="009C0F2D">
        <w:t xml:space="preserve">HP </w:t>
      </w:r>
      <w:r w:rsidR="000D44A5">
        <w:t>6642</w:t>
      </w:r>
    </w:p>
    <w:p w:rsidR="00C86248" w:rsidRDefault="00C86248">
      <w:pPr>
        <w:pStyle w:val="Imprint"/>
      </w:pPr>
      <w:r>
        <w:t xml:space="preserve">This document is available </w:t>
      </w:r>
      <w:r w:rsidR="0071741C">
        <w:t>at w</w:t>
      </w:r>
      <w:r>
        <w:t>ww.h</w:t>
      </w:r>
      <w:r w:rsidR="00A80363">
        <w:t>ealth</w:t>
      </w:r>
      <w:r>
        <w:t>.govt.nz</w:t>
      </w:r>
    </w:p>
    <w:p w:rsidR="00C86248" w:rsidRDefault="008C64C4">
      <w:pPr>
        <w:jc w:val="center"/>
      </w:pPr>
      <w:r>
        <w:rPr>
          <w:noProof/>
          <w:lang w:eastAsia="en-NZ"/>
        </w:rPr>
        <w:drawing>
          <wp:inline distT="0" distB="0" distL="0" distR="0" wp14:anchorId="1B65E26C" wp14:editId="2EAC003C">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1791BDB7" wp14:editId="4D27C6A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ie, copy and redistribute the material in any medium or format; adapt ie,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0D44A5">
          <w:footerReference w:type="even" r:id="rId12"/>
          <w:footerReference w:type="default" r:id="rId13"/>
          <w:pgSz w:w="11907" w:h="16834" w:code="9"/>
          <w:pgMar w:top="1701" w:right="1134" w:bottom="1134" w:left="1985" w:header="0" w:footer="0" w:gutter="0"/>
          <w:cols w:space="720"/>
        </w:sectPr>
      </w:pPr>
    </w:p>
    <w:p w:rsidR="00C86248" w:rsidRDefault="00C86248">
      <w:pPr>
        <w:pStyle w:val="IntroHead"/>
      </w:pPr>
      <w:bookmarkStart w:id="1" w:name="_Toc405792991"/>
      <w:bookmarkStart w:id="2" w:name="_Toc405793224"/>
      <w:r>
        <w:lastRenderedPageBreak/>
        <w:t>Contents</w:t>
      </w:r>
      <w:bookmarkEnd w:id="1"/>
      <w:bookmarkEnd w:id="2"/>
    </w:p>
    <w:p w:rsidR="004E7832"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4E7832">
        <w:rPr>
          <w:noProof/>
        </w:rPr>
        <w:t>Executive summary</w:t>
      </w:r>
      <w:r w:rsidR="004E7832">
        <w:rPr>
          <w:noProof/>
        </w:rPr>
        <w:tab/>
      </w:r>
      <w:r w:rsidR="004E7832">
        <w:rPr>
          <w:noProof/>
        </w:rPr>
        <w:fldChar w:fldCharType="begin"/>
      </w:r>
      <w:r w:rsidR="004E7832">
        <w:rPr>
          <w:noProof/>
        </w:rPr>
        <w:instrText xml:space="preserve"> PAGEREF _Toc485542617 \h </w:instrText>
      </w:r>
      <w:r w:rsidR="004E7832">
        <w:rPr>
          <w:noProof/>
        </w:rPr>
      </w:r>
      <w:r w:rsidR="004E7832">
        <w:rPr>
          <w:noProof/>
        </w:rPr>
        <w:fldChar w:fldCharType="separate"/>
      </w:r>
      <w:r w:rsidR="00071E85">
        <w:rPr>
          <w:noProof/>
        </w:rPr>
        <w:t>viii</w:t>
      </w:r>
      <w:r w:rsidR="004E7832">
        <w:rPr>
          <w:noProof/>
        </w:rPr>
        <w:fldChar w:fldCharType="end"/>
      </w:r>
    </w:p>
    <w:p w:rsidR="004E7832" w:rsidRDefault="004E7832">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_Toc485542618 \h </w:instrText>
      </w:r>
      <w:r>
        <w:rPr>
          <w:noProof/>
        </w:rPr>
      </w:r>
      <w:r>
        <w:rPr>
          <w:noProof/>
        </w:rPr>
        <w:fldChar w:fldCharType="separate"/>
      </w:r>
      <w:r w:rsidR="00071E85">
        <w:rPr>
          <w:noProof/>
        </w:rPr>
        <w:t>1</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Purpose</w:t>
      </w:r>
      <w:r>
        <w:rPr>
          <w:noProof/>
        </w:rPr>
        <w:tab/>
      </w:r>
      <w:r>
        <w:rPr>
          <w:noProof/>
        </w:rPr>
        <w:fldChar w:fldCharType="begin"/>
      </w:r>
      <w:r>
        <w:rPr>
          <w:noProof/>
        </w:rPr>
        <w:instrText xml:space="preserve"> PAGEREF _Toc485542619 \h </w:instrText>
      </w:r>
      <w:r>
        <w:rPr>
          <w:noProof/>
        </w:rPr>
      </w:r>
      <w:r>
        <w:rPr>
          <w:noProof/>
        </w:rPr>
        <w:fldChar w:fldCharType="separate"/>
      </w:r>
      <w:r w:rsidR="00071E85">
        <w:rPr>
          <w:noProof/>
        </w:rPr>
        <w:t>1</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_Toc485542620 \h </w:instrText>
      </w:r>
      <w:r>
        <w:rPr>
          <w:noProof/>
        </w:rPr>
      </w:r>
      <w:r>
        <w:rPr>
          <w:noProof/>
        </w:rPr>
        <w:fldChar w:fldCharType="separate"/>
      </w:r>
      <w:r w:rsidR="00071E85">
        <w:rPr>
          <w:noProof/>
        </w:rPr>
        <w:t>1</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Data sources</w:t>
      </w:r>
      <w:r>
        <w:rPr>
          <w:noProof/>
        </w:rPr>
        <w:tab/>
      </w:r>
      <w:r>
        <w:rPr>
          <w:noProof/>
        </w:rPr>
        <w:fldChar w:fldCharType="begin"/>
      </w:r>
      <w:r>
        <w:rPr>
          <w:noProof/>
        </w:rPr>
        <w:instrText xml:space="preserve"> PAGEREF _Toc485542621 \h </w:instrText>
      </w:r>
      <w:r>
        <w:rPr>
          <w:noProof/>
        </w:rPr>
      </w:r>
      <w:r>
        <w:rPr>
          <w:noProof/>
        </w:rPr>
        <w:fldChar w:fldCharType="separate"/>
      </w:r>
      <w:r w:rsidR="00071E85">
        <w:rPr>
          <w:noProof/>
        </w:rPr>
        <w:t>1</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Analytical methods</w:t>
      </w:r>
      <w:r>
        <w:rPr>
          <w:noProof/>
        </w:rPr>
        <w:tab/>
      </w:r>
      <w:r>
        <w:rPr>
          <w:noProof/>
        </w:rPr>
        <w:fldChar w:fldCharType="begin"/>
      </w:r>
      <w:r>
        <w:rPr>
          <w:noProof/>
        </w:rPr>
        <w:instrText xml:space="preserve"> PAGEREF _Toc485542622 \h </w:instrText>
      </w:r>
      <w:r>
        <w:rPr>
          <w:noProof/>
        </w:rPr>
      </w:r>
      <w:r>
        <w:rPr>
          <w:noProof/>
        </w:rPr>
        <w:fldChar w:fldCharType="separate"/>
      </w:r>
      <w:r w:rsidR="00071E85">
        <w:rPr>
          <w:noProof/>
        </w:rPr>
        <w:t>2</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Data presentation</w:t>
      </w:r>
      <w:r>
        <w:rPr>
          <w:noProof/>
        </w:rPr>
        <w:tab/>
      </w:r>
      <w:r>
        <w:rPr>
          <w:noProof/>
        </w:rPr>
        <w:fldChar w:fldCharType="begin"/>
      </w:r>
      <w:r>
        <w:rPr>
          <w:noProof/>
        </w:rPr>
        <w:instrText xml:space="preserve"> PAGEREF _Toc485542623 \h </w:instrText>
      </w:r>
      <w:r>
        <w:rPr>
          <w:noProof/>
        </w:rPr>
      </w:r>
      <w:r>
        <w:rPr>
          <w:noProof/>
        </w:rPr>
        <w:fldChar w:fldCharType="separate"/>
      </w:r>
      <w:r w:rsidR="00071E85">
        <w:rPr>
          <w:noProof/>
        </w:rPr>
        <w:t>3</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Additional information</w:t>
      </w:r>
      <w:r>
        <w:rPr>
          <w:noProof/>
        </w:rPr>
        <w:tab/>
      </w:r>
      <w:r>
        <w:rPr>
          <w:noProof/>
        </w:rPr>
        <w:fldChar w:fldCharType="begin"/>
      </w:r>
      <w:r>
        <w:rPr>
          <w:noProof/>
        </w:rPr>
        <w:instrText xml:space="preserve"> PAGEREF _Toc485542624 \h </w:instrText>
      </w:r>
      <w:r>
        <w:rPr>
          <w:noProof/>
        </w:rPr>
      </w:r>
      <w:r>
        <w:rPr>
          <w:noProof/>
        </w:rPr>
        <w:fldChar w:fldCharType="separate"/>
      </w:r>
      <w:r w:rsidR="00071E85">
        <w:rPr>
          <w:noProof/>
        </w:rPr>
        <w:t>5</w:t>
      </w:r>
      <w:r>
        <w:rPr>
          <w:noProof/>
        </w:rPr>
        <w:fldChar w:fldCharType="end"/>
      </w:r>
    </w:p>
    <w:p w:rsidR="004E7832" w:rsidRDefault="004E7832">
      <w:pPr>
        <w:pStyle w:val="TOC1"/>
        <w:rPr>
          <w:rFonts w:asciiTheme="minorHAnsi" w:eastAsiaTheme="minorEastAsia" w:hAnsiTheme="minorHAnsi" w:cstheme="minorBidi"/>
          <w:b w:val="0"/>
          <w:noProof/>
          <w:szCs w:val="22"/>
          <w:lang w:eastAsia="en-NZ"/>
        </w:rPr>
      </w:pPr>
      <w:r>
        <w:rPr>
          <w:noProof/>
        </w:rPr>
        <w:t>Women giving birth</w:t>
      </w:r>
      <w:r>
        <w:rPr>
          <w:noProof/>
        </w:rPr>
        <w:tab/>
      </w:r>
      <w:r>
        <w:rPr>
          <w:noProof/>
        </w:rPr>
        <w:fldChar w:fldCharType="begin"/>
      </w:r>
      <w:r>
        <w:rPr>
          <w:noProof/>
        </w:rPr>
        <w:instrText xml:space="preserve"> PAGEREF _Toc485542625 \h </w:instrText>
      </w:r>
      <w:r>
        <w:rPr>
          <w:noProof/>
        </w:rPr>
      </w:r>
      <w:r>
        <w:rPr>
          <w:noProof/>
        </w:rPr>
        <w:fldChar w:fldCharType="separate"/>
      </w:r>
      <w:r w:rsidR="00071E85">
        <w:rPr>
          <w:noProof/>
        </w:rPr>
        <w:t>6</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Age</w:t>
      </w:r>
      <w:r>
        <w:rPr>
          <w:noProof/>
        </w:rPr>
        <w:tab/>
      </w:r>
      <w:r>
        <w:rPr>
          <w:noProof/>
        </w:rPr>
        <w:fldChar w:fldCharType="begin"/>
      </w:r>
      <w:r>
        <w:rPr>
          <w:noProof/>
        </w:rPr>
        <w:instrText xml:space="preserve"> PAGEREF _Toc485542626 \h </w:instrText>
      </w:r>
      <w:r>
        <w:rPr>
          <w:noProof/>
        </w:rPr>
      </w:r>
      <w:r>
        <w:rPr>
          <w:noProof/>
        </w:rPr>
        <w:fldChar w:fldCharType="separate"/>
      </w:r>
      <w:r w:rsidR="00071E85">
        <w:rPr>
          <w:noProof/>
        </w:rPr>
        <w:t>6</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Ethnicity</w:t>
      </w:r>
      <w:r>
        <w:rPr>
          <w:noProof/>
        </w:rPr>
        <w:tab/>
      </w:r>
      <w:r>
        <w:rPr>
          <w:noProof/>
        </w:rPr>
        <w:fldChar w:fldCharType="begin"/>
      </w:r>
      <w:r>
        <w:rPr>
          <w:noProof/>
        </w:rPr>
        <w:instrText xml:space="preserve"> PAGEREF _Toc485542627 \h </w:instrText>
      </w:r>
      <w:r>
        <w:rPr>
          <w:noProof/>
        </w:rPr>
      </w:r>
      <w:r>
        <w:rPr>
          <w:noProof/>
        </w:rPr>
        <w:fldChar w:fldCharType="separate"/>
      </w:r>
      <w:r w:rsidR="00071E85">
        <w:rPr>
          <w:noProof/>
        </w:rPr>
        <w:t>7</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_Toc485542628 \h </w:instrText>
      </w:r>
      <w:r>
        <w:rPr>
          <w:noProof/>
        </w:rPr>
      </w:r>
      <w:r>
        <w:rPr>
          <w:noProof/>
        </w:rPr>
        <w:fldChar w:fldCharType="separate"/>
      </w:r>
      <w:r w:rsidR="00071E85">
        <w:rPr>
          <w:noProof/>
        </w:rPr>
        <w:t>9</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Geographic distribution</w:t>
      </w:r>
      <w:r>
        <w:rPr>
          <w:noProof/>
        </w:rPr>
        <w:tab/>
      </w:r>
      <w:r>
        <w:rPr>
          <w:noProof/>
        </w:rPr>
        <w:fldChar w:fldCharType="begin"/>
      </w:r>
      <w:r>
        <w:rPr>
          <w:noProof/>
        </w:rPr>
        <w:instrText xml:space="preserve"> PAGEREF _Toc485542629 \h </w:instrText>
      </w:r>
      <w:r>
        <w:rPr>
          <w:noProof/>
        </w:rPr>
      </w:r>
      <w:r>
        <w:rPr>
          <w:noProof/>
        </w:rPr>
        <w:fldChar w:fldCharType="separate"/>
      </w:r>
      <w:r w:rsidR="00071E85">
        <w:rPr>
          <w:noProof/>
        </w:rPr>
        <w:t>13</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Parity</w:t>
      </w:r>
      <w:r>
        <w:rPr>
          <w:noProof/>
        </w:rPr>
        <w:tab/>
      </w:r>
      <w:r>
        <w:rPr>
          <w:noProof/>
        </w:rPr>
        <w:fldChar w:fldCharType="begin"/>
      </w:r>
      <w:r>
        <w:rPr>
          <w:noProof/>
        </w:rPr>
        <w:instrText xml:space="preserve"> PAGEREF _Toc485542630 \h </w:instrText>
      </w:r>
      <w:r>
        <w:rPr>
          <w:noProof/>
        </w:rPr>
      </w:r>
      <w:r>
        <w:rPr>
          <w:noProof/>
        </w:rPr>
        <w:fldChar w:fldCharType="separate"/>
      </w:r>
      <w:r w:rsidR="00071E85">
        <w:rPr>
          <w:noProof/>
        </w:rPr>
        <w:t>17</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Body mass index</w:t>
      </w:r>
      <w:r>
        <w:rPr>
          <w:noProof/>
        </w:rPr>
        <w:tab/>
      </w:r>
      <w:r>
        <w:rPr>
          <w:noProof/>
        </w:rPr>
        <w:fldChar w:fldCharType="begin"/>
      </w:r>
      <w:r>
        <w:rPr>
          <w:noProof/>
        </w:rPr>
        <w:instrText xml:space="preserve"> PAGEREF _Toc485542631 \h </w:instrText>
      </w:r>
      <w:r>
        <w:rPr>
          <w:noProof/>
        </w:rPr>
      </w:r>
      <w:r>
        <w:rPr>
          <w:noProof/>
        </w:rPr>
        <w:fldChar w:fldCharType="separate"/>
      </w:r>
      <w:r w:rsidR="00071E85">
        <w:rPr>
          <w:noProof/>
        </w:rPr>
        <w:t>19</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Smoking status</w:t>
      </w:r>
      <w:r>
        <w:rPr>
          <w:noProof/>
        </w:rPr>
        <w:tab/>
      </w:r>
      <w:r>
        <w:rPr>
          <w:noProof/>
        </w:rPr>
        <w:fldChar w:fldCharType="begin"/>
      </w:r>
      <w:r>
        <w:rPr>
          <w:noProof/>
        </w:rPr>
        <w:instrText xml:space="preserve"> PAGEREF _Toc485542632 \h </w:instrText>
      </w:r>
      <w:r>
        <w:rPr>
          <w:noProof/>
        </w:rPr>
      </w:r>
      <w:r>
        <w:rPr>
          <w:noProof/>
        </w:rPr>
        <w:fldChar w:fldCharType="separate"/>
      </w:r>
      <w:r w:rsidR="00071E85">
        <w:rPr>
          <w:noProof/>
        </w:rPr>
        <w:t>21</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Primary maternity care</w:t>
      </w:r>
      <w:r>
        <w:rPr>
          <w:noProof/>
        </w:rPr>
        <w:tab/>
      </w:r>
      <w:r>
        <w:rPr>
          <w:noProof/>
        </w:rPr>
        <w:fldChar w:fldCharType="begin"/>
      </w:r>
      <w:r>
        <w:rPr>
          <w:noProof/>
        </w:rPr>
        <w:instrText xml:space="preserve"> PAGEREF _Toc485542633 \h </w:instrText>
      </w:r>
      <w:r>
        <w:rPr>
          <w:noProof/>
        </w:rPr>
      </w:r>
      <w:r>
        <w:rPr>
          <w:noProof/>
        </w:rPr>
        <w:fldChar w:fldCharType="separate"/>
      </w:r>
      <w:r w:rsidR="00071E85">
        <w:rPr>
          <w:noProof/>
        </w:rPr>
        <w:t>24</w:t>
      </w:r>
      <w:r>
        <w:rPr>
          <w:noProof/>
        </w:rPr>
        <w:fldChar w:fldCharType="end"/>
      </w:r>
    </w:p>
    <w:p w:rsidR="004E7832" w:rsidRDefault="004E7832">
      <w:pPr>
        <w:pStyle w:val="TOC1"/>
        <w:rPr>
          <w:rFonts w:asciiTheme="minorHAnsi" w:eastAsiaTheme="minorEastAsia" w:hAnsiTheme="minorHAnsi" w:cstheme="minorBidi"/>
          <w:b w:val="0"/>
          <w:noProof/>
          <w:szCs w:val="22"/>
          <w:lang w:eastAsia="en-NZ"/>
        </w:rPr>
      </w:pPr>
      <w:r>
        <w:rPr>
          <w:noProof/>
        </w:rPr>
        <w:t>Labour and birth</w:t>
      </w:r>
      <w:r>
        <w:rPr>
          <w:noProof/>
        </w:rPr>
        <w:tab/>
      </w:r>
      <w:r>
        <w:rPr>
          <w:noProof/>
        </w:rPr>
        <w:fldChar w:fldCharType="begin"/>
      </w:r>
      <w:r>
        <w:rPr>
          <w:noProof/>
        </w:rPr>
        <w:instrText xml:space="preserve"> PAGEREF _Toc485542634 \h </w:instrText>
      </w:r>
      <w:r>
        <w:rPr>
          <w:noProof/>
        </w:rPr>
      </w:r>
      <w:r>
        <w:rPr>
          <w:noProof/>
        </w:rPr>
        <w:fldChar w:fldCharType="separate"/>
      </w:r>
      <w:r w:rsidR="00071E85">
        <w:rPr>
          <w:noProof/>
        </w:rPr>
        <w:t>32</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Type of birth</w:t>
      </w:r>
      <w:r>
        <w:rPr>
          <w:noProof/>
        </w:rPr>
        <w:tab/>
      </w:r>
      <w:r>
        <w:rPr>
          <w:noProof/>
        </w:rPr>
        <w:fldChar w:fldCharType="begin"/>
      </w:r>
      <w:r>
        <w:rPr>
          <w:noProof/>
        </w:rPr>
        <w:instrText xml:space="preserve"> PAGEREF _Toc485542635 \h </w:instrText>
      </w:r>
      <w:r>
        <w:rPr>
          <w:noProof/>
        </w:rPr>
      </w:r>
      <w:r>
        <w:rPr>
          <w:noProof/>
        </w:rPr>
        <w:fldChar w:fldCharType="separate"/>
      </w:r>
      <w:r w:rsidR="00071E85">
        <w:rPr>
          <w:noProof/>
        </w:rPr>
        <w:t>32</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Interventions</w:t>
      </w:r>
      <w:r>
        <w:rPr>
          <w:noProof/>
        </w:rPr>
        <w:tab/>
      </w:r>
      <w:r>
        <w:rPr>
          <w:noProof/>
        </w:rPr>
        <w:fldChar w:fldCharType="begin"/>
      </w:r>
      <w:r>
        <w:rPr>
          <w:noProof/>
        </w:rPr>
        <w:instrText xml:space="preserve"> PAGEREF _Toc485542636 \h </w:instrText>
      </w:r>
      <w:r>
        <w:rPr>
          <w:noProof/>
        </w:rPr>
      </w:r>
      <w:r>
        <w:rPr>
          <w:noProof/>
        </w:rPr>
        <w:fldChar w:fldCharType="separate"/>
      </w:r>
      <w:r w:rsidR="00071E85">
        <w:rPr>
          <w:noProof/>
        </w:rPr>
        <w:t>40</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Plurality</w:t>
      </w:r>
      <w:r>
        <w:rPr>
          <w:noProof/>
        </w:rPr>
        <w:tab/>
      </w:r>
      <w:r>
        <w:rPr>
          <w:noProof/>
        </w:rPr>
        <w:fldChar w:fldCharType="begin"/>
      </w:r>
      <w:r>
        <w:rPr>
          <w:noProof/>
        </w:rPr>
        <w:instrText xml:space="preserve"> PAGEREF _Toc485542637 \h </w:instrText>
      </w:r>
      <w:r>
        <w:rPr>
          <w:noProof/>
        </w:rPr>
      </w:r>
      <w:r>
        <w:rPr>
          <w:noProof/>
        </w:rPr>
        <w:fldChar w:fldCharType="separate"/>
      </w:r>
      <w:r w:rsidR="00071E85">
        <w:rPr>
          <w:noProof/>
        </w:rPr>
        <w:t>46</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Place of birth</w:t>
      </w:r>
      <w:r>
        <w:rPr>
          <w:noProof/>
        </w:rPr>
        <w:tab/>
      </w:r>
      <w:r>
        <w:rPr>
          <w:noProof/>
        </w:rPr>
        <w:fldChar w:fldCharType="begin"/>
      </w:r>
      <w:r>
        <w:rPr>
          <w:noProof/>
        </w:rPr>
        <w:instrText xml:space="preserve"> PAGEREF _Toc485542638 \h </w:instrText>
      </w:r>
      <w:r>
        <w:rPr>
          <w:noProof/>
        </w:rPr>
      </w:r>
      <w:r>
        <w:rPr>
          <w:noProof/>
        </w:rPr>
        <w:fldChar w:fldCharType="separate"/>
      </w:r>
      <w:r w:rsidR="00071E85">
        <w:rPr>
          <w:noProof/>
        </w:rPr>
        <w:t>47</w:t>
      </w:r>
      <w:r>
        <w:rPr>
          <w:noProof/>
        </w:rPr>
        <w:fldChar w:fldCharType="end"/>
      </w:r>
    </w:p>
    <w:p w:rsidR="004E7832" w:rsidRDefault="004E7832">
      <w:pPr>
        <w:pStyle w:val="TOC1"/>
        <w:rPr>
          <w:rFonts w:asciiTheme="minorHAnsi" w:eastAsiaTheme="minorEastAsia" w:hAnsiTheme="minorHAnsi" w:cstheme="minorBidi"/>
          <w:b w:val="0"/>
          <w:noProof/>
          <w:szCs w:val="22"/>
          <w:lang w:eastAsia="en-NZ"/>
        </w:rPr>
      </w:pPr>
      <w:r>
        <w:rPr>
          <w:noProof/>
        </w:rPr>
        <w:t>Babies</w:t>
      </w:r>
      <w:r>
        <w:rPr>
          <w:noProof/>
        </w:rPr>
        <w:tab/>
      </w:r>
      <w:r>
        <w:rPr>
          <w:noProof/>
        </w:rPr>
        <w:fldChar w:fldCharType="begin"/>
      </w:r>
      <w:r>
        <w:rPr>
          <w:noProof/>
        </w:rPr>
        <w:instrText xml:space="preserve"> PAGEREF _Toc485542639 \h </w:instrText>
      </w:r>
      <w:r>
        <w:rPr>
          <w:noProof/>
        </w:rPr>
      </w:r>
      <w:r>
        <w:rPr>
          <w:noProof/>
        </w:rPr>
        <w:fldChar w:fldCharType="separate"/>
      </w:r>
      <w:r w:rsidR="00071E85">
        <w:rPr>
          <w:noProof/>
        </w:rPr>
        <w:t>54</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Sex, maternal age, ethnicity and deprivation</w:t>
      </w:r>
      <w:r>
        <w:rPr>
          <w:noProof/>
        </w:rPr>
        <w:tab/>
      </w:r>
      <w:r>
        <w:rPr>
          <w:noProof/>
        </w:rPr>
        <w:fldChar w:fldCharType="begin"/>
      </w:r>
      <w:r>
        <w:rPr>
          <w:noProof/>
        </w:rPr>
        <w:instrText xml:space="preserve"> PAGEREF _Toc485542640 \h </w:instrText>
      </w:r>
      <w:r>
        <w:rPr>
          <w:noProof/>
        </w:rPr>
      </w:r>
      <w:r>
        <w:rPr>
          <w:noProof/>
        </w:rPr>
        <w:fldChar w:fldCharType="separate"/>
      </w:r>
      <w:r w:rsidR="00071E85">
        <w:rPr>
          <w:noProof/>
        </w:rPr>
        <w:t>54</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Birthweight</w:t>
      </w:r>
      <w:r>
        <w:rPr>
          <w:noProof/>
        </w:rPr>
        <w:tab/>
      </w:r>
      <w:r>
        <w:rPr>
          <w:noProof/>
        </w:rPr>
        <w:fldChar w:fldCharType="begin"/>
      </w:r>
      <w:r>
        <w:rPr>
          <w:noProof/>
        </w:rPr>
        <w:instrText xml:space="preserve"> PAGEREF _Toc485542641 \h </w:instrText>
      </w:r>
      <w:r>
        <w:rPr>
          <w:noProof/>
        </w:rPr>
      </w:r>
      <w:r>
        <w:rPr>
          <w:noProof/>
        </w:rPr>
        <w:fldChar w:fldCharType="separate"/>
      </w:r>
      <w:r w:rsidR="00071E85">
        <w:rPr>
          <w:noProof/>
        </w:rPr>
        <w:t>55</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Gestation</w:t>
      </w:r>
      <w:r>
        <w:rPr>
          <w:noProof/>
        </w:rPr>
        <w:tab/>
      </w:r>
      <w:r>
        <w:rPr>
          <w:noProof/>
        </w:rPr>
        <w:fldChar w:fldCharType="begin"/>
      </w:r>
      <w:r>
        <w:rPr>
          <w:noProof/>
        </w:rPr>
        <w:instrText xml:space="preserve"> PAGEREF _Toc485542642 \h </w:instrText>
      </w:r>
      <w:r>
        <w:rPr>
          <w:noProof/>
        </w:rPr>
      </w:r>
      <w:r>
        <w:rPr>
          <w:noProof/>
        </w:rPr>
        <w:fldChar w:fldCharType="separate"/>
      </w:r>
      <w:r w:rsidR="00071E85">
        <w:rPr>
          <w:noProof/>
        </w:rPr>
        <w:t>58</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Breastfeeding</w:t>
      </w:r>
      <w:r>
        <w:rPr>
          <w:noProof/>
        </w:rPr>
        <w:tab/>
      </w:r>
      <w:r>
        <w:rPr>
          <w:noProof/>
        </w:rPr>
        <w:fldChar w:fldCharType="begin"/>
      </w:r>
      <w:r>
        <w:rPr>
          <w:noProof/>
        </w:rPr>
        <w:instrText xml:space="preserve"> PAGEREF _Toc485542643 \h </w:instrText>
      </w:r>
      <w:r>
        <w:rPr>
          <w:noProof/>
        </w:rPr>
      </w:r>
      <w:r>
        <w:rPr>
          <w:noProof/>
        </w:rPr>
        <w:fldChar w:fldCharType="separate"/>
      </w:r>
      <w:r w:rsidR="00071E85">
        <w:rPr>
          <w:noProof/>
        </w:rPr>
        <w:t>62</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Handover of care</w:t>
      </w:r>
      <w:r>
        <w:rPr>
          <w:noProof/>
        </w:rPr>
        <w:tab/>
      </w:r>
      <w:r>
        <w:rPr>
          <w:noProof/>
        </w:rPr>
        <w:fldChar w:fldCharType="begin"/>
      </w:r>
      <w:r>
        <w:rPr>
          <w:noProof/>
        </w:rPr>
        <w:instrText xml:space="preserve"> PAGEREF _Toc485542644 \h </w:instrText>
      </w:r>
      <w:r>
        <w:rPr>
          <w:noProof/>
        </w:rPr>
      </w:r>
      <w:r>
        <w:rPr>
          <w:noProof/>
        </w:rPr>
        <w:fldChar w:fldCharType="separate"/>
      </w:r>
      <w:r w:rsidR="00071E85">
        <w:rPr>
          <w:noProof/>
        </w:rPr>
        <w:t>65</w:t>
      </w:r>
      <w:r>
        <w:rPr>
          <w:noProof/>
        </w:rPr>
        <w:fldChar w:fldCharType="end"/>
      </w:r>
    </w:p>
    <w:p w:rsidR="004E7832" w:rsidRDefault="004E7832">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_Toc485542645 \h </w:instrText>
      </w:r>
      <w:r>
        <w:rPr>
          <w:noProof/>
        </w:rPr>
      </w:r>
      <w:r>
        <w:rPr>
          <w:noProof/>
        </w:rPr>
        <w:fldChar w:fldCharType="separate"/>
      </w:r>
      <w:r w:rsidR="00071E85">
        <w:rPr>
          <w:noProof/>
        </w:rPr>
        <w:t>66</w:t>
      </w:r>
      <w:r>
        <w:rPr>
          <w:noProof/>
        </w:rPr>
        <w:fldChar w:fldCharType="end"/>
      </w:r>
    </w:p>
    <w:p w:rsidR="004E7832" w:rsidRDefault="004E7832">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_Toc485542646 \h </w:instrText>
      </w:r>
      <w:r>
        <w:rPr>
          <w:noProof/>
        </w:rPr>
      </w:r>
      <w:r>
        <w:rPr>
          <w:noProof/>
        </w:rPr>
        <w:fldChar w:fldCharType="separate"/>
      </w:r>
      <w:r w:rsidR="00071E85">
        <w:rPr>
          <w:noProof/>
        </w:rPr>
        <w:t>67</w:t>
      </w:r>
      <w:r>
        <w:rPr>
          <w:noProof/>
        </w:rPr>
        <w:fldChar w:fldCharType="end"/>
      </w:r>
    </w:p>
    <w:p w:rsidR="004E7832" w:rsidRDefault="004E7832">
      <w:pPr>
        <w:pStyle w:val="TOC1"/>
        <w:rPr>
          <w:rFonts w:asciiTheme="minorHAnsi" w:eastAsiaTheme="minorEastAsia" w:hAnsiTheme="minorHAnsi" w:cstheme="minorBidi"/>
          <w:b w:val="0"/>
          <w:noProof/>
          <w:szCs w:val="22"/>
          <w:lang w:eastAsia="en-NZ"/>
        </w:rPr>
      </w:pPr>
      <w:r>
        <w:rPr>
          <w:noProof/>
        </w:rPr>
        <w:t>Appendices</w:t>
      </w:r>
      <w:r>
        <w:rPr>
          <w:noProof/>
        </w:rPr>
        <w:tab/>
      </w:r>
      <w:r>
        <w:rPr>
          <w:noProof/>
        </w:rPr>
        <w:fldChar w:fldCharType="begin"/>
      </w:r>
      <w:r>
        <w:rPr>
          <w:noProof/>
        </w:rPr>
        <w:instrText xml:space="preserve"> PAGEREF _Toc485542647 \h </w:instrText>
      </w:r>
      <w:r>
        <w:rPr>
          <w:noProof/>
        </w:rPr>
      </w:r>
      <w:r>
        <w:rPr>
          <w:noProof/>
        </w:rPr>
        <w:fldChar w:fldCharType="separate"/>
      </w:r>
      <w:r w:rsidR="00071E85">
        <w:rPr>
          <w:noProof/>
        </w:rPr>
        <w:t>71</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Appendix 1: Maternity model of care</w:t>
      </w:r>
      <w:r>
        <w:rPr>
          <w:noProof/>
        </w:rPr>
        <w:tab/>
      </w:r>
      <w:r>
        <w:rPr>
          <w:noProof/>
        </w:rPr>
        <w:fldChar w:fldCharType="begin"/>
      </w:r>
      <w:r>
        <w:rPr>
          <w:noProof/>
        </w:rPr>
        <w:instrText xml:space="preserve"> PAGEREF _Toc485542648 \h </w:instrText>
      </w:r>
      <w:r>
        <w:rPr>
          <w:noProof/>
        </w:rPr>
      </w:r>
      <w:r>
        <w:rPr>
          <w:noProof/>
        </w:rPr>
        <w:fldChar w:fldCharType="separate"/>
      </w:r>
      <w:r w:rsidR="00071E85">
        <w:rPr>
          <w:noProof/>
        </w:rPr>
        <w:t>71</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Appendix 2: National Maternity Collection</w:t>
      </w:r>
      <w:r>
        <w:rPr>
          <w:noProof/>
        </w:rPr>
        <w:tab/>
      </w:r>
      <w:r>
        <w:rPr>
          <w:noProof/>
        </w:rPr>
        <w:fldChar w:fldCharType="begin"/>
      </w:r>
      <w:r>
        <w:rPr>
          <w:noProof/>
        </w:rPr>
        <w:instrText xml:space="preserve"> PAGEREF _Toc485542649 \h </w:instrText>
      </w:r>
      <w:r>
        <w:rPr>
          <w:noProof/>
        </w:rPr>
      </w:r>
      <w:r>
        <w:rPr>
          <w:noProof/>
        </w:rPr>
        <w:fldChar w:fldCharType="separate"/>
      </w:r>
      <w:r w:rsidR="00071E85">
        <w:rPr>
          <w:noProof/>
        </w:rPr>
        <w:t>73</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Appendix 3: Technical notes</w:t>
      </w:r>
      <w:r>
        <w:rPr>
          <w:noProof/>
        </w:rPr>
        <w:tab/>
      </w:r>
      <w:r>
        <w:rPr>
          <w:noProof/>
        </w:rPr>
        <w:fldChar w:fldCharType="begin"/>
      </w:r>
      <w:r>
        <w:rPr>
          <w:noProof/>
        </w:rPr>
        <w:instrText xml:space="preserve"> PAGEREF _Toc485542650 \h </w:instrText>
      </w:r>
      <w:r>
        <w:rPr>
          <w:noProof/>
        </w:rPr>
      </w:r>
      <w:r>
        <w:rPr>
          <w:noProof/>
        </w:rPr>
        <w:fldChar w:fldCharType="separate"/>
      </w:r>
      <w:r w:rsidR="00071E85">
        <w:rPr>
          <w:noProof/>
        </w:rPr>
        <w:t>75</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Appendix 4: Guide to reading maps</w:t>
      </w:r>
      <w:r>
        <w:rPr>
          <w:noProof/>
        </w:rPr>
        <w:tab/>
      </w:r>
      <w:r>
        <w:rPr>
          <w:noProof/>
        </w:rPr>
        <w:fldChar w:fldCharType="begin"/>
      </w:r>
      <w:r>
        <w:rPr>
          <w:noProof/>
        </w:rPr>
        <w:instrText xml:space="preserve"> PAGEREF _Toc485542651 \h </w:instrText>
      </w:r>
      <w:r>
        <w:rPr>
          <w:noProof/>
        </w:rPr>
      </w:r>
      <w:r>
        <w:rPr>
          <w:noProof/>
        </w:rPr>
        <w:fldChar w:fldCharType="separate"/>
      </w:r>
      <w:r w:rsidR="00071E85">
        <w:rPr>
          <w:noProof/>
        </w:rPr>
        <w:t>77</w:t>
      </w:r>
      <w:r>
        <w:rPr>
          <w:noProof/>
        </w:rPr>
        <w:fldChar w:fldCharType="end"/>
      </w:r>
    </w:p>
    <w:p w:rsidR="004E7832" w:rsidRDefault="004E7832">
      <w:pPr>
        <w:pStyle w:val="TOC2"/>
        <w:rPr>
          <w:rFonts w:asciiTheme="minorHAnsi" w:eastAsiaTheme="minorEastAsia" w:hAnsiTheme="minorHAnsi" w:cstheme="minorBidi"/>
          <w:noProof/>
          <w:szCs w:val="22"/>
          <w:lang w:eastAsia="en-NZ"/>
        </w:rPr>
      </w:pPr>
      <w:r>
        <w:rPr>
          <w:noProof/>
        </w:rPr>
        <w:t>Appendix 5: Catchment areas</w:t>
      </w:r>
      <w:r>
        <w:rPr>
          <w:noProof/>
        </w:rPr>
        <w:tab/>
      </w:r>
      <w:r>
        <w:rPr>
          <w:noProof/>
        </w:rPr>
        <w:fldChar w:fldCharType="begin"/>
      </w:r>
      <w:r>
        <w:rPr>
          <w:noProof/>
        </w:rPr>
        <w:instrText xml:space="preserve"> PAGEREF _Toc485542652 \h </w:instrText>
      </w:r>
      <w:r>
        <w:rPr>
          <w:noProof/>
        </w:rPr>
      </w:r>
      <w:r>
        <w:rPr>
          <w:noProof/>
        </w:rPr>
        <w:fldChar w:fldCharType="separate"/>
      </w:r>
      <w:r w:rsidR="00071E85">
        <w:rPr>
          <w:noProof/>
        </w:rPr>
        <w:t>78</w:t>
      </w:r>
      <w:r>
        <w:rPr>
          <w:noProof/>
        </w:rPr>
        <w:fldChar w:fldCharType="end"/>
      </w:r>
    </w:p>
    <w:p w:rsidR="00C86248" w:rsidRDefault="00C86248">
      <w:r>
        <w:rPr>
          <w:b/>
        </w:rPr>
        <w:fldChar w:fldCharType="end"/>
      </w:r>
    </w:p>
    <w:p w:rsidR="00C86248" w:rsidRDefault="00C86248" w:rsidP="003B1D10">
      <w:pPr>
        <w:pStyle w:val="TOC1"/>
        <w:keepNext/>
      </w:pPr>
      <w:r>
        <w:lastRenderedPageBreak/>
        <w:t xml:space="preserve">List of </w:t>
      </w:r>
      <w:r w:rsidR="0021121A">
        <w:t>t</w:t>
      </w:r>
      <w:r>
        <w:t>ables</w:t>
      </w:r>
    </w:p>
    <w:p w:rsidR="004E7832"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4E7832">
        <w:rPr>
          <w:noProof/>
        </w:rPr>
        <w:t>Table 1:</w:t>
      </w:r>
      <w:r w:rsidR="004E7832">
        <w:rPr>
          <w:noProof/>
        </w:rPr>
        <w:tab/>
        <w:t>Comparing proportions and birth rates between the Māori and the European or Other ethnic groups</w:t>
      </w:r>
      <w:r w:rsidR="004E7832">
        <w:rPr>
          <w:noProof/>
        </w:rPr>
        <w:tab/>
      </w:r>
      <w:r w:rsidR="004E7832">
        <w:rPr>
          <w:noProof/>
        </w:rPr>
        <w:fldChar w:fldCharType="begin"/>
      </w:r>
      <w:r w:rsidR="004E7832">
        <w:rPr>
          <w:noProof/>
        </w:rPr>
        <w:instrText xml:space="preserve"> PAGEREF _Toc485542653 \h </w:instrText>
      </w:r>
      <w:r w:rsidR="004E7832">
        <w:rPr>
          <w:noProof/>
        </w:rPr>
      </w:r>
      <w:r w:rsidR="004E7832">
        <w:rPr>
          <w:noProof/>
        </w:rPr>
        <w:fldChar w:fldCharType="separate"/>
      </w:r>
      <w:r w:rsidR="00071E85">
        <w:rPr>
          <w:noProof/>
        </w:rPr>
        <w:t>4</w:t>
      </w:r>
      <w:r w:rsidR="004E7832">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Table 2:</w:t>
      </w:r>
      <w:r>
        <w:rPr>
          <w:noProof/>
        </w:rPr>
        <w:tab/>
        <w:t>Comparison of Lead Maternity Carer types between 2003 and 2015</w:t>
      </w:r>
      <w:r>
        <w:rPr>
          <w:noProof/>
        </w:rPr>
        <w:tab/>
      </w:r>
      <w:r>
        <w:rPr>
          <w:noProof/>
        </w:rPr>
        <w:fldChar w:fldCharType="begin"/>
      </w:r>
      <w:r>
        <w:rPr>
          <w:noProof/>
        </w:rPr>
        <w:instrText xml:space="preserve"> PAGEREF _Toc485542654 \h </w:instrText>
      </w:r>
      <w:r>
        <w:rPr>
          <w:noProof/>
        </w:rPr>
      </w:r>
      <w:r>
        <w:rPr>
          <w:noProof/>
        </w:rPr>
        <w:fldChar w:fldCharType="separate"/>
      </w:r>
      <w:r w:rsidR="00071E85">
        <w:rPr>
          <w:noProof/>
        </w:rPr>
        <w:t>29</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Table 3:</w:t>
      </w:r>
      <w:r>
        <w:rPr>
          <w:noProof/>
        </w:rPr>
        <w:tab/>
        <w:t>Number and percentage of women giving birth, by type of birth, 2015</w:t>
      </w:r>
      <w:r>
        <w:rPr>
          <w:noProof/>
        </w:rPr>
        <w:tab/>
      </w:r>
      <w:r>
        <w:rPr>
          <w:noProof/>
        </w:rPr>
        <w:fldChar w:fldCharType="begin"/>
      </w:r>
      <w:r>
        <w:rPr>
          <w:noProof/>
        </w:rPr>
        <w:instrText xml:space="preserve"> PAGEREF _Toc485542655 \h </w:instrText>
      </w:r>
      <w:r>
        <w:rPr>
          <w:noProof/>
        </w:rPr>
      </w:r>
      <w:r>
        <w:rPr>
          <w:noProof/>
        </w:rPr>
        <w:fldChar w:fldCharType="separate"/>
      </w:r>
      <w:r w:rsidR="00071E85">
        <w:rPr>
          <w:noProof/>
        </w:rPr>
        <w:t>33</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Table 4:</w:t>
      </w:r>
      <w:r>
        <w:rPr>
          <w:noProof/>
        </w:rPr>
        <w:tab/>
        <w:t>Number and percentage of women giving birth, by plurality and type of birth, 2015</w:t>
      </w:r>
      <w:r>
        <w:rPr>
          <w:noProof/>
        </w:rPr>
        <w:tab/>
      </w:r>
      <w:r>
        <w:rPr>
          <w:noProof/>
        </w:rPr>
        <w:fldChar w:fldCharType="begin"/>
      </w:r>
      <w:r>
        <w:rPr>
          <w:noProof/>
        </w:rPr>
        <w:instrText xml:space="preserve"> PAGEREF _Toc485542656 \h </w:instrText>
      </w:r>
      <w:r>
        <w:rPr>
          <w:noProof/>
        </w:rPr>
      </w:r>
      <w:r>
        <w:rPr>
          <w:noProof/>
        </w:rPr>
        <w:fldChar w:fldCharType="separate"/>
      </w:r>
      <w:r w:rsidR="00071E85">
        <w:rPr>
          <w:noProof/>
        </w:rPr>
        <w:t>47</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Table 5:</w:t>
      </w:r>
      <w:r>
        <w:rPr>
          <w:noProof/>
        </w:rPr>
        <w:tab/>
        <w:t>Number and percentage of women giving birth, by place of birth, 2015</w:t>
      </w:r>
      <w:r>
        <w:rPr>
          <w:noProof/>
        </w:rPr>
        <w:tab/>
      </w:r>
      <w:r>
        <w:rPr>
          <w:noProof/>
        </w:rPr>
        <w:fldChar w:fldCharType="begin"/>
      </w:r>
      <w:r>
        <w:rPr>
          <w:noProof/>
        </w:rPr>
        <w:instrText xml:space="preserve"> PAGEREF _Toc485542657 \h </w:instrText>
      </w:r>
      <w:r>
        <w:rPr>
          <w:noProof/>
        </w:rPr>
      </w:r>
      <w:r>
        <w:rPr>
          <w:noProof/>
        </w:rPr>
        <w:fldChar w:fldCharType="separate"/>
      </w:r>
      <w:r w:rsidR="00071E85">
        <w:rPr>
          <w:noProof/>
        </w:rPr>
        <w:t>47</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Table 6:</w:t>
      </w:r>
      <w:r>
        <w:rPr>
          <w:noProof/>
        </w:rPr>
        <w:tab/>
        <w:t>Number and percentage of women giving birth, by DHB of residence and place of birth, 2015</w:t>
      </w:r>
      <w:r>
        <w:rPr>
          <w:noProof/>
        </w:rPr>
        <w:tab/>
      </w:r>
      <w:r>
        <w:rPr>
          <w:noProof/>
        </w:rPr>
        <w:fldChar w:fldCharType="begin"/>
      </w:r>
      <w:r>
        <w:rPr>
          <w:noProof/>
        </w:rPr>
        <w:instrText xml:space="preserve"> PAGEREF _Toc485542658 \h </w:instrText>
      </w:r>
      <w:r>
        <w:rPr>
          <w:noProof/>
        </w:rPr>
      </w:r>
      <w:r>
        <w:rPr>
          <w:noProof/>
        </w:rPr>
        <w:fldChar w:fldCharType="separate"/>
      </w:r>
      <w:r w:rsidR="00071E85">
        <w:rPr>
          <w:noProof/>
        </w:rPr>
        <w:t>48</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Table 7:</w:t>
      </w:r>
      <w:r>
        <w:rPr>
          <w:noProof/>
        </w:rPr>
        <w:tab/>
        <w:t>Priority for reporting birth procedures</w:t>
      </w:r>
      <w:r>
        <w:rPr>
          <w:noProof/>
        </w:rPr>
        <w:tab/>
      </w:r>
      <w:r>
        <w:rPr>
          <w:noProof/>
        </w:rPr>
        <w:fldChar w:fldCharType="begin"/>
      </w:r>
      <w:r>
        <w:rPr>
          <w:noProof/>
        </w:rPr>
        <w:instrText xml:space="preserve"> PAGEREF _Toc485542659 \h </w:instrText>
      </w:r>
      <w:r>
        <w:rPr>
          <w:noProof/>
        </w:rPr>
      </w:r>
      <w:r>
        <w:rPr>
          <w:noProof/>
        </w:rPr>
        <w:fldChar w:fldCharType="separate"/>
      </w:r>
      <w:r w:rsidR="00071E85">
        <w:rPr>
          <w:noProof/>
        </w:rPr>
        <w:t>76</w:t>
      </w:r>
      <w:r>
        <w:rPr>
          <w:noProof/>
        </w:rPr>
        <w:fldChar w:fldCharType="end"/>
      </w:r>
    </w:p>
    <w:p w:rsidR="00C86248" w:rsidRDefault="00C86248" w:rsidP="0030382F">
      <w:r>
        <w:fldChar w:fldCharType="end"/>
      </w:r>
    </w:p>
    <w:p w:rsidR="003A5FEA" w:rsidRDefault="003A5FEA" w:rsidP="003A5FEA">
      <w:pPr>
        <w:pStyle w:val="TOC1"/>
      </w:pPr>
      <w:r>
        <w:t xml:space="preserve">List of </w:t>
      </w:r>
      <w:r w:rsidR="0021121A">
        <w:t>f</w:t>
      </w:r>
      <w:r>
        <w:t>igures</w:t>
      </w:r>
    </w:p>
    <w:p w:rsidR="004E7832"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4E7832">
        <w:rPr>
          <w:noProof/>
        </w:rPr>
        <w:t>Figure 1:</w:t>
      </w:r>
      <w:r w:rsidR="004E7832">
        <w:rPr>
          <w:noProof/>
        </w:rPr>
        <w:tab/>
        <w:t>Percentage of women giving birth, by age group (years), 2015</w:t>
      </w:r>
      <w:r w:rsidR="004E7832">
        <w:rPr>
          <w:noProof/>
        </w:rPr>
        <w:tab/>
      </w:r>
      <w:r w:rsidR="004E7832">
        <w:rPr>
          <w:noProof/>
        </w:rPr>
        <w:fldChar w:fldCharType="begin"/>
      </w:r>
      <w:r w:rsidR="004E7832">
        <w:rPr>
          <w:noProof/>
        </w:rPr>
        <w:instrText xml:space="preserve"> PAGEREF _Toc485542668 \h </w:instrText>
      </w:r>
      <w:r w:rsidR="004E7832">
        <w:rPr>
          <w:noProof/>
        </w:rPr>
      </w:r>
      <w:r w:rsidR="004E7832">
        <w:rPr>
          <w:noProof/>
        </w:rPr>
        <w:fldChar w:fldCharType="separate"/>
      </w:r>
      <w:r w:rsidR="00071E85">
        <w:rPr>
          <w:noProof/>
        </w:rPr>
        <w:t>6</w:t>
      </w:r>
      <w:r w:rsidR="004E7832">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w:t>
      </w:r>
      <w:r>
        <w:rPr>
          <w:noProof/>
        </w:rPr>
        <w:tab/>
        <w:t>Birth rate, by age group, 2006–2015</w:t>
      </w:r>
      <w:r>
        <w:rPr>
          <w:noProof/>
        </w:rPr>
        <w:tab/>
      </w:r>
      <w:r>
        <w:rPr>
          <w:noProof/>
        </w:rPr>
        <w:fldChar w:fldCharType="begin"/>
      </w:r>
      <w:r>
        <w:rPr>
          <w:noProof/>
        </w:rPr>
        <w:instrText xml:space="preserve"> PAGEREF _Toc485542669 \h </w:instrText>
      </w:r>
      <w:r>
        <w:rPr>
          <w:noProof/>
        </w:rPr>
      </w:r>
      <w:r>
        <w:rPr>
          <w:noProof/>
        </w:rPr>
        <w:fldChar w:fldCharType="separate"/>
      </w:r>
      <w:r w:rsidR="00071E85">
        <w:rPr>
          <w:noProof/>
        </w:rPr>
        <w:t>7</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w:t>
      </w:r>
      <w:r>
        <w:rPr>
          <w:noProof/>
        </w:rPr>
        <w:tab/>
        <w:t>Percentage of women giving birth, by ethnic group, 2015</w:t>
      </w:r>
      <w:r>
        <w:rPr>
          <w:noProof/>
        </w:rPr>
        <w:tab/>
      </w:r>
      <w:r>
        <w:rPr>
          <w:noProof/>
        </w:rPr>
        <w:fldChar w:fldCharType="begin"/>
      </w:r>
      <w:r>
        <w:rPr>
          <w:noProof/>
        </w:rPr>
        <w:instrText xml:space="preserve"> PAGEREF _Toc485542670 \h </w:instrText>
      </w:r>
      <w:r>
        <w:rPr>
          <w:noProof/>
        </w:rPr>
      </w:r>
      <w:r>
        <w:rPr>
          <w:noProof/>
        </w:rPr>
        <w:fldChar w:fldCharType="separate"/>
      </w:r>
      <w:r w:rsidR="00071E85">
        <w:rPr>
          <w:noProof/>
        </w:rPr>
        <w:t>8</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w:t>
      </w:r>
      <w:r>
        <w:rPr>
          <w:noProof/>
        </w:rPr>
        <w:tab/>
        <w:t>Percentage of women giving birth, by age (in years), for each ethnic group, 2015</w:t>
      </w:r>
      <w:r>
        <w:rPr>
          <w:noProof/>
        </w:rPr>
        <w:tab/>
      </w:r>
      <w:r>
        <w:rPr>
          <w:noProof/>
        </w:rPr>
        <w:fldChar w:fldCharType="begin"/>
      </w:r>
      <w:r>
        <w:rPr>
          <w:noProof/>
        </w:rPr>
        <w:instrText xml:space="preserve"> PAGEREF _Toc485542671 \h </w:instrText>
      </w:r>
      <w:r>
        <w:rPr>
          <w:noProof/>
        </w:rPr>
      </w:r>
      <w:r>
        <w:rPr>
          <w:noProof/>
        </w:rPr>
        <w:fldChar w:fldCharType="separate"/>
      </w:r>
      <w:r w:rsidR="00071E85">
        <w:rPr>
          <w:noProof/>
        </w:rPr>
        <w:t>8</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w:t>
      </w:r>
      <w:r>
        <w:rPr>
          <w:noProof/>
        </w:rPr>
        <w:tab/>
        <w:t>Birth rate, by ethnic group, 2006–2015</w:t>
      </w:r>
      <w:r>
        <w:rPr>
          <w:noProof/>
        </w:rPr>
        <w:tab/>
      </w:r>
      <w:r>
        <w:rPr>
          <w:noProof/>
        </w:rPr>
        <w:fldChar w:fldCharType="begin"/>
      </w:r>
      <w:r>
        <w:rPr>
          <w:noProof/>
        </w:rPr>
        <w:instrText xml:space="preserve"> PAGEREF _Toc485542672 \h </w:instrText>
      </w:r>
      <w:r>
        <w:rPr>
          <w:noProof/>
        </w:rPr>
      </w:r>
      <w:r>
        <w:rPr>
          <w:noProof/>
        </w:rPr>
        <w:fldChar w:fldCharType="separate"/>
      </w:r>
      <w:r w:rsidR="00071E85">
        <w:rPr>
          <w:noProof/>
        </w:rPr>
        <w:t>9</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6:</w:t>
      </w:r>
      <w:r>
        <w:rPr>
          <w:noProof/>
        </w:rPr>
        <w:tab/>
        <w:t>Percentage of women giving birth, by neighbourhood deprivation quintile, 2015</w:t>
      </w:r>
      <w:r>
        <w:rPr>
          <w:noProof/>
        </w:rPr>
        <w:tab/>
      </w:r>
      <w:r>
        <w:rPr>
          <w:noProof/>
        </w:rPr>
        <w:fldChar w:fldCharType="begin"/>
      </w:r>
      <w:r>
        <w:rPr>
          <w:noProof/>
        </w:rPr>
        <w:instrText xml:space="preserve"> PAGEREF _Toc485542673 \h </w:instrText>
      </w:r>
      <w:r>
        <w:rPr>
          <w:noProof/>
        </w:rPr>
      </w:r>
      <w:r>
        <w:rPr>
          <w:noProof/>
        </w:rPr>
        <w:fldChar w:fldCharType="separate"/>
      </w:r>
      <w:r w:rsidR="00071E85">
        <w:rPr>
          <w:noProof/>
        </w:rPr>
        <w:t>10</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7:</w:t>
      </w:r>
      <w:r>
        <w:rPr>
          <w:noProof/>
        </w:rPr>
        <w:tab/>
        <w:t>Distribution of women giving birth, by neighbourhood deprivation quintile for each age group, 2015</w:t>
      </w:r>
      <w:r>
        <w:rPr>
          <w:noProof/>
        </w:rPr>
        <w:tab/>
      </w:r>
      <w:r>
        <w:rPr>
          <w:noProof/>
        </w:rPr>
        <w:fldChar w:fldCharType="begin"/>
      </w:r>
      <w:r>
        <w:rPr>
          <w:noProof/>
        </w:rPr>
        <w:instrText xml:space="preserve"> PAGEREF _Toc485542674 \h </w:instrText>
      </w:r>
      <w:r>
        <w:rPr>
          <w:noProof/>
        </w:rPr>
      </w:r>
      <w:r>
        <w:rPr>
          <w:noProof/>
        </w:rPr>
        <w:fldChar w:fldCharType="separate"/>
      </w:r>
      <w:r w:rsidR="00071E85">
        <w:rPr>
          <w:noProof/>
        </w:rPr>
        <w:t>11</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8:</w:t>
      </w:r>
      <w:r>
        <w:rPr>
          <w:noProof/>
        </w:rPr>
        <w:tab/>
        <w:t>Distribution of women giving birth, by neighbourhood deprivation quintile for each ethnic group, 2015</w:t>
      </w:r>
      <w:r>
        <w:rPr>
          <w:noProof/>
        </w:rPr>
        <w:tab/>
      </w:r>
      <w:r>
        <w:rPr>
          <w:noProof/>
        </w:rPr>
        <w:fldChar w:fldCharType="begin"/>
      </w:r>
      <w:r>
        <w:rPr>
          <w:noProof/>
        </w:rPr>
        <w:instrText xml:space="preserve"> PAGEREF _Toc485542675 \h </w:instrText>
      </w:r>
      <w:r>
        <w:rPr>
          <w:noProof/>
        </w:rPr>
      </w:r>
      <w:r>
        <w:rPr>
          <w:noProof/>
        </w:rPr>
        <w:fldChar w:fldCharType="separate"/>
      </w:r>
      <w:r w:rsidR="00071E85">
        <w:rPr>
          <w:noProof/>
        </w:rPr>
        <w:t>12</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9:</w:t>
      </w:r>
      <w:r>
        <w:rPr>
          <w:noProof/>
        </w:rPr>
        <w:tab/>
        <w:t>Birth rate, by neighbourhood deprivation quintile, 2006–2015</w:t>
      </w:r>
      <w:r>
        <w:rPr>
          <w:noProof/>
        </w:rPr>
        <w:tab/>
      </w:r>
      <w:r>
        <w:rPr>
          <w:noProof/>
        </w:rPr>
        <w:fldChar w:fldCharType="begin"/>
      </w:r>
      <w:r>
        <w:rPr>
          <w:noProof/>
        </w:rPr>
        <w:instrText xml:space="preserve"> PAGEREF _Toc485542676 \h </w:instrText>
      </w:r>
      <w:r>
        <w:rPr>
          <w:noProof/>
        </w:rPr>
      </w:r>
      <w:r>
        <w:rPr>
          <w:noProof/>
        </w:rPr>
        <w:fldChar w:fldCharType="separate"/>
      </w:r>
      <w:r w:rsidR="00071E85">
        <w:rPr>
          <w:noProof/>
        </w:rPr>
        <w:t>13</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10:</w:t>
      </w:r>
      <w:r>
        <w:rPr>
          <w:noProof/>
        </w:rPr>
        <w:tab/>
        <w:t>Birth rates by DHB of residence, 2011 and 2015</w:t>
      </w:r>
      <w:r>
        <w:rPr>
          <w:noProof/>
        </w:rPr>
        <w:tab/>
      </w:r>
      <w:r>
        <w:rPr>
          <w:noProof/>
        </w:rPr>
        <w:fldChar w:fldCharType="begin"/>
      </w:r>
      <w:r>
        <w:rPr>
          <w:noProof/>
        </w:rPr>
        <w:instrText xml:space="preserve"> PAGEREF _Toc485542677 \h </w:instrText>
      </w:r>
      <w:r>
        <w:rPr>
          <w:noProof/>
        </w:rPr>
      </w:r>
      <w:r>
        <w:rPr>
          <w:noProof/>
        </w:rPr>
        <w:fldChar w:fldCharType="separate"/>
      </w:r>
      <w:r w:rsidR="00071E85">
        <w:rPr>
          <w:noProof/>
        </w:rPr>
        <w:t>14</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11:</w:t>
      </w:r>
      <w:r>
        <w:rPr>
          <w:noProof/>
        </w:rPr>
        <w:tab/>
        <w:t>Birth rates for the under 20 years and the 40 years and over age groups, by DHB of residence, 2015</w:t>
      </w:r>
      <w:r>
        <w:rPr>
          <w:noProof/>
        </w:rPr>
        <w:tab/>
      </w:r>
      <w:r>
        <w:rPr>
          <w:noProof/>
        </w:rPr>
        <w:fldChar w:fldCharType="begin"/>
      </w:r>
      <w:r>
        <w:rPr>
          <w:noProof/>
        </w:rPr>
        <w:instrText xml:space="preserve"> PAGEREF _Toc485542678 \h </w:instrText>
      </w:r>
      <w:r>
        <w:rPr>
          <w:noProof/>
        </w:rPr>
      </w:r>
      <w:r>
        <w:rPr>
          <w:noProof/>
        </w:rPr>
        <w:fldChar w:fldCharType="separate"/>
      </w:r>
      <w:r w:rsidR="00071E85">
        <w:rPr>
          <w:noProof/>
        </w:rPr>
        <w:t>15</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12:</w:t>
      </w:r>
      <w:r>
        <w:rPr>
          <w:noProof/>
        </w:rPr>
        <w:tab/>
        <w:t>Birth rates for Māori and non-Māori, by DHB of residence, 2015</w:t>
      </w:r>
      <w:r>
        <w:rPr>
          <w:noProof/>
        </w:rPr>
        <w:tab/>
      </w:r>
      <w:r>
        <w:rPr>
          <w:noProof/>
        </w:rPr>
        <w:fldChar w:fldCharType="begin"/>
      </w:r>
      <w:r>
        <w:rPr>
          <w:noProof/>
        </w:rPr>
        <w:instrText xml:space="preserve"> PAGEREF _Toc485542679 \h </w:instrText>
      </w:r>
      <w:r>
        <w:rPr>
          <w:noProof/>
        </w:rPr>
      </w:r>
      <w:r>
        <w:rPr>
          <w:noProof/>
        </w:rPr>
        <w:fldChar w:fldCharType="separate"/>
      </w:r>
      <w:r w:rsidR="00071E85">
        <w:rPr>
          <w:noProof/>
        </w:rPr>
        <w:t>16</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13:</w:t>
      </w:r>
      <w:r>
        <w:rPr>
          <w:noProof/>
        </w:rPr>
        <w:tab/>
        <w:t>Birth rates of women in the least deprived neighbourhoods (quintile 1) and in the most deprived neighbourhoods (quintile 5), by DHB of residence, 2015</w:t>
      </w:r>
      <w:r>
        <w:rPr>
          <w:noProof/>
        </w:rPr>
        <w:tab/>
      </w:r>
      <w:r>
        <w:rPr>
          <w:noProof/>
        </w:rPr>
        <w:fldChar w:fldCharType="begin"/>
      </w:r>
      <w:r>
        <w:rPr>
          <w:noProof/>
        </w:rPr>
        <w:instrText xml:space="preserve"> PAGEREF _Toc485542680 \h </w:instrText>
      </w:r>
      <w:r>
        <w:rPr>
          <w:noProof/>
        </w:rPr>
      </w:r>
      <w:r>
        <w:rPr>
          <w:noProof/>
        </w:rPr>
        <w:fldChar w:fldCharType="separate"/>
      </w:r>
      <w:r w:rsidR="00071E85">
        <w:rPr>
          <w:noProof/>
        </w:rPr>
        <w:t>16</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14:</w:t>
      </w:r>
      <w:r>
        <w:rPr>
          <w:noProof/>
        </w:rPr>
        <w:tab/>
        <w:t>Percentage of women giving birth, by number of previous births (parity), 2008–2015</w:t>
      </w:r>
      <w:r>
        <w:rPr>
          <w:noProof/>
        </w:rPr>
        <w:tab/>
      </w:r>
      <w:r>
        <w:rPr>
          <w:noProof/>
        </w:rPr>
        <w:fldChar w:fldCharType="begin"/>
      </w:r>
      <w:r>
        <w:rPr>
          <w:noProof/>
        </w:rPr>
        <w:instrText xml:space="preserve"> PAGEREF _Toc485542681 \h </w:instrText>
      </w:r>
      <w:r>
        <w:rPr>
          <w:noProof/>
        </w:rPr>
      </w:r>
      <w:r>
        <w:rPr>
          <w:noProof/>
        </w:rPr>
        <w:fldChar w:fldCharType="separate"/>
      </w:r>
      <w:r w:rsidR="00071E85">
        <w:rPr>
          <w:noProof/>
        </w:rPr>
        <w:t>17</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15:</w:t>
      </w:r>
      <w:r>
        <w:rPr>
          <w:noProof/>
        </w:rPr>
        <w:tab/>
        <w:t>Percentage of women giving birth for the first time, by age group, ethnic group and neighbourhood deprivation quintile, 2015</w:t>
      </w:r>
      <w:r>
        <w:rPr>
          <w:noProof/>
        </w:rPr>
        <w:tab/>
      </w:r>
      <w:r>
        <w:rPr>
          <w:noProof/>
        </w:rPr>
        <w:fldChar w:fldCharType="begin"/>
      </w:r>
      <w:r>
        <w:rPr>
          <w:noProof/>
        </w:rPr>
        <w:instrText xml:space="preserve"> PAGEREF _Toc485542682 \h </w:instrText>
      </w:r>
      <w:r>
        <w:rPr>
          <w:noProof/>
        </w:rPr>
      </w:r>
      <w:r>
        <w:rPr>
          <w:noProof/>
        </w:rPr>
        <w:fldChar w:fldCharType="separate"/>
      </w:r>
      <w:r w:rsidR="00071E85">
        <w:rPr>
          <w:noProof/>
        </w:rPr>
        <w:t>18</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16:</w:t>
      </w:r>
      <w:r>
        <w:rPr>
          <w:noProof/>
        </w:rPr>
        <w:tab/>
        <w:t>Percentage of women giving birth, by body mass index (BMI) category at first registration with their primary maternity care provider, 2008–2015</w:t>
      </w:r>
      <w:r>
        <w:rPr>
          <w:noProof/>
        </w:rPr>
        <w:tab/>
      </w:r>
      <w:r>
        <w:rPr>
          <w:noProof/>
        </w:rPr>
        <w:fldChar w:fldCharType="begin"/>
      </w:r>
      <w:r>
        <w:rPr>
          <w:noProof/>
        </w:rPr>
        <w:instrText xml:space="preserve"> PAGEREF _Toc485542683 \h </w:instrText>
      </w:r>
      <w:r>
        <w:rPr>
          <w:noProof/>
        </w:rPr>
      </w:r>
      <w:r>
        <w:rPr>
          <w:noProof/>
        </w:rPr>
        <w:fldChar w:fldCharType="separate"/>
      </w:r>
      <w:r w:rsidR="00071E85">
        <w:rPr>
          <w:noProof/>
        </w:rPr>
        <w:t>19</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17:</w:t>
      </w:r>
      <w:r>
        <w:rPr>
          <w:noProof/>
        </w:rPr>
        <w:tab/>
        <w:t>Percentage of women giving birth identified as obese at first registration with their primary maternity care provider, by age group, ethnic group and neighbourhood deprivation quintile, 2015</w:t>
      </w:r>
      <w:r>
        <w:rPr>
          <w:noProof/>
        </w:rPr>
        <w:tab/>
      </w:r>
      <w:r>
        <w:rPr>
          <w:noProof/>
        </w:rPr>
        <w:fldChar w:fldCharType="begin"/>
      </w:r>
      <w:r>
        <w:rPr>
          <w:noProof/>
        </w:rPr>
        <w:instrText xml:space="preserve"> PAGEREF _Toc485542684 \h </w:instrText>
      </w:r>
      <w:r>
        <w:rPr>
          <w:noProof/>
        </w:rPr>
      </w:r>
      <w:r>
        <w:rPr>
          <w:noProof/>
        </w:rPr>
        <w:fldChar w:fldCharType="separate"/>
      </w:r>
      <w:r w:rsidR="00071E85">
        <w:rPr>
          <w:noProof/>
        </w:rPr>
        <w:t>20</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18:</w:t>
      </w:r>
      <w:r>
        <w:rPr>
          <w:noProof/>
        </w:rPr>
        <w:tab/>
        <w:t>Percentage of women giving birth identified as smokers at first registration with their primary maternity care provider and at two weeks after birth, 2008–2015</w:t>
      </w:r>
      <w:r>
        <w:rPr>
          <w:noProof/>
        </w:rPr>
        <w:tab/>
      </w:r>
      <w:r>
        <w:rPr>
          <w:noProof/>
        </w:rPr>
        <w:fldChar w:fldCharType="begin"/>
      </w:r>
      <w:r>
        <w:rPr>
          <w:noProof/>
        </w:rPr>
        <w:instrText xml:space="preserve"> PAGEREF _Toc485542685 \h </w:instrText>
      </w:r>
      <w:r>
        <w:rPr>
          <w:noProof/>
        </w:rPr>
      </w:r>
      <w:r>
        <w:rPr>
          <w:noProof/>
        </w:rPr>
        <w:fldChar w:fldCharType="separate"/>
      </w:r>
      <w:r w:rsidR="00071E85">
        <w:rPr>
          <w:noProof/>
        </w:rPr>
        <w:t>21</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lastRenderedPageBreak/>
        <w:t>Figure 19:</w:t>
      </w:r>
      <w:r>
        <w:rPr>
          <w:noProof/>
        </w:rPr>
        <w:tab/>
        <w:t>Percentage of women giving birth identified as smokers at first registration with their primary maternity care provider, by age group, ethnic group and neighbourhood deprivation quintile, 2015</w:t>
      </w:r>
      <w:r>
        <w:rPr>
          <w:noProof/>
        </w:rPr>
        <w:tab/>
      </w:r>
      <w:r>
        <w:rPr>
          <w:noProof/>
        </w:rPr>
        <w:fldChar w:fldCharType="begin"/>
      </w:r>
      <w:r>
        <w:rPr>
          <w:noProof/>
        </w:rPr>
        <w:instrText xml:space="preserve"> PAGEREF _Toc485542686 \h </w:instrText>
      </w:r>
      <w:r>
        <w:rPr>
          <w:noProof/>
        </w:rPr>
      </w:r>
      <w:r>
        <w:rPr>
          <w:noProof/>
        </w:rPr>
        <w:fldChar w:fldCharType="separate"/>
      </w:r>
      <w:r w:rsidR="00071E85">
        <w:rPr>
          <w:noProof/>
        </w:rPr>
        <w:t>22</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20:</w:t>
      </w:r>
      <w:r>
        <w:rPr>
          <w:noProof/>
        </w:rPr>
        <w:tab/>
        <w:t>Percentage of women giving birth identified as smokers at two weeks after birth, by age group, ethnic group and neighbourhood deprivation quintile, 2015</w:t>
      </w:r>
      <w:r>
        <w:rPr>
          <w:noProof/>
        </w:rPr>
        <w:tab/>
      </w:r>
      <w:r>
        <w:rPr>
          <w:noProof/>
        </w:rPr>
        <w:fldChar w:fldCharType="begin"/>
      </w:r>
      <w:r>
        <w:rPr>
          <w:noProof/>
        </w:rPr>
        <w:instrText xml:space="preserve"> PAGEREF _Toc485542687 \h </w:instrText>
      </w:r>
      <w:r>
        <w:rPr>
          <w:noProof/>
        </w:rPr>
      </w:r>
      <w:r>
        <w:rPr>
          <w:noProof/>
        </w:rPr>
        <w:fldChar w:fldCharType="separate"/>
      </w:r>
      <w:r w:rsidR="00071E85">
        <w:rPr>
          <w:noProof/>
        </w:rPr>
        <w:t>22</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21:</w:t>
      </w:r>
      <w:r>
        <w:rPr>
          <w:noProof/>
        </w:rPr>
        <w:tab/>
        <w:t>Percentage of women smoking at first registration with their primary maternity care provider who were also smoking at two weeks after birth, by age group, ethnic group and neighbourhood deprivation quintile, 2015</w:t>
      </w:r>
      <w:r>
        <w:rPr>
          <w:noProof/>
        </w:rPr>
        <w:tab/>
      </w:r>
      <w:r>
        <w:rPr>
          <w:noProof/>
        </w:rPr>
        <w:fldChar w:fldCharType="begin"/>
      </w:r>
      <w:r>
        <w:rPr>
          <w:noProof/>
        </w:rPr>
        <w:instrText xml:space="preserve"> PAGEREF _Toc485542688 \h </w:instrText>
      </w:r>
      <w:r>
        <w:rPr>
          <w:noProof/>
        </w:rPr>
      </w:r>
      <w:r>
        <w:rPr>
          <w:noProof/>
        </w:rPr>
        <w:fldChar w:fldCharType="separate"/>
      </w:r>
      <w:r w:rsidR="00071E85">
        <w:rPr>
          <w:noProof/>
        </w:rPr>
        <w:t>23</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22:</w:t>
      </w:r>
      <w:r>
        <w:rPr>
          <w:noProof/>
        </w:rPr>
        <w:tab/>
        <w:t>Percentage of women giving birth, by primary maternity care provider, 2008–2015</w:t>
      </w:r>
      <w:r>
        <w:rPr>
          <w:noProof/>
        </w:rPr>
        <w:tab/>
      </w:r>
      <w:r>
        <w:rPr>
          <w:noProof/>
        </w:rPr>
        <w:fldChar w:fldCharType="begin"/>
      </w:r>
      <w:r>
        <w:rPr>
          <w:noProof/>
        </w:rPr>
        <w:instrText xml:space="preserve"> PAGEREF _Toc485542689 \h </w:instrText>
      </w:r>
      <w:r>
        <w:rPr>
          <w:noProof/>
        </w:rPr>
      </w:r>
      <w:r>
        <w:rPr>
          <w:noProof/>
        </w:rPr>
        <w:fldChar w:fldCharType="separate"/>
      </w:r>
      <w:r w:rsidR="00071E85">
        <w:rPr>
          <w:noProof/>
        </w:rPr>
        <w:t>24</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23:</w:t>
      </w:r>
      <w:r>
        <w:rPr>
          <w:noProof/>
        </w:rPr>
        <w:tab/>
        <w:t>Percentage of women giving birth who registered with a Lead Maternity Carer by age group, ethnic group and neighbourhood deprivation quintile, 2015</w:t>
      </w:r>
      <w:r>
        <w:rPr>
          <w:noProof/>
        </w:rPr>
        <w:tab/>
      </w:r>
      <w:r>
        <w:rPr>
          <w:noProof/>
        </w:rPr>
        <w:fldChar w:fldCharType="begin"/>
      </w:r>
      <w:r>
        <w:rPr>
          <w:noProof/>
        </w:rPr>
        <w:instrText xml:space="preserve"> PAGEREF _Toc485542690 \h </w:instrText>
      </w:r>
      <w:r>
        <w:rPr>
          <w:noProof/>
        </w:rPr>
      </w:r>
      <w:r>
        <w:rPr>
          <w:noProof/>
        </w:rPr>
        <w:fldChar w:fldCharType="separate"/>
      </w:r>
      <w:r w:rsidR="00071E85">
        <w:rPr>
          <w:noProof/>
        </w:rPr>
        <w:t>26</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24:</w:t>
      </w:r>
      <w:r>
        <w:rPr>
          <w:noProof/>
        </w:rPr>
        <w:tab/>
        <w:t>Percentage of women registered with a Lead Maternity Carer, by DHB of residence, 2011 and 2015</w:t>
      </w:r>
      <w:r>
        <w:rPr>
          <w:noProof/>
        </w:rPr>
        <w:tab/>
      </w:r>
      <w:r>
        <w:rPr>
          <w:noProof/>
        </w:rPr>
        <w:fldChar w:fldCharType="begin"/>
      </w:r>
      <w:r>
        <w:rPr>
          <w:noProof/>
        </w:rPr>
        <w:instrText xml:space="preserve"> PAGEREF _Toc485542691 \h </w:instrText>
      </w:r>
      <w:r>
        <w:rPr>
          <w:noProof/>
        </w:rPr>
      </w:r>
      <w:r>
        <w:rPr>
          <w:noProof/>
        </w:rPr>
        <w:fldChar w:fldCharType="separate"/>
      </w:r>
      <w:r w:rsidR="00071E85">
        <w:rPr>
          <w:noProof/>
        </w:rPr>
        <w:t>26</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25:</w:t>
      </w:r>
      <w:r>
        <w:rPr>
          <w:noProof/>
        </w:rPr>
        <w:tab/>
        <w:t>Percentage of women registered with a Lead Maternity Carer by trimester of first registration, 2008–2015</w:t>
      </w:r>
      <w:r>
        <w:rPr>
          <w:noProof/>
        </w:rPr>
        <w:tab/>
      </w:r>
      <w:r>
        <w:rPr>
          <w:noProof/>
        </w:rPr>
        <w:fldChar w:fldCharType="begin"/>
      </w:r>
      <w:r>
        <w:rPr>
          <w:noProof/>
        </w:rPr>
        <w:instrText xml:space="preserve"> PAGEREF _Toc485542692 \h </w:instrText>
      </w:r>
      <w:r>
        <w:rPr>
          <w:noProof/>
        </w:rPr>
      </w:r>
      <w:r>
        <w:rPr>
          <w:noProof/>
        </w:rPr>
        <w:fldChar w:fldCharType="separate"/>
      </w:r>
      <w:r w:rsidR="00071E85">
        <w:rPr>
          <w:noProof/>
        </w:rPr>
        <w:t>27</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26:</w:t>
      </w:r>
      <w:r>
        <w:rPr>
          <w:noProof/>
        </w:rPr>
        <w:tab/>
        <w:t>Percentage of women giving birth who registered with a Lead Maternity Carer prior to birth, by trimester of registration, age group, ethnic group and neighbourhood deprivation quintile, 2015</w:t>
      </w:r>
      <w:r>
        <w:rPr>
          <w:noProof/>
        </w:rPr>
        <w:tab/>
      </w:r>
      <w:r>
        <w:rPr>
          <w:noProof/>
        </w:rPr>
        <w:fldChar w:fldCharType="begin"/>
      </w:r>
      <w:r>
        <w:rPr>
          <w:noProof/>
        </w:rPr>
        <w:instrText xml:space="preserve"> PAGEREF _Toc485542693 \h </w:instrText>
      </w:r>
      <w:r>
        <w:rPr>
          <w:noProof/>
        </w:rPr>
      </w:r>
      <w:r>
        <w:rPr>
          <w:noProof/>
        </w:rPr>
        <w:fldChar w:fldCharType="separate"/>
      </w:r>
      <w:r w:rsidR="00071E85">
        <w:rPr>
          <w:noProof/>
        </w:rPr>
        <w:t>28</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27:</w:t>
      </w:r>
      <w:r>
        <w:rPr>
          <w:noProof/>
        </w:rPr>
        <w:tab/>
        <w:t>Percentage of women giving birth who registered with a Lead Maternity Carer within the first trimester of pregnancy, by DHB of residence, 2011 and 2015</w:t>
      </w:r>
      <w:r>
        <w:rPr>
          <w:noProof/>
        </w:rPr>
        <w:tab/>
      </w:r>
      <w:r>
        <w:rPr>
          <w:noProof/>
        </w:rPr>
        <w:fldChar w:fldCharType="begin"/>
      </w:r>
      <w:r>
        <w:rPr>
          <w:noProof/>
        </w:rPr>
        <w:instrText xml:space="preserve"> PAGEREF _Toc485542694 \h </w:instrText>
      </w:r>
      <w:r>
        <w:rPr>
          <w:noProof/>
        </w:rPr>
      </w:r>
      <w:r>
        <w:rPr>
          <w:noProof/>
        </w:rPr>
        <w:fldChar w:fldCharType="separate"/>
      </w:r>
      <w:r w:rsidR="00071E85">
        <w:rPr>
          <w:noProof/>
        </w:rPr>
        <w:t>28</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28:</w:t>
      </w:r>
      <w:r>
        <w:rPr>
          <w:noProof/>
        </w:rPr>
        <w:tab/>
        <w:t>Percentage of women registered with a Lead Maternity Carer (LMC), by type of LMC, 2008–2015</w:t>
      </w:r>
      <w:r>
        <w:rPr>
          <w:noProof/>
        </w:rPr>
        <w:tab/>
      </w:r>
      <w:r>
        <w:rPr>
          <w:noProof/>
        </w:rPr>
        <w:fldChar w:fldCharType="begin"/>
      </w:r>
      <w:r>
        <w:rPr>
          <w:noProof/>
        </w:rPr>
        <w:instrText xml:space="preserve"> PAGEREF _Toc485542695 \h </w:instrText>
      </w:r>
      <w:r>
        <w:rPr>
          <w:noProof/>
        </w:rPr>
      </w:r>
      <w:r>
        <w:rPr>
          <w:noProof/>
        </w:rPr>
        <w:fldChar w:fldCharType="separate"/>
      </w:r>
      <w:r w:rsidR="00071E85">
        <w:rPr>
          <w:noProof/>
        </w:rPr>
        <w:t>29</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29:</w:t>
      </w:r>
      <w:r>
        <w:rPr>
          <w:noProof/>
        </w:rPr>
        <w:tab/>
        <w:t>Percentage of women giving birth who were registered with a DHB primary maternity service, 2015</w:t>
      </w:r>
      <w:r>
        <w:rPr>
          <w:noProof/>
        </w:rPr>
        <w:tab/>
      </w:r>
      <w:r>
        <w:rPr>
          <w:noProof/>
        </w:rPr>
        <w:fldChar w:fldCharType="begin"/>
      </w:r>
      <w:r>
        <w:rPr>
          <w:noProof/>
        </w:rPr>
        <w:instrText xml:space="preserve"> PAGEREF _Toc485542696 \h </w:instrText>
      </w:r>
      <w:r>
        <w:rPr>
          <w:noProof/>
        </w:rPr>
      </w:r>
      <w:r>
        <w:rPr>
          <w:noProof/>
        </w:rPr>
        <w:fldChar w:fldCharType="separate"/>
      </w:r>
      <w:r w:rsidR="00071E85">
        <w:rPr>
          <w:noProof/>
        </w:rPr>
        <w:t>30</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30:</w:t>
      </w:r>
      <w:r>
        <w:rPr>
          <w:noProof/>
        </w:rPr>
        <w:tab/>
        <w:t>Percentage of women giving birth who registered with a DHB primary maternity service prior to birth, by trimester of registration, age group, ethnic group and neighbourhood deprivation quintile, 2015</w:t>
      </w:r>
      <w:r>
        <w:rPr>
          <w:noProof/>
        </w:rPr>
        <w:tab/>
      </w:r>
      <w:r>
        <w:rPr>
          <w:noProof/>
        </w:rPr>
        <w:fldChar w:fldCharType="begin"/>
      </w:r>
      <w:r>
        <w:rPr>
          <w:noProof/>
        </w:rPr>
        <w:instrText xml:space="preserve"> PAGEREF _Toc485542697 \h </w:instrText>
      </w:r>
      <w:r>
        <w:rPr>
          <w:noProof/>
        </w:rPr>
      </w:r>
      <w:r>
        <w:rPr>
          <w:noProof/>
        </w:rPr>
        <w:fldChar w:fldCharType="separate"/>
      </w:r>
      <w:r w:rsidR="00071E85">
        <w:rPr>
          <w:noProof/>
        </w:rPr>
        <w:t>31</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31:</w:t>
      </w:r>
      <w:r>
        <w:rPr>
          <w:noProof/>
        </w:rPr>
        <w:tab/>
        <w:t>Percentage of women giving birth, by type of birth (aggregated), 2006–2015</w:t>
      </w:r>
      <w:r>
        <w:rPr>
          <w:noProof/>
        </w:rPr>
        <w:tab/>
      </w:r>
      <w:r>
        <w:rPr>
          <w:noProof/>
        </w:rPr>
        <w:fldChar w:fldCharType="begin"/>
      </w:r>
      <w:r>
        <w:rPr>
          <w:noProof/>
        </w:rPr>
        <w:instrText xml:space="preserve"> PAGEREF _Toc485542698 \h </w:instrText>
      </w:r>
      <w:r>
        <w:rPr>
          <w:noProof/>
        </w:rPr>
      </w:r>
      <w:r>
        <w:rPr>
          <w:noProof/>
        </w:rPr>
        <w:fldChar w:fldCharType="separate"/>
      </w:r>
      <w:r w:rsidR="00071E85">
        <w:rPr>
          <w:noProof/>
        </w:rPr>
        <w:t>33</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32:</w:t>
      </w:r>
      <w:r>
        <w:rPr>
          <w:noProof/>
        </w:rPr>
        <w:tab/>
        <w:t>Comparison of caesarean section rates (per 100 live births) in 2000, 2006 and 2013 (or nearest year) for OECD countries</w:t>
      </w:r>
      <w:r>
        <w:rPr>
          <w:noProof/>
        </w:rPr>
        <w:tab/>
      </w:r>
      <w:r>
        <w:rPr>
          <w:noProof/>
        </w:rPr>
        <w:fldChar w:fldCharType="begin"/>
      </w:r>
      <w:r>
        <w:rPr>
          <w:noProof/>
        </w:rPr>
        <w:instrText xml:space="preserve"> PAGEREF _Toc485542699 \h </w:instrText>
      </w:r>
      <w:r>
        <w:rPr>
          <w:noProof/>
        </w:rPr>
      </w:r>
      <w:r>
        <w:rPr>
          <w:noProof/>
        </w:rPr>
        <w:fldChar w:fldCharType="separate"/>
      </w:r>
      <w:r w:rsidR="00071E85">
        <w:rPr>
          <w:noProof/>
        </w:rPr>
        <w:t>34</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33:</w:t>
      </w:r>
      <w:r>
        <w:rPr>
          <w:noProof/>
        </w:rPr>
        <w:tab/>
        <w:t>Percentage of vaginal breech births, 2006–2015</w:t>
      </w:r>
      <w:r>
        <w:rPr>
          <w:noProof/>
        </w:rPr>
        <w:tab/>
      </w:r>
      <w:r>
        <w:rPr>
          <w:noProof/>
        </w:rPr>
        <w:fldChar w:fldCharType="begin"/>
      </w:r>
      <w:r>
        <w:rPr>
          <w:noProof/>
        </w:rPr>
        <w:instrText xml:space="preserve"> PAGEREF _Toc485542700 \h </w:instrText>
      </w:r>
      <w:r>
        <w:rPr>
          <w:noProof/>
        </w:rPr>
      </w:r>
      <w:r>
        <w:rPr>
          <w:noProof/>
        </w:rPr>
        <w:fldChar w:fldCharType="separate"/>
      </w:r>
      <w:r w:rsidR="00071E85">
        <w:rPr>
          <w:noProof/>
        </w:rPr>
        <w:t>35</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34:</w:t>
      </w:r>
      <w:r>
        <w:rPr>
          <w:noProof/>
        </w:rPr>
        <w:tab/>
        <w:t>Distribution of breech birth types, 2006–2015</w:t>
      </w:r>
      <w:r>
        <w:rPr>
          <w:noProof/>
        </w:rPr>
        <w:tab/>
      </w:r>
      <w:r>
        <w:rPr>
          <w:noProof/>
        </w:rPr>
        <w:fldChar w:fldCharType="begin"/>
      </w:r>
      <w:r>
        <w:rPr>
          <w:noProof/>
        </w:rPr>
        <w:instrText xml:space="preserve"> PAGEREF _Toc485542701 \h </w:instrText>
      </w:r>
      <w:r>
        <w:rPr>
          <w:noProof/>
        </w:rPr>
      </w:r>
      <w:r>
        <w:rPr>
          <w:noProof/>
        </w:rPr>
        <w:fldChar w:fldCharType="separate"/>
      </w:r>
      <w:r w:rsidR="00071E85">
        <w:rPr>
          <w:noProof/>
        </w:rPr>
        <w:t>36</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35:</w:t>
      </w:r>
      <w:r>
        <w:rPr>
          <w:noProof/>
        </w:rPr>
        <w:tab/>
        <w:t>Percentage of emergency and elective caesarean sections, 2006–2015</w:t>
      </w:r>
      <w:r>
        <w:rPr>
          <w:noProof/>
        </w:rPr>
        <w:tab/>
      </w:r>
      <w:r>
        <w:rPr>
          <w:noProof/>
        </w:rPr>
        <w:fldChar w:fldCharType="begin"/>
      </w:r>
      <w:r>
        <w:rPr>
          <w:noProof/>
        </w:rPr>
        <w:instrText xml:space="preserve"> PAGEREF _Toc485542702 \h </w:instrText>
      </w:r>
      <w:r>
        <w:rPr>
          <w:noProof/>
        </w:rPr>
      </w:r>
      <w:r>
        <w:rPr>
          <w:noProof/>
        </w:rPr>
        <w:fldChar w:fldCharType="separate"/>
      </w:r>
      <w:r w:rsidR="00071E85">
        <w:rPr>
          <w:noProof/>
        </w:rPr>
        <w:t>36</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36:</w:t>
      </w:r>
      <w:r>
        <w:rPr>
          <w:noProof/>
        </w:rPr>
        <w:tab/>
        <w:t>Percentage of caesarean sections, by type, age group, ethnic group and neighbourhood deprivation quintile, 2015</w:t>
      </w:r>
      <w:r>
        <w:rPr>
          <w:noProof/>
        </w:rPr>
        <w:tab/>
      </w:r>
      <w:r>
        <w:rPr>
          <w:noProof/>
        </w:rPr>
        <w:fldChar w:fldCharType="begin"/>
      </w:r>
      <w:r>
        <w:rPr>
          <w:noProof/>
        </w:rPr>
        <w:instrText xml:space="preserve"> PAGEREF _Toc485542703 \h </w:instrText>
      </w:r>
      <w:r>
        <w:rPr>
          <w:noProof/>
        </w:rPr>
      </w:r>
      <w:r>
        <w:rPr>
          <w:noProof/>
        </w:rPr>
        <w:fldChar w:fldCharType="separate"/>
      </w:r>
      <w:r w:rsidR="00071E85">
        <w:rPr>
          <w:noProof/>
        </w:rPr>
        <w:t>37</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37:</w:t>
      </w:r>
      <w:r>
        <w:rPr>
          <w:noProof/>
        </w:rPr>
        <w:tab/>
        <w:t>Percentage of emergency caesarean sections, by DHB of residence, 2011 and 2015</w:t>
      </w:r>
      <w:r>
        <w:rPr>
          <w:noProof/>
        </w:rPr>
        <w:tab/>
      </w:r>
      <w:r>
        <w:rPr>
          <w:noProof/>
        </w:rPr>
        <w:fldChar w:fldCharType="begin"/>
      </w:r>
      <w:r>
        <w:rPr>
          <w:noProof/>
        </w:rPr>
        <w:instrText xml:space="preserve"> PAGEREF _Toc485542704 \h </w:instrText>
      </w:r>
      <w:r>
        <w:rPr>
          <w:noProof/>
        </w:rPr>
      </w:r>
      <w:r>
        <w:rPr>
          <w:noProof/>
        </w:rPr>
        <w:fldChar w:fldCharType="separate"/>
      </w:r>
      <w:r w:rsidR="00071E85">
        <w:rPr>
          <w:noProof/>
        </w:rPr>
        <w:t>38</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38:</w:t>
      </w:r>
      <w:r>
        <w:rPr>
          <w:noProof/>
        </w:rPr>
        <w:tab/>
        <w:t>Percentage of elective caesarean sections, by DHB of residence, 2011 and 2015</w:t>
      </w:r>
      <w:r>
        <w:rPr>
          <w:noProof/>
        </w:rPr>
        <w:tab/>
      </w:r>
      <w:r>
        <w:rPr>
          <w:noProof/>
        </w:rPr>
        <w:fldChar w:fldCharType="begin"/>
      </w:r>
      <w:r>
        <w:rPr>
          <w:noProof/>
        </w:rPr>
        <w:instrText xml:space="preserve"> PAGEREF _Toc485542705 \h </w:instrText>
      </w:r>
      <w:r>
        <w:rPr>
          <w:noProof/>
        </w:rPr>
      </w:r>
      <w:r>
        <w:rPr>
          <w:noProof/>
        </w:rPr>
        <w:fldChar w:fldCharType="separate"/>
      </w:r>
      <w:r w:rsidR="00071E85">
        <w:rPr>
          <w:noProof/>
        </w:rPr>
        <w:t>39</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39:</w:t>
      </w:r>
      <w:r>
        <w:rPr>
          <w:noProof/>
        </w:rPr>
        <w:tab/>
        <w:t>Percentage of women having a normal birth and having an induction, augmentation, epidural or episiotomy during labour and birth, 2006–2015</w:t>
      </w:r>
      <w:r>
        <w:rPr>
          <w:noProof/>
        </w:rPr>
        <w:tab/>
      </w:r>
      <w:r>
        <w:rPr>
          <w:noProof/>
        </w:rPr>
        <w:fldChar w:fldCharType="begin"/>
      </w:r>
      <w:r>
        <w:rPr>
          <w:noProof/>
        </w:rPr>
        <w:instrText xml:space="preserve"> PAGEREF _Toc485542706 \h </w:instrText>
      </w:r>
      <w:r>
        <w:rPr>
          <w:noProof/>
        </w:rPr>
      </w:r>
      <w:r>
        <w:rPr>
          <w:noProof/>
        </w:rPr>
        <w:fldChar w:fldCharType="separate"/>
      </w:r>
      <w:r w:rsidR="00071E85">
        <w:rPr>
          <w:noProof/>
        </w:rPr>
        <w:t>41</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lastRenderedPageBreak/>
        <w:t>Figure 40:</w:t>
      </w:r>
      <w:r>
        <w:rPr>
          <w:noProof/>
        </w:rPr>
        <w:tab/>
        <w:t>Percentage of women having a normal birth, by age group, ethnic group and neighbourhood deprivation quintile, 2015</w:t>
      </w:r>
      <w:r>
        <w:rPr>
          <w:noProof/>
        </w:rPr>
        <w:tab/>
      </w:r>
      <w:r>
        <w:rPr>
          <w:noProof/>
        </w:rPr>
        <w:fldChar w:fldCharType="begin"/>
      </w:r>
      <w:r>
        <w:rPr>
          <w:noProof/>
        </w:rPr>
        <w:instrText xml:space="preserve"> PAGEREF _Toc485542707 \h </w:instrText>
      </w:r>
      <w:r>
        <w:rPr>
          <w:noProof/>
        </w:rPr>
      </w:r>
      <w:r>
        <w:rPr>
          <w:noProof/>
        </w:rPr>
        <w:fldChar w:fldCharType="separate"/>
      </w:r>
      <w:r w:rsidR="00071E85">
        <w:rPr>
          <w:noProof/>
        </w:rPr>
        <w:t>42</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41:</w:t>
      </w:r>
      <w:r>
        <w:rPr>
          <w:noProof/>
        </w:rPr>
        <w:tab/>
        <w:t>Percentage of women having an induction of labour, by age group, ethnic group and neighbourhood deprivation quintile, 2015</w:t>
      </w:r>
      <w:r>
        <w:rPr>
          <w:noProof/>
        </w:rPr>
        <w:tab/>
      </w:r>
      <w:r>
        <w:rPr>
          <w:noProof/>
        </w:rPr>
        <w:fldChar w:fldCharType="begin"/>
      </w:r>
      <w:r>
        <w:rPr>
          <w:noProof/>
        </w:rPr>
        <w:instrText xml:space="preserve"> PAGEREF _Toc485542708 \h </w:instrText>
      </w:r>
      <w:r>
        <w:rPr>
          <w:noProof/>
        </w:rPr>
      </w:r>
      <w:r>
        <w:rPr>
          <w:noProof/>
        </w:rPr>
        <w:fldChar w:fldCharType="separate"/>
      </w:r>
      <w:r w:rsidR="00071E85">
        <w:rPr>
          <w:noProof/>
        </w:rPr>
        <w:t>43</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42:</w:t>
      </w:r>
      <w:r>
        <w:rPr>
          <w:noProof/>
        </w:rPr>
        <w:tab/>
        <w:t>Percentage of women undergoing augmentation of labour, by age group, ethnic group and neighbourhood deprivation quintile, 2015</w:t>
      </w:r>
      <w:r>
        <w:rPr>
          <w:noProof/>
        </w:rPr>
        <w:tab/>
      </w:r>
      <w:r>
        <w:rPr>
          <w:noProof/>
        </w:rPr>
        <w:fldChar w:fldCharType="begin"/>
      </w:r>
      <w:r>
        <w:rPr>
          <w:noProof/>
        </w:rPr>
        <w:instrText xml:space="preserve"> PAGEREF _Toc485542709 \h </w:instrText>
      </w:r>
      <w:r>
        <w:rPr>
          <w:noProof/>
        </w:rPr>
      </w:r>
      <w:r>
        <w:rPr>
          <w:noProof/>
        </w:rPr>
        <w:fldChar w:fldCharType="separate"/>
      </w:r>
      <w:r w:rsidR="00071E85">
        <w:rPr>
          <w:noProof/>
        </w:rPr>
        <w:t>44</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43:</w:t>
      </w:r>
      <w:r>
        <w:rPr>
          <w:noProof/>
        </w:rPr>
        <w:tab/>
        <w:t>Percentage of women having an epidural, by age group, ethnic group and neighbourhood deprivation quintile, 2015</w:t>
      </w:r>
      <w:r>
        <w:rPr>
          <w:noProof/>
        </w:rPr>
        <w:tab/>
      </w:r>
      <w:r>
        <w:rPr>
          <w:noProof/>
        </w:rPr>
        <w:fldChar w:fldCharType="begin"/>
      </w:r>
      <w:r>
        <w:rPr>
          <w:noProof/>
        </w:rPr>
        <w:instrText xml:space="preserve"> PAGEREF _Toc485542710 \h </w:instrText>
      </w:r>
      <w:r>
        <w:rPr>
          <w:noProof/>
        </w:rPr>
      </w:r>
      <w:r>
        <w:rPr>
          <w:noProof/>
        </w:rPr>
        <w:fldChar w:fldCharType="separate"/>
      </w:r>
      <w:r w:rsidR="00071E85">
        <w:rPr>
          <w:noProof/>
        </w:rPr>
        <w:t>45</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44:</w:t>
      </w:r>
      <w:r>
        <w:rPr>
          <w:noProof/>
        </w:rPr>
        <w:tab/>
        <w:t>Percentage of women having an episiotomy, by age group, ethnic group and neighbourhood deprivation quintile, 2015</w:t>
      </w:r>
      <w:r>
        <w:rPr>
          <w:noProof/>
        </w:rPr>
        <w:tab/>
      </w:r>
      <w:r>
        <w:rPr>
          <w:noProof/>
        </w:rPr>
        <w:fldChar w:fldCharType="begin"/>
      </w:r>
      <w:r>
        <w:rPr>
          <w:noProof/>
        </w:rPr>
        <w:instrText xml:space="preserve"> PAGEREF _Toc485542711 \h </w:instrText>
      </w:r>
      <w:r>
        <w:rPr>
          <w:noProof/>
        </w:rPr>
      </w:r>
      <w:r>
        <w:rPr>
          <w:noProof/>
        </w:rPr>
        <w:fldChar w:fldCharType="separate"/>
      </w:r>
      <w:r w:rsidR="00071E85">
        <w:rPr>
          <w:noProof/>
        </w:rPr>
        <w:t>46</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45:</w:t>
      </w:r>
      <w:r>
        <w:rPr>
          <w:noProof/>
        </w:rPr>
        <w:tab/>
        <w:t>Percentage of women giving birth, by place of birth, 2006–2015</w:t>
      </w:r>
      <w:r>
        <w:rPr>
          <w:noProof/>
        </w:rPr>
        <w:tab/>
      </w:r>
      <w:r>
        <w:rPr>
          <w:noProof/>
        </w:rPr>
        <w:fldChar w:fldCharType="begin"/>
      </w:r>
      <w:r>
        <w:rPr>
          <w:noProof/>
        </w:rPr>
        <w:instrText xml:space="preserve"> PAGEREF _Toc485542712 \h </w:instrText>
      </w:r>
      <w:r>
        <w:rPr>
          <w:noProof/>
        </w:rPr>
      </w:r>
      <w:r>
        <w:rPr>
          <w:noProof/>
        </w:rPr>
        <w:fldChar w:fldCharType="separate"/>
      </w:r>
      <w:r w:rsidR="00071E85">
        <w:rPr>
          <w:noProof/>
        </w:rPr>
        <w:t>48</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46:</w:t>
      </w:r>
      <w:r>
        <w:rPr>
          <w:noProof/>
        </w:rPr>
        <w:tab/>
        <w:t>Distribution of women giving birth at a maternity facility, by type of facility, age group, ethnic group and neighbourhood deprivation quintile, 2015</w:t>
      </w:r>
      <w:r>
        <w:rPr>
          <w:noProof/>
        </w:rPr>
        <w:tab/>
      </w:r>
      <w:r>
        <w:rPr>
          <w:noProof/>
        </w:rPr>
        <w:fldChar w:fldCharType="begin"/>
      </w:r>
      <w:r>
        <w:rPr>
          <w:noProof/>
        </w:rPr>
        <w:instrText xml:space="preserve"> PAGEREF _Toc485542713 \h </w:instrText>
      </w:r>
      <w:r>
        <w:rPr>
          <w:noProof/>
        </w:rPr>
      </w:r>
      <w:r>
        <w:rPr>
          <w:noProof/>
        </w:rPr>
        <w:fldChar w:fldCharType="separate"/>
      </w:r>
      <w:r w:rsidR="00071E85">
        <w:rPr>
          <w:noProof/>
        </w:rPr>
        <w:t>50</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47:</w:t>
      </w:r>
      <w:r>
        <w:rPr>
          <w:noProof/>
        </w:rPr>
        <w:tab/>
        <w:t>Distribution of women giving birth at a maternity facility, by type of facility and DHB of residence, 2015</w:t>
      </w:r>
      <w:r>
        <w:rPr>
          <w:noProof/>
        </w:rPr>
        <w:tab/>
      </w:r>
      <w:r>
        <w:rPr>
          <w:noProof/>
        </w:rPr>
        <w:fldChar w:fldCharType="begin"/>
      </w:r>
      <w:r>
        <w:rPr>
          <w:noProof/>
        </w:rPr>
        <w:instrText xml:space="preserve"> PAGEREF _Toc485542714 \h </w:instrText>
      </w:r>
      <w:r>
        <w:rPr>
          <w:noProof/>
        </w:rPr>
      </w:r>
      <w:r>
        <w:rPr>
          <w:noProof/>
        </w:rPr>
        <w:fldChar w:fldCharType="separate"/>
      </w:r>
      <w:r w:rsidR="00071E85">
        <w:rPr>
          <w:noProof/>
        </w:rPr>
        <w:t>51</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48:</w:t>
      </w:r>
      <w:r>
        <w:rPr>
          <w:noProof/>
        </w:rPr>
        <w:tab/>
        <w:t>Percentage of women giving birth at home, by age group, ethnic group and neighbourhood deprivation quintile, 2015</w:t>
      </w:r>
      <w:r>
        <w:rPr>
          <w:noProof/>
        </w:rPr>
        <w:tab/>
      </w:r>
      <w:r>
        <w:rPr>
          <w:noProof/>
        </w:rPr>
        <w:fldChar w:fldCharType="begin"/>
      </w:r>
      <w:r>
        <w:rPr>
          <w:noProof/>
        </w:rPr>
        <w:instrText xml:space="preserve"> PAGEREF _Toc485542715 \h </w:instrText>
      </w:r>
      <w:r>
        <w:rPr>
          <w:noProof/>
        </w:rPr>
      </w:r>
      <w:r>
        <w:rPr>
          <w:noProof/>
        </w:rPr>
        <w:fldChar w:fldCharType="separate"/>
      </w:r>
      <w:r w:rsidR="00071E85">
        <w:rPr>
          <w:noProof/>
        </w:rPr>
        <w:t>52</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49:</w:t>
      </w:r>
      <w:r>
        <w:rPr>
          <w:noProof/>
        </w:rPr>
        <w:tab/>
        <w:t>Percentage of women giving birth at home, by DHB of residence, 2011 and 2015</w:t>
      </w:r>
      <w:r>
        <w:rPr>
          <w:noProof/>
        </w:rPr>
        <w:tab/>
      </w:r>
      <w:r>
        <w:rPr>
          <w:noProof/>
        </w:rPr>
        <w:fldChar w:fldCharType="begin"/>
      </w:r>
      <w:r>
        <w:rPr>
          <w:noProof/>
        </w:rPr>
        <w:instrText xml:space="preserve"> PAGEREF _Toc485542716 \h </w:instrText>
      </w:r>
      <w:r>
        <w:rPr>
          <w:noProof/>
        </w:rPr>
      </w:r>
      <w:r>
        <w:rPr>
          <w:noProof/>
        </w:rPr>
        <w:fldChar w:fldCharType="separate"/>
      </w:r>
      <w:r w:rsidR="00071E85">
        <w:rPr>
          <w:noProof/>
        </w:rPr>
        <w:t>53</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50:</w:t>
      </w:r>
      <w:r>
        <w:rPr>
          <w:noProof/>
        </w:rPr>
        <w:tab/>
        <w:t>Percentage of babies, by sex, maternal age group, baby ethnic group and baby neighbourhood deprivation quintile, 2015</w:t>
      </w:r>
      <w:r>
        <w:rPr>
          <w:noProof/>
        </w:rPr>
        <w:tab/>
      </w:r>
      <w:r>
        <w:rPr>
          <w:noProof/>
        </w:rPr>
        <w:fldChar w:fldCharType="begin"/>
      </w:r>
      <w:r>
        <w:rPr>
          <w:noProof/>
        </w:rPr>
        <w:instrText xml:space="preserve"> PAGEREF _Toc485542717 \h </w:instrText>
      </w:r>
      <w:r>
        <w:rPr>
          <w:noProof/>
        </w:rPr>
      </w:r>
      <w:r>
        <w:rPr>
          <w:noProof/>
        </w:rPr>
        <w:fldChar w:fldCharType="separate"/>
      </w:r>
      <w:r w:rsidR="00071E85">
        <w:rPr>
          <w:noProof/>
        </w:rPr>
        <w:t>54</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51:</w:t>
      </w:r>
      <w:r>
        <w:rPr>
          <w:noProof/>
        </w:rPr>
        <w:tab/>
        <w:t>Average birthweight, by maternal age group, baby ethnic group and baby neighbourhood deprivation quintile, 2015</w:t>
      </w:r>
      <w:r>
        <w:rPr>
          <w:noProof/>
        </w:rPr>
        <w:tab/>
      </w:r>
      <w:r>
        <w:rPr>
          <w:noProof/>
        </w:rPr>
        <w:fldChar w:fldCharType="begin"/>
      </w:r>
      <w:r>
        <w:rPr>
          <w:noProof/>
        </w:rPr>
        <w:instrText xml:space="preserve"> PAGEREF _Toc485542718 \h </w:instrText>
      </w:r>
      <w:r>
        <w:rPr>
          <w:noProof/>
        </w:rPr>
      </w:r>
      <w:r>
        <w:rPr>
          <w:noProof/>
        </w:rPr>
        <w:fldChar w:fldCharType="separate"/>
      </w:r>
      <w:r w:rsidR="00071E85">
        <w:rPr>
          <w:noProof/>
        </w:rPr>
        <w:t>56</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52:</w:t>
      </w:r>
      <w:r>
        <w:rPr>
          <w:noProof/>
        </w:rPr>
        <w:tab/>
        <w:t>Percentage of babies born with a low birthweight, by maternal age group, baby ethnic group and baby neighbourhood deprivation quintile, 2015</w:t>
      </w:r>
      <w:r>
        <w:rPr>
          <w:noProof/>
        </w:rPr>
        <w:tab/>
      </w:r>
      <w:r>
        <w:rPr>
          <w:noProof/>
        </w:rPr>
        <w:fldChar w:fldCharType="begin"/>
      </w:r>
      <w:r>
        <w:rPr>
          <w:noProof/>
        </w:rPr>
        <w:instrText xml:space="preserve"> PAGEREF _Toc485542719 \h </w:instrText>
      </w:r>
      <w:r>
        <w:rPr>
          <w:noProof/>
        </w:rPr>
      </w:r>
      <w:r>
        <w:rPr>
          <w:noProof/>
        </w:rPr>
        <w:fldChar w:fldCharType="separate"/>
      </w:r>
      <w:r w:rsidR="00071E85">
        <w:rPr>
          <w:noProof/>
        </w:rPr>
        <w:t>57</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53:</w:t>
      </w:r>
      <w:r>
        <w:rPr>
          <w:noProof/>
        </w:rPr>
        <w:tab/>
        <w:t>Percentage of babies born with a low birthweight, by DHB of residence, 2011 and 2015</w:t>
      </w:r>
      <w:r>
        <w:rPr>
          <w:noProof/>
        </w:rPr>
        <w:tab/>
      </w:r>
      <w:r>
        <w:rPr>
          <w:noProof/>
        </w:rPr>
        <w:fldChar w:fldCharType="begin"/>
      </w:r>
      <w:r>
        <w:rPr>
          <w:noProof/>
        </w:rPr>
        <w:instrText xml:space="preserve"> PAGEREF _Toc485542720 \h </w:instrText>
      </w:r>
      <w:r>
        <w:rPr>
          <w:noProof/>
        </w:rPr>
      </w:r>
      <w:r>
        <w:rPr>
          <w:noProof/>
        </w:rPr>
        <w:fldChar w:fldCharType="separate"/>
      </w:r>
      <w:r w:rsidR="00071E85">
        <w:rPr>
          <w:noProof/>
        </w:rPr>
        <w:t>57</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54:</w:t>
      </w:r>
      <w:r>
        <w:rPr>
          <w:noProof/>
        </w:rPr>
        <w:tab/>
        <w:t>Percentage of babies, by gestation in weeks, 2006–2015</w:t>
      </w:r>
      <w:r>
        <w:rPr>
          <w:noProof/>
        </w:rPr>
        <w:tab/>
      </w:r>
      <w:r>
        <w:rPr>
          <w:noProof/>
        </w:rPr>
        <w:fldChar w:fldCharType="begin"/>
      </w:r>
      <w:r>
        <w:rPr>
          <w:noProof/>
        </w:rPr>
        <w:instrText xml:space="preserve"> PAGEREF _Toc485542721 \h </w:instrText>
      </w:r>
      <w:r>
        <w:rPr>
          <w:noProof/>
        </w:rPr>
      </w:r>
      <w:r>
        <w:rPr>
          <w:noProof/>
        </w:rPr>
        <w:fldChar w:fldCharType="separate"/>
      </w:r>
      <w:r w:rsidR="00071E85">
        <w:rPr>
          <w:noProof/>
        </w:rPr>
        <w:t>58</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55:</w:t>
      </w:r>
      <w:r>
        <w:rPr>
          <w:noProof/>
        </w:rPr>
        <w:tab/>
        <w:t>Percentage of babies born preterm, by maternal age group, baby ethnic group and baby neighbourhood deprivation quintile, 2015</w:t>
      </w:r>
      <w:r>
        <w:rPr>
          <w:noProof/>
        </w:rPr>
        <w:tab/>
      </w:r>
      <w:r>
        <w:rPr>
          <w:noProof/>
        </w:rPr>
        <w:fldChar w:fldCharType="begin"/>
      </w:r>
      <w:r>
        <w:rPr>
          <w:noProof/>
        </w:rPr>
        <w:instrText xml:space="preserve"> PAGEREF _Toc485542722 \h </w:instrText>
      </w:r>
      <w:r>
        <w:rPr>
          <w:noProof/>
        </w:rPr>
      </w:r>
      <w:r>
        <w:rPr>
          <w:noProof/>
        </w:rPr>
        <w:fldChar w:fldCharType="separate"/>
      </w:r>
      <w:r w:rsidR="00071E85">
        <w:rPr>
          <w:noProof/>
        </w:rPr>
        <w:t>59</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56:</w:t>
      </w:r>
      <w:r>
        <w:rPr>
          <w:noProof/>
        </w:rPr>
        <w:tab/>
        <w:t>Percentage of babies born preterm, by DHB of residence, 2011 and 2015</w:t>
      </w:r>
      <w:r>
        <w:rPr>
          <w:noProof/>
        </w:rPr>
        <w:tab/>
      </w:r>
      <w:r>
        <w:rPr>
          <w:noProof/>
        </w:rPr>
        <w:fldChar w:fldCharType="begin"/>
      </w:r>
      <w:r>
        <w:rPr>
          <w:noProof/>
        </w:rPr>
        <w:instrText xml:space="preserve"> PAGEREF _Toc485542723 \h </w:instrText>
      </w:r>
      <w:r>
        <w:rPr>
          <w:noProof/>
        </w:rPr>
      </w:r>
      <w:r>
        <w:rPr>
          <w:noProof/>
        </w:rPr>
        <w:fldChar w:fldCharType="separate"/>
      </w:r>
      <w:r w:rsidR="00071E85">
        <w:rPr>
          <w:noProof/>
        </w:rPr>
        <w:t>60</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57:</w:t>
      </w:r>
      <w:r>
        <w:rPr>
          <w:noProof/>
        </w:rPr>
        <w:tab/>
        <w:t>Percentage of babies born at term with a low birthweight, by maternal age group, baby ethnic group and baby neighbourhood deprivation quintile, 2015</w:t>
      </w:r>
      <w:r>
        <w:rPr>
          <w:noProof/>
        </w:rPr>
        <w:tab/>
      </w:r>
      <w:r>
        <w:rPr>
          <w:noProof/>
        </w:rPr>
        <w:fldChar w:fldCharType="begin"/>
      </w:r>
      <w:r>
        <w:rPr>
          <w:noProof/>
        </w:rPr>
        <w:instrText xml:space="preserve"> PAGEREF _Toc485542724 \h </w:instrText>
      </w:r>
      <w:r>
        <w:rPr>
          <w:noProof/>
        </w:rPr>
      </w:r>
      <w:r>
        <w:rPr>
          <w:noProof/>
        </w:rPr>
        <w:fldChar w:fldCharType="separate"/>
      </w:r>
      <w:r w:rsidR="00071E85">
        <w:rPr>
          <w:noProof/>
        </w:rPr>
        <w:t>61</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58:</w:t>
      </w:r>
      <w:r>
        <w:rPr>
          <w:noProof/>
        </w:rPr>
        <w:tab/>
        <w:t>Percentage of babies born at term with a low birthweight, by DHB of residence, 2011 and 2015</w:t>
      </w:r>
      <w:r>
        <w:rPr>
          <w:noProof/>
        </w:rPr>
        <w:tab/>
      </w:r>
      <w:r>
        <w:rPr>
          <w:noProof/>
        </w:rPr>
        <w:fldChar w:fldCharType="begin"/>
      </w:r>
      <w:r>
        <w:rPr>
          <w:noProof/>
        </w:rPr>
        <w:instrText xml:space="preserve"> PAGEREF _Toc485542725 \h </w:instrText>
      </w:r>
      <w:r>
        <w:rPr>
          <w:noProof/>
        </w:rPr>
      </w:r>
      <w:r>
        <w:rPr>
          <w:noProof/>
        </w:rPr>
        <w:fldChar w:fldCharType="separate"/>
      </w:r>
      <w:r w:rsidR="00071E85">
        <w:rPr>
          <w:noProof/>
        </w:rPr>
        <w:t>61</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59:</w:t>
      </w:r>
      <w:r>
        <w:rPr>
          <w:noProof/>
        </w:rPr>
        <w:tab/>
        <w:t>Percentage of babies, by breastfeeding status at two weeks after birth, 2008–2015</w:t>
      </w:r>
      <w:r>
        <w:rPr>
          <w:noProof/>
        </w:rPr>
        <w:tab/>
      </w:r>
      <w:r>
        <w:rPr>
          <w:noProof/>
        </w:rPr>
        <w:fldChar w:fldCharType="begin"/>
      </w:r>
      <w:r>
        <w:rPr>
          <w:noProof/>
        </w:rPr>
        <w:instrText xml:space="preserve"> PAGEREF _Toc485542726 \h </w:instrText>
      </w:r>
      <w:r>
        <w:rPr>
          <w:noProof/>
        </w:rPr>
      </w:r>
      <w:r>
        <w:rPr>
          <w:noProof/>
        </w:rPr>
        <w:fldChar w:fldCharType="separate"/>
      </w:r>
      <w:r w:rsidR="00071E85">
        <w:rPr>
          <w:noProof/>
        </w:rPr>
        <w:t>62</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60:</w:t>
      </w:r>
      <w:r>
        <w:rPr>
          <w:noProof/>
        </w:rPr>
        <w:tab/>
        <w:t>Percentage of breastfed babies at two weeks after birth, by maternal age group, baby ethnic group and baby neighbourhood deprivation quintile, 2015</w:t>
      </w:r>
      <w:r>
        <w:rPr>
          <w:noProof/>
        </w:rPr>
        <w:tab/>
      </w:r>
      <w:r>
        <w:rPr>
          <w:noProof/>
        </w:rPr>
        <w:fldChar w:fldCharType="begin"/>
      </w:r>
      <w:r>
        <w:rPr>
          <w:noProof/>
        </w:rPr>
        <w:instrText xml:space="preserve"> PAGEREF _Toc485542727 \h </w:instrText>
      </w:r>
      <w:r>
        <w:rPr>
          <w:noProof/>
        </w:rPr>
      </w:r>
      <w:r>
        <w:rPr>
          <w:noProof/>
        </w:rPr>
        <w:fldChar w:fldCharType="separate"/>
      </w:r>
      <w:r w:rsidR="00071E85">
        <w:rPr>
          <w:noProof/>
        </w:rPr>
        <w:t>63</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61:</w:t>
      </w:r>
      <w:r>
        <w:rPr>
          <w:noProof/>
        </w:rPr>
        <w:tab/>
        <w:t>Percentage of babies exclusively or fully breastfed at two weeks after birth, by DHB of residence, 2011 and 2015</w:t>
      </w:r>
      <w:r>
        <w:rPr>
          <w:noProof/>
        </w:rPr>
        <w:tab/>
      </w:r>
      <w:r>
        <w:rPr>
          <w:noProof/>
        </w:rPr>
        <w:fldChar w:fldCharType="begin"/>
      </w:r>
      <w:r>
        <w:rPr>
          <w:noProof/>
        </w:rPr>
        <w:instrText xml:space="preserve"> PAGEREF _Toc485542728 \h </w:instrText>
      </w:r>
      <w:r>
        <w:rPr>
          <w:noProof/>
        </w:rPr>
      </w:r>
      <w:r>
        <w:rPr>
          <w:noProof/>
        </w:rPr>
        <w:fldChar w:fldCharType="separate"/>
      </w:r>
      <w:r w:rsidR="00071E85">
        <w:rPr>
          <w:noProof/>
        </w:rPr>
        <w:t>64</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62:</w:t>
      </w:r>
      <w:r>
        <w:rPr>
          <w:noProof/>
        </w:rPr>
        <w:tab/>
        <w:t>Percentage of women referred to their general practitioner and babies to a Well Child/Tamariki Ora provider, 2008–2015</w:t>
      </w:r>
      <w:r>
        <w:rPr>
          <w:noProof/>
        </w:rPr>
        <w:tab/>
      </w:r>
      <w:r>
        <w:rPr>
          <w:noProof/>
        </w:rPr>
        <w:fldChar w:fldCharType="begin"/>
      </w:r>
      <w:r>
        <w:rPr>
          <w:noProof/>
        </w:rPr>
        <w:instrText xml:space="preserve"> PAGEREF _Toc485542729 \h </w:instrText>
      </w:r>
      <w:r>
        <w:rPr>
          <w:noProof/>
        </w:rPr>
      </w:r>
      <w:r>
        <w:rPr>
          <w:noProof/>
        </w:rPr>
        <w:fldChar w:fldCharType="separate"/>
      </w:r>
      <w:r w:rsidR="00071E85">
        <w:rPr>
          <w:noProof/>
        </w:rPr>
        <w:t>65</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lastRenderedPageBreak/>
        <w:t>Figure 63:</w:t>
      </w:r>
      <w:r>
        <w:rPr>
          <w:noProof/>
        </w:rPr>
        <w:tab/>
        <w:t>Number of women giving birth in 2015 recorded in the National Maternity Collection by data source and place of birth</w:t>
      </w:r>
      <w:r>
        <w:rPr>
          <w:noProof/>
        </w:rPr>
        <w:tab/>
      </w:r>
      <w:r>
        <w:rPr>
          <w:noProof/>
        </w:rPr>
        <w:fldChar w:fldCharType="begin"/>
      </w:r>
      <w:r>
        <w:rPr>
          <w:noProof/>
        </w:rPr>
        <w:instrText xml:space="preserve"> PAGEREF _Toc485542730 \h </w:instrText>
      </w:r>
      <w:r>
        <w:rPr>
          <w:noProof/>
        </w:rPr>
      </w:r>
      <w:r>
        <w:rPr>
          <w:noProof/>
        </w:rPr>
        <w:fldChar w:fldCharType="separate"/>
      </w:r>
      <w:r w:rsidR="00071E85">
        <w:rPr>
          <w:noProof/>
        </w:rPr>
        <w:t>73</w:t>
      </w:r>
      <w:r>
        <w:rPr>
          <w:noProof/>
        </w:rPr>
        <w:fldChar w:fldCharType="end"/>
      </w:r>
    </w:p>
    <w:p w:rsidR="004E7832" w:rsidRDefault="004E7832">
      <w:pPr>
        <w:pStyle w:val="TOC3"/>
        <w:rPr>
          <w:rFonts w:asciiTheme="minorHAnsi" w:eastAsiaTheme="minorEastAsia" w:hAnsiTheme="minorHAnsi" w:cstheme="minorBidi"/>
          <w:noProof/>
          <w:szCs w:val="22"/>
          <w:lang w:eastAsia="en-NZ"/>
        </w:rPr>
      </w:pPr>
      <w:r>
        <w:rPr>
          <w:noProof/>
        </w:rPr>
        <w:t>Figure 64:</w:t>
      </w:r>
      <w:r>
        <w:rPr>
          <w:noProof/>
        </w:rPr>
        <w:tab/>
        <w:t>Maternity facilities in New Zealand, by DHB region and facility type</w:t>
      </w:r>
      <w:r>
        <w:rPr>
          <w:noProof/>
        </w:rPr>
        <w:tab/>
      </w:r>
      <w:r>
        <w:rPr>
          <w:noProof/>
        </w:rPr>
        <w:fldChar w:fldCharType="begin"/>
      </w:r>
      <w:r>
        <w:rPr>
          <w:noProof/>
        </w:rPr>
        <w:instrText xml:space="preserve"> PAGEREF _Toc485542731 \h </w:instrText>
      </w:r>
      <w:r>
        <w:rPr>
          <w:noProof/>
        </w:rPr>
      </w:r>
      <w:r>
        <w:rPr>
          <w:noProof/>
        </w:rPr>
        <w:fldChar w:fldCharType="separate"/>
      </w:r>
      <w:r w:rsidR="00071E85">
        <w:rPr>
          <w:noProof/>
        </w:rPr>
        <w:t>80</w:t>
      </w:r>
      <w:r>
        <w:rPr>
          <w:noProof/>
        </w:rPr>
        <w:fldChar w:fldCharType="end"/>
      </w:r>
    </w:p>
    <w:p w:rsidR="003A5FEA" w:rsidRDefault="003A5FEA" w:rsidP="003A5FEA">
      <w:r>
        <w:fldChar w:fldCharType="end"/>
      </w:r>
    </w:p>
    <w:p w:rsidR="00C86248" w:rsidRDefault="00455CC9" w:rsidP="00455CC9">
      <w:pPr>
        <w:pStyle w:val="Heading1"/>
      </w:pPr>
      <w:bookmarkStart w:id="3" w:name="_Toc485542617"/>
      <w:r>
        <w:lastRenderedPageBreak/>
        <w:t>Executive summary</w:t>
      </w:r>
      <w:bookmarkEnd w:id="3"/>
    </w:p>
    <w:p w:rsidR="000D44A5" w:rsidRPr="00AF16D8" w:rsidRDefault="000D44A5" w:rsidP="00FF7D38">
      <w:r w:rsidRPr="00AF16D8">
        <w:t xml:space="preserve">The </w:t>
      </w:r>
      <w:r w:rsidRPr="00AF16D8">
        <w:rPr>
          <w:i/>
        </w:rPr>
        <w:t>Report on Maternity</w:t>
      </w:r>
      <w:r w:rsidRPr="00AF16D8">
        <w:t xml:space="preserve"> series provides annual health statistics about women giving birth, their pregnancy and childbirth experience, and the characteristics of live-born babies in New Zealand. This publication is focused on women who gave birth, and the babies who were born, in 2015. A summary of the key findings is provided below.</w:t>
      </w:r>
    </w:p>
    <w:p w:rsidR="000D44A5" w:rsidRPr="00AF16D8" w:rsidRDefault="000D44A5" w:rsidP="00FF7D38">
      <w:pPr>
        <w:rPr>
          <w:highlight w:val="yellow"/>
        </w:rPr>
      </w:pPr>
    </w:p>
    <w:p w:rsidR="000D44A5" w:rsidRPr="00A126B2" w:rsidRDefault="000D44A5" w:rsidP="00FF7D38">
      <w:pPr>
        <w:pStyle w:val="Heading3"/>
      </w:pPr>
      <w:r w:rsidRPr="00A126B2">
        <w:t>Lowest birth rate in a decade</w:t>
      </w:r>
    </w:p>
    <w:p w:rsidR="000D44A5" w:rsidRPr="00A126B2" w:rsidRDefault="000D44A5" w:rsidP="00FF7D38">
      <w:r w:rsidRPr="00A126B2">
        <w:t>In 2015, 58,957 women were recorded as giving birth. This equates to a birth rate (number of births as a proportion of females aged 15–44 years in the population) of 63.6 per 1</w:t>
      </w:r>
      <w:r w:rsidR="00CD7384">
        <w:t>,</w:t>
      </w:r>
      <w:r w:rsidRPr="00A126B2">
        <w:t>000 females of reproductive age: the lowest since 2006.</w:t>
      </w:r>
    </w:p>
    <w:p w:rsidR="000D44A5" w:rsidRPr="00AF16D8" w:rsidRDefault="000D44A5" w:rsidP="00FF7D38">
      <w:pPr>
        <w:rPr>
          <w:highlight w:val="yellow"/>
        </w:rPr>
      </w:pPr>
    </w:p>
    <w:p w:rsidR="000D44A5" w:rsidRPr="00256B59" w:rsidRDefault="000D44A5" w:rsidP="00FF7D38">
      <w:pPr>
        <w:pStyle w:val="Heading3"/>
      </w:pPr>
      <w:r w:rsidRPr="00A126B2">
        <w:t xml:space="preserve">Decrease in birth rates for young women and increase in birth rates </w:t>
      </w:r>
      <w:r w:rsidRPr="00256B59">
        <w:t>for older women</w:t>
      </w:r>
    </w:p>
    <w:p w:rsidR="000D44A5" w:rsidRPr="00AF16D8" w:rsidRDefault="000D44A5" w:rsidP="00FF7D38">
      <w:pPr>
        <w:rPr>
          <w:highlight w:val="yellow"/>
        </w:rPr>
      </w:pPr>
      <w:r>
        <w:t>Between 2006 and 2015, birth rates for women aged under 30 years decreased. In particular for women aged under 20 years, whose birth rate fell by over one-third – a statistically significant decrease. Conversely, birth rates for women aged 35 years and over significantly increased, particularly for women aged 40 years and over, whose birth rate increased by 15%.</w:t>
      </w:r>
    </w:p>
    <w:p w:rsidR="000D44A5" w:rsidRPr="00AF16D8" w:rsidRDefault="000D44A5" w:rsidP="00FF7D38">
      <w:pPr>
        <w:rPr>
          <w:highlight w:val="yellow"/>
        </w:rPr>
      </w:pPr>
    </w:p>
    <w:p w:rsidR="000D44A5" w:rsidRPr="00E8406C" w:rsidRDefault="000D44A5" w:rsidP="00FF7D38">
      <w:pPr>
        <w:pStyle w:val="Heading3"/>
      </w:pPr>
      <w:r w:rsidRPr="00E8406C">
        <w:t xml:space="preserve">Women giving birth were predominantly European, aged 25–34 years, residing in more deprived neighbourhoods, and had </w:t>
      </w:r>
      <w:r>
        <w:t>given birth at least once before</w:t>
      </w:r>
    </w:p>
    <w:p w:rsidR="000D44A5" w:rsidRPr="00E8406C" w:rsidRDefault="000D44A5" w:rsidP="00FF7D38">
      <w:r w:rsidRPr="00E8406C">
        <w:t>Of the women giving birth in 2015:</w:t>
      </w:r>
    </w:p>
    <w:p w:rsidR="000D44A5" w:rsidRPr="008D0E11" w:rsidRDefault="000D44A5" w:rsidP="00FF7D38">
      <w:pPr>
        <w:pStyle w:val="Bullet"/>
      </w:pPr>
      <w:r w:rsidRPr="008D0E11">
        <w:t>more than half were between the ages of 25 and 34 years</w:t>
      </w:r>
    </w:p>
    <w:p w:rsidR="000D44A5" w:rsidRPr="008D0E11" w:rsidRDefault="000D44A5" w:rsidP="00FF7D38">
      <w:pPr>
        <w:pStyle w:val="Bullet"/>
      </w:pPr>
      <w:r w:rsidRPr="008D0E11">
        <w:t>almost half were European and one-quarter were Māori</w:t>
      </w:r>
    </w:p>
    <w:p w:rsidR="000D44A5" w:rsidRPr="008D0E11" w:rsidRDefault="000D44A5" w:rsidP="00FF7D38">
      <w:pPr>
        <w:pStyle w:val="Bullet"/>
      </w:pPr>
      <w:r w:rsidRPr="008D0E11">
        <w:t>the median age</w:t>
      </w:r>
      <w:r>
        <w:t>s</w:t>
      </w:r>
      <w:r w:rsidRPr="008D0E11">
        <w:t xml:space="preserve"> for Māori and Pacific women</w:t>
      </w:r>
      <w:r>
        <w:t xml:space="preserve"> </w:t>
      </w:r>
      <w:r w:rsidRPr="008D0E11">
        <w:t>(26 years and 28 years, respectively</w:t>
      </w:r>
      <w:r>
        <w:t xml:space="preserve">) were </w:t>
      </w:r>
      <w:r w:rsidRPr="008D0E11">
        <w:t>slightly lower than the median age</w:t>
      </w:r>
      <w:r>
        <w:t>s</w:t>
      </w:r>
      <w:r w:rsidRPr="008D0E11">
        <w:t xml:space="preserve"> for European and Asian women (31 years and 32 years, respectively)</w:t>
      </w:r>
    </w:p>
    <w:p w:rsidR="000D44A5" w:rsidRPr="00787848" w:rsidRDefault="000D44A5" w:rsidP="00FF7D38">
      <w:pPr>
        <w:pStyle w:val="Bullet"/>
      </w:pPr>
      <w:r w:rsidRPr="00787848">
        <w:t>30% resided in the most deprived neighbourhoods</w:t>
      </w:r>
    </w:p>
    <w:p w:rsidR="000D44A5" w:rsidRPr="00787848" w:rsidRDefault="000D44A5" w:rsidP="00FF7D38">
      <w:pPr>
        <w:pStyle w:val="Bullet"/>
      </w:pPr>
      <w:r w:rsidRPr="00787848">
        <w:t>60% had previously given birth.</w:t>
      </w:r>
    </w:p>
    <w:p w:rsidR="000D44A5" w:rsidRPr="00AF16D8" w:rsidRDefault="000D44A5" w:rsidP="00FF7D38">
      <w:pPr>
        <w:rPr>
          <w:highlight w:val="yellow"/>
        </w:rPr>
      </w:pPr>
    </w:p>
    <w:p w:rsidR="000D44A5" w:rsidRPr="00CA3A90" w:rsidRDefault="000D44A5" w:rsidP="00FF7D38">
      <w:pPr>
        <w:pStyle w:val="Heading3"/>
      </w:pPr>
      <w:r w:rsidRPr="00CA3A90">
        <w:t>Most women received primary maternity care from a midwife Lead Maternity Carer</w:t>
      </w:r>
    </w:p>
    <w:p w:rsidR="000D44A5" w:rsidRPr="00CA3A90" w:rsidRDefault="000D44A5" w:rsidP="00FF7D38">
      <w:r w:rsidRPr="00CA3A90">
        <w:t>The vast majority of women giving birth were registered with and received care from a Lead Maternity Carer (LMC) during their pregnancy and postnatal period. A midwife was the most common LMC type.</w:t>
      </w:r>
    </w:p>
    <w:p w:rsidR="000D44A5" w:rsidRPr="00CA3A90" w:rsidRDefault="000D44A5" w:rsidP="00FF7D38"/>
    <w:p w:rsidR="000D44A5" w:rsidRPr="00CA3A90" w:rsidRDefault="000D44A5" w:rsidP="00FF7D38">
      <w:r w:rsidRPr="00CA3A90">
        <w:t>Over two-thirds of women who registered with an LMC did so within their first trimester of pregnancy in 2015</w:t>
      </w:r>
      <w:r>
        <w:t>;</w:t>
      </w:r>
      <w:r w:rsidRPr="00CA3A90">
        <w:t xml:space="preserve"> a statistically significant increase from 2008, when only half of women registered within the first trimester.</w:t>
      </w:r>
    </w:p>
    <w:p w:rsidR="000D44A5" w:rsidRPr="00AF16D8" w:rsidRDefault="000D44A5" w:rsidP="00FF7D38">
      <w:pPr>
        <w:rPr>
          <w:highlight w:val="yellow"/>
        </w:rPr>
      </w:pPr>
    </w:p>
    <w:p w:rsidR="000D44A5" w:rsidRPr="00660669" w:rsidRDefault="000D44A5" w:rsidP="00FF7D38">
      <w:pPr>
        <w:pStyle w:val="Heading3"/>
      </w:pPr>
      <w:r w:rsidRPr="00660669">
        <w:lastRenderedPageBreak/>
        <w:t>Most women gave birth at a secondary or tertiary maternity facility</w:t>
      </w:r>
    </w:p>
    <w:p w:rsidR="000D44A5" w:rsidRPr="00660669" w:rsidRDefault="000D44A5" w:rsidP="00FF7D38">
      <w:r w:rsidRPr="00660669">
        <w:t>The vast majority of women gave birth at a mate</w:t>
      </w:r>
      <w:r>
        <w:t>rnity facility. Approximately</w:t>
      </w:r>
      <w:r w:rsidRPr="00660669">
        <w:t xml:space="preserve"> </w:t>
      </w:r>
      <w:r>
        <w:t>86</w:t>
      </w:r>
      <w:r w:rsidRPr="00660669">
        <w:t>% gave birth at a secondary or tertiary facility, and 10% at a primary maternity facility.</w:t>
      </w:r>
    </w:p>
    <w:p w:rsidR="000D44A5" w:rsidRPr="00AF16D8" w:rsidRDefault="000D44A5" w:rsidP="00FF7D38">
      <w:pPr>
        <w:rPr>
          <w:highlight w:val="yellow"/>
        </w:rPr>
      </w:pPr>
    </w:p>
    <w:p w:rsidR="000D44A5" w:rsidRPr="00C46FC9" w:rsidRDefault="000D44A5" w:rsidP="00FF7D38">
      <w:pPr>
        <w:pStyle w:val="Heading3"/>
      </w:pPr>
      <w:r w:rsidRPr="00C46FC9">
        <w:t>Home births were more common among Māori and European women</w:t>
      </w:r>
    </w:p>
    <w:p w:rsidR="00CB6D20" w:rsidRDefault="000D44A5" w:rsidP="00FF7D38">
      <w:r w:rsidRPr="00C46FC9">
        <w:t>Approximately 4% of women giving birth in 2015 had a planned home birth. Th</w:t>
      </w:r>
      <w:r>
        <w:t xml:space="preserve">e proportion of home births </w:t>
      </w:r>
      <w:r w:rsidRPr="00C46FC9">
        <w:t>remained stable over the last decade.</w:t>
      </w:r>
    </w:p>
    <w:p w:rsidR="000D44A5" w:rsidRDefault="000D44A5" w:rsidP="00FF7D38"/>
    <w:p w:rsidR="000D44A5" w:rsidRPr="00C46FC9" w:rsidRDefault="000D44A5" w:rsidP="00FF7D38">
      <w:r w:rsidRPr="00C46FC9">
        <w:t>Home births were more common among:</w:t>
      </w:r>
    </w:p>
    <w:p w:rsidR="000D44A5" w:rsidRDefault="000D44A5" w:rsidP="00FF7D38">
      <w:pPr>
        <w:pStyle w:val="Bullet"/>
      </w:pPr>
      <w:r>
        <w:t>women aged 25 years and over</w:t>
      </w:r>
    </w:p>
    <w:p w:rsidR="000D44A5" w:rsidRPr="00C46FC9" w:rsidRDefault="000D44A5" w:rsidP="00FF7D38">
      <w:pPr>
        <w:pStyle w:val="Bullet"/>
      </w:pPr>
      <w:r w:rsidRPr="00C46FC9">
        <w:t>Māori and European women</w:t>
      </w:r>
    </w:p>
    <w:p w:rsidR="000D44A5" w:rsidRPr="00C46FC9" w:rsidRDefault="000D44A5" w:rsidP="00FF7D38">
      <w:pPr>
        <w:pStyle w:val="Bullet"/>
      </w:pPr>
      <w:r>
        <w:t xml:space="preserve">women residing in </w:t>
      </w:r>
      <w:r w:rsidRPr="00C46FC9">
        <w:t>West Coast and Northland DHB regions.</w:t>
      </w:r>
    </w:p>
    <w:p w:rsidR="000D44A5" w:rsidRPr="00AF16D8" w:rsidRDefault="000D44A5" w:rsidP="00FF7D38">
      <w:pPr>
        <w:rPr>
          <w:highlight w:val="yellow"/>
        </w:rPr>
      </w:pPr>
    </w:p>
    <w:p w:rsidR="000D44A5" w:rsidRPr="00C46FC9" w:rsidRDefault="000D44A5" w:rsidP="00FF7D38">
      <w:pPr>
        <w:pStyle w:val="Heading3"/>
      </w:pPr>
      <w:r w:rsidRPr="00C46FC9">
        <w:t>Elective caesarean section rates have increased</w:t>
      </w:r>
    </w:p>
    <w:p w:rsidR="000D44A5" w:rsidRPr="00C46FC9" w:rsidRDefault="000D44A5" w:rsidP="00FF7D38">
      <w:r w:rsidRPr="00C46FC9">
        <w:t>In 2015, almost two-thirds of women had a spontaneous vaginal birth, one-quarter had a caesarean section and the remaining women had an assisted vaginal birth.</w:t>
      </w:r>
    </w:p>
    <w:p w:rsidR="000D44A5" w:rsidRPr="00AF16D8" w:rsidRDefault="000D44A5" w:rsidP="00FF7D38">
      <w:pPr>
        <w:rPr>
          <w:highlight w:val="yellow"/>
        </w:rPr>
      </w:pPr>
    </w:p>
    <w:p w:rsidR="000D44A5" w:rsidRPr="00AF16D8" w:rsidRDefault="000D44A5" w:rsidP="00FF7D38">
      <w:pPr>
        <w:rPr>
          <w:highlight w:val="yellow"/>
        </w:rPr>
      </w:pPr>
      <w:r w:rsidRPr="00857E6D">
        <w:t xml:space="preserve">Between 2006 and </w:t>
      </w:r>
      <w:r w:rsidRPr="006B4D72">
        <w:t>2015 there was a significant increase in the proportion of elective caesarean sections and a significant decrease in</w:t>
      </w:r>
      <w:r w:rsidRPr="00857E6D">
        <w:t xml:space="preserve"> spontaneous vaginal births. The proportion of women having an emergency caesarean section or assisted birth showed less variation over the same time period.</w:t>
      </w:r>
    </w:p>
    <w:p w:rsidR="000D44A5" w:rsidRPr="00857E6D" w:rsidRDefault="000D44A5" w:rsidP="00FF7D38"/>
    <w:p w:rsidR="000D44A5" w:rsidRPr="00857E6D" w:rsidRDefault="000D44A5" w:rsidP="00FF7D38">
      <w:r w:rsidRPr="00857E6D">
        <w:t>Caesarean sections were more common among:</w:t>
      </w:r>
    </w:p>
    <w:p w:rsidR="000D44A5" w:rsidRPr="00857E6D" w:rsidRDefault="000D44A5" w:rsidP="00FF7D38">
      <w:pPr>
        <w:pStyle w:val="Bullet"/>
      </w:pPr>
      <w:r w:rsidRPr="00857E6D">
        <w:t xml:space="preserve">women aged 35 years or </w:t>
      </w:r>
      <w:r>
        <w:t>more</w:t>
      </w:r>
    </w:p>
    <w:p w:rsidR="000D44A5" w:rsidRPr="00857E6D" w:rsidRDefault="000D44A5" w:rsidP="00FF7D38">
      <w:pPr>
        <w:pStyle w:val="Bullet"/>
      </w:pPr>
      <w:r>
        <w:t xml:space="preserve">Indian, </w:t>
      </w:r>
      <w:r w:rsidRPr="00857E6D">
        <w:t>other Asian and European women</w:t>
      </w:r>
    </w:p>
    <w:p w:rsidR="000D44A5" w:rsidRPr="00857E6D" w:rsidRDefault="000D44A5" w:rsidP="00FF7D38">
      <w:pPr>
        <w:pStyle w:val="Bullet"/>
      </w:pPr>
      <w:r>
        <w:t xml:space="preserve">women in </w:t>
      </w:r>
      <w:r w:rsidRPr="00857E6D">
        <w:t>le</w:t>
      </w:r>
      <w:r>
        <w:t>ss</w:t>
      </w:r>
      <w:r w:rsidRPr="00857E6D">
        <w:t xml:space="preserve"> deprived neighbourhoods.</w:t>
      </w:r>
    </w:p>
    <w:p w:rsidR="000D44A5" w:rsidRPr="00AF16D8" w:rsidRDefault="000D44A5" w:rsidP="00FF7D38">
      <w:pPr>
        <w:rPr>
          <w:highlight w:val="yellow"/>
        </w:rPr>
      </w:pPr>
    </w:p>
    <w:p w:rsidR="000D44A5" w:rsidRPr="00857E6D" w:rsidRDefault="000D44A5" w:rsidP="00FF7D38">
      <w:pPr>
        <w:pStyle w:val="Heading3"/>
      </w:pPr>
      <w:r w:rsidRPr="00857E6D">
        <w:t>One in every three women had a normal birth</w:t>
      </w:r>
    </w:p>
    <w:p w:rsidR="000D44A5" w:rsidRPr="00857E6D" w:rsidRDefault="000D44A5" w:rsidP="00FF7D38">
      <w:r w:rsidRPr="00857E6D">
        <w:t>One i</w:t>
      </w:r>
      <w:r>
        <w:t>n</w:t>
      </w:r>
      <w:r w:rsidRPr="00857E6D">
        <w:t xml:space="preserve"> every three women giving birth in 2015 had a normal birth; that is, a spon</w:t>
      </w:r>
      <w:r>
        <w:t>taneous vaginal birth without obstetric intervention in labour or birth</w:t>
      </w:r>
      <w:r w:rsidRPr="00857E6D">
        <w:t>.</w:t>
      </w:r>
    </w:p>
    <w:p w:rsidR="000D44A5" w:rsidRPr="00AF16D8" w:rsidRDefault="000D44A5" w:rsidP="00FF7D38">
      <w:pPr>
        <w:rPr>
          <w:highlight w:val="yellow"/>
        </w:rPr>
      </w:pPr>
    </w:p>
    <w:p w:rsidR="000D44A5" w:rsidRPr="00857E6D" w:rsidRDefault="000D44A5" w:rsidP="00FF7D38">
      <w:r w:rsidRPr="00857E6D">
        <w:t>One in</w:t>
      </w:r>
      <w:r>
        <w:t xml:space="preserve"> every two women giving birth </w:t>
      </w:r>
      <w:r w:rsidRPr="00857E6D">
        <w:t>had at least one form of obstetric intervention during labour and birt</w:t>
      </w:r>
      <w:r>
        <w:t>h: 26</w:t>
      </w:r>
      <w:r w:rsidRPr="00857E6D">
        <w:t>% had an epidural, 25% had their labour augmented, 24% had an induction and 14% had an episiotomy.</w:t>
      </w:r>
    </w:p>
    <w:p w:rsidR="000D44A5" w:rsidRPr="00857E6D" w:rsidRDefault="000D44A5" w:rsidP="00FF7D38"/>
    <w:p w:rsidR="000D44A5" w:rsidRPr="00857E6D" w:rsidRDefault="000D44A5" w:rsidP="00FF7D38">
      <w:pPr>
        <w:pStyle w:val="Heading3"/>
      </w:pPr>
      <w:r w:rsidRPr="00857E6D">
        <w:t>More babies were male than female</w:t>
      </w:r>
    </w:p>
    <w:p w:rsidR="000D44A5" w:rsidRPr="00857E6D" w:rsidRDefault="000D44A5" w:rsidP="00FF7D38">
      <w:r w:rsidRPr="00857E6D">
        <w:t>There were 59,308 live-born babies recorded in 2015, of whom 51% were male.</w:t>
      </w:r>
    </w:p>
    <w:p w:rsidR="000D44A5" w:rsidRPr="00AF16D8" w:rsidRDefault="000D44A5" w:rsidP="00FF7D38">
      <w:pPr>
        <w:rPr>
          <w:highlight w:val="yellow"/>
        </w:rPr>
      </w:pPr>
    </w:p>
    <w:p w:rsidR="000D44A5" w:rsidRPr="00857E6D" w:rsidRDefault="000D44A5" w:rsidP="00FF7D38">
      <w:pPr>
        <w:pStyle w:val="Heading3"/>
      </w:pPr>
      <w:r w:rsidRPr="00857E6D">
        <w:lastRenderedPageBreak/>
        <w:t>Little change in average birthweight</w:t>
      </w:r>
    </w:p>
    <w:p w:rsidR="000D44A5" w:rsidRPr="00857E6D" w:rsidRDefault="000D44A5" w:rsidP="00FF7D38">
      <w:pPr>
        <w:keepNext/>
      </w:pPr>
      <w:r w:rsidRPr="00857E6D">
        <w:t xml:space="preserve">The average birthweight of babies born in 2015 was similar to that of babies born in previous years, at 3.41 kg. Asian babies (particularly </w:t>
      </w:r>
      <w:r>
        <w:t xml:space="preserve">Indian) and female babies had </w:t>
      </w:r>
      <w:r w:rsidRPr="00857E6D">
        <w:t>lo</w:t>
      </w:r>
      <w:r>
        <w:t>wer average birthweight. The proportion of babies with a low birthweight did not vary notably over the last decade, 6% of babies in 2015.</w:t>
      </w:r>
    </w:p>
    <w:p w:rsidR="000D44A5" w:rsidRPr="00AF16D8" w:rsidRDefault="000D44A5" w:rsidP="00FF7D38">
      <w:pPr>
        <w:rPr>
          <w:highlight w:val="yellow"/>
        </w:rPr>
      </w:pPr>
    </w:p>
    <w:p w:rsidR="000D44A5" w:rsidRPr="0030648C" w:rsidRDefault="000D44A5" w:rsidP="00FF7D38">
      <w:pPr>
        <w:pStyle w:val="Heading3"/>
      </w:pPr>
      <w:r w:rsidRPr="0030648C">
        <w:t>Median gestation at birth was 39 weeks</w:t>
      </w:r>
    </w:p>
    <w:p w:rsidR="000D44A5" w:rsidRPr="0030648C" w:rsidRDefault="000D44A5" w:rsidP="00FF7D38">
      <w:r>
        <w:t>In 2015, t</w:t>
      </w:r>
      <w:r w:rsidRPr="0030648C">
        <w:t xml:space="preserve">he vast majority of </w:t>
      </w:r>
      <w:r>
        <w:t>babies were born at term</w:t>
      </w:r>
      <w:r w:rsidRPr="0030648C">
        <w:t>, while 7% were born preterm.</w:t>
      </w:r>
    </w:p>
    <w:p w:rsidR="000D44A5" w:rsidRPr="0030648C" w:rsidRDefault="000D44A5" w:rsidP="00FF7D38"/>
    <w:p w:rsidR="000D44A5" w:rsidRPr="0030648C" w:rsidRDefault="000D44A5" w:rsidP="00FF7D38">
      <w:r w:rsidRPr="0030648C">
        <w:t>The median gestation at birth each year between 2008 and 2015 was 39 weeks, a decrease from the median gestation of 40 weeks in 2006 and 2007.</w:t>
      </w:r>
    </w:p>
    <w:p w:rsidR="000D44A5" w:rsidRPr="0030648C" w:rsidRDefault="000D44A5" w:rsidP="00FF7D38"/>
    <w:p w:rsidR="000D44A5" w:rsidRPr="00AF16D8" w:rsidRDefault="000D44A5" w:rsidP="00FF7D38">
      <w:pPr>
        <w:rPr>
          <w:highlight w:val="yellow"/>
        </w:rPr>
      </w:pPr>
      <w:r w:rsidRPr="0030648C">
        <w:t xml:space="preserve">Of the babies born at term, 2% </w:t>
      </w:r>
      <w:r w:rsidRPr="0081119C">
        <w:t>had a low birthweight. The Indian ethnic group had the highest percentage of babies with a low birthweight</w:t>
      </w:r>
      <w:r>
        <w:t xml:space="preserve"> (5%) more than twice the proportion of all other ethnic groups</w:t>
      </w:r>
      <w:r w:rsidRPr="0081119C">
        <w:t>.</w:t>
      </w:r>
    </w:p>
    <w:p w:rsidR="000D44A5" w:rsidRPr="00AF16D8" w:rsidRDefault="000D44A5" w:rsidP="00FF7D38">
      <w:pPr>
        <w:rPr>
          <w:highlight w:val="yellow"/>
        </w:rPr>
      </w:pPr>
    </w:p>
    <w:p w:rsidR="000D44A5" w:rsidRPr="00F974ED" w:rsidRDefault="000D44A5" w:rsidP="00FF7D38">
      <w:pPr>
        <w:pStyle w:val="Heading3"/>
      </w:pPr>
      <w:r w:rsidRPr="00F974ED">
        <w:t>Most babies were exclusively or fully breastfed</w:t>
      </w:r>
    </w:p>
    <w:p w:rsidR="00CB6D20" w:rsidRDefault="000D44A5" w:rsidP="00FF7D38">
      <w:r w:rsidRPr="00F974ED">
        <w:t>Almost 80% of babies born in 2015 were exclusively or fully breastfed at two weeks after birth.</w:t>
      </w:r>
    </w:p>
    <w:p w:rsidR="000D44A5" w:rsidRDefault="000D44A5" w:rsidP="00FF7D38"/>
    <w:p w:rsidR="000D44A5" w:rsidRPr="00F974ED" w:rsidRDefault="000D44A5" w:rsidP="00FF7D38">
      <w:r w:rsidRPr="00F974ED">
        <w:t>Exclusive or full breastfeeding was most common among babies:</w:t>
      </w:r>
    </w:p>
    <w:p w:rsidR="000D44A5" w:rsidRPr="00F974ED" w:rsidRDefault="000D44A5" w:rsidP="00FF7D38">
      <w:pPr>
        <w:pStyle w:val="Bullet"/>
      </w:pPr>
      <w:r>
        <w:t>born to women aged 25–39</w:t>
      </w:r>
      <w:r w:rsidRPr="00F974ED">
        <w:t xml:space="preserve"> years</w:t>
      </w:r>
    </w:p>
    <w:p w:rsidR="000D44A5" w:rsidRPr="00F974ED" w:rsidRDefault="000D44A5" w:rsidP="00FF7D38">
      <w:pPr>
        <w:pStyle w:val="Bullet"/>
      </w:pPr>
      <w:r w:rsidRPr="00F974ED">
        <w:t xml:space="preserve">in the European or Other </w:t>
      </w:r>
      <w:r>
        <w:t xml:space="preserve">and Indian </w:t>
      </w:r>
      <w:r w:rsidRPr="00F974ED">
        <w:t>ethnic group</w:t>
      </w:r>
      <w:r>
        <w:t>s</w:t>
      </w:r>
    </w:p>
    <w:p w:rsidR="000D44A5" w:rsidRPr="00F974ED" w:rsidRDefault="000D44A5" w:rsidP="00FF7D38">
      <w:pPr>
        <w:pStyle w:val="Bullet"/>
      </w:pPr>
      <w:r w:rsidRPr="00F974ED">
        <w:t xml:space="preserve">residing in the </w:t>
      </w:r>
      <w:r>
        <w:t>less</w:t>
      </w:r>
      <w:r w:rsidRPr="00F974ED">
        <w:t xml:space="preserve"> deprived neighbourhoods</w:t>
      </w:r>
    </w:p>
    <w:p w:rsidR="000D44A5" w:rsidRPr="00F974ED" w:rsidRDefault="000D44A5" w:rsidP="00FF7D38">
      <w:pPr>
        <w:pStyle w:val="Bullet"/>
      </w:pPr>
      <w:r w:rsidRPr="00F974ED">
        <w:t>in Tairāwhiti DHB region.</w:t>
      </w:r>
    </w:p>
    <w:p w:rsidR="00455CC9" w:rsidRDefault="00455CC9" w:rsidP="00FF7D38"/>
    <w:p w:rsidR="000D44A5" w:rsidRDefault="000D44A5" w:rsidP="0086388B"/>
    <w:p w:rsidR="00C86248" w:rsidRDefault="00C86248">
      <w:pPr>
        <w:sectPr w:rsidR="00C86248"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8C2973" w:rsidRDefault="00032C0A" w:rsidP="007B3A51">
      <w:pPr>
        <w:pStyle w:val="Heading1"/>
      </w:pPr>
      <w:bookmarkStart w:id="4" w:name="_Toc485542618"/>
      <w:r>
        <w:lastRenderedPageBreak/>
        <w:t>Introduction</w:t>
      </w:r>
      <w:bookmarkEnd w:id="4"/>
    </w:p>
    <w:p w:rsidR="000D44A5" w:rsidRPr="00FF7D38" w:rsidRDefault="000D44A5" w:rsidP="007B3A51">
      <w:r w:rsidRPr="00950E2D">
        <w:t>This chapter provides the purpose and background of the report, as well as information on the source of the data provided, how the data is presented and the analytical methods used. It provides contact details if you require additional information.</w:t>
      </w:r>
    </w:p>
    <w:p w:rsidR="000D44A5" w:rsidRPr="00950E2D" w:rsidRDefault="000D44A5" w:rsidP="007B3A51"/>
    <w:p w:rsidR="000D44A5" w:rsidRPr="00950E2D" w:rsidRDefault="000D44A5" w:rsidP="007B3A51">
      <w:pPr>
        <w:pStyle w:val="Heading2"/>
      </w:pPr>
      <w:bookmarkStart w:id="5" w:name="_Toc405886997"/>
      <w:bookmarkStart w:id="6" w:name="_Toc412122389"/>
      <w:bookmarkStart w:id="7" w:name="_Toc431462713"/>
      <w:bookmarkStart w:id="8" w:name="_Toc479583251"/>
      <w:bookmarkStart w:id="9" w:name="_Toc485542619"/>
      <w:bookmarkStart w:id="10" w:name="_Toc405886996"/>
      <w:r w:rsidRPr="00950E2D">
        <w:t>Purpose</w:t>
      </w:r>
      <w:bookmarkEnd w:id="5"/>
      <w:bookmarkEnd w:id="6"/>
      <w:bookmarkEnd w:id="7"/>
      <w:bookmarkEnd w:id="8"/>
      <w:bookmarkEnd w:id="9"/>
    </w:p>
    <w:p w:rsidR="000D44A5" w:rsidRPr="00950E2D" w:rsidRDefault="000D44A5" w:rsidP="007B3A51">
      <w:r w:rsidRPr="00950E2D">
        <w:t xml:space="preserve">This publication presents data from the National Maternity Collection, and is the latest release in the </w:t>
      </w:r>
      <w:r w:rsidRPr="00950E2D">
        <w:rPr>
          <w:i/>
        </w:rPr>
        <w:t>Report on Maternity</w:t>
      </w:r>
      <w:r w:rsidRPr="00950E2D">
        <w:t xml:space="preserve"> series. It provides annual health statistics about women giving birth, their pregnancy and childbirth experience and the characteristics of live-born babies in New Zealand.</w:t>
      </w:r>
      <w:r w:rsidRPr="00950E2D">
        <w:rPr>
          <w:rStyle w:val="FootnoteReference"/>
        </w:rPr>
        <w:footnoteReference w:id="1"/>
      </w:r>
    </w:p>
    <w:p w:rsidR="000D44A5" w:rsidRPr="00AF16D8" w:rsidRDefault="000D44A5" w:rsidP="007B3A51">
      <w:pPr>
        <w:rPr>
          <w:highlight w:val="yellow"/>
        </w:rPr>
      </w:pPr>
    </w:p>
    <w:p w:rsidR="000D44A5" w:rsidRPr="00950E2D" w:rsidRDefault="000D44A5" w:rsidP="007B3A51">
      <w:pPr>
        <w:pStyle w:val="Heading2"/>
      </w:pPr>
      <w:bookmarkStart w:id="11" w:name="_Toc412122390"/>
      <w:bookmarkStart w:id="12" w:name="_Toc431462714"/>
      <w:bookmarkStart w:id="13" w:name="_Toc479583252"/>
      <w:bookmarkStart w:id="14" w:name="_Toc485542620"/>
      <w:r w:rsidRPr="00950E2D">
        <w:t>Background</w:t>
      </w:r>
      <w:bookmarkEnd w:id="10"/>
      <w:bookmarkEnd w:id="11"/>
      <w:bookmarkEnd w:id="12"/>
      <w:bookmarkEnd w:id="13"/>
      <w:bookmarkEnd w:id="14"/>
    </w:p>
    <w:p w:rsidR="000D44A5" w:rsidRPr="00950E2D" w:rsidRDefault="000D44A5" w:rsidP="007B3A51">
      <w:r w:rsidRPr="00950E2D">
        <w:t>In New Zealand, maternity services are classified according to the level of complexity of clinical care a woman and her baby require – either primary, secondary or tertiary. A range of practitioners contribute to the provision of antenatal care (midwives, general practitioners (GPs), obstetricians, radiologists and childbirth educators), in a range of settings (the woman</w:t>
      </w:r>
      <w:r w:rsidR="00CB6D20">
        <w:t>’</w:t>
      </w:r>
      <w:r w:rsidRPr="00950E2D">
        <w:t xml:space="preserve">s home, consulting rooms, primary birthing units and hospitals). A summary of these services is described in </w:t>
      </w:r>
      <w:r w:rsidR="00CB6D20">
        <w:t>‘</w:t>
      </w:r>
      <w:r w:rsidR="00071E85">
        <w:fldChar w:fldCharType="begin"/>
      </w:r>
      <w:r w:rsidR="00071E85">
        <w:instrText xml:space="preserve"> REF _Ref413143300  \* MERGEFORMAT </w:instrText>
      </w:r>
      <w:r w:rsidR="00071E85">
        <w:fldChar w:fldCharType="separate"/>
      </w:r>
      <w:r w:rsidR="00071E85" w:rsidRPr="00C87FBC">
        <w:t>Appendix 1: Maternity model of care</w:t>
      </w:r>
      <w:r w:rsidR="00071E85">
        <w:fldChar w:fldCharType="end"/>
      </w:r>
      <w:r w:rsidR="007B3A51">
        <w:t>’</w:t>
      </w:r>
      <w:r w:rsidRPr="00950E2D">
        <w:t>.</w:t>
      </w:r>
    </w:p>
    <w:p w:rsidR="000D44A5" w:rsidRPr="00950E2D" w:rsidRDefault="000D44A5" w:rsidP="007B3A51"/>
    <w:p w:rsidR="000D44A5" w:rsidRPr="00950E2D" w:rsidRDefault="000D44A5" w:rsidP="007B3A51">
      <w:r w:rsidRPr="00950E2D">
        <w:t xml:space="preserve">Maternity services are a crucial part of public health services. The World Health Organization (WHO) states that </w:t>
      </w:r>
      <w:r w:rsidR="00CB6D20">
        <w:t>‘</w:t>
      </w:r>
      <w:r w:rsidRPr="00950E2D">
        <w:t>care for pregnant women is often the entry point for health services for the family and community</w:t>
      </w:r>
      <w:r w:rsidR="00CB6D20">
        <w:t>’</w:t>
      </w:r>
      <w:r w:rsidRPr="00950E2D">
        <w:t xml:space="preserve"> (WHO 2005). Monitoring maternal and newborn health is therefore an integral part of monitoring the health of the overall population.</w:t>
      </w:r>
    </w:p>
    <w:p w:rsidR="000D44A5" w:rsidRPr="00AF16D8" w:rsidRDefault="000D44A5" w:rsidP="007B3A51">
      <w:pPr>
        <w:rPr>
          <w:highlight w:val="yellow"/>
        </w:rPr>
      </w:pPr>
    </w:p>
    <w:p w:rsidR="000D44A5" w:rsidRPr="00950E2D" w:rsidRDefault="000D44A5" w:rsidP="007B3A51">
      <w:pPr>
        <w:pStyle w:val="Heading2"/>
      </w:pPr>
      <w:bookmarkStart w:id="15" w:name="_Ref404850883"/>
      <w:bookmarkStart w:id="16" w:name="_Toc405886998"/>
      <w:bookmarkStart w:id="17" w:name="_Toc412122391"/>
      <w:bookmarkStart w:id="18" w:name="_Toc431462715"/>
      <w:bookmarkStart w:id="19" w:name="_Toc479583253"/>
      <w:bookmarkStart w:id="20" w:name="_Toc485542621"/>
      <w:r w:rsidRPr="00950E2D">
        <w:t>Data sources</w:t>
      </w:r>
      <w:bookmarkEnd w:id="15"/>
      <w:bookmarkEnd w:id="16"/>
      <w:bookmarkEnd w:id="17"/>
      <w:bookmarkEnd w:id="18"/>
      <w:bookmarkEnd w:id="19"/>
      <w:bookmarkEnd w:id="20"/>
    </w:p>
    <w:p w:rsidR="000D44A5" w:rsidRPr="00950E2D" w:rsidRDefault="000D44A5" w:rsidP="007B3A51">
      <w:r w:rsidRPr="00950E2D">
        <w:t>Data for this publication was extracted from maternity events recorded in the Ministry of Health</w:t>
      </w:r>
      <w:r w:rsidR="00CB6D20">
        <w:t>’</w:t>
      </w:r>
      <w:r w:rsidRPr="00950E2D">
        <w:t xml:space="preserve">s National Maternity Collection on 8 February 2017. The National Maternity Collection collates data </w:t>
      </w:r>
      <w:r w:rsidRPr="00A72812">
        <w:t>from three different sources to provide statistical, demographic and clinical information about women</w:t>
      </w:r>
      <w:r w:rsidRPr="00950E2D">
        <w:t xml:space="preserve"> giving birth and live-born babies in New Zealand.</w:t>
      </w:r>
    </w:p>
    <w:p w:rsidR="000D44A5" w:rsidRPr="00950E2D" w:rsidRDefault="000D44A5" w:rsidP="007B3A51">
      <w:bookmarkStart w:id="21" w:name="_Toc400706125"/>
    </w:p>
    <w:p w:rsidR="000D44A5" w:rsidRPr="00AF16D8" w:rsidRDefault="000D44A5" w:rsidP="007B3A51">
      <w:pPr>
        <w:rPr>
          <w:highlight w:val="yellow"/>
        </w:rPr>
      </w:pPr>
      <w:r w:rsidRPr="00950E2D">
        <w:t xml:space="preserve">Some variables presented in this publication primarily depend on Lead Maternity Carer (LMC) claim forms as a data source. These variables are parity, body mass index (BMI), smoking status, breastfeeding status and referrals to a GP and Well Child/Tamariki Ora provider. Following recent upgrades to the National Maternity Collection, some DHBs </w:t>
      </w:r>
      <w:r w:rsidRPr="002D4696">
        <w:t>are now reporting data from their primary maternity services for these variables. In 2015, Northland, Waitemata, Auckland, Counties Manukau, Hawke</w:t>
      </w:r>
      <w:r w:rsidR="00CB6D20">
        <w:t>’</w:t>
      </w:r>
      <w:r w:rsidRPr="002D4696">
        <w:t>s Bay, Hutt Valley and Capital &amp; Coast DHBs reported data from their primary maternity services to the National Maternity Collection.</w:t>
      </w:r>
    </w:p>
    <w:p w:rsidR="000D44A5" w:rsidRPr="00AF16D8" w:rsidRDefault="000D44A5" w:rsidP="007B3A51">
      <w:pPr>
        <w:rPr>
          <w:highlight w:val="yellow"/>
        </w:rPr>
      </w:pPr>
    </w:p>
    <w:p w:rsidR="000D44A5" w:rsidRPr="00950E2D" w:rsidRDefault="00CB6D20" w:rsidP="007B3A51">
      <w:r>
        <w:lastRenderedPageBreak/>
        <w:t>‘</w:t>
      </w:r>
      <w:r w:rsidR="00071E85">
        <w:fldChar w:fldCharType="begin"/>
      </w:r>
      <w:r w:rsidR="00071E85">
        <w:instrText xml:space="preserve"> REF _Ref404</w:instrText>
      </w:r>
      <w:r w:rsidR="00071E85">
        <w:instrText xml:space="preserve">612824  \* MERGEFORMAT </w:instrText>
      </w:r>
      <w:r w:rsidR="00071E85">
        <w:fldChar w:fldCharType="separate"/>
      </w:r>
      <w:r w:rsidR="00071E85" w:rsidRPr="003E755C">
        <w:t>Appendix 2: National Maternity Collection</w:t>
      </w:r>
      <w:r w:rsidR="00071E85">
        <w:fldChar w:fldCharType="end"/>
      </w:r>
      <w:r w:rsidR="007B3A51">
        <w:t>’</w:t>
      </w:r>
      <w:r w:rsidR="000D44A5" w:rsidRPr="00950E2D">
        <w:t xml:space="preserve"> presents further information about the collection and sources of data for women giving birth in 2015.</w:t>
      </w:r>
    </w:p>
    <w:p w:rsidR="000D44A5" w:rsidRPr="00AF16D8" w:rsidRDefault="000D44A5" w:rsidP="007B3A51">
      <w:pPr>
        <w:rPr>
          <w:highlight w:val="yellow"/>
        </w:rPr>
      </w:pPr>
    </w:p>
    <w:p w:rsidR="000D44A5" w:rsidRPr="00950E2D" w:rsidRDefault="000D44A5" w:rsidP="007B3A51">
      <w:r w:rsidRPr="00950E2D">
        <w:t>Maternal and newborn records are coded and extracted separately, so the information collected in these two sources (eg, maternal age) may differ. Some disparities may be due to incomplete maternal or newborn information submitted to the Ministry of Health by district health boards (DHBs) and other maternity providers.</w:t>
      </w:r>
      <w:bookmarkEnd w:id="21"/>
    </w:p>
    <w:p w:rsidR="000D44A5" w:rsidRPr="00950E2D" w:rsidRDefault="000D44A5" w:rsidP="007B3A51"/>
    <w:p w:rsidR="000D44A5" w:rsidRPr="00950E2D" w:rsidRDefault="000D44A5" w:rsidP="007B3A51">
      <w:r w:rsidRPr="00950E2D">
        <w:t xml:space="preserve">Population data used to calculate birth rates in this publication was derived from multiple data sets provided by Statistics New Zealand. The list of data sets is available in </w:t>
      </w:r>
      <w:r w:rsidR="00CB6D20">
        <w:t>‘</w:t>
      </w:r>
      <w:r w:rsidR="00071E85">
        <w:fldChar w:fldCharType="begin"/>
      </w:r>
      <w:r w:rsidR="00071E85">
        <w:instrText xml:space="preserve"> REF _Ref413143331  \* MERGEFORMAT </w:instrText>
      </w:r>
      <w:r w:rsidR="00071E85">
        <w:fldChar w:fldCharType="separate"/>
      </w:r>
      <w:r w:rsidR="00071E85" w:rsidRPr="003E755C">
        <w:t>Appendix 3: Technical notes</w:t>
      </w:r>
      <w:r w:rsidR="00071E85">
        <w:fldChar w:fldCharType="end"/>
      </w:r>
      <w:r w:rsidR="007B3A51">
        <w:t>’</w:t>
      </w:r>
      <w:r w:rsidRPr="00950E2D">
        <w:t>.</w:t>
      </w:r>
    </w:p>
    <w:p w:rsidR="000D44A5" w:rsidRPr="00AF16D8" w:rsidRDefault="000D44A5" w:rsidP="007B3A51">
      <w:pPr>
        <w:rPr>
          <w:highlight w:val="yellow"/>
        </w:rPr>
      </w:pPr>
    </w:p>
    <w:p w:rsidR="000D44A5" w:rsidRPr="00950E2D" w:rsidRDefault="000D44A5" w:rsidP="007B3A51">
      <w:pPr>
        <w:pStyle w:val="Heading2"/>
      </w:pPr>
      <w:bookmarkStart w:id="22" w:name="_Toc431462717"/>
      <w:bookmarkStart w:id="23" w:name="_Ref431982157"/>
      <w:bookmarkStart w:id="24" w:name="_Toc479583254"/>
      <w:bookmarkStart w:id="25" w:name="_Toc485542622"/>
      <w:bookmarkStart w:id="26" w:name="_Toc405886999"/>
      <w:bookmarkStart w:id="27" w:name="_Toc412122392"/>
      <w:bookmarkStart w:id="28" w:name="_Toc431462716"/>
      <w:bookmarkStart w:id="29" w:name="_Toc395786532"/>
      <w:bookmarkStart w:id="30" w:name="_Toc311786199"/>
      <w:bookmarkStart w:id="31" w:name="_Toc354993953"/>
      <w:bookmarkStart w:id="32" w:name="_Toc395786533"/>
      <w:bookmarkStart w:id="33" w:name="_Toc405887000"/>
      <w:bookmarkStart w:id="34" w:name="_Toc412122393"/>
      <w:bookmarkStart w:id="35" w:name="_Ref399775380"/>
      <w:bookmarkStart w:id="36" w:name="_Toc405887001"/>
      <w:bookmarkStart w:id="37" w:name="_Toc412122394"/>
      <w:r w:rsidRPr="00950E2D">
        <w:t>Analytical methods</w:t>
      </w:r>
      <w:bookmarkEnd w:id="22"/>
      <w:bookmarkEnd w:id="23"/>
      <w:bookmarkEnd w:id="24"/>
      <w:bookmarkEnd w:id="25"/>
    </w:p>
    <w:p w:rsidR="000D44A5" w:rsidRPr="00950E2D" w:rsidRDefault="000D44A5" w:rsidP="007B3A51">
      <w:r w:rsidRPr="00950E2D">
        <w:t>The data presented in this publication primarily pertains to all women recorded as giving birth and to live-born babies in 2015, as sourced from the National Maternity Collection. Data prior to 2015 has also been analysed using the same methods and criteria to provide a consistent view over time.</w:t>
      </w:r>
    </w:p>
    <w:p w:rsidR="000D44A5" w:rsidRPr="00AF16D8" w:rsidRDefault="000D44A5" w:rsidP="007B3A51">
      <w:pPr>
        <w:rPr>
          <w:highlight w:val="yellow"/>
        </w:rPr>
      </w:pPr>
    </w:p>
    <w:p w:rsidR="000D44A5" w:rsidRPr="00950E2D" w:rsidRDefault="000D44A5" w:rsidP="007B3A51">
      <w:pPr>
        <w:pStyle w:val="Heading3"/>
      </w:pPr>
      <w:r w:rsidRPr="00950E2D">
        <w:t>Ethnicity</w:t>
      </w:r>
    </w:p>
    <w:p w:rsidR="000D44A5" w:rsidRPr="00950E2D" w:rsidRDefault="000D44A5" w:rsidP="007B3A51">
      <w:r w:rsidRPr="00950E2D">
        <w:t>Each individual represented in the data is allocated to a single ethnic group (if multiple ethnicities were recorded) using a priority system of Māori &gt; Pacific &gt; Indian &gt; Asian (excluding Indian) &gt; Other ethnicities&gt; European (Ministry of Health 2004).</w:t>
      </w:r>
    </w:p>
    <w:p w:rsidR="000D44A5" w:rsidRPr="00AF16D8" w:rsidRDefault="000D44A5" w:rsidP="007B3A51">
      <w:pPr>
        <w:rPr>
          <w:highlight w:val="yellow"/>
        </w:rPr>
      </w:pPr>
    </w:p>
    <w:p w:rsidR="000D44A5" w:rsidRPr="00950E2D" w:rsidRDefault="000D44A5" w:rsidP="007B3A51">
      <w:r w:rsidRPr="00950E2D">
        <w:t>In thi</w:t>
      </w:r>
      <w:r>
        <w:t>s publication, individuals are commonly</w:t>
      </w:r>
      <w:r w:rsidRPr="00950E2D">
        <w:t xml:space="preserve"> presented as the following ethnic groups: Māori, Pacific</w:t>
      </w:r>
      <w:r>
        <w:t xml:space="preserve"> peoples</w:t>
      </w:r>
      <w:r w:rsidRPr="00950E2D">
        <w:t>, Indian, Asian (excl</w:t>
      </w:r>
      <w:r w:rsidR="007E161A">
        <w:t>uding</w:t>
      </w:r>
      <w:r w:rsidRPr="00950E2D">
        <w:t xml:space="preserve"> Indian) and European or Other. See the </w:t>
      </w:r>
      <w:r w:rsidR="00CB6D20">
        <w:t>‘</w:t>
      </w:r>
      <w:r w:rsidRPr="00950E2D">
        <w:t>Ethnicity</w:t>
      </w:r>
      <w:r w:rsidR="00CB6D20">
        <w:t>’</w:t>
      </w:r>
      <w:r w:rsidRPr="00950E2D">
        <w:t xml:space="preserve"> section in </w:t>
      </w:r>
      <w:r w:rsidR="00CB6D20">
        <w:t>‘</w:t>
      </w:r>
      <w:r w:rsidR="00071E85">
        <w:fldChar w:fldCharType="begin"/>
      </w:r>
      <w:r w:rsidR="00071E85">
        <w:instrText xml:space="preserve"> REF _Ref41</w:instrText>
      </w:r>
      <w:r w:rsidR="00071E85">
        <w:instrText xml:space="preserve">3143486  \* MERGEFORMAT </w:instrText>
      </w:r>
      <w:r w:rsidR="00071E85">
        <w:fldChar w:fldCharType="separate"/>
      </w:r>
      <w:r w:rsidR="00071E85" w:rsidRPr="003E755C">
        <w:t>Appendix 3: Technical notes</w:t>
      </w:r>
      <w:r w:rsidR="00071E85">
        <w:fldChar w:fldCharType="end"/>
      </w:r>
      <w:r w:rsidR="007B3A51">
        <w:t>’</w:t>
      </w:r>
      <w:r w:rsidRPr="00950E2D">
        <w:t>.</w:t>
      </w:r>
    </w:p>
    <w:p w:rsidR="000D44A5" w:rsidRPr="00AF16D8" w:rsidRDefault="000D44A5" w:rsidP="007B3A51">
      <w:pPr>
        <w:rPr>
          <w:highlight w:val="yellow"/>
        </w:rPr>
      </w:pPr>
    </w:p>
    <w:p w:rsidR="000D44A5" w:rsidRPr="00950E2D" w:rsidRDefault="000D44A5" w:rsidP="007B3A51">
      <w:pPr>
        <w:pStyle w:val="Heading3"/>
      </w:pPr>
      <w:r w:rsidRPr="00950E2D">
        <w:t>Counting births and babies</w:t>
      </w:r>
    </w:p>
    <w:p w:rsidR="000D44A5" w:rsidRPr="00950E2D" w:rsidRDefault="000D44A5" w:rsidP="007B3A51">
      <w:r w:rsidRPr="00950E2D">
        <w:t xml:space="preserve">In the </w:t>
      </w:r>
      <w:r w:rsidR="00CB6D20">
        <w:t>‘</w:t>
      </w:r>
      <w:r w:rsidRPr="00950E2D">
        <w:t>Women giving birth</w:t>
      </w:r>
      <w:r w:rsidR="00CB6D20">
        <w:t>’</w:t>
      </w:r>
      <w:r w:rsidRPr="00950E2D">
        <w:t xml:space="preserve"> and </w:t>
      </w:r>
      <w:r w:rsidR="00CB6D20">
        <w:t>‘</w:t>
      </w:r>
      <w:r w:rsidRPr="00950E2D">
        <w:t>Labour and birth</w:t>
      </w:r>
      <w:r w:rsidR="00CB6D20">
        <w:t>’</w:t>
      </w:r>
      <w:r w:rsidRPr="00950E2D">
        <w:t xml:space="preserve"> chapters, births are counted using the number of women giving birth during the calendar year (ie, between 1 January and 31 December). These births include women who had either live-born babies (born at any gestation) or stillborn babies (born at ≥ 20 weeks</w:t>
      </w:r>
      <w:r w:rsidR="00CB6D20">
        <w:t>’</w:t>
      </w:r>
      <w:r w:rsidRPr="00950E2D">
        <w:t xml:space="preserve"> gestation or with a birthweight of ≥ 400 g). A woman who had twins or a multiple birth is counted as having had one birth. A woman who gave birth twice within the same calendar year is counted </w:t>
      </w:r>
      <w:r>
        <w:t>twice</w:t>
      </w:r>
      <w:r w:rsidRPr="00950E2D">
        <w:t>.</w:t>
      </w:r>
    </w:p>
    <w:p w:rsidR="000D44A5" w:rsidRPr="00950E2D" w:rsidRDefault="000D44A5" w:rsidP="007B3A51"/>
    <w:p w:rsidR="000D44A5" w:rsidRDefault="000D44A5" w:rsidP="007B3A51">
      <w:r w:rsidRPr="00950E2D">
        <w:t xml:space="preserve">In the </w:t>
      </w:r>
      <w:r w:rsidR="00CB6D20">
        <w:t>‘</w:t>
      </w:r>
      <w:r w:rsidRPr="00950E2D">
        <w:t>Babies</w:t>
      </w:r>
      <w:r w:rsidR="00CB6D20">
        <w:t>’</w:t>
      </w:r>
      <w:r w:rsidRPr="00950E2D">
        <w:t xml:space="preserve"> chapter, the numbers presented only include live-born babies (at any gestation). Babies resulting from a twin or a multiple pregnancy are counted </w:t>
      </w:r>
      <w:r>
        <w:t>individually</w:t>
      </w:r>
      <w:r w:rsidRPr="00950E2D">
        <w:t>.</w:t>
      </w:r>
    </w:p>
    <w:p w:rsidR="007B3A51" w:rsidRPr="00950E2D" w:rsidRDefault="007B3A51" w:rsidP="007B3A51"/>
    <w:p w:rsidR="000D44A5" w:rsidRPr="00950E2D" w:rsidRDefault="000D44A5" w:rsidP="007B3A51">
      <w:pPr>
        <w:pStyle w:val="Heading3"/>
      </w:pPr>
      <w:r w:rsidRPr="00950E2D">
        <w:t>Proportions</w:t>
      </w:r>
    </w:p>
    <w:p w:rsidR="000D44A5" w:rsidRPr="00950E2D" w:rsidRDefault="000D44A5" w:rsidP="007B3A51">
      <w:r w:rsidRPr="00950E2D">
        <w:t xml:space="preserve">Proportions are expressed as a percentage. The denominator for proportion calculations is the total for each variable for which the information was recorded, and excludes </w:t>
      </w:r>
      <w:r w:rsidR="00CB6D20">
        <w:t>‘</w:t>
      </w:r>
      <w:r w:rsidRPr="00950E2D">
        <w:t>Unknown</w:t>
      </w:r>
      <w:r w:rsidR="00CB6D20">
        <w:t>’</w:t>
      </w:r>
      <w:r w:rsidRPr="00950E2D">
        <w:t xml:space="preserve"> categories. For example:</w:t>
      </w:r>
    </w:p>
    <w:p w:rsidR="000D44A5" w:rsidRPr="00950E2D" w:rsidRDefault="000D44A5" w:rsidP="007B3A51">
      <w:pPr>
        <w:spacing w:before="120"/>
      </w:pPr>
      <w:r w:rsidRPr="00950E2D">
        <w:rPr>
          <w:noProof/>
          <w:lang w:eastAsia="en-NZ"/>
        </w:rPr>
        <w:drawing>
          <wp:inline distT="0" distB="0" distL="0" distR="0" wp14:anchorId="710578E1" wp14:editId="79FB5110">
            <wp:extent cx="5940425" cy="806429"/>
            <wp:effectExtent l="0" t="0" r="3175" b="0"/>
            <wp:docPr id="14" name="Picture 14" descr="Proportion of male babies = (number of male babies * 100) / (total number of babies - babies of unknown sex)" title="Example for calculating a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06429"/>
                    </a:xfrm>
                    <a:prstGeom prst="rect">
                      <a:avLst/>
                    </a:prstGeom>
                    <a:noFill/>
                    <a:ln>
                      <a:noFill/>
                    </a:ln>
                  </pic:spPr>
                </pic:pic>
              </a:graphicData>
            </a:graphic>
          </wp:inline>
        </w:drawing>
      </w:r>
    </w:p>
    <w:p w:rsidR="000D44A5" w:rsidRPr="00950E2D" w:rsidRDefault="000D44A5" w:rsidP="007B3A51"/>
    <w:p w:rsidR="000D44A5" w:rsidRPr="00950E2D" w:rsidRDefault="000D44A5" w:rsidP="007B3A51">
      <w:r w:rsidRPr="00950E2D">
        <w:lastRenderedPageBreak/>
        <w:t>All proportions were calculated using raw data. Summarised information presented may be slightly different from the sum of proportions presented in the tables due to rounding.</w:t>
      </w:r>
    </w:p>
    <w:p w:rsidR="000D44A5" w:rsidRPr="00AF16D8" w:rsidRDefault="000D44A5" w:rsidP="007B3A51">
      <w:pPr>
        <w:rPr>
          <w:highlight w:val="yellow"/>
        </w:rPr>
      </w:pPr>
    </w:p>
    <w:p w:rsidR="000D44A5" w:rsidRPr="00950E2D" w:rsidRDefault="000D44A5" w:rsidP="007B3A51">
      <w:pPr>
        <w:pStyle w:val="Heading3"/>
      </w:pPr>
      <w:r w:rsidRPr="00950E2D">
        <w:t>Birth rates</w:t>
      </w:r>
    </w:p>
    <w:p w:rsidR="000D44A5" w:rsidRPr="00950E2D" w:rsidRDefault="000D44A5" w:rsidP="007B3A51">
      <w:r w:rsidRPr="00950E2D">
        <w:t>A birth rate shows the proportion of women giving birth out of the female population who are of reproductive age (15–44 years). It is expressed as births per 1</w:t>
      </w:r>
      <w:r w:rsidR="00CD7384">
        <w:t>,</w:t>
      </w:r>
      <w:r w:rsidRPr="00950E2D">
        <w:t>000 females of reproductive age.</w:t>
      </w:r>
    </w:p>
    <w:p w:rsidR="000D44A5" w:rsidRPr="00950E2D" w:rsidRDefault="000D44A5" w:rsidP="007B3A51"/>
    <w:p w:rsidR="000D44A5" w:rsidRPr="00950E2D" w:rsidRDefault="000D44A5" w:rsidP="007B3A51">
      <w:r w:rsidRPr="00950E2D">
        <w:t>Rates for a specific group (eg, Māori, those residing in quintile 3 or the 30–34 years age group) are calculated using the best available population for that group. For example:</w:t>
      </w:r>
    </w:p>
    <w:p w:rsidR="000D44A5" w:rsidRPr="00A01FD7" w:rsidRDefault="000D44A5" w:rsidP="007B3A51">
      <w:pPr>
        <w:spacing w:before="120"/>
      </w:pPr>
      <w:r w:rsidRPr="00A01FD7">
        <w:rPr>
          <w:noProof/>
          <w:lang w:eastAsia="en-NZ"/>
        </w:rPr>
        <w:drawing>
          <wp:inline distT="0" distB="0" distL="0" distR="0" wp14:anchorId="3961C049" wp14:editId="761A7287">
            <wp:extent cx="4162425" cy="390525"/>
            <wp:effectExtent l="0" t="0" r="9525" b="9525"/>
            <wp:docPr id="36" name="Picture 36" descr="Maori birth rate = number of Maori women giving birth * 1000 / female Maori population aged 15-44 years" title="Example for calculating bir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390525"/>
                    </a:xfrm>
                    <a:prstGeom prst="rect">
                      <a:avLst/>
                    </a:prstGeom>
                    <a:noFill/>
                    <a:ln>
                      <a:noFill/>
                    </a:ln>
                  </pic:spPr>
                </pic:pic>
              </a:graphicData>
            </a:graphic>
          </wp:inline>
        </w:drawing>
      </w:r>
    </w:p>
    <w:p w:rsidR="000D44A5" w:rsidRPr="00A01FD7" w:rsidRDefault="000D44A5" w:rsidP="007B3A51"/>
    <w:p w:rsidR="000D44A5" w:rsidRPr="00A01FD7" w:rsidRDefault="000D44A5" w:rsidP="007B3A51">
      <w:r w:rsidRPr="00A01FD7">
        <w:t>Teens aged under 15 years and women aged 45 years and over giving birth account for a very small proportion of the total number of women giving birth each year (&lt;0.5%). They are included in the numerator to calculate birth rates (as part of the &lt;20 years and 40+ years age groups, respectively). The denominator used is limited to the female population aged 15–44 years.</w:t>
      </w:r>
    </w:p>
    <w:p w:rsidR="000D44A5" w:rsidRPr="00A01FD7" w:rsidRDefault="000D44A5" w:rsidP="007B3A51"/>
    <w:p w:rsidR="000D44A5" w:rsidRPr="00A01FD7" w:rsidRDefault="000D44A5" w:rsidP="007B3A51">
      <w:r w:rsidRPr="00A01FD7">
        <w:t xml:space="preserve">More than one population data set may have been used within a set of birth rate calculations. Further information about the different population data sets used in this publication is provided in the </w:t>
      </w:r>
      <w:r w:rsidR="00CB6D20">
        <w:t>‘</w:t>
      </w:r>
      <w:r w:rsidRPr="00A01FD7">
        <w:fldChar w:fldCharType="begin"/>
      </w:r>
      <w:r w:rsidRPr="00A01FD7">
        <w:instrText xml:space="preserve"> REF _Ref429147696 \h  \* MERGEFORMAT </w:instrText>
      </w:r>
      <w:r w:rsidRPr="00A01FD7">
        <w:fldChar w:fldCharType="separate"/>
      </w:r>
      <w:r w:rsidR="00071E85" w:rsidRPr="00193BB0">
        <w:t>Denominators used for calculating birth rates</w:t>
      </w:r>
      <w:r w:rsidRPr="00A01FD7">
        <w:fldChar w:fldCharType="end"/>
      </w:r>
      <w:r w:rsidR="00CB6D20">
        <w:t>‘</w:t>
      </w:r>
      <w:r w:rsidRPr="00A01FD7">
        <w:t xml:space="preserve"> section of </w:t>
      </w:r>
      <w:r w:rsidR="00CB6D20">
        <w:t>‘</w:t>
      </w:r>
      <w:r w:rsidR="00071E85">
        <w:fldChar w:fldCharType="begin"/>
      </w:r>
      <w:r w:rsidR="00071E85">
        <w:instrText xml:space="preserve"> REF _Ref413143486  \* MERGEFORMAT </w:instrText>
      </w:r>
      <w:r w:rsidR="00071E85">
        <w:fldChar w:fldCharType="separate"/>
      </w:r>
      <w:r w:rsidR="00071E85" w:rsidRPr="003E755C">
        <w:t>Appendix 3: Technical notes</w:t>
      </w:r>
      <w:r w:rsidR="00071E85">
        <w:fldChar w:fldCharType="end"/>
      </w:r>
      <w:r w:rsidR="007B3A51">
        <w:t>’</w:t>
      </w:r>
      <w:r w:rsidRPr="00A01FD7">
        <w:t>.</w:t>
      </w:r>
    </w:p>
    <w:p w:rsidR="000D44A5" w:rsidRPr="00A01FD7" w:rsidRDefault="000D44A5" w:rsidP="007B3A51"/>
    <w:p w:rsidR="000D44A5" w:rsidRPr="00A01FD7" w:rsidRDefault="000D44A5" w:rsidP="007B3A51">
      <w:r w:rsidRPr="00A01FD7">
        <w:t>Regional rates (DHB regions) were calculated based on the residence of women giving birth. Rates have not been standardised for differences in population structures (ie, birth rates are crude and not age-standardised).</w:t>
      </w:r>
    </w:p>
    <w:p w:rsidR="000D44A5" w:rsidRPr="00A01FD7" w:rsidRDefault="000D44A5" w:rsidP="007B3A51"/>
    <w:p w:rsidR="000D44A5" w:rsidRPr="00A01FD7" w:rsidRDefault="000D44A5" w:rsidP="007B3A51">
      <w:pPr>
        <w:pStyle w:val="Heading3"/>
      </w:pPr>
      <w:r w:rsidRPr="00A01FD7">
        <w:t>Statistical significance testing</w:t>
      </w:r>
    </w:p>
    <w:p w:rsidR="000D44A5" w:rsidRPr="00A01FD7" w:rsidRDefault="000D44A5" w:rsidP="007B3A51">
      <w:r w:rsidRPr="00A01FD7">
        <w:t>Statistical significance was calculated using Pearson</w:t>
      </w:r>
      <w:r w:rsidR="00CB6D20">
        <w:t>’</w:t>
      </w:r>
      <w:r w:rsidRPr="00A01FD7">
        <w:t>s chi-squared test at 95% confidence level. Fisher</w:t>
      </w:r>
      <w:r w:rsidR="00CB6D20">
        <w:t>’</w:t>
      </w:r>
      <w:r w:rsidRPr="00A01FD7">
        <w:t>s exact test at 95% confidence level was also used when expected frequencies were below five.</w:t>
      </w:r>
    </w:p>
    <w:p w:rsidR="000D44A5" w:rsidRPr="00A01FD7" w:rsidRDefault="000D44A5" w:rsidP="007B3A51"/>
    <w:p w:rsidR="000D44A5" w:rsidRDefault="000D44A5" w:rsidP="007B3A51">
      <w:r w:rsidRPr="00A01FD7">
        <w:t>Significance testing has only been applied to selected analyses in this publication. Therefore, differences observed are not necessarily statistically significant, except where stated as so.</w:t>
      </w:r>
    </w:p>
    <w:p w:rsidR="007B3A51" w:rsidRPr="00A01FD7" w:rsidRDefault="007B3A51" w:rsidP="007B3A51"/>
    <w:p w:rsidR="000D44A5" w:rsidRPr="00A01FD7" w:rsidRDefault="000D44A5" w:rsidP="007B3A51">
      <w:pPr>
        <w:pStyle w:val="Heading2"/>
      </w:pPr>
      <w:bookmarkStart w:id="38" w:name="_Toc479583255"/>
      <w:bookmarkStart w:id="39" w:name="_Toc485542623"/>
      <w:r w:rsidRPr="00A01FD7">
        <w:t>Data presentation</w:t>
      </w:r>
      <w:bookmarkEnd w:id="26"/>
      <w:bookmarkEnd w:id="27"/>
      <w:bookmarkEnd w:id="28"/>
      <w:bookmarkEnd w:id="38"/>
      <w:bookmarkEnd w:id="39"/>
    </w:p>
    <w:p w:rsidR="000D44A5" w:rsidRPr="00A01FD7" w:rsidRDefault="000D44A5" w:rsidP="007B3A51">
      <w:r w:rsidRPr="00A01FD7">
        <w:t>This publication first presents information about women giving birth, their demographic profile and selected antenatal factors. This is followed by information relating to labour and birth, covering the type of birth, interventions and place of birth. Finally, the publication provides a description of the characteristics of live-born babies, along with data on handover of care after birth for the woman and her baby.</w:t>
      </w:r>
    </w:p>
    <w:p w:rsidR="000D44A5" w:rsidRPr="00A01FD7" w:rsidRDefault="000D44A5" w:rsidP="007B3A51"/>
    <w:p w:rsidR="000D44A5" w:rsidRPr="00A01FD7" w:rsidRDefault="000D44A5" w:rsidP="007B3A51">
      <w:pPr>
        <w:pStyle w:val="Heading3"/>
      </w:pPr>
      <w:r w:rsidRPr="00A01FD7">
        <w:t>Figures</w:t>
      </w:r>
    </w:p>
    <w:p w:rsidR="000D44A5" w:rsidRPr="00A01FD7" w:rsidRDefault="000D44A5" w:rsidP="007B3A51">
      <w:r w:rsidRPr="00A01FD7">
        <w:t xml:space="preserve">Graphs and maps are included to help you to visualise the quantitative information more easily. They are intended to highlight trends and relationships rather than provide a means to look up individual values. The underlying numbers used to create graphs and maps in this publication are provided in the </w:t>
      </w:r>
      <w:hyperlink r:id="rId20" w:history="1">
        <w:r w:rsidRPr="00A01FD7">
          <w:rPr>
            <w:rStyle w:val="Hyperlink"/>
          </w:rPr>
          <w:t>accompanying online tables</w:t>
        </w:r>
      </w:hyperlink>
      <w:r w:rsidRPr="00A01FD7">
        <w:t>.</w:t>
      </w:r>
    </w:p>
    <w:p w:rsidR="000D44A5" w:rsidRPr="00A01FD7" w:rsidRDefault="000D44A5" w:rsidP="007B3A51"/>
    <w:p w:rsidR="000D44A5" w:rsidRPr="00A01FD7" w:rsidRDefault="000D44A5" w:rsidP="007B3A51">
      <w:r w:rsidRPr="00A01FD7">
        <w:lastRenderedPageBreak/>
        <w:t>Geographical information i</w:t>
      </w:r>
      <w:r>
        <w:t>s usually presented in maps showing DHB boundaries</w:t>
      </w:r>
      <w:r w:rsidRPr="00A01FD7">
        <w:t xml:space="preserve">. On these maps, the darkest colour represents the highest percentage or rate, and the lightest colour the lowest percentage or rate. See </w:t>
      </w:r>
      <w:r w:rsidR="00CB6D20">
        <w:t>‘</w:t>
      </w:r>
      <w:r w:rsidR="00071E85">
        <w:fldChar w:fldCharType="begin"/>
      </w:r>
      <w:r w:rsidR="00071E85">
        <w:instrText xml:space="preserve"> REF _Ref413143403  \* MERGEFORMAT </w:instrText>
      </w:r>
      <w:r w:rsidR="00071E85">
        <w:fldChar w:fldCharType="separate"/>
      </w:r>
      <w:r w:rsidR="00071E85" w:rsidRPr="003E755C">
        <w:t>Appendix 4: Guide to reading maps</w:t>
      </w:r>
      <w:r w:rsidR="00071E85">
        <w:fldChar w:fldCharType="end"/>
      </w:r>
      <w:r w:rsidR="007B3A51">
        <w:t>’</w:t>
      </w:r>
      <w:r w:rsidRPr="00A01FD7">
        <w:t xml:space="preserve"> for the location of DHBs in New Zealand and help with reading maps in this publication.</w:t>
      </w:r>
    </w:p>
    <w:p w:rsidR="000D44A5" w:rsidRPr="00AF16D8" w:rsidRDefault="000D44A5" w:rsidP="007B3A51">
      <w:pPr>
        <w:rPr>
          <w:highlight w:val="yellow"/>
        </w:rPr>
      </w:pPr>
    </w:p>
    <w:p w:rsidR="000D44A5" w:rsidRPr="00A01FD7" w:rsidRDefault="000D44A5" w:rsidP="007B3A51">
      <w:pPr>
        <w:pStyle w:val="Heading3"/>
      </w:pPr>
      <w:r w:rsidRPr="00A01FD7">
        <w:t>Time series</w:t>
      </w:r>
    </w:p>
    <w:p w:rsidR="000D44A5" w:rsidRPr="00A01FD7" w:rsidRDefault="000D44A5" w:rsidP="007B3A51">
      <w:r w:rsidRPr="00A01FD7">
        <w:t>Although the</w:t>
      </w:r>
      <w:r>
        <w:t xml:space="preserve"> focus of this publication is</w:t>
      </w:r>
      <w:r w:rsidRPr="00A01FD7">
        <w:t xml:space="preserve"> births in the 2015 calendar year, comparisons are often made over the 10</w:t>
      </w:r>
      <w:r w:rsidRPr="00A01FD7">
        <w:noBreakHyphen/>
        <w:t>year period of 2006–2015 and five-year period of 2011–2015, to provide context and to help with interpreting the information provided. Variables using data sourced from LMC claims and DHB primary maternity services are only available from 2008 onwards. Over time, a 10-year series will become available for these variables.</w:t>
      </w:r>
    </w:p>
    <w:p w:rsidR="000D44A5" w:rsidRPr="00A01FD7" w:rsidRDefault="000D44A5" w:rsidP="007B3A51"/>
    <w:p w:rsidR="000D44A5" w:rsidRPr="00A01FD7" w:rsidRDefault="000D44A5" w:rsidP="007B3A51">
      <w:pPr>
        <w:pStyle w:val="Heading3"/>
      </w:pPr>
      <w:r w:rsidRPr="00A01FD7">
        <w:t>Proportions vs birth rates</w:t>
      </w:r>
    </w:p>
    <w:p w:rsidR="000D44A5" w:rsidRPr="00A01FD7" w:rsidRDefault="000D44A5" w:rsidP="007B3A51">
      <w:r w:rsidRPr="00A01FD7">
        <w:t>In this publication, proportions (expressed as a percentage) are used to describe and compare the characteristics of women giving birth or of live-born babies. Proportions have been calculated using the number of women giving birth or of live-born babies as the denominator.</w:t>
      </w:r>
    </w:p>
    <w:p w:rsidR="000D44A5" w:rsidRPr="00A01FD7" w:rsidRDefault="000D44A5" w:rsidP="007B3A51"/>
    <w:p w:rsidR="000D44A5" w:rsidRPr="00A01FD7" w:rsidRDefault="000D44A5" w:rsidP="007B3A51">
      <w:r w:rsidRPr="00A01FD7">
        <w:t>In addition, birth rates are also presented for women giving birth in each main demographic group (ie, age group, ethnic group and neighbourhood deprivation quintile). They have been calculated using the female population of reproductive age as the denominator.</w:t>
      </w:r>
    </w:p>
    <w:p w:rsidR="000D44A5" w:rsidRPr="00A01FD7" w:rsidRDefault="000D44A5" w:rsidP="007B3A51"/>
    <w:p w:rsidR="000D44A5" w:rsidRPr="00A01FD7" w:rsidRDefault="000D44A5" w:rsidP="007B3A51">
      <w:r w:rsidRPr="00A01FD7">
        <w:t xml:space="preserve">Birth rates can provide helpful context, as they account for the size of the population in relation to the number of women giving birth for that demographic group. </w:t>
      </w:r>
      <w:r w:rsidRPr="00A01FD7">
        <w:fldChar w:fldCharType="begin"/>
      </w:r>
      <w:r w:rsidRPr="00A01FD7">
        <w:instrText xml:space="preserve"> REF _Ref431208123 \h  \* MERGEFORMAT </w:instrText>
      </w:r>
      <w:r w:rsidRPr="00A01FD7">
        <w:fldChar w:fldCharType="separate"/>
      </w:r>
      <w:r w:rsidR="00071E85" w:rsidRPr="00A01FD7">
        <w:t xml:space="preserve">Table </w:t>
      </w:r>
      <w:r w:rsidR="00071E85">
        <w:rPr>
          <w:noProof/>
        </w:rPr>
        <w:t>1</w:t>
      </w:r>
      <w:r w:rsidRPr="00A01FD7">
        <w:fldChar w:fldCharType="end"/>
      </w:r>
      <w:r w:rsidRPr="00A01FD7">
        <w:t xml:space="preserve"> shows how the proportion and birth rate for Māori women compare with that for the European or Other ethnic group, where:</w:t>
      </w:r>
    </w:p>
    <w:p w:rsidR="000D44A5" w:rsidRPr="00A01FD7" w:rsidRDefault="000D44A5" w:rsidP="007B3A51">
      <w:pPr>
        <w:pStyle w:val="Bullet"/>
      </w:pPr>
      <w:r w:rsidRPr="00A01FD7">
        <w:t>2</w:t>
      </w:r>
      <w:r>
        <w:t>5</w:t>
      </w:r>
      <w:r w:rsidRPr="00A01FD7">
        <w:t>% of women wh</w:t>
      </w:r>
      <w:r>
        <w:t>o gave birth were Māori while 49</w:t>
      </w:r>
      <w:r w:rsidRPr="00A01FD7">
        <w:t>% we</w:t>
      </w:r>
      <w:r>
        <w:t>re of European or Other ethnicity</w:t>
      </w:r>
    </w:p>
    <w:p w:rsidR="000D44A5" w:rsidRDefault="000D44A5" w:rsidP="007B3A51">
      <w:pPr>
        <w:pStyle w:val="Bullet"/>
      </w:pPr>
      <w:r w:rsidRPr="00A01FD7">
        <w:t>the birth rate for Māori women was 1.7 times the rate for women in the European or Other ethnic group.</w:t>
      </w:r>
    </w:p>
    <w:p w:rsidR="007B3A51" w:rsidRPr="00A01FD7" w:rsidRDefault="007B3A51" w:rsidP="007B3A51"/>
    <w:p w:rsidR="000D44A5" w:rsidRPr="00A01FD7" w:rsidRDefault="000D44A5" w:rsidP="007B3A51">
      <w:pPr>
        <w:pStyle w:val="Table"/>
      </w:pPr>
      <w:bookmarkStart w:id="40" w:name="_Ref431208123"/>
      <w:bookmarkStart w:id="41" w:name="_Toc433389738"/>
      <w:bookmarkStart w:id="42" w:name="_Toc479605815"/>
      <w:bookmarkStart w:id="43" w:name="_Toc485542653"/>
      <w:r w:rsidRPr="00A01FD7">
        <w:t xml:space="preserve">Table </w:t>
      </w:r>
      <w:r w:rsidR="00071E85">
        <w:fldChar w:fldCharType="begin"/>
      </w:r>
      <w:r w:rsidR="00071E85">
        <w:instrText xml:space="preserve"> SEQ Table \* ARABIC </w:instrText>
      </w:r>
      <w:r w:rsidR="00071E85">
        <w:fldChar w:fldCharType="separate"/>
      </w:r>
      <w:r w:rsidR="00071E85">
        <w:rPr>
          <w:noProof/>
        </w:rPr>
        <w:t>1</w:t>
      </w:r>
      <w:r w:rsidR="00071E85">
        <w:rPr>
          <w:noProof/>
        </w:rPr>
        <w:fldChar w:fldCharType="end"/>
      </w:r>
      <w:bookmarkEnd w:id="40"/>
      <w:r w:rsidRPr="00A01FD7">
        <w:t xml:space="preserve">: Comparing proportions and birth rates between </w:t>
      </w:r>
      <w:r>
        <w:t xml:space="preserve">the </w:t>
      </w:r>
      <w:r w:rsidRPr="00A01FD7">
        <w:t>Māori and the European or Other ethnic group</w:t>
      </w:r>
      <w:bookmarkEnd w:id="41"/>
      <w:r>
        <w:t>s</w:t>
      </w:r>
      <w:bookmarkEnd w:id="42"/>
      <w:bookmarkEnd w:id="43"/>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1: Comparing proportions and birth rates between the Maori and European or Other ethnic groups"/>
      </w:tblPr>
      <w:tblGrid>
        <w:gridCol w:w="1560"/>
        <w:gridCol w:w="567"/>
        <w:gridCol w:w="3402"/>
        <w:gridCol w:w="3827"/>
      </w:tblGrid>
      <w:tr w:rsidR="000D44A5" w:rsidRPr="00A01FD7" w:rsidTr="007B3A51">
        <w:trPr>
          <w:cantSplit/>
          <w:tblHeader/>
        </w:trPr>
        <w:tc>
          <w:tcPr>
            <w:tcW w:w="2127" w:type="dxa"/>
            <w:gridSpan w:val="2"/>
            <w:tcBorders>
              <w:top w:val="single" w:sz="4" w:space="0" w:color="auto"/>
              <w:bottom w:val="single" w:sz="4" w:space="0" w:color="auto"/>
            </w:tcBorders>
          </w:tcPr>
          <w:p w:rsidR="000D44A5" w:rsidRPr="00A01FD7" w:rsidRDefault="000D44A5" w:rsidP="007B3A51">
            <w:pPr>
              <w:pStyle w:val="TableText"/>
              <w:spacing w:before="55" w:after="55"/>
              <w:rPr>
                <w:b/>
              </w:rPr>
            </w:pPr>
          </w:p>
        </w:tc>
        <w:tc>
          <w:tcPr>
            <w:tcW w:w="3402" w:type="dxa"/>
            <w:tcBorders>
              <w:top w:val="single" w:sz="4" w:space="0" w:color="auto"/>
              <w:bottom w:val="single" w:sz="4" w:space="0" w:color="auto"/>
            </w:tcBorders>
            <w:vAlign w:val="center"/>
          </w:tcPr>
          <w:p w:rsidR="000D44A5" w:rsidRPr="00A01FD7" w:rsidRDefault="000D44A5" w:rsidP="007B3A51">
            <w:pPr>
              <w:pStyle w:val="TableText"/>
              <w:spacing w:before="55" w:after="55"/>
              <w:jc w:val="center"/>
              <w:rPr>
                <w:b/>
              </w:rPr>
            </w:pPr>
            <w:r w:rsidRPr="00A01FD7">
              <w:rPr>
                <w:b/>
              </w:rPr>
              <w:t>Māori</w:t>
            </w:r>
          </w:p>
        </w:tc>
        <w:tc>
          <w:tcPr>
            <w:tcW w:w="3827" w:type="dxa"/>
            <w:tcBorders>
              <w:top w:val="single" w:sz="4" w:space="0" w:color="auto"/>
              <w:bottom w:val="single" w:sz="4" w:space="0" w:color="auto"/>
            </w:tcBorders>
            <w:vAlign w:val="center"/>
          </w:tcPr>
          <w:p w:rsidR="000D44A5" w:rsidRPr="00A01FD7" w:rsidRDefault="000D44A5" w:rsidP="007B3A51">
            <w:pPr>
              <w:pStyle w:val="TableText"/>
              <w:spacing w:before="55" w:after="55"/>
              <w:jc w:val="center"/>
              <w:rPr>
                <w:b/>
              </w:rPr>
            </w:pPr>
            <w:r w:rsidRPr="00A01FD7">
              <w:rPr>
                <w:b/>
              </w:rPr>
              <w:t>European or Other</w:t>
            </w:r>
          </w:p>
        </w:tc>
      </w:tr>
      <w:tr w:rsidR="000D44A5" w:rsidRPr="00A01FD7" w:rsidTr="007B3A51">
        <w:trPr>
          <w:cantSplit/>
        </w:trPr>
        <w:tc>
          <w:tcPr>
            <w:tcW w:w="9356" w:type="dxa"/>
            <w:gridSpan w:val="4"/>
            <w:tcBorders>
              <w:top w:val="single" w:sz="4" w:space="0" w:color="auto"/>
            </w:tcBorders>
            <w:shd w:val="clear" w:color="auto" w:fill="auto"/>
          </w:tcPr>
          <w:p w:rsidR="000D44A5" w:rsidRPr="00A01FD7" w:rsidRDefault="000D44A5" w:rsidP="007B3A51">
            <w:pPr>
              <w:pStyle w:val="TableText"/>
              <w:spacing w:before="55" w:after="55"/>
              <w:rPr>
                <w:b/>
              </w:rPr>
            </w:pPr>
            <w:r w:rsidRPr="00A01FD7">
              <w:rPr>
                <w:b/>
              </w:rPr>
              <w:t>Proportion (%)</w:t>
            </w:r>
          </w:p>
        </w:tc>
      </w:tr>
      <w:tr w:rsidR="000D44A5" w:rsidRPr="00A01FD7" w:rsidTr="007B3A51">
        <w:trPr>
          <w:cantSplit/>
        </w:trPr>
        <w:tc>
          <w:tcPr>
            <w:tcW w:w="1560" w:type="dxa"/>
            <w:tcBorders>
              <w:bottom w:val="single" w:sz="4" w:space="0" w:color="A6A6A6" w:themeColor="background1" w:themeShade="A6"/>
            </w:tcBorders>
          </w:tcPr>
          <w:p w:rsidR="000D44A5" w:rsidRPr="00A01FD7" w:rsidRDefault="000D44A5" w:rsidP="007B3A51">
            <w:pPr>
              <w:pStyle w:val="TableText"/>
              <w:spacing w:before="55" w:after="55"/>
            </w:pPr>
            <w:r w:rsidRPr="00A01FD7">
              <w:t>Formula</w:t>
            </w:r>
          </w:p>
        </w:tc>
        <w:tc>
          <w:tcPr>
            <w:tcW w:w="3969" w:type="dxa"/>
            <w:gridSpan w:val="2"/>
            <w:tcBorders>
              <w:bottom w:val="single" w:sz="4" w:space="0" w:color="A6A6A6" w:themeColor="background1" w:themeShade="A6"/>
            </w:tcBorders>
          </w:tcPr>
          <w:p w:rsidR="000D44A5" w:rsidRPr="00A01FD7" w:rsidRDefault="000D44A5" w:rsidP="007B3A51">
            <w:pPr>
              <w:pStyle w:val="TableText"/>
              <w:spacing w:before="55" w:after="55"/>
            </w:pPr>
            <w:r w:rsidRPr="00A01FD7">
              <w:t>Women giving birth in the Māori ethnic group / All women giving birth with known ethnicity * 100</w:t>
            </w:r>
          </w:p>
        </w:tc>
        <w:tc>
          <w:tcPr>
            <w:tcW w:w="3827" w:type="dxa"/>
            <w:tcBorders>
              <w:bottom w:val="single" w:sz="4" w:space="0" w:color="A6A6A6" w:themeColor="background1" w:themeShade="A6"/>
            </w:tcBorders>
          </w:tcPr>
          <w:p w:rsidR="000D44A5" w:rsidRPr="00A01FD7" w:rsidRDefault="000D44A5" w:rsidP="007B3A51">
            <w:pPr>
              <w:pStyle w:val="TableText"/>
              <w:spacing w:before="55" w:after="55"/>
            </w:pPr>
            <w:r w:rsidRPr="00A01FD7">
              <w:t>Women giving birth in the European or Other ethnic group / All women giving birth with known ethnicity * 100</w:t>
            </w:r>
          </w:p>
        </w:tc>
      </w:tr>
      <w:tr w:rsidR="000D44A5" w:rsidRPr="00A01FD7" w:rsidTr="007B3A51">
        <w:trPr>
          <w:cantSplit/>
        </w:trPr>
        <w:tc>
          <w:tcPr>
            <w:tcW w:w="1560" w:type="dxa"/>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rsidRPr="00A01FD7">
              <w:t>Calculation</w:t>
            </w:r>
          </w:p>
        </w:tc>
        <w:tc>
          <w:tcPr>
            <w:tcW w:w="3969" w:type="dxa"/>
            <w:gridSpan w:val="2"/>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t>(14,689 / 58,926</w:t>
            </w:r>
            <w:r w:rsidRPr="00A01FD7">
              <w:t>) * 100</w:t>
            </w:r>
          </w:p>
        </w:tc>
        <w:tc>
          <w:tcPr>
            <w:tcW w:w="3827" w:type="dxa"/>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rsidRPr="00A01FD7">
              <w:t>(2</w:t>
            </w:r>
            <w:r>
              <w:t>8</w:t>
            </w:r>
            <w:r w:rsidRPr="00A01FD7">
              <w:t>,</w:t>
            </w:r>
            <w:r>
              <w:t>892 / 58</w:t>
            </w:r>
            <w:r w:rsidRPr="00A01FD7">
              <w:t>,</w:t>
            </w:r>
            <w:r>
              <w:t>926</w:t>
            </w:r>
            <w:r w:rsidRPr="00A01FD7">
              <w:t>) * 100</w:t>
            </w:r>
          </w:p>
        </w:tc>
      </w:tr>
      <w:tr w:rsidR="000D44A5" w:rsidRPr="00A01FD7" w:rsidTr="007B3A51">
        <w:trPr>
          <w:cantSplit/>
        </w:trPr>
        <w:tc>
          <w:tcPr>
            <w:tcW w:w="1560" w:type="dxa"/>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rsidRPr="00A01FD7">
              <w:t>Value</w:t>
            </w:r>
          </w:p>
        </w:tc>
        <w:tc>
          <w:tcPr>
            <w:tcW w:w="3969" w:type="dxa"/>
            <w:gridSpan w:val="2"/>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t>24.9</w:t>
            </w:r>
            <w:r w:rsidRPr="00A01FD7">
              <w:t>%</w:t>
            </w:r>
          </w:p>
        </w:tc>
        <w:tc>
          <w:tcPr>
            <w:tcW w:w="3827" w:type="dxa"/>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t>49.0</w:t>
            </w:r>
            <w:r w:rsidRPr="00A01FD7">
              <w:t>%</w:t>
            </w:r>
          </w:p>
        </w:tc>
      </w:tr>
      <w:tr w:rsidR="000D44A5" w:rsidRPr="00A01FD7" w:rsidTr="007B3A51">
        <w:trPr>
          <w:cantSplit/>
        </w:trPr>
        <w:tc>
          <w:tcPr>
            <w:tcW w:w="1560" w:type="dxa"/>
            <w:tcBorders>
              <w:top w:val="single" w:sz="4" w:space="0" w:color="A6A6A6" w:themeColor="background1" w:themeShade="A6"/>
              <w:bottom w:val="single" w:sz="4" w:space="0" w:color="auto"/>
            </w:tcBorders>
          </w:tcPr>
          <w:p w:rsidR="000D44A5" w:rsidRPr="00A01FD7" w:rsidRDefault="000D44A5" w:rsidP="007B3A51">
            <w:pPr>
              <w:pStyle w:val="TableText"/>
              <w:spacing w:before="55" w:after="55"/>
            </w:pPr>
            <w:r w:rsidRPr="00A01FD7">
              <w:t>Interpretation</w:t>
            </w:r>
          </w:p>
        </w:tc>
        <w:tc>
          <w:tcPr>
            <w:tcW w:w="3969" w:type="dxa"/>
            <w:gridSpan w:val="2"/>
            <w:tcBorders>
              <w:top w:val="single" w:sz="4" w:space="0" w:color="A6A6A6" w:themeColor="background1" w:themeShade="A6"/>
              <w:bottom w:val="single" w:sz="4" w:space="0" w:color="auto"/>
            </w:tcBorders>
          </w:tcPr>
          <w:p w:rsidR="000D44A5" w:rsidRPr="00A01FD7" w:rsidRDefault="000D44A5" w:rsidP="007B3A51">
            <w:pPr>
              <w:pStyle w:val="TableText"/>
              <w:spacing w:before="55" w:after="55"/>
            </w:pPr>
            <w:r w:rsidRPr="00A01FD7">
              <w:t>For every 100 women giving birth, 2</w:t>
            </w:r>
            <w:r>
              <w:t>5</w:t>
            </w:r>
            <w:r w:rsidR="007B3A51">
              <w:t> </w:t>
            </w:r>
            <w:r w:rsidRPr="00A01FD7">
              <w:t>were Māori</w:t>
            </w:r>
          </w:p>
        </w:tc>
        <w:tc>
          <w:tcPr>
            <w:tcW w:w="3827" w:type="dxa"/>
            <w:tcBorders>
              <w:top w:val="single" w:sz="4" w:space="0" w:color="A6A6A6" w:themeColor="background1" w:themeShade="A6"/>
              <w:bottom w:val="single" w:sz="4" w:space="0" w:color="auto"/>
            </w:tcBorders>
          </w:tcPr>
          <w:p w:rsidR="000D44A5" w:rsidRPr="00A01FD7" w:rsidRDefault="000D44A5" w:rsidP="007B3A51">
            <w:pPr>
              <w:pStyle w:val="TableText"/>
              <w:spacing w:before="55" w:after="55"/>
            </w:pPr>
            <w:r w:rsidRPr="00A01FD7">
              <w:t xml:space="preserve">For </w:t>
            </w:r>
            <w:r>
              <w:t>every 100 women giving birth, 49</w:t>
            </w:r>
            <w:r w:rsidRPr="00A01FD7">
              <w:t xml:space="preserve"> were of European or Other ethnicities</w:t>
            </w:r>
          </w:p>
        </w:tc>
      </w:tr>
      <w:tr w:rsidR="000D44A5" w:rsidRPr="00A01FD7" w:rsidTr="007B3A51">
        <w:trPr>
          <w:cantSplit/>
        </w:trPr>
        <w:tc>
          <w:tcPr>
            <w:tcW w:w="9356" w:type="dxa"/>
            <w:gridSpan w:val="4"/>
            <w:tcBorders>
              <w:top w:val="single" w:sz="4" w:space="0" w:color="auto"/>
              <w:bottom w:val="nil"/>
            </w:tcBorders>
            <w:shd w:val="clear" w:color="auto" w:fill="auto"/>
          </w:tcPr>
          <w:p w:rsidR="000D44A5" w:rsidRPr="00A01FD7" w:rsidRDefault="000D44A5" w:rsidP="007B3A51">
            <w:pPr>
              <w:pStyle w:val="TableText"/>
              <w:spacing w:before="55" w:after="55"/>
              <w:rPr>
                <w:b/>
              </w:rPr>
            </w:pPr>
            <w:r w:rsidRPr="00A01FD7">
              <w:rPr>
                <w:b/>
              </w:rPr>
              <w:t>Birth rate (births per 1</w:t>
            </w:r>
            <w:r w:rsidR="00CD7384">
              <w:rPr>
                <w:b/>
              </w:rPr>
              <w:t>,</w:t>
            </w:r>
            <w:r w:rsidRPr="00A01FD7">
              <w:rPr>
                <w:b/>
              </w:rPr>
              <w:t>000 females of reproductive age)</w:t>
            </w:r>
          </w:p>
        </w:tc>
      </w:tr>
      <w:tr w:rsidR="000D44A5" w:rsidRPr="00A01FD7" w:rsidTr="007B3A51">
        <w:trPr>
          <w:cantSplit/>
        </w:trPr>
        <w:tc>
          <w:tcPr>
            <w:tcW w:w="1560" w:type="dxa"/>
            <w:tcBorders>
              <w:top w:val="nil"/>
              <w:bottom w:val="single" w:sz="4" w:space="0" w:color="A6A6A6" w:themeColor="background1" w:themeShade="A6"/>
            </w:tcBorders>
          </w:tcPr>
          <w:p w:rsidR="000D44A5" w:rsidRPr="00A01FD7" w:rsidRDefault="000D44A5" w:rsidP="007B3A51">
            <w:pPr>
              <w:pStyle w:val="TableText"/>
              <w:spacing w:before="55" w:after="55"/>
            </w:pPr>
            <w:r w:rsidRPr="00A01FD7">
              <w:t>Formula</w:t>
            </w:r>
          </w:p>
        </w:tc>
        <w:tc>
          <w:tcPr>
            <w:tcW w:w="3969" w:type="dxa"/>
            <w:gridSpan w:val="2"/>
            <w:tcBorders>
              <w:top w:val="nil"/>
              <w:bottom w:val="single" w:sz="4" w:space="0" w:color="A6A6A6" w:themeColor="background1" w:themeShade="A6"/>
            </w:tcBorders>
          </w:tcPr>
          <w:p w:rsidR="000D44A5" w:rsidRPr="00A01FD7" w:rsidRDefault="000D44A5" w:rsidP="007B3A51">
            <w:pPr>
              <w:pStyle w:val="TableText"/>
              <w:spacing w:before="55" w:after="55"/>
            </w:pPr>
            <w:r w:rsidRPr="00A01FD7">
              <w:t>Women giving birth in the Māori ethnic group / Female population aged 15–44 years in the Māori ethnic group * 1</w:t>
            </w:r>
            <w:r w:rsidR="00CD7384">
              <w:t>,</w:t>
            </w:r>
            <w:r w:rsidRPr="00A01FD7">
              <w:t>000</w:t>
            </w:r>
          </w:p>
        </w:tc>
        <w:tc>
          <w:tcPr>
            <w:tcW w:w="3827" w:type="dxa"/>
            <w:tcBorders>
              <w:top w:val="nil"/>
              <w:bottom w:val="single" w:sz="4" w:space="0" w:color="A6A6A6" w:themeColor="background1" w:themeShade="A6"/>
            </w:tcBorders>
          </w:tcPr>
          <w:p w:rsidR="000D44A5" w:rsidRPr="00A01FD7" w:rsidRDefault="000D44A5" w:rsidP="007B3A51">
            <w:pPr>
              <w:pStyle w:val="TableText"/>
              <w:spacing w:before="55" w:after="55"/>
            </w:pPr>
            <w:r w:rsidRPr="00A01FD7">
              <w:t>Women giving birth in the European or Other ethnic group / Female population aged 15–44 years in the European or Other ethnic group * 1</w:t>
            </w:r>
            <w:r w:rsidR="00CD7384">
              <w:t>,</w:t>
            </w:r>
            <w:r w:rsidRPr="00A01FD7">
              <w:t>000</w:t>
            </w:r>
          </w:p>
        </w:tc>
      </w:tr>
      <w:tr w:rsidR="000D44A5" w:rsidRPr="00A01FD7" w:rsidTr="007B3A51">
        <w:trPr>
          <w:cantSplit/>
        </w:trPr>
        <w:tc>
          <w:tcPr>
            <w:tcW w:w="1560" w:type="dxa"/>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rsidRPr="00A01FD7">
              <w:t>Calculation</w:t>
            </w:r>
          </w:p>
        </w:tc>
        <w:tc>
          <w:tcPr>
            <w:tcW w:w="3969" w:type="dxa"/>
            <w:gridSpan w:val="2"/>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t>(14,689</w:t>
            </w:r>
            <w:r w:rsidRPr="00A01FD7">
              <w:t xml:space="preserve"> / 15</w:t>
            </w:r>
            <w:r>
              <w:t>9</w:t>
            </w:r>
            <w:r w:rsidRPr="00A01FD7">
              <w:t>,</w:t>
            </w:r>
            <w:r>
              <w:t>830</w:t>
            </w:r>
            <w:r w:rsidRPr="00A01FD7">
              <w:t>) * 1</w:t>
            </w:r>
            <w:r w:rsidR="00CD7384">
              <w:t>,</w:t>
            </w:r>
            <w:r w:rsidRPr="00A01FD7">
              <w:t>000</w:t>
            </w:r>
          </w:p>
        </w:tc>
        <w:tc>
          <w:tcPr>
            <w:tcW w:w="3827" w:type="dxa"/>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rsidRPr="00A01FD7">
              <w:t>(2</w:t>
            </w:r>
            <w:r>
              <w:t>8</w:t>
            </w:r>
            <w:r w:rsidRPr="00A01FD7">
              <w:t>,</w:t>
            </w:r>
            <w:r>
              <w:t>892 / 536</w:t>
            </w:r>
            <w:r w:rsidRPr="00A01FD7">
              <w:t>,</w:t>
            </w:r>
            <w:r>
              <w:t>550</w:t>
            </w:r>
            <w:r w:rsidRPr="00A01FD7">
              <w:t>) * 1</w:t>
            </w:r>
            <w:r w:rsidR="00CD7384">
              <w:t>,</w:t>
            </w:r>
            <w:r w:rsidRPr="00A01FD7">
              <w:t>000</w:t>
            </w:r>
          </w:p>
        </w:tc>
      </w:tr>
      <w:tr w:rsidR="000D44A5" w:rsidRPr="00A01FD7" w:rsidTr="007B3A51">
        <w:trPr>
          <w:cantSplit/>
        </w:trPr>
        <w:tc>
          <w:tcPr>
            <w:tcW w:w="1560" w:type="dxa"/>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rsidRPr="00A01FD7">
              <w:t>Value</w:t>
            </w:r>
          </w:p>
        </w:tc>
        <w:tc>
          <w:tcPr>
            <w:tcW w:w="3969" w:type="dxa"/>
            <w:gridSpan w:val="2"/>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t>91.9</w:t>
            </w:r>
            <w:r w:rsidRPr="00A01FD7">
              <w:t xml:space="preserve"> per 1</w:t>
            </w:r>
            <w:r w:rsidR="00CD7384">
              <w:t>,</w:t>
            </w:r>
            <w:r w:rsidRPr="00A01FD7">
              <w:t>000 females of reproductive age</w:t>
            </w:r>
          </w:p>
        </w:tc>
        <w:tc>
          <w:tcPr>
            <w:tcW w:w="3827" w:type="dxa"/>
            <w:tcBorders>
              <w:top w:val="single" w:sz="4" w:space="0" w:color="A6A6A6" w:themeColor="background1" w:themeShade="A6"/>
              <w:bottom w:val="single" w:sz="4" w:space="0" w:color="A6A6A6" w:themeColor="background1" w:themeShade="A6"/>
            </w:tcBorders>
          </w:tcPr>
          <w:p w:rsidR="000D44A5" w:rsidRPr="00A01FD7" w:rsidRDefault="000D44A5" w:rsidP="007B3A51">
            <w:pPr>
              <w:pStyle w:val="TableText"/>
              <w:spacing w:before="55" w:after="55"/>
            </w:pPr>
            <w:r>
              <w:t>5</w:t>
            </w:r>
            <w:r w:rsidRPr="00A01FD7">
              <w:t>3</w:t>
            </w:r>
            <w:r>
              <w:t>.8</w:t>
            </w:r>
            <w:r w:rsidRPr="00A01FD7">
              <w:t xml:space="preserve"> per 1</w:t>
            </w:r>
            <w:r w:rsidR="00CD7384">
              <w:t>,</w:t>
            </w:r>
            <w:r w:rsidRPr="00A01FD7">
              <w:t>000 females of reproductive age</w:t>
            </w:r>
          </w:p>
        </w:tc>
      </w:tr>
      <w:tr w:rsidR="000D44A5" w:rsidRPr="00AF16D8" w:rsidTr="007B3A51">
        <w:trPr>
          <w:cantSplit/>
        </w:trPr>
        <w:tc>
          <w:tcPr>
            <w:tcW w:w="1560" w:type="dxa"/>
            <w:tcBorders>
              <w:top w:val="single" w:sz="4" w:space="0" w:color="A6A6A6" w:themeColor="background1" w:themeShade="A6"/>
            </w:tcBorders>
          </w:tcPr>
          <w:p w:rsidR="000D44A5" w:rsidRPr="00A01FD7" w:rsidRDefault="000D44A5" w:rsidP="007B3A51">
            <w:pPr>
              <w:pStyle w:val="TableText"/>
              <w:spacing w:before="55" w:after="55"/>
            </w:pPr>
            <w:r w:rsidRPr="00A01FD7">
              <w:t>Interpretation</w:t>
            </w:r>
          </w:p>
        </w:tc>
        <w:tc>
          <w:tcPr>
            <w:tcW w:w="3969" w:type="dxa"/>
            <w:gridSpan w:val="2"/>
            <w:tcBorders>
              <w:top w:val="single" w:sz="4" w:space="0" w:color="A6A6A6" w:themeColor="background1" w:themeShade="A6"/>
            </w:tcBorders>
          </w:tcPr>
          <w:p w:rsidR="000D44A5" w:rsidRPr="00A01FD7" w:rsidRDefault="000D44A5" w:rsidP="007B3A51">
            <w:pPr>
              <w:pStyle w:val="TableText"/>
              <w:spacing w:before="55" w:after="55"/>
            </w:pPr>
            <w:r w:rsidRPr="00A01FD7">
              <w:t>For every 1</w:t>
            </w:r>
            <w:r w:rsidR="00CD7384">
              <w:t>,</w:t>
            </w:r>
            <w:r w:rsidRPr="00A01FD7">
              <w:t>000 females aged 15–44 years of Māori ethnicity, 92 gave birth</w:t>
            </w:r>
          </w:p>
        </w:tc>
        <w:tc>
          <w:tcPr>
            <w:tcW w:w="3827" w:type="dxa"/>
            <w:tcBorders>
              <w:top w:val="single" w:sz="4" w:space="0" w:color="A6A6A6" w:themeColor="background1" w:themeShade="A6"/>
            </w:tcBorders>
          </w:tcPr>
          <w:p w:rsidR="000D44A5" w:rsidRPr="00A01FD7" w:rsidRDefault="000D44A5" w:rsidP="007B3A51">
            <w:pPr>
              <w:pStyle w:val="TableText"/>
              <w:spacing w:before="55" w:after="55"/>
            </w:pPr>
            <w:r w:rsidRPr="00A01FD7">
              <w:t>For every 1</w:t>
            </w:r>
            <w:r w:rsidR="00CD7384">
              <w:t>,</w:t>
            </w:r>
            <w:r w:rsidRPr="00A01FD7">
              <w:t>000 females aged 15–44 years of European or Other ethnicities, 54 gave birth</w:t>
            </w:r>
          </w:p>
        </w:tc>
      </w:tr>
    </w:tbl>
    <w:p w:rsidR="000D44A5" w:rsidRPr="00AF16D8" w:rsidRDefault="000D44A5" w:rsidP="007B3A51">
      <w:pPr>
        <w:rPr>
          <w:highlight w:val="yellow"/>
        </w:rPr>
      </w:pPr>
    </w:p>
    <w:p w:rsidR="000D44A5" w:rsidRPr="00A01FD7" w:rsidRDefault="000D44A5" w:rsidP="007B3A51">
      <w:pPr>
        <w:pStyle w:val="Heading3"/>
      </w:pPr>
      <w:r w:rsidRPr="00A01FD7">
        <w:lastRenderedPageBreak/>
        <w:t>Commonly used terms</w:t>
      </w:r>
    </w:p>
    <w:p w:rsidR="000D44A5" w:rsidRPr="00A01FD7" w:rsidRDefault="000D44A5" w:rsidP="007B3A51">
      <w:r w:rsidRPr="00A01FD7">
        <w:t>Definitions for key terms are usually provided at the start of the relevant section. The Glossary provides a list of common terms and their descriptions or definitions.</w:t>
      </w:r>
    </w:p>
    <w:p w:rsidR="000D44A5" w:rsidRPr="00A01FD7" w:rsidRDefault="000D44A5" w:rsidP="007B3A51"/>
    <w:p w:rsidR="000D44A5" w:rsidRPr="00A01FD7" w:rsidRDefault="000D44A5" w:rsidP="007B3A51">
      <w:pPr>
        <w:pStyle w:val="Heading2"/>
      </w:pPr>
      <w:bookmarkStart w:id="44" w:name="_Toc431462718"/>
      <w:bookmarkStart w:id="45" w:name="_Toc479583256"/>
      <w:bookmarkStart w:id="46" w:name="_Toc485542624"/>
      <w:bookmarkEnd w:id="29"/>
      <w:bookmarkEnd w:id="30"/>
      <w:bookmarkEnd w:id="31"/>
      <w:bookmarkEnd w:id="32"/>
      <w:bookmarkEnd w:id="33"/>
      <w:bookmarkEnd w:id="34"/>
      <w:r w:rsidRPr="00A01FD7">
        <w:t>Additional information</w:t>
      </w:r>
      <w:bookmarkEnd w:id="35"/>
      <w:bookmarkEnd w:id="36"/>
      <w:bookmarkEnd w:id="37"/>
      <w:bookmarkEnd w:id="44"/>
      <w:bookmarkEnd w:id="45"/>
      <w:bookmarkEnd w:id="46"/>
    </w:p>
    <w:p w:rsidR="000D44A5" w:rsidRPr="00A01FD7" w:rsidRDefault="000D44A5" w:rsidP="007B3A51">
      <w:r w:rsidRPr="00A01FD7">
        <w:t xml:space="preserve">A set of online tables was produced to accompany this publication, and is available from the </w:t>
      </w:r>
      <w:hyperlink r:id="rId21" w:history="1">
        <w:r w:rsidRPr="00A01FD7">
          <w:rPr>
            <w:rStyle w:val="Hyperlink"/>
          </w:rPr>
          <w:t>Ministry of Health</w:t>
        </w:r>
        <w:r w:rsidR="00CB6D20">
          <w:rPr>
            <w:rStyle w:val="Hyperlink"/>
          </w:rPr>
          <w:t>’</w:t>
        </w:r>
        <w:r w:rsidRPr="00A01FD7">
          <w:rPr>
            <w:rStyle w:val="Hyperlink"/>
          </w:rPr>
          <w:t>s website</w:t>
        </w:r>
      </w:hyperlink>
      <w:r w:rsidRPr="00A01FD7">
        <w:rPr>
          <w:rStyle w:val="Hyperlink"/>
        </w:rPr>
        <w:t xml:space="preserve"> </w:t>
      </w:r>
      <w:r w:rsidR="005702AE">
        <w:rPr>
          <w:rStyle w:val="Hyperlink"/>
        </w:rPr>
        <w:t>(</w:t>
      </w:r>
      <w:r w:rsidRPr="00A01FD7">
        <w:rPr>
          <w:rStyle w:val="Hyperlink"/>
        </w:rPr>
        <w:t>www.</w:t>
      </w:r>
      <w:hyperlink r:id="rId22" w:history="1">
        <w:r w:rsidRPr="00A01FD7">
          <w:rPr>
            <w:rStyle w:val="Hyperlink"/>
          </w:rPr>
          <w:t>health.govt.nz</w:t>
        </w:r>
      </w:hyperlink>
      <w:r w:rsidR="005702AE">
        <w:rPr>
          <w:rStyle w:val="Hyperlink"/>
        </w:rPr>
        <w:t>)</w:t>
      </w:r>
      <w:r>
        <w:rPr>
          <w:rStyle w:val="Hyperlink"/>
        </w:rPr>
        <w:t>.</w:t>
      </w:r>
      <w:r w:rsidRPr="00A01FD7">
        <w:t xml:space="preserve"> These tables include the underlying data for all graphs and maps presented in this publication.</w:t>
      </w:r>
    </w:p>
    <w:p w:rsidR="000D44A5" w:rsidRPr="00A01FD7" w:rsidRDefault="000D44A5" w:rsidP="007B3A51"/>
    <w:p w:rsidR="000D44A5" w:rsidRPr="00A01FD7" w:rsidRDefault="000D44A5" w:rsidP="007B3A51">
      <w:r w:rsidRPr="00A01FD7">
        <w:t>If you require information not included in this publication or in the accompanying online tables, the Ministry of Health is able to produce customised data extracts tailored to your needs. These may incur a charge (at Official Information Act rates). The contact details are as follows:</w:t>
      </w:r>
    </w:p>
    <w:p w:rsidR="000D44A5" w:rsidRPr="00A01FD7" w:rsidRDefault="000D44A5" w:rsidP="000D44A5">
      <w:pPr>
        <w:spacing w:before="120"/>
        <w:ind w:left="567"/>
      </w:pPr>
      <w:r w:rsidRPr="00A01FD7">
        <w:t>Postal address:</w:t>
      </w:r>
      <w:r w:rsidRPr="00A01FD7">
        <w:tab/>
        <w:t>Analytical Services</w:t>
      </w:r>
    </w:p>
    <w:p w:rsidR="000D44A5" w:rsidRPr="00A01FD7" w:rsidRDefault="000D44A5" w:rsidP="000D44A5">
      <w:pPr>
        <w:ind w:left="2268"/>
      </w:pPr>
      <w:r w:rsidRPr="00A01FD7">
        <w:t>Ministry of Health</w:t>
      </w:r>
    </w:p>
    <w:p w:rsidR="000D44A5" w:rsidRPr="00A01FD7" w:rsidRDefault="000D44A5" w:rsidP="000D44A5">
      <w:pPr>
        <w:ind w:left="2268"/>
      </w:pPr>
      <w:r w:rsidRPr="00A01FD7">
        <w:t>PO Box 5013</w:t>
      </w:r>
    </w:p>
    <w:p w:rsidR="000D44A5" w:rsidRPr="00A01FD7" w:rsidRDefault="000D44A5" w:rsidP="000D44A5">
      <w:pPr>
        <w:ind w:left="2268"/>
      </w:pPr>
      <w:r w:rsidRPr="00A01FD7">
        <w:t>Wellington 6145</w:t>
      </w:r>
    </w:p>
    <w:p w:rsidR="000D44A5" w:rsidRPr="00A01FD7" w:rsidRDefault="000D44A5" w:rsidP="000D44A5">
      <w:pPr>
        <w:spacing w:after="120"/>
        <w:ind w:left="2268"/>
      </w:pPr>
      <w:r w:rsidRPr="00A01FD7">
        <w:t>New Zealand</w:t>
      </w:r>
    </w:p>
    <w:p w:rsidR="000D44A5" w:rsidRPr="00A01FD7" w:rsidRDefault="000D44A5" w:rsidP="000D44A5">
      <w:pPr>
        <w:spacing w:after="120"/>
        <w:ind w:left="2268" w:hanging="1701"/>
      </w:pPr>
      <w:r w:rsidRPr="00A01FD7">
        <w:t>Email:</w:t>
      </w:r>
      <w:r w:rsidRPr="00A01FD7">
        <w:tab/>
      </w:r>
      <w:hyperlink r:id="rId23" w:history="1">
        <w:r w:rsidRPr="00A01FD7">
          <w:rPr>
            <w:rStyle w:val="Hyperlink"/>
          </w:rPr>
          <w:t>data-enquiries@moh.govt.nz</w:t>
        </w:r>
      </w:hyperlink>
    </w:p>
    <w:p w:rsidR="000D44A5" w:rsidRPr="00A01FD7" w:rsidRDefault="000D44A5" w:rsidP="000D44A5">
      <w:pPr>
        <w:spacing w:after="120"/>
        <w:ind w:left="2268" w:hanging="1701"/>
      </w:pPr>
      <w:r w:rsidRPr="00A01FD7">
        <w:t>Phone:</w:t>
      </w:r>
      <w:r w:rsidRPr="00A01FD7">
        <w:tab/>
        <w:t>(04) 496 2000</w:t>
      </w:r>
    </w:p>
    <w:p w:rsidR="000D44A5" w:rsidRPr="00AF16D8" w:rsidRDefault="000D44A5" w:rsidP="007B3A51">
      <w:pPr>
        <w:rPr>
          <w:highlight w:val="yellow"/>
        </w:rPr>
      </w:pPr>
    </w:p>
    <w:p w:rsidR="000D44A5" w:rsidRPr="00330332" w:rsidRDefault="000D44A5" w:rsidP="007B3A51">
      <w:pPr>
        <w:pStyle w:val="Heading1"/>
      </w:pPr>
      <w:bookmarkStart w:id="47" w:name="_Toc405887002"/>
      <w:bookmarkStart w:id="48" w:name="_Ref409532073"/>
      <w:bookmarkStart w:id="49" w:name="_Toc412122395"/>
      <w:bookmarkStart w:id="50" w:name="_Toc431462719"/>
      <w:bookmarkStart w:id="51" w:name="_Toc479583257"/>
      <w:bookmarkStart w:id="52" w:name="_Toc485542625"/>
      <w:r w:rsidRPr="00330332">
        <w:lastRenderedPageBreak/>
        <w:t>Women giving birth</w:t>
      </w:r>
      <w:bookmarkEnd w:id="47"/>
      <w:bookmarkEnd w:id="48"/>
      <w:bookmarkEnd w:id="49"/>
      <w:bookmarkEnd w:id="50"/>
      <w:bookmarkEnd w:id="51"/>
      <w:bookmarkEnd w:id="52"/>
    </w:p>
    <w:p w:rsidR="000D44A5" w:rsidRPr="007B3A51" w:rsidRDefault="000D44A5" w:rsidP="007B3A51">
      <w:r w:rsidRPr="00330332">
        <w:t>This chapter aims to describ</w:t>
      </w:r>
      <w:r>
        <w:t>e the demographic profile of</w:t>
      </w:r>
      <w:r w:rsidRPr="00330332">
        <w:t xml:space="preserve"> women giving birth and selected anten</w:t>
      </w:r>
      <w:r>
        <w:t xml:space="preserve">atal factors. It contains the following </w:t>
      </w:r>
      <w:r w:rsidRPr="00330332">
        <w:t>sections: Age; Ethnicity; Deprivation; Geographic distribution; Parity; Body mass index; Smoking status; and Primary maternity care.</w:t>
      </w:r>
    </w:p>
    <w:p w:rsidR="000D44A5" w:rsidRPr="00330332" w:rsidRDefault="000D44A5" w:rsidP="007B3A51"/>
    <w:p w:rsidR="000D44A5" w:rsidRPr="00AF16D8" w:rsidRDefault="000D44A5" w:rsidP="007B3A51">
      <w:pPr>
        <w:rPr>
          <w:highlight w:val="yellow"/>
        </w:rPr>
      </w:pPr>
      <w:r w:rsidRPr="00330332">
        <w:t xml:space="preserve">There were 58,957 women recorded as </w:t>
      </w:r>
      <w:r w:rsidRPr="00757E0A">
        <w:t>giving birth in New Zealand during 2015 (including 50</w:t>
      </w:r>
      <w:r w:rsidR="007B3A51">
        <w:t> </w:t>
      </w:r>
      <w:r w:rsidRPr="00757E0A">
        <w:t>women who gave birth twice during this time). Approximately</w:t>
      </w:r>
      <w:r w:rsidRPr="004C0D64">
        <w:t xml:space="preserve"> 1 in every 15 females in the population aged 15–44 years gave birth in 2015.</w:t>
      </w:r>
      <w:r w:rsidRPr="00330332">
        <w:t xml:space="preserve"> This is represented as a birth rate of 63.6 births per 1</w:t>
      </w:r>
      <w:r w:rsidR="00CD7384">
        <w:t>,</w:t>
      </w:r>
      <w:r w:rsidRPr="00330332">
        <w:t xml:space="preserve">000 females of reproductive </w:t>
      </w:r>
      <w:r w:rsidRPr="0066331D">
        <w:t>age. The 2015 rate was slightly lower than the 2014 rate (65.0</w:t>
      </w:r>
      <w:r w:rsidR="007B3A51">
        <w:t> </w:t>
      </w:r>
      <w:r w:rsidRPr="00330332">
        <w:t>per 1</w:t>
      </w:r>
      <w:r w:rsidR="00CD7384">
        <w:t>,</w:t>
      </w:r>
      <w:r w:rsidRPr="00330332">
        <w:t>000</w:t>
      </w:r>
      <w:r>
        <w:t xml:space="preserve"> females of reproductive age). From 2006 to 2015, b</w:t>
      </w:r>
      <w:r w:rsidRPr="00330332">
        <w:t xml:space="preserve">irth rates fluctuated between 63.6 and 71.1 births per </w:t>
      </w:r>
      <w:r>
        <w:t>1</w:t>
      </w:r>
      <w:r w:rsidR="00CD7384">
        <w:t>,</w:t>
      </w:r>
      <w:r>
        <w:t>000 females of reproductive age</w:t>
      </w:r>
      <w:r w:rsidRPr="00330332">
        <w:t>.</w:t>
      </w:r>
    </w:p>
    <w:p w:rsidR="000D44A5" w:rsidRPr="00AF16D8" w:rsidRDefault="000D44A5" w:rsidP="007B3A51">
      <w:pPr>
        <w:rPr>
          <w:highlight w:val="yellow"/>
        </w:rPr>
      </w:pPr>
    </w:p>
    <w:p w:rsidR="000D44A5" w:rsidRPr="00330332" w:rsidRDefault="000D44A5" w:rsidP="007B3A51">
      <w:pPr>
        <w:pStyle w:val="Heading2"/>
      </w:pPr>
      <w:bookmarkStart w:id="53" w:name="_Ref405478784"/>
      <w:bookmarkStart w:id="54" w:name="_Toc405887003"/>
      <w:bookmarkStart w:id="55" w:name="_Toc412122396"/>
      <w:bookmarkStart w:id="56" w:name="_Toc431462720"/>
      <w:bookmarkStart w:id="57" w:name="_Toc479583258"/>
      <w:bookmarkStart w:id="58" w:name="_Toc485542626"/>
      <w:r w:rsidRPr="00330332">
        <w:t>Age</w:t>
      </w:r>
      <w:bookmarkEnd w:id="53"/>
      <w:bookmarkEnd w:id="54"/>
      <w:bookmarkEnd w:id="55"/>
      <w:bookmarkEnd w:id="56"/>
      <w:bookmarkEnd w:id="57"/>
      <w:bookmarkEnd w:id="58"/>
    </w:p>
    <w:p w:rsidR="000D44A5" w:rsidRPr="00AF16D8" w:rsidRDefault="000D44A5" w:rsidP="007B3A51">
      <w:pPr>
        <w:rPr>
          <w:highlight w:val="yellow"/>
        </w:rPr>
      </w:pPr>
      <w:r w:rsidRPr="00330332">
        <w:t>The median age of women giving birth in 2015 was 30 years;</w:t>
      </w:r>
      <w:r w:rsidRPr="007B3A51">
        <w:rPr>
          <w:rStyle w:val="FootnoteReference"/>
        </w:rPr>
        <w:footnoteReference w:id="2"/>
      </w:r>
      <w:r w:rsidRPr="00330332">
        <w:t xml:space="preserve"> more than half of the women giving birth in 2015 were either in the 25–29 years or the 30–34 years age groups (26.9% and 30.6%, respectively). There were 2</w:t>
      </w:r>
      <w:r w:rsidR="005702AE">
        <w:t>,</w:t>
      </w:r>
      <w:r w:rsidRPr="00330332">
        <w:t xml:space="preserve">799 women aged </w:t>
      </w:r>
      <w:r>
        <w:t xml:space="preserve">under </w:t>
      </w:r>
      <w:r w:rsidRPr="00330332">
        <w:t xml:space="preserve">20 years </w:t>
      </w:r>
      <w:r>
        <w:t>and</w:t>
      </w:r>
      <w:r w:rsidRPr="00330332">
        <w:t xml:space="preserve"> 2</w:t>
      </w:r>
      <w:r w:rsidR="00CD7384">
        <w:t>,</w:t>
      </w:r>
      <w:r w:rsidRPr="00330332">
        <w:t>466 women aged 40</w:t>
      </w:r>
      <w:r w:rsidR="007B3A51">
        <w:t> </w:t>
      </w:r>
      <w:r w:rsidRPr="00330332">
        <w:t>years and over who gave birth. Approximately 9% of all women giving birth were in these two age groups (</w:t>
      </w:r>
      <w:r w:rsidRPr="00330332">
        <w:fldChar w:fldCharType="begin"/>
      </w:r>
      <w:r w:rsidRPr="00330332">
        <w:instrText xml:space="preserve"> REF _Ref428454974 \h  \* MERGEFORMAT </w:instrText>
      </w:r>
      <w:r w:rsidRPr="00330332">
        <w:fldChar w:fldCharType="separate"/>
      </w:r>
      <w:r w:rsidR="00071E85" w:rsidRPr="00330332">
        <w:t xml:space="preserve">Figure </w:t>
      </w:r>
      <w:r w:rsidR="00071E85">
        <w:rPr>
          <w:noProof/>
        </w:rPr>
        <w:t>1</w:t>
      </w:r>
      <w:r w:rsidRPr="00330332">
        <w:fldChar w:fldCharType="end"/>
      </w:r>
      <w:r w:rsidRPr="00330332">
        <w:t>).</w:t>
      </w:r>
    </w:p>
    <w:p w:rsidR="000D44A5" w:rsidRPr="00AF16D8" w:rsidRDefault="000D44A5" w:rsidP="007B3A51">
      <w:pPr>
        <w:rPr>
          <w:highlight w:val="yellow"/>
        </w:rPr>
      </w:pPr>
    </w:p>
    <w:p w:rsidR="000D44A5" w:rsidRPr="00330332" w:rsidRDefault="000D44A5" w:rsidP="007B3A51">
      <w:pPr>
        <w:pStyle w:val="Figure"/>
      </w:pPr>
      <w:bookmarkStart w:id="59" w:name="_Ref428454974"/>
      <w:bookmarkStart w:id="60" w:name="_Toc400706127"/>
      <w:bookmarkStart w:id="61" w:name="_Toc405886935"/>
      <w:bookmarkStart w:id="62" w:name="_Toc412122423"/>
      <w:bookmarkStart w:id="63" w:name="_Toc428799363"/>
      <w:bookmarkStart w:id="64" w:name="_Toc433389760"/>
      <w:bookmarkStart w:id="65" w:name="_Toc485114332"/>
      <w:bookmarkStart w:id="66" w:name="_Toc485542668"/>
      <w:r w:rsidRPr="00330332">
        <w:t xml:space="preserve">Figure </w:t>
      </w:r>
      <w:r w:rsidR="00071E85">
        <w:fldChar w:fldCharType="begin"/>
      </w:r>
      <w:r w:rsidR="00071E85">
        <w:instrText xml:space="preserve"> SEQ Figure \* ARABIC </w:instrText>
      </w:r>
      <w:r w:rsidR="00071E85">
        <w:fldChar w:fldCharType="separate"/>
      </w:r>
      <w:r w:rsidR="00071E85">
        <w:rPr>
          <w:noProof/>
        </w:rPr>
        <w:t>1</w:t>
      </w:r>
      <w:r w:rsidR="00071E85">
        <w:rPr>
          <w:noProof/>
        </w:rPr>
        <w:fldChar w:fldCharType="end"/>
      </w:r>
      <w:bookmarkEnd w:id="59"/>
      <w:r w:rsidRPr="00330332">
        <w:rPr>
          <w:noProof/>
        </w:rPr>
        <w:t>:</w:t>
      </w:r>
      <w:r w:rsidRPr="00330332">
        <w:t xml:space="preserve"> Percentage of women giving birth, by age group (years), </w:t>
      </w:r>
      <w:bookmarkEnd w:id="60"/>
      <w:bookmarkEnd w:id="61"/>
      <w:bookmarkEnd w:id="62"/>
      <w:r w:rsidRPr="00330332">
        <w:t>201</w:t>
      </w:r>
      <w:bookmarkEnd w:id="63"/>
      <w:bookmarkEnd w:id="64"/>
      <w:r w:rsidRPr="00330332">
        <w:t>5</w:t>
      </w:r>
      <w:bookmarkEnd w:id="65"/>
      <w:bookmarkEnd w:id="66"/>
    </w:p>
    <w:p w:rsidR="000D44A5" w:rsidRPr="00AF16D8" w:rsidRDefault="000D44A5" w:rsidP="000D44A5">
      <w:pPr>
        <w:rPr>
          <w:highlight w:val="yellow"/>
        </w:rPr>
      </w:pPr>
      <w:r w:rsidRPr="00330332">
        <w:rPr>
          <w:noProof/>
          <w:lang w:eastAsia="en-NZ"/>
        </w:rPr>
        <w:drawing>
          <wp:inline distT="0" distB="0" distL="0" distR="0" wp14:anchorId="10D6B2E7" wp14:editId="179A01B1">
            <wp:extent cx="4651668" cy="2252749"/>
            <wp:effectExtent l="0" t="0" r="0" b="0"/>
            <wp:docPr id="1" name="Picture 1" title="Figure 1: Percentage of women giving birth, by age group (year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955" t="2485" r="1779" b="4514"/>
                    <a:stretch/>
                  </pic:blipFill>
                  <pic:spPr bwMode="auto">
                    <a:xfrm>
                      <a:off x="0" y="0"/>
                      <a:ext cx="4661818" cy="2257665"/>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330332" w:rsidRDefault="000D44A5" w:rsidP="007B3A51">
      <w:pPr>
        <w:pStyle w:val="Note"/>
      </w:pPr>
      <w:r w:rsidRPr="00330332">
        <w:t>Note: The number on each bar is the number of women giving birth in that age group.</w:t>
      </w:r>
    </w:p>
    <w:p w:rsidR="000D44A5" w:rsidRPr="00330332" w:rsidRDefault="000D44A5" w:rsidP="007B3A51">
      <w:pPr>
        <w:pStyle w:val="Source"/>
      </w:pPr>
      <w:r>
        <w:t>Source</w:t>
      </w:r>
      <w:r w:rsidRPr="00330332">
        <w:t>:</w:t>
      </w:r>
      <w:r>
        <w:t xml:space="preserve"> National Maternity Collection</w:t>
      </w:r>
    </w:p>
    <w:p w:rsidR="000D44A5" w:rsidRPr="00330332" w:rsidRDefault="000D44A5" w:rsidP="007B3A51"/>
    <w:p w:rsidR="000D44A5" w:rsidRPr="00330332" w:rsidRDefault="000D44A5" w:rsidP="007B3A51">
      <w:r w:rsidRPr="00330332">
        <w:t>The highest birth rate in 2015 was for the 30–34 years age group, in which there were 121.4 births per 1</w:t>
      </w:r>
      <w:r w:rsidR="00CD7384">
        <w:t>,</w:t>
      </w:r>
      <w:r w:rsidRPr="00330332">
        <w:t>000 females of reproductive age, followed by the 25–29 years age group (101.0 per 1</w:t>
      </w:r>
      <w:r w:rsidR="00CD7384">
        <w:t>,</w:t>
      </w:r>
      <w:r w:rsidRPr="00330332">
        <w:t xml:space="preserve">000 females of reproductive age). Rates were lowest for the 40 years and over and </w:t>
      </w:r>
      <w:r>
        <w:t xml:space="preserve">under </w:t>
      </w:r>
      <w:r w:rsidRPr="00330332">
        <w:t>20 years age groups (15.2 and 18.3 per 1</w:t>
      </w:r>
      <w:r w:rsidR="00CD7384">
        <w:t>,</w:t>
      </w:r>
      <w:r w:rsidRPr="00330332">
        <w:t>000 females of reproductive age, respectively).</w:t>
      </w:r>
    </w:p>
    <w:p w:rsidR="000D44A5" w:rsidRPr="00AF16D8" w:rsidRDefault="000D44A5" w:rsidP="007B3A51">
      <w:pPr>
        <w:rPr>
          <w:highlight w:val="yellow"/>
        </w:rPr>
      </w:pPr>
    </w:p>
    <w:p w:rsidR="000D44A5" w:rsidRPr="00AF16D8" w:rsidRDefault="000D44A5" w:rsidP="007B3A51">
      <w:pPr>
        <w:keepLines/>
        <w:rPr>
          <w:highlight w:val="yellow"/>
        </w:rPr>
      </w:pPr>
      <w:r>
        <w:lastRenderedPageBreak/>
        <w:t>B</w:t>
      </w:r>
      <w:r w:rsidRPr="006D5022">
        <w:t>irth ra</w:t>
      </w:r>
      <w:r>
        <w:t xml:space="preserve">tes for younger women (&lt;20 years, </w:t>
      </w:r>
      <w:r w:rsidRPr="0066331D">
        <w:t>20–24 years</w:t>
      </w:r>
      <w:r>
        <w:t xml:space="preserve"> and 25–29 years</w:t>
      </w:r>
      <w:r w:rsidRPr="0066331D">
        <w:t xml:space="preserve"> age groups) in 2015 w</w:t>
      </w:r>
      <w:r>
        <w:t>ere</w:t>
      </w:r>
      <w:r w:rsidRPr="0066331D">
        <w:t xml:space="preserve"> statistically significantly lower than </w:t>
      </w:r>
      <w:r>
        <w:t>they were</w:t>
      </w:r>
      <w:r w:rsidRPr="0066331D">
        <w:t xml:space="preserve"> in 2006. In particular</w:t>
      </w:r>
      <w:r w:rsidRPr="006D5022">
        <w:t>, the birth rate for women aged</w:t>
      </w:r>
      <w:r>
        <w:t xml:space="preserve"> under</w:t>
      </w:r>
      <w:r w:rsidRPr="006D5022">
        <w:t xml:space="preserve"> 20 years</w:t>
      </w:r>
      <w:r>
        <w:t xml:space="preserve"> </w:t>
      </w:r>
      <w:r w:rsidRPr="006D5022">
        <w:t>fell by over one-third between 2006 and 2015 (from 29.1 to 18.3 per 1</w:t>
      </w:r>
      <w:r w:rsidR="00CD7384">
        <w:t>,</w:t>
      </w:r>
      <w:r w:rsidRPr="006D5022">
        <w:t xml:space="preserve">000 females of </w:t>
      </w:r>
      <w:r>
        <w:t>reproductive age). During this time, b</w:t>
      </w:r>
      <w:r w:rsidRPr="0066331D">
        <w:t>irth rates for women aged 35 years and over showed a</w:t>
      </w:r>
      <w:r>
        <w:t xml:space="preserve"> significant increase</w:t>
      </w:r>
      <w:r w:rsidRPr="0066331D">
        <w:t xml:space="preserve">. </w:t>
      </w:r>
      <w:r w:rsidRPr="006D5022">
        <w:t>Notably, the birth rate for women aged 40 years and over increased by 15</w:t>
      </w:r>
      <w:r>
        <w:t>%</w:t>
      </w:r>
      <w:r w:rsidRPr="006D5022">
        <w:t>, from 13.3 to 15.2 per 1</w:t>
      </w:r>
      <w:r w:rsidR="00CD7384">
        <w:t>,</w:t>
      </w:r>
      <w:r w:rsidRPr="006D5022">
        <w:t>000 females of reproductive age (</w:t>
      </w:r>
      <w:r w:rsidRPr="006D5022">
        <w:fldChar w:fldCharType="begin"/>
      </w:r>
      <w:r w:rsidRPr="006D5022">
        <w:instrText xml:space="preserve"> REF _Ref428454982 \h  \* MERGEFORMAT </w:instrText>
      </w:r>
      <w:r w:rsidRPr="006D5022">
        <w:fldChar w:fldCharType="separate"/>
      </w:r>
      <w:r w:rsidR="00071E85" w:rsidRPr="006D5022">
        <w:t xml:space="preserve">Figure </w:t>
      </w:r>
      <w:r w:rsidR="00071E85">
        <w:rPr>
          <w:noProof/>
        </w:rPr>
        <w:t>2</w:t>
      </w:r>
      <w:r w:rsidRPr="006D5022">
        <w:fldChar w:fldCharType="end"/>
      </w:r>
      <w:r w:rsidRPr="006D5022">
        <w:t>).</w:t>
      </w:r>
    </w:p>
    <w:p w:rsidR="000D44A5" w:rsidRPr="00AF16D8" w:rsidRDefault="000D44A5" w:rsidP="007B3A51">
      <w:pPr>
        <w:rPr>
          <w:highlight w:val="yellow"/>
        </w:rPr>
      </w:pPr>
    </w:p>
    <w:p w:rsidR="000D44A5" w:rsidRPr="006D5022" w:rsidRDefault="000D44A5" w:rsidP="007B3A51">
      <w:pPr>
        <w:pStyle w:val="Figure"/>
      </w:pPr>
      <w:bookmarkStart w:id="67" w:name="_Ref428454982"/>
      <w:bookmarkStart w:id="68" w:name="_Toc400706128"/>
      <w:bookmarkStart w:id="69" w:name="_Toc405886936"/>
      <w:bookmarkStart w:id="70" w:name="_Toc412122424"/>
      <w:bookmarkStart w:id="71" w:name="_Toc428799364"/>
      <w:bookmarkStart w:id="72" w:name="_Toc433389761"/>
      <w:bookmarkStart w:id="73" w:name="_Toc485114333"/>
      <w:bookmarkStart w:id="74" w:name="_Toc485542669"/>
      <w:r w:rsidRPr="006D5022">
        <w:t xml:space="preserve">Figure </w:t>
      </w:r>
      <w:r w:rsidR="00071E85">
        <w:fldChar w:fldCharType="begin"/>
      </w:r>
      <w:r w:rsidR="00071E85">
        <w:instrText xml:space="preserve"> SEQ Figure \* ARABIC </w:instrText>
      </w:r>
      <w:r w:rsidR="00071E85">
        <w:fldChar w:fldCharType="separate"/>
      </w:r>
      <w:r w:rsidR="00071E85">
        <w:rPr>
          <w:noProof/>
        </w:rPr>
        <w:t>2</w:t>
      </w:r>
      <w:r w:rsidR="00071E85">
        <w:rPr>
          <w:noProof/>
        </w:rPr>
        <w:fldChar w:fldCharType="end"/>
      </w:r>
      <w:bookmarkEnd w:id="67"/>
      <w:r w:rsidRPr="006D5022">
        <w:rPr>
          <w:noProof/>
        </w:rPr>
        <w:t>:</w:t>
      </w:r>
      <w:r w:rsidRPr="006D5022">
        <w:t xml:space="preserve"> Birth rate, by age group, 2006–201</w:t>
      </w:r>
      <w:bookmarkEnd w:id="68"/>
      <w:bookmarkEnd w:id="69"/>
      <w:bookmarkEnd w:id="70"/>
      <w:bookmarkEnd w:id="71"/>
      <w:bookmarkEnd w:id="72"/>
      <w:r w:rsidRPr="006D5022">
        <w:t>5</w:t>
      </w:r>
      <w:bookmarkEnd w:id="73"/>
      <w:bookmarkEnd w:id="74"/>
    </w:p>
    <w:p w:rsidR="000D44A5" w:rsidRPr="00AF16D8" w:rsidRDefault="000D44A5" w:rsidP="000D44A5">
      <w:pPr>
        <w:rPr>
          <w:highlight w:val="yellow"/>
        </w:rPr>
      </w:pPr>
      <w:r>
        <w:rPr>
          <w:noProof/>
          <w:lang w:eastAsia="en-NZ"/>
        </w:rPr>
        <w:drawing>
          <wp:inline distT="0" distB="0" distL="0" distR="0" wp14:anchorId="0A3F9881" wp14:editId="44CA3EFE">
            <wp:extent cx="5403272" cy="5020739"/>
            <wp:effectExtent l="0" t="0" r="6985" b="8890"/>
            <wp:docPr id="4" name="Picture 4" title="Figure 2: Birth rate, by age group,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63" r="1410" b="3338"/>
                    <a:stretch/>
                  </pic:blipFill>
                  <pic:spPr bwMode="auto">
                    <a:xfrm>
                      <a:off x="0" y="0"/>
                      <a:ext cx="5410331" cy="5027298"/>
                    </a:xfrm>
                    <a:prstGeom prst="rect">
                      <a:avLst/>
                    </a:prstGeom>
                    <a:ln>
                      <a:noFill/>
                    </a:ln>
                    <a:extLst>
                      <a:ext uri="{53640926-AAD7-44D8-BBD7-CCE9431645EC}">
                        <a14:shadowObscured xmlns:a14="http://schemas.microsoft.com/office/drawing/2010/main"/>
                      </a:ext>
                    </a:extLst>
                  </pic:spPr>
                </pic:pic>
              </a:graphicData>
            </a:graphic>
          </wp:inline>
        </w:drawing>
      </w:r>
    </w:p>
    <w:p w:rsidR="000D44A5" w:rsidRPr="00AF16D8" w:rsidRDefault="000D44A5" w:rsidP="007B3A51">
      <w:pPr>
        <w:pStyle w:val="Source"/>
        <w:rPr>
          <w:highlight w:val="yellow"/>
        </w:rPr>
      </w:pPr>
      <w:r w:rsidRPr="006D5022">
        <w:t>Note: Birth rate is expressed as births per 1</w:t>
      </w:r>
      <w:r w:rsidR="00CD7384">
        <w:t>,</w:t>
      </w:r>
      <w:r w:rsidRPr="006D5022">
        <w:t>000 females of reproductive age (15–44 years).</w:t>
      </w:r>
    </w:p>
    <w:p w:rsidR="000D44A5" w:rsidRDefault="000D44A5" w:rsidP="000D44A5">
      <w:pPr>
        <w:pStyle w:val="Note"/>
        <w:ind w:right="284"/>
      </w:pPr>
      <w:r>
        <w:t>Source: National Maternity Collection</w:t>
      </w:r>
    </w:p>
    <w:p w:rsidR="000D44A5" w:rsidRPr="00AF16D8" w:rsidRDefault="000D44A5" w:rsidP="007B3A51">
      <w:pPr>
        <w:rPr>
          <w:highlight w:val="yellow"/>
        </w:rPr>
      </w:pPr>
      <w:bookmarkStart w:id="75" w:name="_Ref405478793"/>
      <w:bookmarkStart w:id="76" w:name="_Toc405887004"/>
      <w:bookmarkStart w:id="77" w:name="_Toc412122397"/>
    </w:p>
    <w:p w:rsidR="000D44A5" w:rsidRPr="006D5022" w:rsidRDefault="000D44A5" w:rsidP="007B3A51">
      <w:pPr>
        <w:pStyle w:val="Heading2"/>
      </w:pPr>
      <w:bookmarkStart w:id="78" w:name="_Ref413143671"/>
      <w:bookmarkStart w:id="79" w:name="_Toc431462721"/>
      <w:bookmarkStart w:id="80" w:name="_Toc479583259"/>
      <w:bookmarkStart w:id="81" w:name="_Toc485542627"/>
      <w:r w:rsidRPr="006D5022">
        <w:t>Ethnicity</w:t>
      </w:r>
      <w:bookmarkEnd w:id="75"/>
      <w:bookmarkEnd w:id="76"/>
      <w:bookmarkEnd w:id="77"/>
      <w:bookmarkEnd w:id="78"/>
      <w:bookmarkEnd w:id="79"/>
      <w:bookmarkEnd w:id="80"/>
      <w:bookmarkEnd w:id="81"/>
    </w:p>
    <w:p w:rsidR="000D44A5" w:rsidRPr="00D60822" w:rsidRDefault="000D44A5" w:rsidP="007B3A51">
      <w:pPr>
        <w:keepNext/>
      </w:pPr>
      <w:r w:rsidRPr="00D60822">
        <w:t>European women formed the largest proportion of women giving birth in 2015 (46.8%), followed by Māori (24.9%), Asian (excl</w:t>
      </w:r>
      <w:r w:rsidR="007B3A51">
        <w:t>uding</w:t>
      </w:r>
      <w:r w:rsidRPr="00D60822">
        <w:t xml:space="preserve"> Indian) (10.5%), Pacific </w:t>
      </w:r>
      <w:r>
        <w:t xml:space="preserve">peoples </w:t>
      </w:r>
      <w:r w:rsidRPr="00D60822">
        <w:t xml:space="preserve">(10.3%), Indian </w:t>
      </w:r>
      <w:r w:rsidRPr="00D60822">
        <w:lastRenderedPageBreak/>
        <w:t>(5.2%) and other ethnicities, such as Middle Eastern, Latin American or African (2.2%) (</w:t>
      </w:r>
      <w:r w:rsidRPr="00D60822">
        <w:fldChar w:fldCharType="begin"/>
      </w:r>
      <w:r w:rsidRPr="00D60822">
        <w:instrText xml:space="preserve"> REF _Ref428452571 \h  \* MERGEFORMAT </w:instrText>
      </w:r>
      <w:r w:rsidRPr="00D60822">
        <w:fldChar w:fldCharType="separate"/>
      </w:r>
      <w:r w:rsidR="00071E85" w:rsidRPr="00D60822">
        <w:t xml:space="preserve">Figure </w:t>
      </w:r>
      <w:r w:rsidR="00071E85">
        <w:rPr>
          <w:noProof/>
        </w:rPr>
        <w:t>3</w:t>
      </w:r>
      <w:r w:rsidRPr="00D60822">
        <w:fldChar w:fldCharType="end"/>
      </w:r>
      <w:r w:rsidRPr="00D60822">
        <w:t>).</w:t>
      </w:r>
    </w:p>
    <w:p w:rsidR="000D44A5" w:rsidRPr="00D60822" w:rsidRDefault="000D44A5" w:rsidP="007B3A51">
      <w:pPr>
        <w:keepNext/>
      </w:pPr>
    </w:p>
    <w:p w:rsidR="000D44A5" w:rsidRPr="00D60822" w:rsidRDefault="000D44A5" w:rsidP="007B3A51">
      <w:pPr>
        <w:pStyle w:val="Figure"/>
      </w:pPr>
      <w:bookmarkStart w:id="82" w:name="_Ref428452571"/>
      <w:bookmarkStart w:id="83" w:name="_Toc405886937"/>
      <w:bookmarkStart w:id="84" w:name="_Toc412122425"/>
      <w:bookmarkStart w:id="85" w:name="_Toc428799365"/>
      <w:bookmarkStart w:id="86" w:name="_Toc433389762"/>
      <w:bookmarkStart w:id="87" w:name="_Toc485114334"/>
      <w:bookmarkStart w:id="88" w:name="_Toc485542670"/>
      <w:r w:rsidRPr="00D60822">
        <w:t xml:space="preserve">Figure </w:t>
      </w:r>
      <w:r w:rsidR="00071E85">
        <w:fldChar w:fldCharType="begin"/>
      </w:r>
      <w:r w:rsidR="00071E85">
        <w:instrText xml:space="preserve"> SEQ Figure \* ARABIC </w:instrText>
      </w:r>
      <w:r w:rsidR="00071E85">
        <w:fldChar w:fldCharType="separate"/>
      </w:r>
      <w:r w:rsidR="00071E85">
        <w:rPr>
          <w:noProof/>
        </w:rPr>
        <w:t>3</w:t>
      </w:r>
      <w:r w:rsidR="00071E85">
        <w:rPr>
          <w:noProof/>
        </w:rPr>
        <w:fldChar w:fldCharType="end"/>
      </w:r>
      <w:bookmarkEnd w:id="82"/>
      <w:r w:rsidRPr="00D60822">
        <w:t>: Percentage of women giving birth, by ethnic group, 201</w:t>
      </w:r>
      <w:bookmarkEnd w:id="83"/>
      <w:bookmarkEnd w:id="84"/>
      <w:bookmarkEnd w:id="85"/>
      <w:bookmarkEnd w:id="86"/>
      <w:r w:rsidRPr="00D60822">
        <w:t>5</w:t>
      </w:r>
      <w:bookmarkEnd w:id="87"/>
      <w:bookmarkEnd w:id="88"/>
    </w:p>
    <w:p w:rsidR="000D44A5" w:rsidRPr="00AF16D8" w:rsidRDefault="000D44A5" w:rsidP="000D44A5">
      <w:pPr>
        <w:rPr>
          <w:highlight w:val="yellow"/>
        </w:rPr>
      </w:pPr>
      <w:r w:rsidRPr="00916A49">
        <w:rPr>
          <w:noProof/>
          <w:lang w:eastAsia="en-NZ"/>
        </w:rPr>
        <w:drawing>
          <wp:inline distT="0" distB="0" distL="0" distR="0" wp14:anchorId="1DDF5D9C" wp14:editId="1D16DA27">
            <wp:extent cx="4048298" cy="1995055"/>
            <wp:effectExtent l="0" t="0" r="0" b="5715"/>
            <wp:docPr id="26" name="Picture 26" title="Figure 3: Percentage of women giving birth, by ethnic grou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585" t="2375" r="1786" b="2630"/>
                    <a:stretch/>
                  </pic:blipFill>
                  <pic:spPr bwMode="auto">
                    <a:xfrm>
                      <a:off x="0" y="0"/>
                      <a:ext cx="4071629" cy="2006553"/>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D60822" w:rsidRDefault="000D44A5" w:rsidP="007B3A51">
      <w:pPr>
        <w:pStyle w:val="Note"/>
      </w:pPr>
      <w:r w:rsidRPr="00D60822">
        <w:t>Notes:</w:t>
      </w:r>
    </w:p>
    <w:p w:rsidR="000D44A5" w:rsidRPr="00D60822" w:rsidRDefault="000D44A5" w:rsidP="007B3A51">
      <w:pPr>
        <w:pStyle w:val="Note"/>
        <w:spacing w:before="40"/>
      </w:pPr>
      <w:r w:rsidRPr="00D60822">
        <w:t>The number on the bar is the number of women giving birth in that ethnic group.</w:t>
      </w:r>
    </w:p>
    <w:p w:rsidR="000D44A5" w:rsidRPr="00A8072D" w:rsidRDefault="000D44A5" w:rsidP="007B3A51">
      <w:pPr>
        <w:pStyle w:val="Note"/>
        <w:spacing w:before="40"/>
      </w:pPr>
      <w:r w:rsidRPr="00D60822">
        <w:t>The denominator used to calculate percentages excludes those with unknown ethnicity (31 </w:t>
      </w:r>
      <w:r>
        <w:t>women).</w:t>
      </w:r>
    </w:p>
    <w:p w:rsidR="000D44A5" w:rsidRDefault="000D44A5" w:rsidP="007B3A51">
      <w:pPr>
        <w:pStyle w:val="Source"/>
      </w:pPr>
      <w:r>
        <w:t>Source: National Maternity Collection</w:t>
      </w:r>
    </w:p>
    <w:p w:rsidR="000D44A5" w:rsidRPr="00AF16D8" w:rsidRDefault="000D44A5" w:rsidP="007B3A51">
      <w:pPr>
        <w:rPr>
          <w:highlight w:val="yellow"/>
        </w:rPr>
      </w:pPr>
    </w:p>
    <w:p w:rsidR="000D44A5" w:rsidRPr="00D60822" w:rsidRDefault="000D44A5" w:rsidP="007B3A51">
      <w:r>
        <w:t>In 2015, w</w:t>
      </w:r>
      <w:r w:rsidRPr="00D60822">
        <w:t>omen in the Asian (excl</w:t>
      </w:r>
      <w:r w:rsidR="007B3A51">
        <w:t>uding</w:t>
      </w:r>
      <w:r w:rsidRPr="00D60822">
        <w:t xml:space="preserve"> Indian) and European or Other et</w:t>
      </w:r>
      <w:r>
        <w:t xml:space="preserve">hnic groups had </w:t>
      </w:r>
      <w:r w:rsidRPr="00D60822">
        <w:t>median age</w:t>
      </w:r>
      <w:r>
        <w:t>s</w:t>
      </w:r>
      <w:r w:rsidRPr="00D60822">
        <w:t xml:space="preserve"> </w:t>
      </w:r>
      <w:r>
        <w:t xml:space="preserve">at birth </w:t>
      </w:r>
      <w:r w:rsidRPr="00D60822">
        <w:t xml:space="preserve">of 32 years </w:t>
      </w:r>
      <w:r>
        <w:t>and 31 years, respectively.</w:t>
      </w:r>
      <w:r w:rsidRPr="00D60822">
        <w:t xml:space="preserve"> Māori, Pacific </w:t>
      </w:r>
      <w:r>
        <w:t xml:space="preserve">peoples </w:t>
      </w:r>
      <w:r w:rsidRPr="00D60822">
        <w:t>and Indian women gave birth at a younger age, with median ages at birth of 26 years, 28 years and 30 years, respectively (</w:t>
      </w:r>
      <w:r w:rsidRPr="00D60822">
        <w:fldChar w:fldCharType="begin"/>
      </w:r>
      <w:r w:rsidRPr="00D60822">
        <w:instrText xml:space="preserve"> REF _Ref428452549 \h  \* MERGEFORMAT </w:instrText>
      </w:r>
      <w:r w:rsidRPr="00D60822">
        <w:fldChar w:fldCharType="separate"/>
      </w:r>
      <w:r w:rsidR="00071E85" w:rsidRPr="00D60822">
        <w:t xml:space="preserve">Figure </w:t>
      </w:r>
      <w:r w:rsidR="00071E85">
        <w:rPr>
          <w:noProof/>
        </w:rPr>
        <w:t>4</w:t>
      </w:r>
      <w:r w:rsidRPr="00D60822">
        <w:fldChar w:fldCharType="end"/>
      </w:r>
      <w:r w:rsidRPr="00D60822">
        <w:t>).</w:t>
      </w:r>
    </w:p>
    <w:p w:rsidR="000D44A5" w:rsidRPr="00AF16D8" w:rsidRDefault="000D44A5" w:rsidP="007B3A51">
      <w:pPr>
        <w:rPr>
          <w:highlight w:val="yellow"/>
        </w:rPr>
      </w:pPr>
    </w:p>
    <w:p w:rsidR="000D44A5" w:rsidRPr="00D60822" w:rsidRDefault="000D44A5" w:rsidP="007B3A51">
      <w:pPr>
        <w:pStyle w:val="Figure"/>
      </w:pPr>
      <w:bookmarkStart w:id="89" w:name="_Ref428452549"/>
      <w:bookmarkStart w:id="90" w:name="_Toc400706130"/>
      <w:bookmarkStart w:id="91" w:name="_Toc405886939"/>
      <w:bookmarkStart w:id="92" w:name="_Toc412122426"/>
      <w:bookmarkStart w:id="93" w:name="_Toc428799366"/>
      <w:bookmarkStart w:id="94" w:name="_Toc433389763"/>
      <w:bookmarkStart w:id="95" w:name="_Toc485114335"/>
      <w:bookmarkStart w:id="96" w:name="_Toc485542671"/>
      <w:r w:rsidRPr="00D60822">
        <w:t xml:space="preserve">Figure </w:t>
      </w:r>
      <w:r w:rsidR="00071E85">
        <w:fldChar w:fldCharType="begin"/>
      </w:r>
      <w:r w:rsidR="00071E85">
        <w:instrText xml:space="preserve"> SEQ Figure \* ARABIC </w:instrText>
      </w:r>
      <w:r w:rsidR="00071E85">
        <w:fldChar w:fldCharType="separate"/>
      </w:r>
      <w:r w:rsidR="00071E85">
        <w:rPr>
          <w:noProof/>
        </w:rPr>
        <w:t>4</w:t>
      </w:r>
      <w:r w:rsidR="00071E85">
        <w:rPr>
          <w:noProof/>
        </w:rPr>
        <w:fldChar w:fldCharType="end"/>
      </w:r>
      <w:bookmarkEnd w:id="89"/>
      <w:r w:rsidRPr="00D60822">
        <w:rPr>
          <w:noProof/>
        </w:rPr>
        <w:t>:</w:t>
      </w:r>
      <w:r w:rsidRPr="00D60822">
        <w:t xml:space="preserve"> Percentage of women giving birth, by age (in years), for each ethnic group, 201</w:t>
      </w:r>
      <w:bookmarkEnd w:id="90"/>
      <w:bookmarkEnd w:id="91"/>
      <w:bookmarkEnd w:id="92"/>
      <w:bookmarkEnd w:id="93"/>
      <w:bookmarkEnd w:id="94"/>
      <w:r w:rsidRPr="00D60822">
        <w:t>5</w:t>
      </w:r>
      <w:bookmarkEnd w:id="95"/>
      <w:bookmarkEnd w:id="96"/>
    </w:p>
    <w:p w:rsidR="000D44A5" w:rsidRPr="00D60822" w:rsidRDefault="000D44A5" w:rsidP="007B3A51">
      <w:r>
        <w:rPr>
          <w:noProof/>
          <w:lang w:eastAsia="en-NZ"/>
        </w:rPr>
        <w:drawing>
          <wp:inline distT="0" distB="0" distL="0" distR="0" wp14:anchorId="30406132" wp14:editId="30DD8858">
            <wp:extent cx="5029200" cy="3032330"/>
            <wp:effectExtent l="0" t="0" r="0" b="0"/>
            <wp:docPr id="55" name="Picture 55" title="Figure 4: Percentage of women giving birth, by age (in years), for each ethnic grou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811" r="1134"/>
                    <a:stretch/>
                  </pic:blipFill>
                  <pic:spPr bwMode="auto">
                    <a:xfrm>
                      <a:off x="0" y="0"/>
                      <a:ext cx="5067968" cy="3055705"/>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D60822" w:rsidRDefault="000D44A5" w:rsidP="007B3A51">
      <w:pPr>
        <w:pStyle w:val="Note"/>
        <w:ind w:right="-142"/>
      </w:pPr>
      <w:r w:rsidRPr="00D60822">
        <w:t>Note: The denominator used to calculate percentages is the total number of women giving birth for each ethnic group.</w:t>
      </w:r>
    </w:p>
    <w:p w:rsidR="000D44A5" w:rsidRDefault="000D44A5" w:rsidP="007B3A51">
      <w:pPr>
        <w:pStyle w:val="Source"/>
      </w:pPr>
      <w:r>
        <w:t>Source: National Maternity Collection</w:t>
      </w:r>
    </w:p>
    <w:p w:rsidR="007B3A51" w:rsidRPr="007B3A51" w:rsidRDefault="007B3A51" w:rsidP="007B3A51"/>
    <w:p w:rsidR="000D44A5" w:rsidRPr="00AF16D8" w:rsidRDefault="000D44A5" w:rsidP="007B3A51">
      <w:pPr>
        <w:rPr>
          <w:highlight w:val="yellow"/>
        </w:rPr>
      </w:pPr>
      <w:r w:rsidRPr="00D60822">
        <w:t>In 2015, birth rates</w:t>
      </w:r>
      <w:r w:rsidRPr="007B3A51">
        <w:rPr>
          <w:rStyle w:val="FootnoteReference"/>
        </w:rPr>
        <w:footnoteReference w:id="3"/>
      </w:r>
      <w:r w:rsidRPr="00D60822">
        <w:t xml:space="preserve"> were highest for the Māori and Pacific </w:t>
      </w:r>
      <w:r>
        <w:t xml:space="preserve">peoples </w:t>
      </w:r>
      <w:r w:rsidRPr="00D60822">
        <w:t>ethnic groups (91.9 and 89.1</w:t>
      </w:r>
      <w:r w:rsidR="00CD7384">
        <w:t> </w:t>
      </w:r>
      <w:r w:rsidRPr="00D60822">
        <w:t>births per 1</w:t>
      </w:r>
      <w:r w:rsidR="00CD7384">
        <w:t>,</w:t>
      </w:r>
      <w:r w:rsidRPr="00D60822">
        <w:t xml:space="preserve">000 females of reproductive age, respectively), followed by </w:t>
      </w:r>
      <w:r>
        <w:t xml:space="preserve">the </w:t>
      </w:r>
      <w:r w:rsidRPr="00D60822">
        <w:t xml:space="preserve">Asian (57.9 per </w:t>
      </w:r>
      <w:r w:rsidRPr="00D60822">
        <w:lastRenderedPageBreak/>
        <w:t>1</w:t>
      </w:r>
      <w:r w:rsidR="00CD7384">
        <w:t>,</w:t>
      </w:r>
      <w:r w:rsidRPr="00D60822">
        <w:t xml:space="preserve">000 females of reproductive age) and </w:t>
      </w:r>
      <w:r>
        <w:t xml:space="preserve">the </w:t>
      </w:r>
      <w:r w:rsidRPr="00D60822">
        <w:t>European or Other (53.8 per 1</w:t>
      </w:r>
      <w:r w:rsidR="00CD7384">
        <w:t>,</w:t>
      </w:r>
      <w:r w:rsidRPr="00D60822">
        <w:t>000 females of reproductive age)</w:t>
      </w:r>
      <w:r>
        <w:t xml:space="preserve"> </w:t>
      </w:r>
      <w:r w:rsidRPr="00D60822">
        <w:t>ethnic group</w:t>
      </w:r>
      <w:r>
        <w:t>s</w:t>
      </w:r>
      <w:r w:rsidRPr="00D60822">
        <w:t>.</w:t>
      </w:r>
    </w:p>
    <w:p w:rsidR="000D44A5" w:rsidRPr="00AF16D8" w:rsidRDefault="000D44A5" w:rsidP="007B3A51">
      <w:pPr>
        <w:rPr>
          <w:highlight w:val="yellow"/>
        </w:rPr>
      </w:pPr>
    </w:p>
    <w:p w:rsidR="000D44A5" w:rsidRPr="00AF16D8" w:rsidRDefault="000D44A5" w:rsidP="007B3A51">
      <w:pPr>
        <w:rPr>
          <w:highlight w:val="yellow"/>
        </w:rPr>
      </w:pPr>
      <w:r>
        <w:t xml:space="preserve">From 2006 to 2015, changes to birth rates varied by ethnic group. </w:t>
      </w:r>
      <w:r w:rsidRPr="00D60822">
        <w:t xml:space="preserve">Birth rates for Māori and Pacific women </w:t>
      </w:r>
      <w:r>
        <w:t xml:space="preserve">showed </w:t>
      </w:r>
      <w:r w:rsidRPr="00916A49">
        <w:t>statistically significant decrease</w:t>
      </w:r>
      <w:r>
        <w:t>s</w:t>
      </w:r>
      <w:r w:rsidRPr="00916A49">
        <w:t>,</w:t>
      </w:r>
      <w:r w:rsidRPr="00D60822">
        <w:t xml:space="preserve"> falling by 12% and 23%, respectively. In contrast, the </w:t>
      </w:r>
      <w:r>
        <w:t xml:space="preserve">birth rate for </w:t>
      </w:r>
      <w:r w:rsidRPr="00D60822">
        <w:t xml:space="preserve">Asian </w:t>
      </w:r>
      <w:r>
        <w:t>women</w:t>
      </w:r>
      <w:r w:rsidRPr="00916A49">
        <w:t xml:space="preserve"> increased by</w:t>
      </w:r>
      <w:r>
        <w:t xml:space="preserve"> 31% (</w:t>
      </w:r>
      <w:r w:rsidRPr="0054552F">
        <w:t>from 44.1 to 57.9 per 1</w:t>
      </w:r>
      <w:r w:rsidR="00CD7384">
        <w:t>,</w:t>
      </w:r>
      <w:r w:rsidRPr="0054552F">
        <w:t>000 females of reproductive age</w:t>
      </w:r>
      <w:r>
        <w:t>)</w:t>
      </w:r>
      <w:r w:rsidRPr="0054552F">
        <w:t xml:space="preserve">. The </w:t>
      </w:r>
      <w:r>
        <w:t xml:space="preserve">birth rate for women of </w:t>
      </w:r>
      <w:r w:rsidRPr="0054552F">
        <w:t>Europea</w:t>
      </w:r>
      <w:r>
        <w:t xml:space="preserve">n or Other ethnicities </w:t>
      </w:r>
      <w:r w:rsidRPr="0054552F">
        <w:t>fluctuated between 53.8 and 59.3 per 1</w:t>
      </w:r>
      <w:r w:rsidR="00CD7384">
        <w:t>,</w:t>
      </w:r>
      <w:r w:rsidRPr="0054552F">
        <w:t xml:space="preserve">000 females of reproductive age. Since 2012, </w:t>
      </w:r>
      <w:r>
        <w:t xml:space="preserve">the </w:t>
      </w:r>
      <w:r w:rsidRPr="0054552F">
        <w:t>birth rate for Asian women ha</w:t>
      </w:r>
      <w:r>
        <w:t>s</w:t>
      </w:r>
      <w:r w:rsidRPr="0054552F">
        <w:t xml:space="preserve"> been higher</w:t>
      </w:r>
      <w:r>
        <w:t xml:space="preserve"> than the rate for women of European or o</w:t>
      </w:r>
      <w:r w:rsidRPr="0054552F">
        <w:t>ther ethnicities (</w:t>
      </w:r>
      <w:r w:rsidRPr="0054552F">
        <w:fldChar w:fldCharType="begin"/>
      </w:r>
      <w:r w:rsidRPr="0054552F">
        <w:instrText xml:space="preserve"> REF _Ref428455008 \h  \* MERGEFORMAT </w:instrText>
      </w:r>
      <w:r w:rsidRPr="0054552F">
        <w:fldChar w:fldCharType="separate"/>
      </w:r>
      <w:r w:rsidR="00071E85" w:rsidRPr="00D42B3B">
        <w:t xml:space="preserve">Figure </w:t>
      </w:r>
      <w:r w:rsidR="00071E85">
        <w:rPr>
          <w:noProof/>
        </w:rPr>
        <w:t>5</w:t>
      </w:r>
      <w:r w:rsidRPr="0054552F">
        <w:fldChar w:fldCharType="end"/>
      </w:r>
      <w:r w:rsidRPr="0054552F">
        <w:t>).</w:t>
      </w:r>
    </w:p>
    <w:p w:rsidR="000D44A5" w:rsidRPr="00AF16D8" w:rsidRDefault="000D44A5" w:rsidP="007B3A51">
      <w:pPr>
        <w:rPr>
          <w:highlight w:val="yellow"/>
        </w:rPr>
      </w:pPr>
      <w:bookmarkStart w:id="97" w:name="_Ref398647723"/>
      <w:bookmarkStart w:id="98" w:name="_Toc400706129"/>
      <w:bookmarkStart w:id="99" w:name="_Toc405886938"/>
      <w:bookmarkStart w:id="100" w:name="_Toc412122427"/>
    </w:p>
    <w:p w:rsidR="000D44A5" w:rsidRPr="00D42B3B" w:rsidRDefault="000D44A5" w:rsidP="007B3A51">
      <w:pPr>
        <w:pStyle w:val="Figure"/>
      </w:pPr>
      <w:bookmarkStart w:id="101" w:name="_Ref428455008"/>
      <w:bookmarkStart w:id="102" w:name="_Toc428799367"/>
      <w:bookmarkStart w:id="103" w:name="_Toc433389764"/>
      <w:bookmarkStart w:id="104" w:name="_Toc485114336"/>
      <w:bookmarkStart w:id="105" w:name="_Toc485542672"/>
      <w:bookmarkEnd w:id="97"/>
      <w:r w:rsidRPr="00D42B3B">
        <w:t xml:space="preserve">Figure </w:t>
      </w:r>
      <w:r w:rsidR="00071E85">
        <w:fldChar w:fldCharType="begin"/>
      </w:r>
      <w:r w:rsidR="00071E85">
        <w:instrText xml:space="preserve"> SEQ Figure \* ARABIC </w:instrText>
      </w:r>
      <w:r w:rsidR="00071E85">
        <w:fldChar w:fldCharType="separate"/>
      </w:r>
      <w:r w:rsidR="00071E85">
        <w:rPr>
          <w:noProof/>
        </w:rPr>
        <w:t>5</w:t>
      </w:r>
      <w:r w:rsidR="00071E85">
        <w:rPr>
          <w:noProof/>
        </w:rPr>
        <w:fldChar w:fldCharType="end"/>
      </w:r>
      <w:bookmarkEnd w:id="101"/>
      <w:r w:rsidRPr="00D42B3B">
        <w:t>: Birth rate, by ethnic group, 2006–201</w:t>
      </w:r>
      <w:bookmarkEnd w:id="98"/>
      <w:bookmarkEnd w:id="99"/>
      <w:bookmarkEnd w:id="100"/>
      <w:bookmarkEnd w:id="102"/>
      <w:bookmarkEnd w:id="103"/>
      <w:r w:rsidRPr="00D42B3B">
        <w:t>5</w:t>
      </w:r>
      <w:bookmarkEnd w:id="104"/>
      <w:bookmarkEnd w:id="105"/>
    </w:p>
    <w:p w:rsidR="000D44A5" w:rsidRPr="00D42B3B" w:rsidRDefault="000D44A5" w:rsidP="000D44A5">
      <w:r>
        <w:rPr>
          <w:noProof/>
          <w:lang w:eastAsia="en-NZ"/>
        </w:rPr>
        <w:drawing>
          <wp:inline distT="0" distB="0" distL="0" distR="0" wp14:anchorId="4ECAB53B" wp14:editId="51977DF6">
            <wp:extent cx="5394960" cy="3341716"/>
            <wp:effectExtent l="0" t="0" r="0" b="0"/>
            <wp:docPr id="28" name="Picture 28" title="Figure 5: Birth rate, by ethnic group,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42" t="1905" r="2345" b="2381"/>
                    <a:stretch/>
                  </pic:blipFill>
                  <pic:spPr bwMode="auto">
                    <a:xfrm>
                      <a:off x="0" y="0"/>
                      <a:ext cx="5406603" cy="3348928"/>
                    </a:xfrm>
                    <a:prstGeom prst="rect">
                      <a:avLst/>
                    </a:prstGeom>
                    <a:ln>
                      <a:noFill/>
                    </a:ln>
                    <a:extLst>
                      <a:ext uri="{53640926-AAD7-44D8-BBD7-CCE9431645EC}">
                        <a14:shadowObscured xmlns:a14="http://schemas.microsoft.com/office/drawing/2010/main"/>
                      </a:ext>
                    </a:extLst>
                  </pic:spPr>
                </pic:pic>
              </a:graphicData>
            </a:graphic>
          </wp:inline>
        </w:drawing>
      </w:r>
    </w:p>
    <w:p w:rsidR="000D44A5" w:rsidRPr="00D42B3B" w:rsidRDefault="000D44A5" w:rsidP="007E161A">
      <w:pPr>
        <w:pStyle w:val="Note"/>
      </w:pPr>
      <w:bookmarkStart w:id="106" w:name="_Ref405478796"/>
      <w:r w:rsidRPr="00D42B3B">
        <w:t>Note: Birth rate is expressed as births per 1</w:t>
      </w:r>
      <w:r w:rsidR="00CD7384">
        <w:t>,</w:t>
      </w:r>
      <w:r w:rsidRPr="00D42B3B">
        <w:t>000 females of reproductive age (15–44 years).</w:t>
      </w:r>
    </w:p>
    <w:p w:rsidR="000D44A5" w:rsidRPr="00D42B3B" w:rsidRDefault="000D44A5" w:rsidP="007E161A">
      <w:pPr>
        <w:pStyle w:val="Source"/>
      </w:pPr>
      <w:r>
        <w:t>Source: National Maternity Collection</w:t>
      </w:r>
    </w:p>
    <w:p w:rsidR="000D44A5" w:rsidRPr="00D42B3B" w:rsidRDefault="000D44A5" w:rsidP="007E161A"/>
    <w:p w:rsidR="000D44A5" w:rsidRPr="00D42B3B" w:rsidRDefault="000D44A5" w:rsidP="007E161A">
      <w:pPr>
        <w:pStyle w:val="Heading2"/>
      </w:pPr>
      <w:bookmarkStart w:id="107" w:name="_Ref405550766"/>
      <w:bookmarkStart w:id="108" w:name="_Toc405887005"/>
      <w:bookmarkStart w:id="109" w:name="_Toc412122398"/>
      <w:bookmarkStart w:id="110" w:name="_Toc431462722"/>
      <w:bookmarkStart w:id="111" w:name="_Toc479583260"/>
      <w:bookmarkStart w:id="112" w:name="_Toc485542628"/>
      <w:r w:rsidRPr="00D42B3B">
        <w:t>Deprivation</w:t>
      </w:r>
      <w:bookmarkEnd w:id="106"/>
      <w:bookmarkEnd w:id="107"/>
      <w:bookmarkEnd w:id="108"/>
      <w:bookmarkEnd w:id="109"/>
      <w:bookmarkEnd w:id="110"/>
      <w:bookmarkEnd w:id="111"/>
      <w:bookmarkEnd w:id="112"/>
    </w:p>
    <w:p w:rsidR="000D44A5" w:rsidRPr="00D42B3B" w:rsidRDefault="000D44A5" w:rsidP="007E161A">
      <w:pPr>
        <w:pStyle w:val="Box"/>
        <w:keepNext/>
      </w:pPr>
      <w:r w:rsidRPr="00D42B3B">
        <w:t>Deprivation quintiles are based on the characteristics of the neighbourhood in which a woman or baby resides. They range from 1 (least deprived) to 5 (most deprived), and are derived from:</w:t>
      </w:r>
    </w:p>
    <w:p w:rsidR="000D44A5" w:rsidRPr="00D42B3B" w:rsidRDefault="000D44A5" w:rsidP="007E161A">
      <w:pPr>
        <w:pStyle w:val="BoxBullet"/>
        <w:keepNext/>
      </w:pPr>
      <w:r w:rsidRPr="00D42B3B">
        <w:t>the 2006 NZDep for women giving birth before 2010</w:t>
      </w:r>
    </w:p>
    <w:p w:rsidR="000D44A5" w:rsidRPr="00D42B3B" w:rsidRDefault="000D44A5" w:rsidP="007E161A">
      <w:pPr>
        <w:pStyle w:val="BoxBullet"/>
        <w:keepNext/>
      </w:pPr>
      <w:r w:rsidRPr="00D42B3B">
        <w:t>the 2013 NZDep for women giving birth from 2010 onwards.</w:t>
      </w:r>
    </w:p>
    <w:p w:rsidR="000D44A5" w:rsidRPr="00D42B3B" w:rsidRDefault="000D44A5" w:rsidP="007E161A">
      <w:pPr>
        <w:pStyle w:val="Box"/>
        <w:keepNext/>
      </w:pPr>
      <w:r w:rsidRPr="00D42B3B">
        <w:t>Approximately equal numbers of the total New Zealand population reside in areas associated with each of the five deprivation quintile areas.</w:t>
      </w:r>
    </w:p>
    <w:p w:rsidR="000D44A5" w:rsidRPr="00D42B3B" w:rsidRDefault="000D44A5" w:rsidP="00CD7384">
      <w:pPr>
        <w:pStyle w:val="Box"/>
        <w:keepNext/>
      </w:pPr>
      <w:r w:rsidRPr="00D42B3B">
        <w:t xml:space="preserve">See the </w:t>
      </w:r>
      <w:r w:rsidR="00CB6D20">
        <w:t>‘</w:t>
      </w:r>
      <w:r w:rsidRPr="00D42B3B">
        <w:t>Deprivation</w:t>
      </w:r>
      <w:r w:rsidR="00CB6D20">
        <w:t>’</w:t>
      </w:r>
      <w:r w:rsidRPr="00D42B3B">
        <w:t xml:space="preserve"> section in </w:t>
      </w:r>
      <w:r w:rsidR="00CB6D20">
        <w:t>‘</w:t>
      </w:r>
      <w:r w:rsidR="00071E85">
        <w:fldChar w:fldCharType="begin"/>
      </w:r>
      <w:r w:rsidR="00071E85">
        <w:instrText xml:space="preserve"> REF _Ref413152247  \* MERGEFORMAT </w:instrText>
      </w:r>
      <w:r w:rsidR="00071E85">
        <w:fldChar w:fldCharType="separate"/>
      </w:r>
      <w:r w:rsidR="00071E85" w:rsidRPr="003E755C">
        <w:t>Appendix 3: Technical notes</w:t>
      </w:r>
      <w:r w:rsidR="00071E85">
        <w:fldChar w:fldCharType="end"/>
      </w:r>
      <w:r w:rsidR="007E161A">
        <w:t>’</w:t>
      </w:r>
      <w:r w:rsidRPr="00D42B3B">
        <w:t xml:space="preserve"> for more information.</w:t>
      </w:r>
    </w:p>
    <w:p w:rsidR="000D44A5" w:rsidRPr="00AF16D8" w:rsidRDefault="000D44A5" w:rsidP="00CD7384">
      <w:pPr>
        <w:keepNext/>
        <w:rPr>
          <w:highlight w:val="yellow"/>
        </w:rPr>
      </w:pPr>
    </w:p>
    <w:p w:rsidR="000D44A5" w:rsidRPr="00AF16D8" w:rsidRDefault="000D44A5" w:rsidP="007E161A">
      <w:pPr>
        <w:rPr>
          <w:highlight w:val="yellow"/>
        </w:rPr>
      </w:pPr>
      <w:r w:rsidRPr="00D42B3B">
        <w:t xml:space="preserve">Half of women giving birth in 2015 </w:t>
      </w:r>
      <w:r>
        <w:t>resided in</w:t>
      </w:r>
      <w:r w:rsidRPr="00D42B3B">
        <w:t xml:space="preserve"> more deprived neighbourhoods: 29.8% resided in quintile 5 and 22.9% resided in </w:t>
      </w:r>
      <w:r w:rsidRPr="004A42A8">
        <w:t xml:space="preserve">quintile 4. Less than 15% of women giving birth resided in the </w:t>
      </w:r>
      <w:r w:rsidRPr="004A42A8">
        <w:lastRenderedPageBreak/>
        <w:t>least deprived neighbourhoods (quintile 1).</w:t>
      </w:r>
      <w:r w:rsidRPr="007E161A">
        <w:rPr>
          <w:rStyle w:val="FootnoteReference"/>
        </w:rPr>
        <w:footnoteReference w:id="4"/>
      </w:r>
      <w:r w:rsidRPr="004A42A8">
        <w:t xml:space="preserve"> </w:t>
      </w:r>
      <w:r w:rsidRPr="004A42A8">
        <w:fldChar w:fldCharType="begin"/>
      </w:r>
      <w:r w:rsidRPr="004A42A8">
        <w:instrText xml:space="preserve"> REF _Ref428455030 \h  \* MERGEFORMAT </w:instrText>
      </w:r>
      <w:r w:rsidRPr="004A42A8">
        <w:fldChar w:fldCharType="separate"/>
      </w:r>
      <w:r w:rsidR="00071E85" w:rsidRPr="004A42A8">
        <w:t xml:space="preserve">Figure </w:t>
      </w:r>
      <w:r w:rsidR="00071E85">
        <w:rPr>
          <w:noProof/>
        </w:rPr>
        <w:t>6</w:t>
      </w:r>
      <w:r w:rsidRPr="004A42A8">
        <w:fldChar w:fldCharType="end"/>
      </w:r>
      <w:r w:rsidRPr="004A42A8">
        <w:t xml:space="preserve"> shows the distribution of women giving birth, by neighbourhood deprivation.</w:t>
      </w:r>
    </w:p>
    <w:p w:rsidR="000D44A5" w:rsidRPr="00AF16D8" w:rsidRDefault="000D44A5" w:rsidP="007E161A">
      <w:pPr>
        <w:rPr>
          <w:highlight w:val="yellow"/>
        </w:rPr>
      </w:pPr>
      <w:bookmarkStart w:id="113" w:name="_Ref385939196"/>
      <w:bookmarkStart w:id="114" w:name="_Toc400706131"/>
      <w:bookmarkStart w:id="115" w:name="_Toc405886940"/>
      <w:bookmarkStart w:id="116" w:name="_Toc412122428"/>
    </w:p>
    <w:p w:rsidR="000D44A5" w:rsidRPr="004A42A8" w:rsidRDefault="000D44A5" w:rsidP="007E161A">
      <w:pPr>
        <w:pStyle w:val="Figure"/>
      </w:pPr>
      <w:bookmarkStart w:id="117" w:name="_Ref428455030"/>
      <w:bookmarkStart w:id="118" w:name="_Toc428799368"/>
      <w:bookmarkStart w:id="119" w:name="_Toc433389765"/>
      <w:bookmarkStart w:id="120" w:name="_Toc485114337"/>
      <w:bookmarkStart w:id="121" w:name="_Toc485542673"/>
      <w:bookmarkEnd w:id="113"/>
      <w:r w:rsidRPr="004A42A8">
        <w:t xml:space="preserve">Figure </w:t>
      </w:r>
      <w:r w:rsidR="00071E85">
        <w:fldChar w:fldCharType="begin"/>
      </w:r>
      <w:r w:rsidR="00071E85">
        <w:instrText xml:space="preserve"> SEQ Figure \* ARABIC </w:instrText>
      </w:r>
      <w:r w:rsidR="00071E85">
        <w:fldChar w:fldCharType="separate"/>
      </w:r>
      <w:r w:rsidR="00071E85">
        <w:rPr>
          <w:noProof/>
        </w:rPr>
        <w:t>6</w:t>
      </w:r>
      <w:r w:rsidR="00071E85">
        <w:rPr>
          <w:noProof/>
        </w:rPr>
        <w:fldChar w:fldCharType="end"/>
      </w:r>
      <w:bookmarkEnd w:id="117"/>
      <w:r w:rsidRPr="004A42A8">
        <w:rPr>
          <w:noProof/>
        </w:rPr>
        <w:t>:</w:t>
      </w:r>
      <w:r w:rsidRPr="004A42A8">
        <w:t xml:space="preserve"> </w:t>
      </w:r>
      <w:bookmarkEnd w:id="114"/>
      <w:r w:rsidRPr="004A42A8">
        <w:t xml:space="preserve">Percentage of women giving birth, by neighbourhood deprivation quintile, </w:t>
      </w:r>
      <w:bookmarkEnd w:id="115"/>
      <w:bookmarkEnd w:id="116"/>
      <w:r w:rsidRPr="004A42A8">
        <w:t>201</w:t>
      </w:r>
      <w:bookmarkEnd w:id="118"/>
      <w:bookmarkEnd w:id="119"/>
      <w:r w:rsidRPr="004A42A8">
        <w:t>5</w:t>
      </w:r>
      <w:bookmarkEnd w:id="120"/>
      <w:bookmarkEnd w:id="121"/>
    </w:p>
    <w:p w:rsidR="000D44A5" w:rsidRPr="004A42A8" w:rsidRDefault="000D44A5" w:rsidP="000D44A5">
      <w:r w:rsidRPr="004A42A8">
        <w:rPr>
          <w:noProof/>
          <w:lang w:eastAsia="en-NZ"/>
        </w:rPr>
        <w:drawing>
          <wp:inline distT="0" distB="0" distL="0" distR="0" wp14:anchorId="38E000A2" wp14:editId="048518E7">
            <wp:extent cx="4671753" cy="2300484"/>
            <wp:effectExtent l="0" t="0" r="0" b="5080"/>
            <wp:docPr id="39" name="Picture 39" title="Figure 6: Percentage of women giving birth, by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647" t="2555" r="1755" b="2555"/>
                    <a:stretch/>
                  </pic:blipFill>
                  <pic:spPr bwMode="auto">
                    <a:xfrm>
                      <a:off x="0" y="0"/>
                      <a:ext cx="4687401" cy="2308189"/>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4A42A8" w:rsidRDefault="000D44A5" w:rsidP="007E161A">
      <w:pPr>
        <w:pStyle w:val="Note"/>
      </w:pPr>
      <w:r w:rsidRPr="004A42A8">
        <w:t>Notes:</w:t>
      </w:r>
    </w:p>
    <w:p w:rsidR="000D44A5" w:rsidRPr="004A42A8" w:rsidRDefault="000D44A5" w:rsidP="007E161A">
      <w:pPr>
        <w:pStyle w:val="Note"/>
      </w:pPr>
      <w:r w:rsidRPr="004A42A8">
        <w:t>The number on the bar is the number of women giving birth residing in that deprivation quintile.</w:t>
      </w:r>
    </w:p>
    <w:p w:rsidR="000D44A5" w:rsidRPr="00AF16D8" w:rsidRDefault="000D44A5" w:rsidP="007E161A">
      <w:pPr>
        <w:pStyle w:val="Note"/>
        <w:rPr>
          <w:highlight w:val="yellow"/>
        </w:rPr>
      </w:pPr>
      <w:r w:rsidRPr="004A42A8">
        <w:t xml:space="preserve">The denominator used to calculate the percentage is the total number of women giving birth, excluding those with unknown </w:t>
      </w:r>
      <w:r w:rsidRPr="00115EE2">
        <w:t>deprivation quintile (2026 women).</w:t>
      </w:r>
    </w:p>
    <w:p w:rsidR="000D44A5" w:rsidRDefault="000D44A5" w:rsidP="007E161A">
      <w:pPr>
        <w:pStyle w:val="Source"/>
      </w:pPr>
      <w:r>
        <w:t>Source: National Maternity Collection</w:t>
      </w:r>
    </w:p>
    <w:p w:rsidR="000D44A5" w:rsidRPr="00AF16D8" w:rsidRDefault="000D44A5" w:rsidP="007E161A">
      <w:pPr>
        <w:rPr>
          <w:highlight w:val="yellow"/>
        </w:rPr>
      </w:pPr>
    </w:p>
    <w:p w:rsidR="000D44A5" w:rsidRDefault="000D44A5" w:rsidP="007E161A">
      <w:r w:rsidRPr="004A42A8">
        <w:t>Women in the least deprived neighbourhoods were generally older at the time they gave birth than women in the most deprived neighbourhoods (a median age of 32 years for women in quintile 1 compared with 27 years for women in quintile 5).</w:t>
      </w:r>
    </w:p>
    <w:p w:rsidR="007E161A" w:rsidRPr="004A42A8" w:rsidRDefault="007E161A" w:rsidP="007E161A"/>
    <w:p w:rsidR="000D44A5" w:rsidRDefault="000D44A5" w:rsidP="007E161A">
      <w:pPr>
        <w:spacing w:after="240"/>
      </w:pPr>
      <w:r w:rsidRPr="00BA5417">
        <w:t>Women giving birth in their 30s or 40s were equally distributed across all neighbourhood deprivation quintiles (which reflects the overall New Zealand population). In contrast, younger women (those aged under 30 years) giving birth were more likely to reside in more deprived neighbourhoods than in less deprived neighbourhoods (</w:t>
      </w:r>
      <w:r w:rsidRPr="00BA5417">
        <w:fldChar w:fldCharType="begin"/>
      </w:r>
      <w:r w:rsidRPr="00BA5417">
        <w:instrText xml:space="preserve"> REF _Ref428455047 \h  \* MERGEFORMAT </w:instrText>
      </w:r>
      <w:r w:rsidRPr="00BA5417">
        <w:fldChar w:fldCharType="separate"/>
      </w:r>
      <w:r w:rsidR="00071E85" w:rsidRPr="00BA5417">
        <w:t xml:space="preserve">Figure </w:t>
      </w:r>
      <w:r w:rsidR="00071E85">
        <w:rPr>
          <w:noProof/>
        </w:rPr>
        <w:t>7</w:t>
      </w:r>
      <w:r w:rsidRPr="00BA5417">
        <w:fldChar w:fldCharType="end"/>
      </w:r>
      <w:r w:rsidRPr="00BA5417">
        <w:t xml:space="preserve">). This trend was particularly evident in women aged </w:t>
      </w:r>
      <w:r>
        <w:t xml:space="preserve">under </w:t>
      </w:r>
      <w:r w:rsidRPr="00BA5417">
        <w:t>20 years (52.9% of women in quintile 5 compared with 4.</w:t>
      </w:r>
      <w:r>
        <w:t>1</w:t>
      </w:r>
      <w:r w:rsidRPr="00BA5417">
        <w:t>% of women in quintile 1) and women aged 20–24 years (43.9% of women in quintile 5 compared with 5.9% of women in quintile 1).</w:t>
      </w:r>
    </w:p>
    <w:p w:rsidR="000D44A5" w:rsidRPr="00BA5417" w:rsidRDefault="000D44A5" w:rsidP="007E161A">
      <w:pPr>
        <w:pStyle w:val="Figure"/>
      </w:pPr>
      <w:bookmarkStart w:id="122" w:name="_Ref428455047"/>
      <w:bookmarkStart w:id="123" w:name="_Toc400706133"/>
      <w:bookmarkStart w:id="124" w:name="_Toc405886942"/>
      <w:bookmarkStart w:id="125" w:name="_Toc412122429"/>
      <w:bookmarkStart w:id="126" w:name="_Toc428799369"/>
      <w:bookmarkStart w:id="127" w:name="_Toc433389766"/>
      <w:bookmarkStart w:id="128" w:name="_Toc485114338"/>
      <w:bookmarkStart w:id="129" w:name="_Toc485542674"/>
      <w:r w:rsidRPr="00BA5417">
        <w:lastRenderedPageBreak/>
        <w:t xml:space="preserve">Figure </w:t>
      </w:r>
      <w:r w:rsidR="00071E85">
        <w:fldChar w:fldCharType="begin"/>
      </w:r>
      <w:r w:rsidR="00071E85">
        <w:instrText xml:space="preserve"> SEQ Figure \* ARABIC </w:instrText>
      </w:r>
      <w:r w:rsidR="00071E85">
        <w:fldChar w:fldCharType="separate"/>
      </w:r>
      <w:r w:rsidR="00071E85">
        <w:rPr>
          <w:noProof/>
        </w:rPr>
        <w:t>7</w:t>
      </w:r>
      <w:r w:rsidR="00071E85">
        <w:rPr>
          <w:noProof/>
        </w:rPr>
        <w:fldChar w:fldCharType="end"/>
      </w:r>
      <w:bookmarkEnd w:id="122"/>
      <w:r w:rsidRPr="00BA5417">
        <w:t xml:space="preserve">: Distribution of women giving birth, by neighbourhood deprivation quintile for each age group, </w:t>
      </w:r>
      <w:bookmarkEnd w:id="123"/>
      <w:bookmarkEnd w:id="124"/>
      <w:bookmarkEnd w:id="125"/>
      <w:r w:rsidRPr="00BA5417">
        <w:t>201</w:t>
      </w:r>
      <w:bookmarkEnd w:id="126"/>
      <w:bookmarkEnd w:id="127"/>
      <w:r w:rsidRPr="00BA5417">
        <w:t>5</w:t>
      </w:r>
      <w:bookmarkEnd w:id="128"/>
      <w:bookmarkEnd w:id="129"/>
    </w:p>
    <w:p w:rsidR="000D44A5" w:rsidRPr="00AF16D8" w:rsidRDefault="000D44A5" w:rsidP="000D44A5">
      <w:pPr>
        <w:rPr>
          <w:highlight w:val="yellow"/>
        </w:rPr>
      </w:pPr>
      <w:r w:rsidRPr="00BA5417">
        <w:rPr>
          <w:noProof/>
          <w:lang w:eastAsia="en-NZ"/>
        </w:rPr>
        <w:drawing>
          <wp:inline distT="0" distB="0" distL="0" distR="0" wp14:anchorId="0119056D" wp14:editId="37F1E038">
            <wp:extent cx="5399957" cy="5144494"/>
            <wp:effectExtent l="0" t="0" r="0" b="0"/>
            <wp:docPr id="53" name="Picture 53" title="Figure 7: Distribution of women giving birth, by neighbourhood deprivation quintile for each age grou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5908" cy="5150163"/>
                    </a:xfrm>
                    <a:prstGeom prst="rect">
                      <a:avLst/>
                    </a:prstGeom>
                  </pic:spPr>
                </pic:pic>
              </a:graphicData>
            </a:graphic>
          </wp:inline>
        </w:drawing>
      </w:r>
    </w:p>
    <w:p w:rsidR="000D44A5" w:rsidRPr="00BA5417" w:rsidRDefault="000D44A5" w:rsidP="007E161A">
      <w:pPr>
        <w:pStyle w:val="Note"/>
      </w:pPr>
      <w:r w:rsidRPr="00BA5417">
        <w:t>Note: The denominator used to calculate the percentage is the number of women giving birth for that age group, excluding those with unknown deprivation quintile.</w:t>
      </w:r>
    </w:p>
    <w:p w:rsidR="000D44A5" w:rsidRDefault="000D44A5" w:rsidP="007E161A">
      <w:pPr>
        <w:pStyle w:val="Source"/>
      </w:pPr>
      <w:r>
        <w:t>Source: National Maternity Collection</w:t>
      </w:r>
    </w:p>
    <w:p w:rsidR="000D44A5" w:rsidRPr="00AF16D8" w:rsidRDefault="000D44A5" w:rsidP="007E161A">
      <w:pPr>
        <w:rPr>
          <w:highlight w:val="yellow"/>
        </w:rPr>
      </w:pPr>
    </w:p>
    <w:p w:rsidR="000D44A5" w:rsidRPr="00BA5417" w:rsidRDefault="000D44A5" w:rsidP="007E161A">
      <w:r w:rsidRPr="00BA5417">
        <w:t>Women in the Asian (excl</w:t>
      </w:r>
      <w:r w:rsidR="007E161A">
        <w:t>uding</w:t>
      </w:r>
      <w:r w:rsidRPr="00BA5417">
        <w:t xml:space="preserve"> Indian) and European or Other ethnic groups were equally distributed across all neighbourhood deprivation quintiles (which reflects the overall New Zealand population).</w:t>
      </w:r>
    </w:p>
    <w:p w:rsidR="000D44A5" w:rsidRPr="00BA5417" w:rsidRDefault="000D44A5" w:rsidP="007E161A"/>
    <w:p w:rsidR="000D44A5" w:rsidRPr="00AF16D8" w:rsidRDefault="000D44A5" w:rsidP="007E161A">
      <w:pPr>
        <w:rPr>
          <w:highlight w:val="yellow"/>
        </w:rPr>
      </w:pPr>
      <w:r w:rsidRPr="00BA5417">
        <w:t>Māori, Pacific and Indian women giving birth were more likely to reside in more deprived neighbourhoods than in less deprived neighbourhoods (</w:t>
      </w:r>
      <w:r w:rsidRPr="00BA5417">
        <w:fldChar w:fldCharType="begin"/>
      </w:r>
      <w:r w:rsidRPr="00BA5417">
        <w:instrText xml:space="preserve"> REF _Ref428455063 \h  \* MERGEFORMAT </w:instrText>
      </w:r>
      <w:r w:rsidRPr="00BA5417">
        <w:fldChar w:fldCharType="separate"/>
      </w:r>
      <w:r w:rsidR="00071E85" w:rsidRPr="00BA5417">
        <w:t xml:space="preserve">Figure </w:t>
      </w:r>
      <w:r w:rsidR="00071E85">
        <w:rPr>
          <w:noProof/>
        </w:rPr>
        <w:t>8</w:t>
      </w:r>
      <w:r w:rsidRPr="00BA5417">
        <w:fldChar w:fldCharType="end"/>
      </w:r>
      <w:r w:rsidRPr="00BA5417">
        <w:t>). This trend was more evident for Māori and Pacific women (50.4% of Māori and 60.1% of Pacific women resided in quintile 5, whereas 4.7% and 3.8%, respectively, resided in quintile 1). The distribution of Indian women giving birth showed a similar trend but to a lesser extent (32.0% of Indian women resided in quintile 5, and 8.0% in quintile 1).</w:t>
      </w:r>
    </w:p>
    <w:p w:rsidR="000D44A5" w:rsidRPr="00AF16D8" w:rsidRDefault="000D44A5" w:rsidP="007E161A">
      <w:pPr>
        <w:rPr>
          <w:highlight w:val="yellow"/>
        </w:rPr>
      </w:pPr>
    </w:p>
    <w:p w:rsidR="000D44A5" w:rsidRPr="00BA5417" w:rsidRDefault="000D44A5" w:rsidP="007E161A">
      <w:pPr>
        <w:pStyle w:val="Figure"/>
      </w:pPr>
      <w:bookmarkStart w:id="130" w:name="_Ref428455063"/>
      <w:bookmarkStart w:id="131" w:name="_Toc400706134"/>
      <w:bookmarkStart w:id="132" w:name="_Toc405886943"/>
      <w:bookmarkStart w:id="133" w:name="_Toc412122430"/>
      <w:bookmarkStart w:id="134" w:name="_Toc428799370"/>
      <w:bookmarkStart w:id="135" w:name="_Toc433389767"/>
      <w:bookmarkStart w:id="136" w:name="_Toc485114339"/>
      <w:bookmarkStart w:id="137" w:name="_Toc485542675"/>
      <w:r w:rsidRPr="00BA5417">
        <w:lastRenderedPageBreak/>
        <w:t xml:space="preserve">Figure </w:t>
      </w:r>
      <w:r w:rsidR="00071E85">
        <w:fldChar w:fldCharType="begin"/>
      </w:r>
      <w:r w:rsidR="00071E85">
        <w:instrText xml:space="preserve"> SEQ Figure \* ARABIC </w:instrText>
      </w:r>
      <w:r w:rsidR="00071E85">
        <w:fldChar w:fldCharType="separate"/>
      </w:r>
      <w:r w:rsidR="00071E85">
        <w:rPr>
          <w:noProof/>
        </w:rPr>
        <w:t>8</w:t>
      </w:r>
      <w:r w:rsidR="00071E85">
        <w:rPr>
          <w:noProof/>
        </w:rPr>
        <w:fldChar w:fldCharType="end"/>
      </w:r>
      <w:bookmarkEnd w:id="130"/>
      <w:r w:rsidRPr="00BA5417">
        <w:rPr>
          <w:noProof/>
        </w:rPr>
        <w:t>:</w:t>
      </w:r>
      <w:r w:rsidRPr="00BA5417">
        <w:t xml:space="preserve"> Distribution of women giving birth, by neighbourhood deprivation quintile for each ethnic group, </w:t>
      </w:r>
      <w:bookmarkEnd w:id="131"/>
      <w:bookmarkEnd w:id="132"/>
      <w:bookmarkEnd w:id="133"/>
      <w:r w:rsidRPr="00BA5417">
        <w:t>201</w:t>
      </w:r>
      <w:bookmarkEnd w:id="134"/>
      <w:bookmarkEnd w:id="135"/>
      <w:r w:rsidRPr="00BA5417">
        <w:t>5</w:t>
      </w:r>
      <w:bookmarkEnd w:id="136"/>
      <w:bookmarkEnd w:id="137"/>
    </w:p>
    <w:p w:rsidR="000D44A5" w:rsidRPr="00BA5417" w:rsidRDefault="000D44A5" w:rsidP="000D44A5">
      <w:r>
        <w:rPr>
          <w:noProof/>
          <w:lang w:eastAsia="en-NZ"/>
        </w:rPr>
        <w:drawing>
          <wp:inline distT="0" distB="0" distL="0" distR="0" wp14:anchorId="553391F8" wp14:editId="3673C34B">
            <wp:extent cx="5453149" cy="5051207"/>
            <wp:effectExtent l="0" t="0" r="0" b="0"/>
            <wp:docPr id="61" name="Picture 61" title="Figure 8: Distribution of women giving birth, by neighbourhood deprivation quintile for each ethnic group,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40" t="935" b="2181"/>
                    <a:stretch/>
                  </pic:blipFill>
                  <pic:spPr bwMode="auto">
                    <a:xfrm>
                      <a:off x="0" y="0"/>
                      <a:ext cx="5468388" cy="5065322"/>
                    </a:xfrm>
                    <a:prstGeom prst="rect">
                      <a:avLst/>
                    </a:prstGeom>
                    <a:ln>
                      <a:noFill/>
                    </a:ln>
                    <a:extLst>
                      <a:ext uri="{53640926-AAD7-44D8-BBD7-CCE9431645EC}">
                        <a14:shadowObscured xmlns:a14="http://schemas.microsoft.com/office/drawing/2010/main"/>
                      </a:ext>
                    </a:extLst>
                  </pic:spPr>
                </pic:pic>
              </a:graphicData>
            </a:graphic>
          </wp:inline>
        </w:drawing>
      </w:r>
    </w:p>
    <w:p w:rsidR="000D44A5" w:rsidRPr="00BA5417" w:rsidRDefault="000D44A5" w:rsidP="007E161A">
      <w:pPr>
        <w:pStyle w:val="Note"/>
      </w:pPr>
      <w:r w:rsidRPr="00BA5417">
        <w:t>Note: The denominator used to calculate the percentage is the number of women giving birth for that ethnic group, excluding those with unknown deprivation quintile.</w:t>
      </w:r>
    </w:p>
    <w:p w:rsidR="000D44A5" w:rsidRDefault="000D44A5" w:rsidP="007E161A">
      <w:pPr>
        <w:pStyle w:val="Source"/>
      </w:pPr>
      <w:r>
        <w:t>Source: National Maternity Collection</w:t>
      </w:r>
    </w:p>
    <w:p w:rsidR="000D44A5" w:rsidRPr="00AF16D8" w:rsidRDefault="000D44A5" w:rsidP="007E161A">
      <w:pPr>
        <w:rPr>
          <w:highlight w:val="yellow"/>
        </w:rPr>
      </w:pPr>
    </w:p>
    <w:p w:rsidR="000D44A5" w:rsidRPr="00115EE2" w:rsidRDefault="000D44A5" w:rsidP="007E161A">
      <w:r w:rsidRPr="003731A2">
        <w:t>From 2006 to 2015</w:t>
      </w:r>
      <w:r>
        <w:t>,</w:t>
      </w:r>
      <w:r w:rsidRPr="003731A2">
        <w:t xml:space="preserve"> birth rates were more variable for women residing in more deprived neighbourhoods th</w:t>
      </w:r>
      <w:r>
        <w:t>a</w:t>
      </w:r>
      <w:r w:rsidRPr="003731A2">
        <w:t xml:space="preserve">n for women in less deprived neighbourhoods. </w:t>
      </w:r>
      <w:r>
        <w:t>Between 2011 and 2015, b</w:t>
      </w:r>
      <w:r w:rsidRPr="003731A2">
        <w:t xml:space="preserve">irth rates for </w:t>
      </w:r>
      <w:r>
        <w:t xml:space="preserve">women in </w:t>
      </w:r>
      <w:r w:rsidRPr="00115EE2">
        <w:t>quintiles 1 and 2 showed a non-significant increase</w:t>
      </w:r>
      <w:r>
        <w:t>,</w:t>
      </w:r>
      <w:r w:rsidRPr="00115EE2">
        <w:t xml:space="preserve"> </w:t>
      </w:r>
      <w:r>
        <w:t xml:space="preserve">whereas birth rates in quintiles 3, 4 </w:t>
      </w:r>
      <w:r w:rsidRPr="00115EE2">
        <w:t>and 5 showed a statistically significant decrease (</w:t>
      </w:r>
      <w:r w:rsidRPr="00115EE2">
        <w:fldChar w:fldCharType="begin"/>
      </w:r>
      <w:r w:rsidRPr="00115EE2">
        <w:instrText xml:space="preserve"> REF _Ref428455081 \h  \* MERGEFORMAT </w:instrText>
      </w:r>
      <w:r w:rsidRPr="00115EE2">
        <w:fldChar w:fldCharType="separate"/>
      </w:r>
      <w:r w:rsidR="00071E85" w:rsidRPr="003731A2">
        <w:t xml:space="preserve">Figure </w:t>
      </w:r>
      <w:r w:rsidR="00071E85">
        <w:rPr>
          <w:noProof/>
        </w:rPr>
        <w:t>9</w:t>
      </w:r>
      <w:r w:rsidRPr="00115EE2">
        <w:fldChar w:fldCharType="end"/>
      </w:r>
      <w:r w:rsidRPr="00115EE2">
        <w:t>).</w:t>
      </w:r>
    </w:p>
    <w:p w:rsidR="000D44A5" w:rsidRPr="00AF16D8" w:rsidRDefault="000D44A5" w:rsidP="007E161A">
      <w:pPr>
        <w:rPr>
          <w:highlight w:val="yellow"/>
        </w:rPr>
      </w:pPr>
    </w:p>
    <w:p w:rsidR="000D44A5" w:rsidRPr="003731A2" w:rsidRDefault="000D44A5" w:rsidP="007E161A">
      <w:r w:rsidRPr="003731A2">
        <w:t>Over the 10-year period, birth rates were consistently higher for women in more deprived neighbourhoods than for women in less deprived neighbourhoods. The birth rate for those in quintile 5 was 1.8–2.2 times the rate for those in quintile 1 (</w:t>
      </w:r>
      <w:r w:rsidRPr="003731A2">
        <w:fldChar w:fldCharType="begin"/>
      </w:r>
      <w:r w:rsidRPr="003731A2">
        <w:instrText xml:space="preserve"> REF _Ref428455081 \h  \* MERGEFORMAT </w:instrText>
      </w:r>
      <w:r w:rsidRPr="003731A2">
        <w:fldChar w:fldCharType="separate"/>
      </w:r>
      <w:r w:rsidR="00071E85" w:rsidRPr="003731A2">
        <w:t xml:space="preserve">Figure </w:t>
      </w:r>
      <w:r w:rsidR="00071E85">
        <w:rPr>
          <w:noProof/>
        </w:rPr>
        <w:t>9</w:t>
      </w:r>
      <w:r w:rsidRPr="003731A2">
        <w:fldChar w:fldCharType="end"/>
      </w:r>
      <w:r w:rsidRPr="003731A2">
        <w:t>).</w:t>
      </w:r>
    </w:p>
    <w:p w:rsidR="000D44A5" w:rsidRPr="00AF16D8" w:rsidRDefault="000D44A5" w:rsidP="007E161A">
      <w:pPr>
        <w:rPr>
          <w:highlight w:val="yellow"/>
        </w:rPr>
      </w:pPr>
    </w:p>
    <w:p w:rsidR="000D44A5" w:rsidRPr="00AF16D8" w:rsidRDefault="000D44A5" w:rsidP="007E161A">
      <w:pPr>
        <w:pStyle w:val="Figure"/>
        <w:rPr>
          <w:highlight w:val="yellow"/>
        </w:rPr>
      </w:pPr>
      <w:bookmarkStart w:id="138" w:name="_Ref428455081"/>
      <w:bookmarkStart w:id="139" w:name="_Toc400706132"/>
      <w:bookmarkStart w:id="140" w:name="_Toc405886941"/>
      <w:bookmarkStart w:id="141" w:name="_Toc412122431"/>
      <w:bookmarkStart w:id="142" w:name="_Toc428799371"/>
      <w:bookmarkStart w:id="143" w:name="_Toc433389768"/>
      <w:bookmarkStart w:id="144" w:name="_Toc485114340"/>
      <w:bookmarkStart w:id="145" w:name="_Toc485542676"/>
      <w:r w:rsidRPr="003731A2">
        <w:lastRenderedPageBreak/>
        <w:t xml:space="preserve">Figure </w:t>
      </w:r>
      <w:r w:rsidR="00071E85">
        <w:fldChar w:fldCharType="begin"/>
      </w:r>
      <w:r w:rsidR="00071E85">
        <w:instrText xml:space="preserve"> SEQ Figure \* ARABIC </w:instrText>
      </w:r>
      <w:r w:rsidR="00071E85">
        <w:fldChar w:fldCharType="separate"/>
      </w:r>
      <w:r w:rsidR="00071E85">
        <w:rPr>
          <w:noProof/>
        </w:rPr>
        <w:t>9</w:t>
      </w:r>
      <w:r w:rsidR="00071E85">
        <w:rPr>
          <w:noProof/>
        </w:rPr>
        <w:fldChar w:fldCharType="end"/>
      </w:r>
      <w:bookmarkEnd w:id="138"/>
      <w:r w:rsidRPr="003731A2">
        <w:rPr>
          <w:noProof/>
        </w:rPr>
        <w:t>:</w:t>
      </w:r>
      <w:r w:rsidRPr="003731A2">
        <w:t xml:space="preserve"> Birth rate, by neighbourhood deprivation quintile, 2006–201</w:t>
      </w:r>
      <w:bookmarkEnd w:id="139"/>
      <w:bookmarkEnd w:id="140"/>
      <w:bookmarkEnd w:id="141"/>
      <w:bookmarkEnd w:id="142"/>
      <w:bookmarkEnd w:id="143"/>
      <w:r w:rsidRPr="003731A2">
        <w:t>5</w:t>
      </w:r>
      <w:bookmarkEnd w:id="144"/>
      <w:bookmarkEnd w:id="145"/>
    </w:p>
    <w:p w:rsidR="000D44A5" w:rsidRPr="00AF16D8" w:rsidRDefault="000D44A5" w:rsidP="000D44A5">
      <w:pPr>
        <w:rPr>
          <w:highlight w:val="yellow"/>
        </w:rPr>
      </w:pPr>
      <w:r>
        <w:rPr>
          <w:noProof/>
          <w:lang w:eastAsia="en-NZ"/>
        </w:rPr>
        <w:drawing>
          <wp:inline distT="0" distB="0" distL="0" distR="0" wp14:anchorId="1217D2D0" wp14:editId="36FF42BD">
            <wp:extent cx="5426392" cy="5033175"/>
            <wp:effectExtent l="0" t="0" r="3175" b="0"/>
            <wp:docPr id="66" name="Picture 66" title="Figure 9: Birth rate, by neighbourhood deprivation quintile,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0280" cy="5036781"/>
                    </a:xfrm>
                    <a:prstGeom prst="rect">
                      <a:avLst/>
                    </a:prstGeom>
                  </pic:spPr>
                </pic:pic>
              </a:graphicData>
            </a:graphic>
          </wp:inline>
        </w:drawing>
      </w:r>
    </w:p>
    <w:p w:rsidR="000D44A5" w:rsidRPr="00AF16D8" w:rsidRDefault="000D44A5" w:rsidP="007E161A">
      <w:pPr>
        <w:pStyle w:val="Note"/>
        <w:rPr>
          <w:highlight w:val="yellow"/>
        </w:rPr>
      </w:pPr>
      <w:bookmarkStart w:id="146" w:name="_Ref405478798"/>
      <w:bookmarkStart w:id="147" w:name="_Toc405887006"/>
      <w:bookmarkStart w:id="148" w:name="_Toc412122399"/>
      <w:r w:rsidRPr="003731A2">
        <w:t>Note: Birth rate is expressed as births per 1</w:t>
      </w:r>
      <w:r w:rsidR="00CD7384">
        <w:t>,</w:t>
      </w:r>
      <w:r w:rsidRPr="003731A2">
        <w:t>000 females of reproductive age (15–44 years).</w:t>
      </w:r>
    </w:p>
    <w:p w:rsidR="000D44A5" w:rsidRDefault="000D44A5" w:rsidP="007E161A">
      <w:pPr>
        <w:pStyle w:val="Source"/>
      </w:pPr>
      <w:r>
        <w:t>Source: National Maternity Collection</w:t>
      </w:r>
    </w:p>
    <w:p w:rsidR="000D44A5" w:rsidRPr="00AF16D8" w:rsidRDefault="000D44A5" w:rsidP="007E161A">
      <w:pPr>
        <w:rPr>
          <w:highlight w:val="yellow"/>
        </w:rPr>
      </w:pPr>
    </w:p>
    <w:p w:rsidR="000D44A5" w:rsidRPr="003731A2" w:rsidRDefault="000D44A5" w:rsidP="007E161A">
      <w:pPr>
        <w:pStyle w:val="Heading2"/>
      </w:pPr>
      <w:bookmarkStart w:id="149" w:name="_Ref413143676"/>
      <w:bookmarkStart w:id="150" w:name="_Toc431462723"/>
      <w:bookmarkStart w:id="151" w:name="_Toc479583261"/>
      <w:bookmarkStart w:id="152" w:name="_Toc485542629"/>
      <w:r w:rsidRPr="003731A2">
        <w:t>Geographic distribution</w:t>
      </w:r>
      <w:bookmarkEnd w:id="146"/>
      <w:bookmarkEnd w:id="147"/>
      <w:bookmarkEnd w:id="148"/>
      <w:bookmarkEnd w:id="149"/>
      <w:bookmarkEnd w:id="150"/>
      <w:bookmarkEnd w:id="151"/>
      <w:bookmarkEnd w:id="152"/>
    </w:p>
    <w:p w:rsidR="000D44A5" w:rsidRPr="003731A2" w:rsidRDefault="000D44A5" w:rsidP="007E161A">
      <w:pPr>
        <w:pStyle w:val="Box"/>
        <w:keepNext/>
      </w:pPr>
      <w:r w:rsidRPr="003731A2">
        <w:t>The geographic distribution of women giving birth is based on DHB region of the woman</w:t>
      </w:r>
      <w:r w:rsidR="00CB6D20">
        <w:t>’</w:t>
      </w:r>
      <w:r w:rsidRPr="003731A2">
        <w:t xml:space="preserve">s residence. Rates and numbers in this section are intended to reflect the usually resident population of the DHB and not necessarily the facilities run by that DHB. See </w:t>
      </w:r>
      <w:r w:rsidR="00CB6D20">
        <w:t>‘</w:t>
      </w:r>
      <w:r w:rsidR="00071E85">
        <w:fldChar w:fldCharType="begin"/>
      </w:r>
      <w:r w:rsidR="00071E85">
        <w:instrText xml:space="preserve"> REF _Ref413152570  \* MERGEFORMA</w:instrText>
      </w:r>
      <w:r w:rsidR="00071E85">
        <w:instrText xml:space="preserve">T </w:instrText>
      </w:r>
      <w:r w:rsidR="00071E85">
        <w:fldChar w:fldCharType="separate"/>
      </w:r>
      <w:r w:rsidR="00071E85" w:rsidRPr="003E755C">
        <w:t>Appendix 4: Guide to reading maps</w:t>
      </w:r>
      <w:r w:rsidR="00071E85">
        <w:fldChar w:fldCharType="end"/>
      </w:r>
      <w:r w:rsidR="007E161A">
        <w:t>’</w:t>
      </w:r>
      <w:r w:rsidRPr="003731A2">
        <w:t xml:space="preserve"> for the location of DHBs in New Zealand and further information on each component of the maps presented in this section.</w:t>
      </w:r>
    </w:p>
    <w:p w:rsidR="000D44A5" w:rsidRPr="003E7A85" w:rsidRDefault="000D44A5" w:rsidP="007E161A">
      <w:pPr>
        <w:keepNext/>
      </w:pPr>
    </w:p>
    <w:p w:rsidR="000D44A5" w:rsidRPr="00AF16D8" w:rsidRDefault="000D44A5" w:rsidP="007E161A">
      <w:pPr>
        <w:keepNext/>
        <w:rPr>
          <w:highlight w:val="yellow"/>
        </w:rPr>
      </w:pPr>
      <w:r w:rsidRPr="003E7A85">
        <w:t>Birth rates in 2015 varied across the different DHB regions of residence. The highest birth rates were for women residing in Tairāwhiti, Whanganui and Northland DHB regions (84.5, 78.3 and 77.8 per 1</w:t>
      </w:r>
      <w:r w:rsidR="00CD7384">
        <w:t>,</w:t>
      </w:r>
      <w:r w:rsidRPr="003E7A85">
        <w:t xml:space="preserve">000 females of reproductive age, respectively). The lowest rates were for women </w:t>
      </w:r>
      <w:r w:rsidRPr="003E7A85">
        <w:lastRenderedPageBreak/>
        <w:t>residing in Auckland, Capital &amp; Coast and Southern DHB regions (48.6, 50.9 and 54.2 per 1</w:t>
      </w:r>
      <w:r w:rsidR="00CD7384">
        <w:t>,</w:t>
      </w:r>
      <w:r w:rsidRPr="003E7A85">
        <w:t>000 females of reproductive age, respectively) (</w:t>
      </w:r>
      <w:r w:rsidRPr="003E7A85">
        <w:fldChar w:fldCharType="begin"/>
      </w:r>
      <w:r w:rsidRPr="003E7A85">
        <w:instrText xml:space="preserve"> REF _Ref428799650 \h  \* MERGEFORMAT </w:instrText>
      </w:r>
      <w:r w:rsidRPr="003E7A85">
        <w:fldChar w:fldCharType="separate"/>
      </w:r>
      <w:r w:rsidR="00071E85" w:rsidRPr="00CF176D">
        <w:t xml:space="preserve">Figure </w:t>
      </w:r>
      <w:r w:rsidR="00071E85">
        <w:rPr>
          <w:noProof/>
        </w:rPr>
        <w:t>10</w:t>
      </w:r>
      <w:r w:rsidRPr="003E7A85">
        <w:fldChar w:fldCharType="end"/>
      </w:r>
      <w:r w:rsidRPr="003E7A85">
        <w:t>).</w:t>
      </w:r>
    </w:p>
    <w:p w:rsidR="000D44A5" w:rsidRPr="003E7A85" w:rsidRDefault="000D44A5" w:rsidP="007E161A">
      <w:pPr>
        <w:keepNext/>
      </w:pPr>
    </w:p>
    <w:p w:rsidR="000D44A5" w:rsidRPr="00AF16D8" w:rsidRDefault="000D44A5" w:rsidP="007E161A">
      <w:pPr>
        <w:keepLines/>
        <w:rPr>
          <w:highlight w:val="yellow"/>
        </w:rPr>
      </w:pPr>
      <w:r w:rsidRPr="003E7A85">
        <w:t>Most DHB regions had lower birth rates in 2015 than in 2011 (</w:t>
      </w:r>
      <w:r w:rsidRPr="000C6D9E">
        <w:fldChar w:fldCharType="begin"/>
      </w:r>
      <w:r w:rsidRPr="000C6D9E">
        <w:instrText xml:space="preserve"> REF _Ref428799650 \h  \* MERGEFORMAT </w:instrText>
      </w:r>
      <w:r w:rsidRPr="000C6D9E">
        <w:fldChar w:fldCharType="separate"/>
      </w:r>
      <w:r w:rsidR="00071E85" w:rsidRPr="00CF176D">
        <w:t xml:space="preserve">Figure </w:t>
      </w:r>
      <w:r w:rsidR="00071E85">
        <w:rPr>
          <w:noProof/>
        </w:rPr>
        <w:t>10</w:t>
      </w:r>
      <w:r w:rsidRPr="000C6D9E">
        <w:fldChar w:fldCharType="end"/>
      </w:r>
      <w:r w:rsidRPr="000C6D9E">
        <w:t>). The largest decrease was in Auckland DHB region (from 58.6 to 48.6 per 1</w:t>
      </w:r>
      <w:r w:rsidR="00CD7384">
        <w:t>,</w:t>
      </w:r>
      <w:r w:rsidRPr="000C6D9E">
        <w:t>000 females of reproductive age). The decrease in birth rates was statistically significant in Waitemata, Auckland, Counties Manukau, Hawke</w:t>
      </w:r>
      <w:r w:rsidR="00CB6D20">
        <w:t>’</w:t>
      </w:r>
      <w:r w:rsidRPr="000C6D9E">
        <w:t>s Bay, Capital &amp; Coast, Nelson Marlborough and Southern DHB regions.</w:t>
      </w:r>
      <w:r>
        <w:t xml:space="preserve"> During this time birth rates significantly increased in Whanganui, Canterbury and South Canterbury DHB regions.</w:t>
      </w:r>
    </w:p>
    <w:p w:rsidR="000D44A5" w:rsidRPr="00AF16D8" w:rsidRDefault="000D44A5" w:rsidP="007E161A">
      <w:pPr>
        <w:rPr>
          <w:highlight w:val="yellow"/>
        </w:rPr>
      </w:pPr>
    </w:p>
    <w:p w:rsidR="000D44A5" w:rsidRPr="00CF176D" w:rsidRDefault="000D44A5" w:rsidP="007E161A">
      <w:pPr>
        <w:pStyle w:val="Figure"/>
      </w:pPr>
      <w:bookmarkStart w:id="153" w:name="_Ref428799650"/>
      <w:bookmarkStart w:id="154" w:name="_Toc400706135"/>
      <w:bookmarkStart w:id="155" w:name="_Toc405886944"/>
      <w:bookmarkStart w:id="156" w:name="_Toc412122432"/>
      <w:bookmarkStart w:id="157" w:name="_Toc428799372"/>
      <w:bookmarkStart w:id="158" w:name="_Toc433389769"/>
      <w:bookmarkStart w:id="159" w:name="_Toc485114341"/>
      <w:bookmarkStart w:id="160" w:name="_Toc485542677"/>
      <w:r w:rsidRPr="00CF176D">
        <w:t xml:space="preserve">Figure </w:t>
      </w:r>
      <w:r w:rsidR="00071E85">
        <w:fldChar w:fldCharType="begin"/>
      </w:r>
      <w:r w:rsidR="00071E85">
        <w:instrText xml:space="preserve"> SEQ Figure \* ARABIC </w:instrText>
      </w:r>
      <w:r w:rsidR="00071E85">
        <w:fldChar w:fldCharType="separate"/>
      </w:r>
      <w:r w:rsidR="00071E85">
        <w:rPr>
          <w:noProof/>
        </w:rPr>
        <w:t>10</w:t>
      </w:r>
      <w:r w:rsidR="00071E85">
        <w:rPr>
          <w:noProof/>
        </w:rPr>
        <w:fldChar w:fldCharType="end"/>
      </w:r>
      <w:bookmarkEnd w:id="153"/>
      <w:r w:rsidRPr="00CF176D">
        <w:rPr>
          <w:noProof/>
        </w:rPr>
        <w:t>:</w:t>
      </w:r>
      <w:r w:rsidRPr="00CF176D">
        <w:t xml:space="preserve"> </w:t>
      </w:r>
      <w:bookmarkEnd w:id="154"/>
      <w:r>
        <w:t>Birth rates</w:t>
      </w:r>
      <w:r w:rsidRPr="00CF176D">
        <w:t xml:space="preserve"> by DHB of residence</w:t>
      </w:r>
      <w:bookmarkEnd w:id="155"/>
      <w:r w:rsidRPr="00CF176D">
        <w:t>, 2011 and 201</w:t>
      </w:r>
      <w:bookmarkEnd w:id="156"/>
      <w:bookmarkEnd w:id="157"/>
      <w:bookmarkEnd w:id="158"/>
      <w:r w:rsidRPr="00CF176D">
        <w:t>5</w:t>
      </w:r>
      <w:bookmarkEnd w:id="159"/>
      <w:bookmarkEnd w:id="160"/>
    </w:p>
    <w:p w:rsidR="000D44A5" w:rsidRPr="00CF176D" w:rsidRDefault="000D44A5" w:rsidP="000D44A5">
      <w:r w:rsidRPr="00CF176D">
        <w:rPr>
          <w:noProof/>
          <w:lang w:eastAsia="en-NZ"/>
        </w:rPr>
        <w:drawing>
          <wp:inline distT="0" distB="0" distL="0" distR="0" wp14:anchorId="52013F5F" wp14:editId="14E8F0D0">
            <wp:extent cx="5220000" cy="3511751"/>
            <wp:effectExtent l="0" t="0" r="0" b="0"/>
            <wp:docPr id="74" name="Picture 74" title="Figure 10: Birth rates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regYear_BirthRate.jpg"/>
                    <pic:cNvPicPr/>
                  </pic:nvPicPr>
                  <pic:blipFill>
                    <a:blip r:embed="rId33">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CF176D" w:rsidRDefault="000D44A5" w:rsidP="007E161A">
      <w:pPr>
        <w:pStyle w:val="Note"/>
      </w:pPr>
      <w:r w:rsidRPr="00CF176D">
        <w:t>Note: Reproductive age is defined as 15–44 years.</w:t>
      </w:r>
    </w:p>
    <w:p w:rsidR="000D44A5" w:rsidRDefault="000D44A5" w:rsidP="007E161A">
      <w:pPr>
        <w:pStyle w:val="Source"/>
      </w:pPr>
      <w:r>
        <w:t>Source: National Maternity Collection</w:t>
      </w:r>
    </w:p>
    <w:p w:rsidR="000D44A5" w:rsidRPr="00AF16D8" w:rsidRDefault="000D44A5" w:rsidP="007E161A">
      <w:pPr>
        <w:rPr>
          <w:highlight w:val="yellow"/>
        </w:rPr>
      </w:pPr>
    </w:p>
    <w:p w:rsidR="000D44A5" w:rsidRPr="00AF16D8" w:rsidRDefault="000D44A5" w:rsidP="007E161A">
      <w:pPr>
        <w:keepLines/>
        <w:rPr>
          <w:highlight w:val="yellow"/>
        </w:rPr>
      </w:pPr>
      <w:r>
        <w:t>M</w:t>
      </w:r>
      <w:r w:rsidRPr="000C6D9E">
        <w:t>ost DHB regions had a higher birth rate for teens (&lt;20 years) than for women in their 40s (</w:t>
      </w:r>
      <w:r w:rsidRPr="000C6D9E">
        <w:fldChar w:fldCharType="begin"/>
      </w:r>
      <w:r w:rsidRPr="000C6D9E">
        <w:instrText xml:space="preserve"> REF _Ref428455140 \h  \* MERGEFORMAT </w:instrText>
      </w:r>
      <w:r w:rsidRPr="000C6D9E">
        <w:fldChar w:fldCharType="separate"/>
      </w:r>
      <w:r w:rsidR="00071E85" w:rsidRPr="00DD0899">
        <w:t xml:space="preserve">Figure </w:t>
      </w:r>
      <w:r w:rsidR="00071E85">
        <w:rPr>
          <w:noProof/>
        </w:rPr>
        <w:t>11</w:t>
      </w:r>
      <w:r w:rsidRPr="000C6D9E">
        <w:fldChar w:fldCharType="end"/>
      </w:r>
      <w:r w:rsidRPr="000C6D9E">
        <w:t>). Birth rates for teens were higher for those residing in the North Island, particularly in Tairāwhiti DHB region (46.0 per 1</w:t>
      </w:r>
      <w:r w:rsidR="00CD7384">
        <w:t>,</w:t>
      </w:r>
      <w:r w:rsidRPr="000C6D9E">
        <w:t>000 females of reproductive age). Birth rates for women aged 40 years and over were generally lower, ranging from 9.0 per 1</w:t>
      </w:r>
      <w:r w:rsidR="00CD7384">
        <w:t>,</w:t>
      </w:r>
      <w:r w:rsidRPr="000C6D9E">
        <w:t>000 females of reproductive age (West Coast DHB</w:t>
      </w:r>
      <w:r>
        <w:t xml:space="preserve"> region</w:t>
      </w:r>
      <w:r w:rsidRPr="000C6D9E">
        <w:t>) to 18.6 per 1</w:t>
      </w:r>
      <w:r w:rsidR="00CD7384">
        <w:t>,</w:t>
      </w:r>
      <w:r w:rsidRPr="000C6D9E">
        <w:t>000 females of reproductive age (Auckland DHB</w:t>
      </w:r>
      <w:r>
        <w:t xml:space="preserve"> region</w:t>
      </w:r>
      <w:r w:rsidRPr="000C6D9E">
        <w:t>).</w:t>
      </w:r>
    </w:p>
    <w:p w:rsidR="000D44A5" w:rsidRPr="00AF16D8" w:rsidRDefault="000D44A5" w:rsidP="007E161A">
      <w:pPr>
        <w:rPr>
          <w:highlight w:val="yellow"/>
        </w:rPr>
      </w:pPr>
    </w:p>
    <w:p w:rsidR="000D44A5" w:rsidRPr="00DD0899" w:rsidRDefault="000D44A5" w:rsidP="007E161A">
      <w:pPr>
        <w:pStyle w:val="Figure"/>
      </w:pPr>
      <w:bookmarkStart w:id="161" w:name="_Ref428455140"/>
      <w:bookmarkStart w:id="162" w:name="_Toc400706136"/>
      <w:bookmarkStart w:id="163" w:name="_Toc405886945"/>
      <w:bookmarkStart w:id="164" w:name="_Toc412122433"/>
      <w:bookmarkStart w:id="165" w:name="_Toc428799373"/>
      <w:bookmarkStart w:id="166" w:name="_Toc433389770"/>
      <w:bookmarkStart w:id="167" w:name="_Toc485114342"/>
      <w:bookmarkStart w:id="168" w:name="_Toc485542678"/>
      <w:r w:rsidRPr="00DD0899">
        <w:lastRenderedPageBreak/>
        <w:t xml:space="preserve">Figure </w:t>
      </w:r>
      <w:r w:rsidR="00071E85">
        <w:fldChar w:fldCharType="begin"/>
      </w:r>
      <w:r w:rsidR="00071E85">
        <w:instrText xml:space="preserve"> SEQ Fig</w:instrText>
      </w:r>
      <w:r w:rsidR="00071E85">
        <w:instrText xml:space="preserve">ure \* ARABIC </w:instrText>
      </w:r>
      <w:r w:rsidR="00071E85">
        <w:fldChar w:fldCharType="separate"/>
      </w:r>
      <w:r w:rsidR="00071E85">
        <w:rPr>
          <w:noProof/>
        </w:rPr>
        <w:t>11</w:t>
      </w:r>
      <w:r w:rsidR="00071E85">
        <w:rPr>
          <w:noProof/>
        </w:rPr>
        <w:fldChar w:fldCharType="end"/>
      </w:r>
      <w:bookmarkEnd w:id="161"/>
      <w:r w:rsidRPr="00DD0899">
        <w:rPr>
          <w:noProof/>
        </w:rPr>
        <w:t>:</w:t>
      </w:r>
      <w:r w:rsidRPr="00DD0899">
        <w:t xml:space="preserve"> Birth rates for the under 20 years and the 40 years and over age groups, by DHB of residence, </w:t>
      </w:r>
      <w:bookmarkEnd w:id="162"/>
      <w:bookmarkEnd w:id="163"/>
      <w:bookmarkEnd w:id="164"/>
      <w:bookmarkEnd w:id="165"/>
      <w:r w:rsidRPr="00DD0899">
        <w:t>201</w:t>
      </w:r>
      <w:bookmarkEnd w:id="166"/>
      <w:r w:rsidRPr="00DD0899">
        <w:t>5</w:t>
      </w:r>
      <w:bookmarkEnd w:id="167"/>
      <w:bookmarkEnd w:id="168"/>
    </w:p>
    <w:p w:rsidR="000D44A5" w:rsidRPr="00DD0899" w:rsidRDefault="000D44A5" w:rsidP="000D44A5">
      <w:r w:rsidRPr="00DD0899">
        <w:rPr>
          <w:noProof/>
          <w:lang w:eastAsia="en-NZ"/>
        </w:rPr>
        <w:drawing>
          <wp:inline distT="0" distB="0" distL="0" distR="0" wp14:anchorId="476B121C" wp14:editId="71A29F00">
            <wp:extent cx="5220000" cy="3511751"/>
            <wp:effectExtent l="0" t="0" r="0" b="0"/>
            <wp:docPr id="56" name="Picture 56" title="Figure 11: Birth rates for the under 20 years and the 40 years and over age groups, by DHB of reside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regCat_AgeDiff.jpg"/>
                    <pic:cNvPicPr/>
                  </pic:nvPicPr>
                  <pic:blipFill>
                    <a:blip r:embed="rId34">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DD0899" w:rsidRDefault="000D44A5" w:rsidP="007E161A">
      <w:pPr>
        <w:pStyle w:val="Note"/>
      </w:pPr>
      <w:r w:rsidRPr="00DD0899">
        <w:t>Note: Reproductive age is defined as 15–44 years.</w:t>
      </w:r>
    </w:p>
    <w:p w:rsidR="000D44A5" w:rsidRPr="00DD0899" w:rsidRDefault="000D44A5" w:rsidP="007E161A">
      <w:pPr>
        <w:pStyle w:val="Source"/>
      </w:pPr>
      <w:r>
        <w:t>Sourc</w:t>
      </w:r>
      <w:r w:rsidRPr="00DD0899">
        <w:t xml:space="preserve">e: </w:t>
      </w:r>
      <w:r>
        <w:t>National Maternity Collection</w:t>
      </w:r>
    </w:p>
    <w:p w:rsidR="000D44A5" w:rsidRPr="000C6D9E" w:rsidRDefault="000D44A5" w:rsidP="007E161A"/>
    <w:p w:rsidR="000D44A5" w:rsidRPr="00AF16D8" w:rsidRDefault="000D44A5" w:rsidP="007E161A">
      <w:pPr>
        <w:rPr>
          <w:highlight w:val="yellow"/>
        </w:rPr>
      </w:pPr>
      <w:r w:rsidRPr="000C6D9E">
        <w:t>Māori</w:t>
      </w:r>
      <w:r>
        <w:t xml:space="preserve"> birth rates were </w:t>
      </w:r>
      <w:r w:rsidRPr="000C6D9E">
        <w:t>significantly higher than non-Māori birth rates for all DHB regions in 2015 (</w:t>
      </w:r>
      <w:r w:rsidRPr="000C6D9E">
        <w:fldChar w:fldCharType="begin"/>
      </w:r>
      <w:r w:rsidRPr="000C6D9E">
        <w:instrText xml:space="preserve"> REF _Ref428455197 \h  \* MERGEFORMAT </w:instrText>
      </w:r>
      <w:r w:rsidRPr="000C6D9E">
        <w:fldChar w:fldCharType="separate"/>
      </w:r>
      <w:r w:rsidR="00071E85" w:rsidRPr="00DD0899">
        <w:t xml:space="preserve">Figure </w:t>
      </w:r>
      <w:r w:rsidR="00071E85">
        <w:rPr>
          <w:noProof/>
        </w:rPr>
        <w:t>12</w:t>
      </w:r>
      <w:r w:rsidRPr="000C6D9E">
        <w:fldChar w:fldCharType="end"/>
      </w:r>
      <w:r w:rsidRPr="000C6D9E">
        <w:t xml:space="preserve">). The Māori birth rate for each DHB region was 1.2–2.0 times the rate for </w:t>
      </w:r>
      <w:r w:rsidRPr="00C953F4">
        <w:t>non-Māori. South Canterbury DHB region had the highest birth rate for Māori (126.0 per 1</w:t>
      </w:r>
      <w:r w:rsidR="00CD7384">
        <w:t>,</w:t>
      </w:r>
      <w:r w:rsidRPr="00C953F4">
        <w:t>000 fe</w:t>
      </w:r>
      <w:r>
        <w:t xml:space="preserve">males of reproductive age) although the actual number of births was relatively low. </w:t>
      </w:r>
      <w:r w:rsidRPr="00C953F4">
        <w:t>Capital &amp; Coast DHB region had the lowest birth rate for Māori (59.1 per 1</w:t>
      </w:r>
      <w:r w:rsidR="00CD7384">
        <w:t>,</w:t>
      </w:r>
      <w:r w:rsidRPr="00C953F4">
        <w:t>000 females of reproductive age). Birth rates for non-Māori women ranged from 47.3 (Auckland DHB</w:t>
      </w:r>
      <w:r>
        <w:t xml:space="preserve"> region</w:t>
      </w:r>
      <w:r w:rsidRPr="00C953F4">
        <w:t>) to 69.2</w:t>
      </w:r>
      <w:r w:rsidR="007E161A">
        <w:t> </w:t>
      </w:r>
      <w:r w:rsidRPr="00C953F4">
        <w:t>(Tairāwhiti DHB</w:t>
      </w:r>
      <w:r>
        <w:t xml:space="preserve"> region</w:t>
      </w:r>
      <w:r w:rsidRPr="00C953F4">
        <w:t>) per 1</w:t>
      </w:r>
      <w:r w:rsidR="00CD7384">
        <w:t>,</w:t>
      </w:r>
      <w:r w:rsidRPr="00C953F4">
        <w:t>000 females of reproductive age.</w:t>
      </w:r>
    </w:p>
    <w:p w:rsidR="000D44A5" w:rsidRPr="00C953F4" w:rsidRDefault="000D44A5" w:rsidP="007E161A"/>
    <w:p w:rsidR="000D44A5" w:rsidRPr="00C953F4" w:rsidRDefault="000D44A5" w:rsidP="007E161A">
      <w:r w:rsidRPr="00C953F4">
        <w:t>In 2015, birth rates by neighbourhood deprivation varied throughout the country (</w:t>
      </w:r>
      <w:r w:rsidRPr="00C953F4">
        <w:fldChar w:fldCharType="begin"/>
      </w:r>
      <w:r w:rsidRPr="00C953F4">
        <w:instrText xml:space="preserve"> REF _Ref428455205 \h  \* MERGEFORMAT </w:instrText>
      </w:r>
      <w:r w:rsidRPr="00C953F4">
        <w:fldChar w:fldCharType="separate"/>
      </w:r>
      <w:r w:rsidR="00071E85" w:rsidRPr="00DD0899">
        <w:t xml:space="preserve">Figure </w:t>
      </w:r>
      <w:r w:rsidR="00071E85">
        <w:rPr>
          <w:noProof/>
        </w:rPr>
        <w:t>13</w:t>
      </w:r>
      <w:r w:rsidRPr="00C953F4">
        <w:fldChar w:fldCharType="end"/>
      </w:r>
      <w:r w:rsidRPr="00C953F4">
        <w:t xml:space="preserve">). Birth rates for women residing in the most deprived neighbourhoods (quintile 5) were statistically significantly higher than those for women in the least deprived neighbourhoods (quintile 1) in all DHB regions in the North Island, except Capital &amp; Coast, </w:t>
      </w:r>
      <w:r>
        <w:t xml:space="preserve">Hutt Valley and Wairarapa. In </w:t>
      </w:r>
      <w:r w:rsidRPr="00C953F4">
        <w:t>Northland and Whanganui DHB regions, the birth rate for women in quintile 5 was 12.4 and 6.3 times, respectively, the birth rate for women in quintile 1. The difference in birth rates for women in the most and least deprived neighbourhoods was not statistically significant in all DHB regions in the South Island except for Southern DHB region.</w:t>
      </w:r>
    </w:p>
    <w:p w:rsidR="000D44A5" w:rsidRPr="00AF16D8" w:rsidRDefault="000D44A5" w:rsidP="007E161A">
      <w:pPr>
        <w:rPr>
          <w:highlight w:val="yellow"/>
        </w:rPr>
      </w:pPr>
    </w:p>
    <w:p w:rsidR="000D44A5" w:rsidRPr="00DD0899" w:rsidRDefault="000D44A5" w:rsidP="007E161A">
      <w:pPr>
        <w:pStyle w:val="Figure"/>
      </w:pPr>
      <w:bookmarkStart w:id="169" w:name="_Ref428455197"/>
      <w:bookmarkStart w:id="170" w:name="_Toc400706137"/>
      <w:bookmarkStart w:id="171" w:name="_Toc405886946"/>
      <w:bookmarkStart w:id="172" w:name="_Toc412122434"/>
      <w:bookmarkStart w:id="173" w:name="_Toc428799374"/>
      <w:bookmarkStart w:id="174" w:name="_Toc433389771"/>
      <w:bookmarkStart w:id="175" w:name="_Toc485114343"/>
      <w:bookmarkStart w:id="176" w:name="_Toc485542679"/>
      <w:r w:rsidRPr="00DD0899">
        <w:lastRenderedPageBreak/>
        <w:t xml:space="preserve">Figure </w:t>
      </w:r>
      <w:r w:rsidR="00071E85">
        <w:fldChar w:fldCharType="begin"/>
      </w:r>
      <w:r w:rsidR="00071E85">
        <w:instrText xml:space="preserve"> SEQ Figure \* ARABIC </w:instrText>
      </w:r>
      <w:r w:rsidR="00071E85">
        <w:fldChar w:fldCharType="separate"/>
      </w:r>
      <w:r w:rsidR="00071E85">
        <w:rPr>
          <w:noProof/>
        </w:rPr>
        <w:t>12</w:t>
      </w:r>
      <w:r w:rsidR="00071E85">
        <w:rPr>
          <w:noProof/>
        </w:rPr>
        <w:fldChar w:fldCharType="end"/>
      </w:r>
      <w:bookmarkEnd w:id="169"/>
      <w:r w:rsidRPr="00DD0899">
        <w:t xml:space="preserve">: Birth rates for Māori and non-Māori, by DHB of residence, </w:t>
      </w:r>
      <w:bookmarkEnd w:id="170"/>
      <w:bookmarkEnd w:id="171"/>
      <w:bookmarkEnd w:id="172"/>
      <w:r w:rsidRPr="00DD0899">
        <w:t>201</w:t>
      </w:r>
      <w:bookmarkEnd w:id="173"/>
      <w:bookmarkEnd w:id="174"/>
      <w:r w:rsidRPr="00DD0899">
        <w:t>5</w:t>
      </w:r>
      <w:bookmarkEnd w:id="175"/>
      <w:bookmarkEnd w:id="176"/>
    </w:p>
    <w:p w:rsidR="000D44A5" w:rsidRPr="00DD0899" w:rsidRDefault="000D44A5" w:rsidP="000D44A5">
      <w:r w:rsidRPr="00DD0899">
        <w:rPr>
          <w:noProof/>
          <w:lang w:eastAsia="en-NZ"/>
        </w:rPr>
        <w:drawing>
          <wp:inline distT="0" distB="0" distL="0" distR="0" wp14:anchorId="06BAB33F" wp14:editId="437B2F1C">
            <wp:extent cx="5220000" cy="3511751"/>
            <wp:effectExtent l="0" t="0" r="0" b="0"/>
            <wp:docPr id="58" name="Picture 58" title="Figure 12: Birth rates for Māori and non-Māori, by DHB of reside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egCat_EthDiff.jpg"/>
                    <pic:cNvPicPr/>
                  </pic:nvPicPr>
                  <pic:blipFill>
                    <a:blip r:embed="rId35">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DD0899" w:rsidRDefault="000D44A5" w:rsidP="007E161A">
      <w:pPr>
        <w:pStyle w:val="Note"/>
      </w:pPr>
      <w:r w:rsidRPr="00DD0899">
        <w:t>Note: Reproductive age is defined as 15–44 years.</w:t>
      </w:r>
    </w:p>
    <w:p w:rsidR="000D44A5" w:rsidRDefault="000D44A5" w:rsidP="007E161A">
      <w:pPr>
        <w:pStyle w:val="Source"/>
      </w:pPr>
      <w:r>
        <w:t>Source: National Maternity Collection</w:t>
      </w:r>
    </w:p>
    <w:p w:rsidR="000D44A5" w:rsidRPr="00AF16D8" w:rsidRDefault="000D44A5" w:rsidP="007E161A">
      <w:pPr>
        <w:rPr>
          <w:highlight w:val="yellow"/>
        </w:rPr>
      </w:pPr>
    </w:p>
    <w:p w:rsidR="000D44A5" w:rsidRPr="00DD0899" w:rsidRDefault="000D44A5" w:rsidP="007E161A">
      <w:pPr>
        <w:pStyle w:val="Figure"/>
      </w:pPr>
      <w:bookmarkStart w:id="177" w:name="_Ref428455205"/>
      <w:bookmarkStart w:id="178" w:name="_Toc400706138"/>
      <w:bookmarkStart w:id="179" w:name="_Toc405886947"/>
      <w:bookmarkStart w:id="180" w:name="_Toc412122435"/>
      <w:bookmarkStart w:id="181" w:name="_Toc428799375"/>
      <w:bookmarkStart w:id="182" w:name="_Toc433389772"/>
      <w:bookmarkStart w:id="183" w:name="_Toc485114344"/>
      <w:bookmarkStart w:id="184" w:name="_Toc485542680"/>
      <w:r w:rsidRPr="00DD0899">
        <w:t xml:space="preserve">Figure </w:t>
      </w:r>
      <w:r w:rsidR="00071E85">
        <w:fldChar w:fldCharType="begin"/>
      </w:r>
      <w:r w:rsidR="00071E85">
        <w:instrText xml:space="preserve"> SEQ Figure \* ARABIC </w:instrText>
      </w:r>
      <w:r w:rsidR="00071E85">
        <w:fldChar w:fldCharType="separate"/>
      </w:r>
      <w:r w:rsidR="00071E85">
        <w:rPr>
          <w:noProof/>
        </w:rPr>
        <w:t>13</w:t>
      </w:r>
      <w:r w:rsidR="00071E85">
        <w:rPr>
          <w:noProof/>
        </w:rPr>
        <w:fldChar w:fldCharType="end"/>
      </w:r>
      <w:bookmarkEnd w:id="177"/>
      <w:r w:rsidRPr="00DD0899">
        <w:rPr>
          <w:noProof/>
        </w:rPr>
        <w:t>:</w:t>
      </w:r>
      <w:r w:rsidRPr="00DD0899">
        <w:t xml:space="preserve"> Birth rates of women in the least deprived neighbourhoods (quintile 1) and in the most deprived neighbourhoods (quintile 5), by DHB of residence, </w:t>
      </w:r>
      <w:bookmarkEnd w:id="178"/>
      <w:bookmarkEnd w:id="179"/>
      <w:bookmarkEnd w:id="180"/>
      <w:r w:rsidRPr="00DD0899">
        <w:t>201</w:t>
      </w:r>
      <w:bookmarkEnd w:id="181"/>
      <w:bookmarkEnd w:id="182"/>
      <w:r w:rsidRPr="00DD0899">
        <w:t>5</w:t>
      </w:r>
      <w:bookmarkEnd w:id="183"/>
      <w:bookmarkEnd w:id="184"/>
    </w:p>
    <w:p w:rsidR="000D44A5" w:rsidRPr="00DD0899" w:rsidRDefault="000D44A5" w:rsidP="000D44A5">
      <w:r w:rsidRPr="00DD0899">
        <w:rPr>
          <w:noProof/>
          <w:lang w:eastAsia="en-NZ"/>
        </w:rPr>
        <w:drawing>
          <wp:inline distT="0" distB="0" distL="0" distR="0" wp14:anchorId="67CB19FD" wp14:editId="75B0F06C">
            <wp:extent cx="5220000" cy="3511751"/>
            <wp:effectExtent l="0" t="0" r="0" b="0"/>
            <wp:docPr id="65" name="Picture 65" title="Figure 13: Birth rates of women in the least deprived neighbourhoods (quintile 1) and in the most deprived neighbourhoods (quintile 5), by DHB of reside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egCat_DepDiff.jpg"/>
                    <pic:cNvPicPr/>
                  </pic:nvPicPr>
                  <pic:blipFill>
                    <a:blip r:embed="rId36">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DD0899" w:rsidRDefault="000D44A5" w:rsidP="007E161A">
      <w:pPr>
        <w:pStyle w:val="Note"/>
      </w:pPr>
      <w:r w:rsidRPr="00DD0899">
        <w:t>Note: Reproductive age is defined as 15–44 years.</w:t>
      </w:r>
    </w:p>
    <w:p w:rsidR="000D44A5" w:rsidRDefault="000D44A5" w:rsidP="007E161A">
      <w:pPr>
        <w:pStyle w:val="Source"/>
      </w:pPr>
      <w:r>
        <w:t>Source: National Maternity Collection</w:t>
      </w:r>
    </w:p>
    <w:p w:rsidR="000D44A5" w:rsidRPr="00AF16D8" w:rsidRDefault="000D44A5" w:rsidP="007E161A">
      <w:pPr>
        <w:rPr>
          <w:highlight w:val="yellow"/>
        </w:rPr>
      </w:pPr>
    </w:p>
    <w:p w:rsidR="000D44A5" w:rsidRPr="00976DB6" w:rsidRDefault="000D44A5" w:rsidP="007E161A">
      <w:pPr>
        <w:pStyle w:val="Heading2"/>
      </w:pPr>
      <w:bookmarkStart w:id="185" w:name="_Ref405478800"/>
      <w:bookmarkStart w:id="186" w:name="_Toc405887007"/>
      <w:bookmarkStart w:id="187" w:name="_Toc412122400"/>
      <w:bookmarkStart w:id="188" w:name="_Toc431462724"/>
      <w:bookmarkStart w:id="189" w:name="_Toc479583262"/>
      <w:bookmarkStart w:id="190" w:name="_Toc485542630"/>
      <w:r w:rsidRPr="00976DB6">
        <w:lastRenderedPageBreak/>
        <w:t>Parity</w:t>
      </w:r>
      <w:bookmarkEnd w:id="185"/>
      <w:bookmarkEnd w:id="186"/>
      <w:bookmarkEnd w:id="187"/>
      <w:bookmarkEnd w:id="188"/>
      <w:bookmarkEnd w:id="189"/>
      <w:bookmarkEnd w:id="190"/>
    </w:p>
    <w:p w:rsidR="000D44A5" w:rsidRPr="00976DB6" w:rsidRDefault="000D44A5" w:rsidP="007E161A">
      <w:pPr>
        <w:pStyle w:val="Box"/>
      </w:pPr>
      <w:r w:rsidRPr="00976DB6">
        <w:t>Parity refers to the number of times a woman has previously given birth, including stillbirths. Parity data is primarily sourced from LMC claim forms, with additional data from some DHB primary maternity services. It is therefore only available for women registered with an LMC or DHB primary maternity services (approximately 95% of women giving birth).</w:t>
      </w:r>
    </w:p>
    <w:p w:rsidR="000D44A5" w:rsidRPr="00AF16D8" w:rsidRDefault="000D44A5" w:rsidP="00834D1E">
      <w:pPr>
        <w:rPr>
          <w:highlight w:val="yellow"/>
        </w:rPr>
      </w:pPr>
    </w:p>
    <w:p w:rsidR="000D44A5" w:rsidRPr="00976DB6" w:rsidRDefault="000D44A5" w:rsidP="00834D1E">
      <w:r w:rsidRPr="00976DB6">
        <w:t>Approximately 40% (22,449) of women who gave birth in 2015 did so for the first time. A further 33.9% had given birth once, 15.2% had given birth twice, and 10.7% had given birth at least three times previously.</w:t>
      </w:r>
      <w:r w:rsidRPr="00834D1E">
        <w:rPr>
          <w:rStyle w:val="FootnoteReference"/>
        </w:rPr>
        <w:footnoteReference w:id="5"/>
      </w:r>
      <w:r w:rsidRPr="00976DB6">
        <w:t xml:space="preserve"> This distribution remained fairly consistent between 200</w:t>
      </w:r>
      <w:r>
        <w:t>8</w:t>
      </w:r>
      <w:r w:rsidRPr="00976DB6">
        <w:t xml:space="preserve"> and 2015 (</w:t>
      </w:r>
      <w:r w:rsidRPr="00976DB6">
        <w:fldChar w:fldCharType="begin"/>
      </w:r>
      <w:r w:rsidRPr="00976DB6">
        <w:instrText xml:space="preserve"> REF _Ref428462189 \h  \* MERGEFORMAT </w:instrText>
      </w:r>
      <w:r w:rsidRPr="00976DB6">
        <w:fldChar w:fldCharType="separate"/>
      </w:r>
      <w:r w:rsidR="00071E85" w:rsidRPr="00976DB6">
        <w:t xml:space="preserve">Figure </w:t>
      </w:r>
      <w:r w:rsidR="00071E85">
        <w:rPr>
          <w:noProof/>
        </w:rPr>
        <w:t>14</w:t>
      </w:r>
      <w:r w:rsidRPr="00976DB6">
        <w:fldChar w:fldCharType="end"/>
      </w:r>
      <w:r w:rsidRPr="00976DB6">
        <w:t>).</w:t>
      </w:r>
    </w:p>
    <w:p w:rsidR="000D44A5" w:rsidRPr="00AF16D8" w:rsidRDefault="000D44A5" w:rsidP="00834D1E">
      <w:pPr>
        <w:rPr>
          <w:highlight w:val="yellow"/>
        </w:rPr>
      </w:pPr>
    </w:p>
    <w:p w:rsidR="000D44A5" w:rsidRPr="00976DB6" w:rsidRDefault="000D44A5" w:rsidP="00834D1E">
      <w:pPr>
        <w:pStyle w:val="Figure"/>
      </w:pPr>
      <w:bookmarkStart w:id="191" w:name="_Ref428462189"/>
      <w:bookmarkStart w:id="192" w:name="_Toc400706139"/>
      <w:bookmarkStart w:id="193" w:name="_Toc405886948"/>
      <w:bookmarkStart w:id="194" w:name="_Toc412122436"/>
      <w:bookmarkStart w:id="195" w:name="_Toc428799376"/>
      <w:bookmarkStart w:id="196" w:name="_Toc433389773"/>
      <w:bookmarkStart w:id="197" w:name="_Toc485114345"/>
      <w:bookmarkStart w:id="198" w:name="_Toc485542681"/>
      <w:r w:rsidRPr="00976DB6">
        <w:t xml:space="preserve">Figure </w:t>
      </w:r>
      <w:r w:rsidR="00071E85">
        <w:fldChar w:fldCharType="begin"/>
      </w:r>
      <w:r w:rsidR="00071E85">
        <w:instrText xml:space="preserve"> SEQ Figure \* ARABIC </w:instrText>
      </w:r>
      <w:r w:rsidR="00071E85">
        <w:fldChar w:fldCharType="separate"/>
      </w:r>
      <w:r w:rsidR="00071E85">
        <w:rPr>
          <w:noProof/>
        </w:rPr>
        <w:t>14</w:t>
      </w:r>
      <w:r w:rsidR="00071E85">
        <w:rPr>
          <w:noProof/>
        </w:rPr>
        <w:fldChar w:fldCharType="end"/>
      </w:r>
      <w:bookmarkEnd w:id="191"/>
      <w:r w:rsidRPr="00976DB6">
        <w:rPr>
          <w:noProof/>
        </w:rPr>
        <w:t>:</w:t>
      </w:r>
      <w:r w:rsidRPr="00976DB6">
        <w:t xml:space="preserve"> Percentage of women giving birth, by number of previous births (parity),</w:t>
      </w:r>
      <w:r w:rsidRPr="00976DB6">
        <w:br/>
        <w:t>200</w:t>
      </w:r>
      <w:r>
        <w:t>8</w:t>
      </w:r>
      <w:r w:rsidRPr="00976DB6">
        <w:t>–201</w:t>
      </w:r>
      <w:bookmarkEnd w:id="192"/>
      <w:bookmarkEnd w:id="193"/>
      <w:bookmarkEnd w:id="194"/>
      <w:bookmarkEnd w:id="195"/>
      <w:bookmarkEnd w:id="196"/>
      <w:r w:rsidRPr="00976DB6">
        <w:t>5</w:t>
      </w:r>
      <w:bookmarkEnd w:id="197"/>
      <w:bookmarkEnd w:id="198"/>
    </w:p>
    <w:p w:rsidR="000D44A5" w:rsidRPr="00AF16D8" w:rsidRDefault="000D44A5" w:rsidP="000D44A5">
      <w:pPr>
        <w:rPr>
          <w:highlight w:val="yellow"/>
        </w:rPr>
      </w:pPr>
      <w:r w:rsidRPr="00395C3A">
        <w:rPr>
          <w:noProof/>
          <w:lang w:eastAsia="en-NZ"/>
        </w:rPr>
        <w:drawing>
          <wp:inline distT="0" distB="0" distL="0" distR="0" wp14:anchorId="2004668F" wp14:editId="63DF3112">
            <wp:extent cx="4522123" cy="2284700"/>
            <wp:effectExtent l="0" t="0" r="0" b="1905"/>
            <wp:docPr id="32" name="Picture 32" title="Figure 14: Percentage of women giving birth, by number of previous births (p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2130" t="2482" r="1243"/>
                    <a:stretch/>
                  </pic:blipFill>
                  <pic:spPr bwMode="auto">
                    <a:xfrm>
                      <a:off x="0" y="0"/>
                      <a:ext cx="4530044" cy="2288702"/>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976DB6" w:rsidRDefault="000D44A5" w:rsidP="00834D1E">
      <w:pPr>
        <w:pStyle w:val="Note"/>
      </w:pPr>
      <w:r w:rsidRPr="00976DB6">
        <w:t>Notes:</w:t>
      </w:r>
    </w:p>
    <w:p w:rsidR="000D44A5" w:rsidRPr="00976DB6" w:rsidRDefault="000D44A5" w:rsidP="00834D1E">
      <w:pPr>
        <w:pStyle w:val="Note"/>
      </w:pPr>
      <w:r w:rsidRPr="00976DB6">
        <w:t>The denominator used to calculate percentages is the number of women giving birth, excluding those with unknown parity.</w:t>
      </w:r>
    </w:p>
    <w:p w:rsidR="000D44A5" w:rsidRPr="00976DB6" w:rsidRDefault="000D44A5" w:rsidP="00834D1E">
      <w:pPr>
        <w:pStyle w:val="Note"/>
      </w:pPr>
      <w:r w:rsidRPr="00976DB6">
        <w:t>Parity data is only available for women registered with an LMC or a DHB primary maternity service.</w:t>
      </w:r>
    </w:p>
    <w:p w:rsidR="000D44A5" w:rsidRPr="00976DB6" w:rsidRDefault="000D44A5" w:rsidP="00834D1E">
      <w:pPr>
        <w:pStyle w:val="Source"/>
      </w:pPr>
      <w:r>
        <w:t>Source: National Maternity Collection</w:t>
      </w:r>
    </w:p>
    <w:p w:rsidR="000D44A5" w:rsidRPr="00AF16D8" w:rsidRDefault="000D44A5" w:rsidP="00834D1E">
      <w:pPr>
        <w:rPr>
          <w:highlight w:val="yellow"/>
        </w:rPr>
      </w:pPr>
    </w:p>
    <w:p w:rsidR="000D44A5" w:rsidRPr="00976DB6" w:rsidRDefault="000D44A5" w:rsidP="00834D1E">
      <w:r w:rsidRPr="00976DB6">
        <w:fldChar w:fldCharType="begin"/>
      </w:r>
      <w:r w:rsidRPr="00976DB6">
        <w:instrText xml:space="preserve"> REF _Ref428462175 \h  \* MERGEFORMAT </w:instrText>
      </w:r>
      <w:r w:rsidRPr="00976DB6">
        <w:fldChar w:fldCharType="separate"/>
      </w:r>
      <w:r w:rsidR="00071E85" w:rsidRPr="00C054DC">
        <w:t xml:space="preserve">Figure </w:t>
      </w:r>
      <w:r w:rsidR="00071E85">
        <w:rPr>
          <w:noProof/>
        </w:rPr>
        <w:t>15</w:t>
      </w:r>
      <w:r w:rsidRPr="00976DB6">
        <w:fldChar w:fldCharType="end"/>
      </w:r>
      <w:r w:rsidRPr="00976DB6">
        <w:t xml:space="preserve"> presents the proportion of women giving birth for the first time in 2015 for each age group, ethnic group and deprivation quintile.</w:t>
      </w:r>
    </w:p>
    <w:p w:rsidR="000D44A5" w:rsidRPr="00976DB6" w:rsidRDefault="000D44A5" w:rsidP="00834D1E"/>
    <w:p w:rsidR="000D44A5" w:rsidRPr="00976DB6" w:rsidRDefault="000D44A5" w:rsidP="00834D1E">
      <w:r w:rsidRPr="00976DB6">
        <w:t xml:space="preserve">The vast majority of young women giving birth did so for the first time (82.0% of women aged </w:t>
      </w:r>
      <w:r>
        <w:t>under</w:t>
      </w:r>
      <w:r w:rsidRPr="00976DB6">
        <w:t xml:space="preserve"> 20 years).</w:t>
      </w:r>
    </w:p>
    <w:p w:rsidR="000D44A5" w:rsidRPr="00AF16D8" w:rsidRDefault="000D44A5" w:rsidP="00834D1E">
      <w:pPr>
        <w:rPr>
          <w:highlight w:val="yellow"/>
        </w:rPr>
      </w:pPr>
    </w:p>
    <w:p w:rsidR="000D44A5" w:rsidRPr="00AF16D8" w:rsidRDefault="000D44A5" w:rsidP="00834D1E">
      <w:pPr>
        <w:rPr>
          <w:highlight w:val="yellow"/>
        </w:rPr>
      </w:pPr>
      <w:r>
        <w:t>L</w:t>
      </w:r>
      <w:r w:rsidRPr="00976DB6">
        <w:t>arger proportion</w:t>
      </w:r>
      <w:r>
        <w:t>s</w:t>
      </w:r>
      <w:r w:rsidRPr="00976DB6">
        <w:t xml:space="preserve"> of women giving birth in the Indian, Asian (excl</w:t>
      </w:r>
      <w:r w:rsidR="007E161A">
        <w:t>uding</w:t>
      </w:r>
      <w:r w:rsidRPr="00976DB6">
        <w:t xml:space="preserve"> Indian) and European or Other ethnic groups did so for the first time (56.5%</w:t>
      </w:r>
      <w:r>
        <w:t xml:space="preserve"> of Indian women</w:t>
      </w:r>
      <w:r w:rsidRPr="00976DB6">
        <w:t>, 47.6%</w:t>
      </w:r>
      <w:r>
        <w:t xml:space="preserve"> of Asian (excl</w:t>
      </w:r>
      <w:r w:rsidR="007E161A">
        <w:t>uding</w:t>
      </w:r>
      <w:r>
        <w:t xml:space="preserve"> Indian) women</w:t>
      </w:r>
      <w:r w:rsidRPr="00976DB6">
        <w:t xml:space="preserve"> and 42.5%</w:t>
      </w:r>
      <w:r>
        <w:t xml:space="preserve"> of European or Other women</w:t>
      </w:r>
      <w:r w:rsidRPr="00976DB6">
        <w:t>) compared with Pacific (31.6%) and Māori (32.7%) women.</w:t>
      </w:r>
    </w:p>
    <w:p w:rsidR="000D44A5" w:rsidRPr="00AF16D8" w:rsidRDefault="000D44A5" w:rsidP="00834D1E">
      <w:pPr>
        <w:rPr>
          <w:highlight w:val="yellow"/>
        </w:rPr>
      </w:pPr>
    </w:p>
    <w:p w:rsidR="000D44A5" w:rsidRPr="00C054DC" w:rsidRDefault="000D44A5" w:rsidP="00834D1E">
      <w:pPr>
        <w:spacing w:after="240"/>
      </w:pPr>
      <w:r w:rsidRPr="00C054DC">
        <w:lastRenderedPageBreak/>
        <w:t>The proportion of women giving birth for the first time was slightly higher among women living in the least deprived neighbourhoods compared to those living in most deprived neighbourhoods (41.9% of wome</w:t>
      </w:r>
      <w:r>
        <w:t>n in quintile 1 compared with</w:t>
      </w:r>
      <w:r w:rsidRPr="00C054DC">
        <w:t xml:space="preserve"> 35.2% of women in quintile 5).</w:t>
      </w:r>
    </w:p>
    <w:p w:rsidR="000D44A5" w:rsidRPr="00C054DC" w:rsidRDefault="000D44A5" w:rsidP="00834D1E">
      <w:pPr>
        <w:pStyle w:val="Figure"/>
      </w:pPr>
      <w:bookmarkStart w:id="199" w:name="_Ref428462175"/>
      <w:bookmarkStart w:id="200" w:name="_Toc400706140"/>
      <w:bookmarkStart w:id="201" w:name="_Toc405886949"/>
      <w:bookmarkStart w:id="202" w:name="_Toc412122437"/>
      <w:bookmarkStart w:id="203" w:name="_Toc428799377"/>
      <w:bookmarkStart w:id="204" w:name="_Toc433389774"/>
      <w:bookmarkStart w:id="205" w:name="_Toc485114346"/>
      <w:bookmarkStart w:id="206" w:name="_Toc485542682"/>
      <w:r w:rsidRPr="00C054DC">
        <w:t xml:space="preserve">Figure </w:t>
      </w:r>
      <w:r w:rsidR="00071E85">
        <w:fldChar w:fldCharType="begin"/>
      </w:r>
      <w:r w:rsidR="00071E85">
        <w:instrText xml:space="preserve"> SEQ Figure \* ARABIC </w:instrText>
      </w:r>
      <w:r w:rsidR="00071E85">
        <w:fldChar w:fldCharType="separate"/>
      </w:r>
      <w:r w:rsidR="00071E85">
        <w:rPr>
          <w:noProof/>
        </w:rPr>
        <w:t>15</w:t>
      </w:r>
      <w:r w:rsidR="00071E85">
        <w:rPr>
          <w:noProof/>
        </w:rPr>
        <w:fldChar w:fldCharType="end"/>
      </w:r>
      <w:bookmarkEnd w:id="199"/>
      <w:r w:rsidRPr="00C054DC">
        <w:rPr>
          <w:noProof/>
        </w:rPr>
        <w:t>:</w:t>
      </w:r>
      <w:r w:rsidRPr="00C054DC">
        <w:t xml:space="preserve"> Percentage of women giving birth for the first time, by age group, ethnic group and neighbourhood deprivation quintile</w:t>
      </w:r>
      <w:bookmarkEnd w:id="200"/>
      <w:bookmarkEnd w:id="201"/>
      <w:bookmarkEnd w:id="202"/>
      <w:bookmarkEnd w:id="203"/>
      <w:r w:rsidRPr="00C054DC">
        <w:t>, 201</w:t>
      </w:r>
      <w:bookmarkEnd w:id="204"/>
      <w:r w:rsidRPr="00C054DC">
        <w:t>5</w:t>
      </w:r>
      <w:bookmarkEnd w:id="205"/>
      <w:bookmarkEnd w:id="206"/>
    </w:p>
    <w:p w:rsidR="000D44A5" w:rsidRPr="00AF16D8" w:rsidRDefault="000D44A5" w:rsidP="000D44A5">
      <w:pPr>
        <w:rPr>
          <w:highlight w:val="yellow"/>
        </w:rPr>
      </w:pPr>
      <w:r w:rsidRPr="003007BF">
        <w:rPr>
          <w:noProof/>
          <w:lang w:eastAsia="en-NZ"/>
        </w:rPr>
        <w:drawing>
          <wp:inline distT="0" distB="0" distL="0" distR="0" wp14:anchorId="046A776E" wp14:editId="03745C0E">
            <wp:extent cx="5177981" cy="3174521"/>
            <wp:effectExtent l="0" t="0" r="3810" b="6985"/>
            <wp:docPr id="60" name="Picture 60" title="Figure 15: Percentage of women giving birth for the first time,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3416" cy="3177853"/>
                    </a:xfrm>
                    <a:prstGeom prst="rect">
                      <a:avLst/>
                    </a:prstGeom>
                    <a:noFill/>
                  </pic:spPr>
                </pic:pic>
              </a:graphicData>
            </a:graphic>
          </wp:inline>
        </w:drawing>
      </w:r>
    </w:p>
    <w:p w:rsidR="000D44A5" w:rsidRPr="00C054DC" w:rsidRDefault="000D44A5" w:rsidP="00834D1E">
      <w:pPr>
        <w:pStyle w:val="Note"/>
      </w:pPr>
      <w:r w:rsidRPr="00C054DC">
        <w:t>Notes:</w:t>
      </w:r>
    </w:p>
    <w:p w:rsidR="000D44A5" w:rsidRPr="00C054DC" w:rsidRDefault="000D44A5" w:rsidP="00834D1E">
      <w:pPr>
        <w:pStyle w:val="Note"/>
      </w:pPr>
      <w:r w:rsidRPr="00C054DC">
        <w:t>The denominator used to calculate percentages is the number of women giving birth for that demographic</w:t>
      </w:r>
      <w:r>
        <w:t xml:space="preserve"> group</w:t>
      </w:r>
      <w:r w:rsidRPr="00C054DC">
        <w:t>, excluding those with unknown parity.</w:t>
      </w:r>
    </w:p>
    <w:p w:rsidR="000D44A5" w:rsidRPr="00C054DC" w:rsidRDefault="000D44A5" w:rsidP="00834D1E">
      <w:pPr>
        <w:pStyle w:val="Note"/>
      </w:pPr>
      <w:r w:rsidRPr="00C054DC">
        <w:t>Parity data is only available for women registered with an LMC or a DHB primary maternity service.</w:t>
      </w:r>
    </w:p>
    <w:p w:rsidR="000D44A5" w:rsidRPr="00C054DC" w:rsidRDefault="000D44A5" w:rsidP="00834D1E">
      <w:pPr>
        <w:pStyle w:val="Source"/>
      </w:pPr>
      <w:r>
        <w:t>Source: National Maternity Collection</w:t>
      </w:r>
    </w:p>
    <w:p w:rsidR="000D44A5" w:rsidRPr="00AF16D8" w:rsidRDefault="000D44A5" w:rsidP="00834D1E">
      <w:pPr>
        <w:rPr>
          <w:highlight w:val="yellow"/>
        </w:rPr>
      </w:pPr>
    </w:p>
    <w:p w:rsidR="000D44A5" w:rsidRDefault="000D44A5" w:rsidP="00834D1E">
      <w:r w:rsidRPr="00C054DC">
        <w:t>Capital &amp; Coast, Auckland and Canterbury</w:t>
      </w:r>
      <w:r>
        <w:t xml:space="preserve"> DHB regions had </w:t>
      </w:r>
      <w:r w:rsidRPr="00C054DC">
        <w:t>larger proportion</w:t>
      </w:r>
      <w:r>
        <w:t>s</w:t>
      </w:r>
      <w:r w:rsidRPr="00C054DC">
        <w:t xml:space="preserve"> of women giving birth for the first time, at 44.7%, 44.3% and 44.0% of women giving birth, respectively. The lowest proportion was among women in Northland DHB region, where 32.8% of women giving birth in 2015 were giving birth for the first time.</w:t>
      </w:r>
    </w:p>
    <w:p w:rsidR="00834D1E" w:rsidRPr="00C054DC" w:rsidRDefault="00834D1E" w:rsidP="00834D1E"/>
    <w:p w:rsidR="000D44A5" w:rsidRPr="00C054DC" w:rsidRDefault="000D44A5" w:rsidP="00834D1E">
      <w:pPr>
        <w:pStyle w:val="Heading2"/>
      </w:pPr>
      <w:bookmarkStart w:id="207" w:name="_Ref412032495"/>
      <w:bookmarkStart w:id="208" w:name="_Toc412122401"/>
      <w:bookmarkStart w:id="209" w:name="_Ref413143679"/>
      <w:bookmarkStart w:id="210" w:name="_Toc431462725"/>
      <w:bookmarkStart w:id="211" w:name="_Toc479583263"/>
      <w:bookmarkStart w:id="212" w:name="_Toc485542631"/>
      <w:r w:rsidRPr="00C054DC">
        <w:lastRenderedPageBreak/>
        <w:t>Body mass index</w:t>
      </w:r>
      <w:bookmarkEnd w:id="207"/>
      <w:bookmarkEnd w:id="208"/>
      <w:bookmarkEnd w:id="209"/>
      <w:bookmarkEnd w:id="210"/>
      <w:bookmarkEnd w:id="211"/>
      <w:bookmarkEnd w:id="212"/>
    </w:p>
    <w:p w:rsidR="000D44A5" w:rsidRPr="00C054DC" w:rsidRDefault="000D44A5" w:rsidP="00834D1E">
      <w:pPr>
        <w:pStyle w:val="Box"/>
        <w:keepNext/>
      </w:pPr>
      <w:r w:rsidRPr="00C054DC">
        <w:t>Body mass index (BMI) is a ratio used to determine healthy weight ranges, and it has been used to define the medical standard for overweight and obesity. It is defined as weight in kilograms divided by the square of height in metres. The BMI range for each weight category is as follows:</w:t>
      </w:r>
    </w:p>
    <w:p w:rsidR="000D44A5" w:rsidRPr="00C054DC" w:rsidRDefault="000D44A5" w:rsidP="00834D1E">
      <w:pPr>
        <w:pStyle w:val="Box"/>
        <w:keepNext/>
      </w:pPr>
      <w:r w:rsidRPr="00834D1E">
        <w:rPr>
          <w:b/>
        </w:rPr>
        <w:t>Underweight:</w:t>
      </w:r>
      <w:r w:rsidRPr="00C054DC">
        <w:t xml:space="preserve"> &lt;19</w:t>
      </w:r>
      <w:r w:rsidR="00FE048C">
        <w:t xml:space="preserve"> </w:t>
      </w:r>
      <w:r w:rsidRPr="00C054DC">
        <w:br/>
      </w:r>
      <w:r w:rsidRPr="00834D1E">
        <w:rPr>
          <w:b/>
        </w:rPr>
        <w:t>Healthy weight:</w:t>
      </w:r>
      <w:r w:rsidRPr="00C054DC">
        <w:t xml:space="preserve"> 19–24</w:t>
      </w:r>
      <w:r w:rsidRPr="00C054DC">
        <w:br/>
      </w:r>
      <w:r w:rsidRPr="00834D1E">
        <w:rPr>
          <w:b/>
        </w:rPr>
        <w:t>Overweight:</w:t>
      </w:r>
      <w:r w:rsidRPr="00C054DC">
        <w:t xml:space="preserve"> 25–29</w:t>
      </w:r>
      <w:r w:rsidRPr="00C054DC">
        <w:br/>
      </w:r>
      <w:r w:rsidRPr="00834D1E">
        <w:rPr>
          <w:b/>
        </w:rPr>
        <w:t>Obese:</w:t>
      </w:r>
      <w:r w:rsidRPr="00C054DC">
        <w:t xml:space="preserve"> 30+</w:t>
      </w:r>
    </w:p>
    <w:p w:rsidR="000D44A5" w:rsidRPr="00C054DC" w:rsidRDefault="000D44A5" w:rsidP="00834D1E">
      <w:pPr>
        <w:pStyle w:val="Box"/>
        <w:keepNext/>
      </w:pPr>
      <w:r w:rsidRPr="00C054DC">
        <w:t>Height and weight measurements for calculating BMI are taken during first registration with a woman</w:t>
      </w:r>
      <w:r w:rsidR="00CB6D20">
        <w:t>’</w:t>
      </w:r>
      <w:r w:rsidRPr="00C054DC">
        <w:t>s primary maternity care provider. This usually happens during the first trimester of pregnancy.</w:t>
      </w:r>
    </w:p>
    <w:p w:rsidR="00FE048C" w:rsidRDefault="000D44A5" w:rsidP="00834D1E">
      <w:pPr>
        <w:pStyle w:val="Box"/>
        <w:keepNext/>
      </w:pPr>
      <w:r w:rsidRPr="00C054DC">
        <w:t xml:space="preserve">BMI data is primarily sourced from LMC claim forms, with additional data from some DHB primary maternity services. </w:t>
      </w:r>
    </w:p>
    <w:p w:rsidR="000D44A5" w:rsidRPr="00C054DC" w:rsidRDefault="000D44A5" w:rsidP="00834D1E">
      <w:pPr>
        <w:pStyle w:val="Box"/>
        <w:keepNext/>
      </w:pPr>
      <w:r w:rsidRPr="00C054DC">
        <w:t>It is therefore only available for women registered with an LMC or with a DHB primary maternity service (approximately 95% of women giving birth).</w:t>
      </w:r>
    </w:p>
    <w:p w:rsidR="000D44A5" w:rsidRPr="00AF16D8" w:rsidRDefault="000D44A5" w:rsidP="00CD7384">
      <w:pPr>
        <w:keepNext/>
        <w:rPr>
          <w:highlight w:val="yellow"/>
        </w:rPr>
      </w:pPr>
    </w:p>
    <w:p w:rsidR="000D44A5" w:rsidRPr="00C054DC" w:rsidRDefault="000D44A5" w:rsidP="00834D1E">
      <w:r w:rsidRPr="00C054DC">
        <w:t>Over half of women giving birth in 201</w:t>
      </w:r>
      <w:r>
        <w:t>5</w:t>
      </w:r>
      <w:r w:rsidRPr="00C054DC">
        <w:t xml:space="preserve"> were identified as overweight (28.1%: 15,779 women) or obese (25.6%: 14,425 women) at first registration with their primary care provider. A further 43.5% of women had a healthy weight and 2.8% were underweight.</w:t>
      </w:r>
      <w:r w:rsidRPr="00834D1E">
        <w:rPr>
          <w:rStyle w:val="FootnoteReference"/>
        </w:rPr>
        <w:footnoteReference w:id="6"/>
      </w:r>
    </w:p>
    <w:p w:rsidR="000D44A5" w:rsidRPr="00AF16D8" w:rsidRDefault="000D44A5" w:rsidP="00834D1E">
      <w:pPr>
        <w:rPr>
          <w:highlight w:val="yellow"/>
        </w:rPr>
      </w:pPr>
    </w:p>
    <w:p w:rsidR="000D44A5" w:rsidRPr="00AF16D8" w:rsidRDefault="000D44A5" w:rsidP="00834D1E">
      <w:pPr>
        <w:rPr>
          <w:highlight w:val="yellow"/>
        </w:rPr>
      </w:pPr>
      <w:r w:rsidRPr="00C054DC">
        <w:t>From 200</w:t>
      </w:r>
      <w:r>
        <w:t>8</w:t>
      </w:r>
      <w:r w:rsidRPr="00C054DC">
        <w:t xml:space="preserve"> to 2015, the proportion of women who had a healthy weight at first registration </w:t>
      </w:r>
      <w:r w:rsidRPr="00DD0899">
        <w:t>decreased significantly, while the proportion of women who were obese increased significantly (</w:t>
      </w:r>
      <w:r w:rsidRPr="00DD0899">
        <w:fldChar w:fldCharType="begin"/>
      </w:r>
      <w:r w:rsidRPr="00DD0899">
        <w:instrText xml:space="preserve"> REF _Ref431301171 \h  \* MERGEFORMAT </w:instrText>
      </w:r>
      <w:r w:rsidRPr="00DD0899">
        <w:fldChar w:fldCharType="separate"/>
      </w:r>
      <w:r w:rsidR="00071E85" w:rsidRPr="00C054DC">
        <w:t xml:space="preserve">Figure </w:t>
      </w:r>
      <w:r w:rsidR="00071E85">
        <w:rPr>
          <w:noProof/>
        </w:rPr>
        <w:t>16</w:t>
      </w:r>
      <w:r w:rsidRPr="00DD0899">
        <w:fldChar w:fldCharType="end"/>
      </w:r>
      <w:r w:rsidRPr="00DD0899">
        <w:t>).</w:t>
      </w:r>
    </w:p>
    <w:p w:rsidR="000D44A5" w:rsidRPr="00AF16D8" w:rsidRDefault="000D44A5" w:rsidP="00834D1E">
      <w:pPr>
        <w:rPr>
          <w:highlight w:val="yellow"/>
        </w:rPr>
      </w:pPr>
    </w:p>
    <w:p w:rsidR="000D44A5" w:rsidRPr="00C054DC" w:rsidRDefault="000D44A5" w:rsidP="00834D1E">
      <w:pPr>
        <w:pStyle w:val="Figure"/>
      </w:pPr>
      <w:bookmarkStart w:id="213" w:name="_Ref431301171"/>
      <w:bookmarkStart w:id="214" w:name="_Toc428799378"/>
      <w:bookmarkStart w:id="215" w:name="_Toc433389775"/>
      <w:bookmarkStart w:id="216" w:name="_Toc485114347"/>
      <w:bookmarkStart w:id="217" w:name="_Toc485542683"/>
      <w:r w:rsidRPr="00C054DC">
        <w:t xml:space="preserve">Figure </w:t>
      </w:r>
      <w:r w:rsidR="00071E85">
        <w:fldChar w:fldCharType="begin"/>
      </w:r>
      <w:r w:rsidR="00071E85">
        <w:instrText xml:space="preserve"> SEQ Figure \* ARABIC </w:instrText>
      </w:r>
      <w:r w:rsidR="00071E85">
        <w:fldChar w:fldCharType="separate"/>
      </w:r>
      <w:r w:rsidR="00071E85">
        <w:rPr>
          <w:noProof/>
        </w:rPr>
        <w:t>16</w:t>
      </w:r>
      <w:r w:rsidR="00071E85">
        <w:rPr>
          <w:noProof/>
        </w:rPr>
        <w:fldChar w:fldCharType="end"/>
      </w:r>
      <w:bookmarkEnd w:id="213"/>
      <w:r w:rsidRPr="00C054DC">
        <w:rPr>
          <w:noProof/>
        </w:rPr>
        <w:t>:</w:t>
      </w:r>
      <w:r w:rsidRPr="00C054DC">
        <w:t xml:space="preserve"> Percentage of women giving birth, by body mass index (BMI) category at first registration with their primary maternity care provider, 200</w:t>
      </w:r>
      <w:r>
        <w:t>8</w:t>
      </w:r>
      <w:r w:rsidRPr="00C054DC">
        <w:t>–201</w:t>
      </w:r>
      <w:bookmarkEnd w:id="214"/>
      <w:bookmarkEnd w:id="215"/>
      <w:r w:rsidRPr="00C054DC">
        <w:t>5</w:t>
      </w:r>
      <w:bookmarkEnd w:id="216"/>
      <w:bookmarkEnd w:id="217"/>
    </w:p>
    <w:p w:rsidR="000D44A5" w:rsidRPr="00AF16D8" w:rsidRDefault="000D44A5" w:rsidP="000D44A5">
      <w:pPr>
        <w:rPr>
          <w:highlight w:val="yellow"/>
        </w:rPr>
      </w:pPr>
      <w:r w:rsidRPr="00395C3A">
        <w:rPr>
          <w:noProof/>
          <w:lang w:eastAsia="en-NZ"/>
        </w:rPr>
        <w:drawing>
          <wp:inline distT="0" distB="0" distL="0" distR="0" wp14:anchorId="45433413" wp14:editId="3E31A8CD">
            <wp:extent cx="4076487" cy="2078182"/>
            <wp:effectExtent l="0" t="0" r="635" b="0"/>
            <wp:docPr id="42" name="Picture 42" title="Figure 16: Percentage of women giving birth, by body mass index (BMI) category at first registration with their primary maternity care provider,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1802"/>
                    <a:stretch/>
                  </pic:blipFill>
                  <pic:spPr bwMode="auto">
                    <a:xfrm>
                      <a:off x="0" y="0"/>
                      <a:ext cx="4099688" cy="2090010"/>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C054DC" w:rsidRDefault="000D44A5" w:rsidP="00834D1E">
      <w:pPr>
        <w:pStyle w:val="Note"/>
      </w:pPr>
      <w:r w:rsidRPr="00C054DC">
        <w:t>Notes:</w:t>
      </w:r>
    </w:p>
    <w:p w:rsidR="000D44A5" w:rsidRPr="00C054DC" w:rsidRDefault="000D44A5" w:rsidP="00834D1E">
      <w:pPr>
        <w:pStyle w:val="Note"/>
      </w:pPr>
      <w:r w:rsidRPr="00C054DC">
        <w:t>Underweight: BMI</w:t>
      </w:r>
      <w:r>
        <w:t xml:space="preserve"> </w:t>
      </w:r>
      <w:r w:rsidRPr="00C054DC">
        <w:t>&lt;19; Healthy weight: BMI 19–24; Overweight: BMI 25–29; Obese: BMI 30+.</w:t>
      </w:r>
    </w:p>
    <w:p w:rsidR="000D44A5" w:rsidRPr="00C054DC" w:rsidRDefault="000D44A5" w:rsidP="00834D1E">
      <w:pPr>
        <w:pStyle w:val="Note"/>
      </w:pPr>
      <w:r w:rsidRPr="00C054DC">
        <w:t>BMI is calculated based on measurements taken at first registration with an LMC or a DHB primary maternity service.</w:t>
      </w:r>
    </w:p>
    <w:p w:rsidR="000D44A5" w:rsidRPr="00C054DC" w:rsidRDefault="000D44A5" w:rsidP="00834D1E">
      <w:pPr>
        <w:pStyle w:val="Note"/>
      </w:pPr>
      <w:r w:rsidRPr="00C054DC">
        <w:t>The denominator used to calculate percentages excludes women giving birth with unknown BMI.</w:t>
      </w:r>
    </w:p>
    <w:p w:rsidR="000D44A5" w:rsidRDefault="000D44A5" w:rsidP="00834D1E">
      <w:pPr>
        <w:pStyle w:val="Source"/>
      </w:pPr>
      <w:r>
        <w:t>Source: National Maternity Collection</w:t>
      </w:r>
    </w:p>
    <w:p w:rsidR="00834D1E" w:rsidRDefault="00834D1E" w:rsidP="00834D1E"/>
    <w:p w:rsidR="000D44A5" w:rsidRPr="001D60DE" w:rsidRDefault="000D44A5" w:rsidP="00834D1E">
      <w:r w:rsidRPr="00C054DC">
        <w:lastRenderedPageBreak/>
        <w:t>The proportion of women identified as obese was highest among Pacific women giving birth (57.9%</w:t>
      </w:r>
      <w:r>
        <w:t>)</w:t>
      </w:r>
      <w:r w:rsidRPr="00C054DC">
        <w:t xml:space="preserve"> followed by Māori women (36.9</w:t>
      </w:r>
      <w:r w:rsidRPr="001D60DE">
        <w:t xml:space="preserve">%). Women in the most deprived neighbourhoods had a higher proportion of obesity than women in the least deprived neighbourhoods (37.9% of women in quintile 5 compared with 14.2% of </w:t>
      </w:r>
      <w:r>
        <w:t xml:space="preserve">women in quintile 1). The proportion of obese women giving birth did not vary notably across the age groups, </w:t>
      </w:r>
      <w:r w:rsidRPr="001D60DE">
        <w:t xml:space="preserve">except for a </w:t>
      </w:r>
      <w:r>
        <w:t xml:space="preserve">slightly </w:t>
      </w:r>
      <w:r w:rsidRPr="001D60DE">
        <w:t>higher proportion in the 20–24 years age group (</w:t>
      </w:r>
      <w:r w:rsidRPr="001D60DE">
        <w:fldChar w:fldCharType="begin"/>
      </w:r>
      <w:r w:rsidRPr="001D60DE">
        <w:instrText xml:space="preserve"> REF _Ref428462998 \h  \* MERGEFORMAT </w:instrText>
      </w:r>
      <w:r w:rsidRPr="001D60DE">
        <w:fldChar w:fldCharType="separate"/>
      </w:r>
      <w:r w:rsidR="00071E85" w:rsidRPr="00EE47A1">
        <w:t xml:space="preserve">Figure </w:t>
      </w:r>
      <w:r w:rsidR="00071E85">
        <w:rPr>
          <w:noProof/>
        </w:rPr>
        <w:t>17</w:t>
      </w:r>
      <w:r w:rsidRPr="001D60DE">
        <w:fldChar w:fldCharType="end"/>
      </w:r>
      <w:r w:rsidRPr="001D60DE">
        <w:t>).</w:t>
      </w:r>
    </w:p>
    <w:p w:rsidR="000D44A5" w:rsidRPr="00AF16D8" w:rsidRDefault="000D44A5" w:rsidP="00834D1E">
      <w:pPr>
        <w:rPr>
          <w:highlight w:val="yellow"/>
        </w:rPr>
      </w:pPr>
    </w:p>
    <w:p w:rsidR="000D44A5" w:rsidRPr="00EE47A1" w:rsidRDefault="000D44A5" w:rsidP="00834D1E">
      <w:pPr>
        <w:pStyle w:val="Figure"/>
      </w:pPr>
      <w:bookmarkStart w:id="218" w:name="_Ref428462998"/>
      <w:bookmarkStart w:id="219" w:name="_Toc412122438"/>
      <w:bookmarkStart w:id="220" w:name="_Toc428799379"/>
      <w:bookmarkStart w:id="221" w:name="_Toc433389776"/>
      <w:bookmarkStart w:id="222" w:name="_Toc485114348"/>
      <w:bookmarkStart w:id="223" w:name="_Toc485542684"/>
      <w:r w:rsidRPr="00EE47A1">
        <w:t xml:space="preserve">Figure </w:t>
      </w:r>
      <w:r w:rsidR="00071E85">
        <w:fldChar w:fldCharType="begin"/>
      </w:r>
      <w:r w:rsidR="00071E85">
        <w:instrText xml:space="preserve"> SEQ Figure \* ARABIC </w:instrText>
      </w:r>
      <w:r w:rsidR="00071E85">
        <w:fldChar w:fldCharType="separate"/>
      </w:r>
      <w:r w:rsidR="00071E85">
        <w:rPr>
          <w:noProof/>
        </w:rPr>
        <w:t>17</w:t>
      </w:r>
      <w:r w:rsidR="00071E85">
        <w:rPr>
          <w:noProof/>
        </w:rPr>
        <w:fldChar w:fldCharType="end"/>
      </w:r>
      <w:bookmarkEnd w:id="218"/>
      <w:r w:rsidRPr="00EE47A1">
        <w:rPr>
          <w:noProof/>
        </w:rPr>
        <w:t>:</w:t>
      </w:r>
      <w:r w:rsidRPr="00EE47A1">
        <w:t xml:space="preserve"> Percentage of women giving birth identified as obese at first registration with their primary maternity care provider, by age group, ethnic group and neighbourhood deprivation quintile, </w:t>
      </w:r>
      <w:bookmarkEnd w:id="219"/>
      <w:r w:rsidRPr="00EE47A1">
        <w:t>201</w:t>
      </w:r>
      <w:bookmarkEnd w:id="220"/>
      <w:bookmarkEnd w:id="221"/>
      <w:r w:rsidRPr="00EE47A1">
        <w:t>5</w:t>
      </w:r>
      <w:bookmarkEnd w:id="222"/>
      <w:bookmarkEnd w:id="223"/>
    </w:p>
    <w:p w:rsidR="000D44A5" w:rsidRPr="00AF16D8" w:rsidRDefault="000D44A5" w:rsidP="000D44A5">
      <w:pPr>
        <w:rPr>
          <w:highlight w:val="yellow"/>
        </w:rPr>
      </w:pPr>
      <w:r w:rsidRPr="00DD0899">
        <w:rPr>
          <w:noProof/>
          <w:lang w:eastAsia="en-NZ"/>
        </w:rPr>
        <w:drawing>
          <wp:inline distT="0" distB="0" distL="0" distR="0" wp14:anchorId="12258988" wp14:editId="4519DDB4">
            <wp:extent cx="5149840" cy="3157268"/>
            <wp:effectExtent l="0" t="0" r="0" b="5080"/>
            <wp:docPr id="59" name="Picture 59" title="Figure 17: Percentage of women giving birth identified as obese at first registration with their primary maternity care provider,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2589" cy="3165084"/>
                    </a:xfrm>
                    <a:prstGeom prst="rect">
                      <a:avLst/>
                    </a:prstGeom>
                    <a:noFill/>
                  </pic:spPr>
                </pic:pic>
              </a:graphicData>
            </a:graphic>
          </wp:inline>
        </w:drawing>
      </w:r>
    </w:p>
    <w:p w:rsidR="000D44A5" w:rsidRPr="00EE47A1" w:rsidRDefault="000D44A5" w:rsidP="00834D1E">
      <w:pPr>
        <w:pStyle w:val="Note"/>
      </w:pPr>
      <w:r w:rsidRPr="00EE47A1">
        <w:t>Notes:</w:t>
      </w:r>
    </w:p>
    <w:p w:rsidR="000D44A5" w:rsidRPr="00EE47A1" w:rsidRDefault="000D44A5" w:rsidP="00834D1E">
      <w:pPr>
        <w:pStyle w:val="Note"/>
      </w:pPr>
      <w:r w:rsidRPr="00EE47A1">
        <w:t>A woman is identified as obese if her body mass index (BMI) is 30 or more at first registration with an LMC or a DHB primary maternity service.</w:t>
      </w:r>
    </w:p>
    <w:p w:rsidR="000D44A5" w:rsidRPr="00EE47A1" w:rsidRDefault="000D44A5" w:rsidP="00834D1E">
      <w:pPr>
        <w:pStyle w:val="Note"/>
      </w:pPr>
      <w:r w:rsidRPr="00EE47A1">
        <w:t>The denominator used to calculate percentages is the number of women giving birth for that demographic group, excluding those with unknown BMI.</w:t>
      </w:r>
    </w:p>
    <w:p w:rsidR="000D44A5" w:rsidRDefault="000D44A5" w:rsidP="00834D1E">
      <w:pPr>
        <w:pStyle w:val="Source"/>
      </w:pPr>
      <w:r>
        <w:t>Source: National Maternity Collection</w:t>
      </w:r>
    </w:p>
    <w:p w:rsidR="000D44A5" w:rsidRPr="00EE47A1" w:rsidRDefault="000D44A5" w:rsidP="00834D1E">
      <w:bookmarkStart w:id="224" w:name="_Ref405478801"/>
      <w:bookmarkStart w:id="225" w:name="_Toc405887008"/>
      <w:bookmarkStart w:id="226" w:name="_Ref410054710"/>
      <w:bookmarkStart w:id="227" w:name="_Toc412122402"/>
    </w:p>
    <w:p w:rsidR="000D44A5" w:rsidRPr="00AF16D8" w:rsidRDefault="000D44A5" w:rsidP="00834D1E">
      <w:pPr>
        <w:rPr>
          <w:highlight w:val="yellow"/>
        </w:rPr>
      </w:pPr>
      <w:r w:rsidRPr="00EE47A1">
        <w:t xml:space="preserve">At least one-quarter of women were identified as obese at first registration in 12 of the 20 DHB regions. The highest proportion of obese women as a percentage of women giving birth was in Counties Manukau DHB region (36.5%), followed by Whanganui </w:t>
      </w:r>
      <w:r>
        <w:t xml:space="preserve">and Northland DHB regions </w:t>
      </w:r>
      <w:r w:rsidRPr="00EE47A1">
        <w:t>(31.8%</w:t>
      </w:r>
      <w:r>
        <w:t xml:space="preserve"> and 31.4%, respectively</w:t>
      </w:r>
      <w:r w:rsidRPr="00EE47A1">
        <w:t>). The lowest proportion</w:t>
      </w:r>
      <w:r>
        <w:t>s</w:t>
      </w:r>
      <w:r w:rsidRPr="00EE47A1">
        <w:t xml:space="preserve"> w</w:t>
      </w:r>
      <w:r>
        <w:t>ere</w:t>
      </w:r>
      <w:r w:rsidRPr="00EE47A1">
        <w:t xml:space="preserve"> in Nelson Marlborough, Auckland and Waitemata DHB regions (19.7%, 20.3% and 20.5%, respectively).</w:t>
      </w:r>
    </w:p>
    <w:p w:rsidR="000D44A5" w:rsidRPr="00AF16D8" w:rsidRDefault="000D44A5" w:rsidP="00834D1E">
      <w:pPr>
        <w:rPr>
          <w:highlight w:val="yellow"/>
        </w:rPr>
      </w:pPr>
    </w:p>
    <w:p w:rsidR="000D44A5" w:rsidRPr="00BE0458" w:rsidRDefault="000D44A5" w:rsidP="00834D1E">
      <w:pPr>
        <w:pStyle w:val="Heading2"/>
      </w:pPr>
      <w:bookmarkStart w:id="228" w:name="_Toc431462726"/>
      <w:bookmarkStart w:id="229" w:name="_Toc479583264"/>
      <w:bookmarkStart w:id="230" w:name="_Toc485542632"/>
      <w:r w:rsidRPr="00BE0458">
        <w:lastRenderedPageBreak/>
        <w:t>Smoking</w:t>
      </w:r>
      <w:bookmarkEnd w:id="224"/>
      <w:bookmarkEnd w:id="225"/>
      <w:r w:rsidRPr="00BE0458">
        <w:t xml:space="preserve"> status</w:t>
      </w:r>
      <w:bookmarkEnd w:id="226"/>
      <w:bookmarkEnd w:id="227"/>
      <w:bookmarkEnd w:id="228"/>
      <w:bookmarkEnd w:id="229"/>
      <w:bookmarkEnd w:id="230"/>
    </w:p>
    <w:p w:rsidR="000D44A5" w:rsidRPr="00BE0458" w:rsidRDefault="000D44A5" w:rsidP="00834D1E">
      <w:pPr>
        <w:pStyle w:val="Box"/>
        <w:keepNext/>
      </w:pPr>
      <w:r w:rsidRPr="00BE0458">
        <w:t>Maternal smoking status is recorded at the time of a woman</w:t>
      </w:r>
      <w:r w:rsidR="00CB6D20">
        <w:t>’</w:t>
      </w:r>
      <w:r w:rsidRPr="00BE0458">
        <w:t>s first registration with her primary maternity care provider and at two weeks after birth. Smoking data is primarily sourced from LMC claim forms, with additional data from some DHB primary maternity services. It is therefore only available for women registered with an LMC or with a DHB primary maternity service (approximately 95% of women giving birth).</w:t>
      </w:r>
    </w:p>
    <w:p w:rsidR="000D44A5" w:rsidRPr="00AF16D8" w:rsidRDefault="000D44A5" w:rsidP="00834D1E">
      <w:pPr>
        <w:keepNext/>
        <w:rPr>
          <w:highlight w:val="yellow"/>
        </w:rPr>
      </w:pPr>
    </w:p>
    <w:p w:rsidR="000D44A5" w:rsidRPr="00AF16D8" w:rsidRDefault="000D44A5" w:rsidP="00834D1E">
      <w:pPr>
        <w:keepNext/>
        <w:rPr>
          <w:highlight w:val="yellow"/>
        </w:rPr>
      </w:pPr>
      <w:r w:rsidRPr="00BE0458">
        <w:t>In 2015, 14.2% (7</w:t>
      </w:r>
      <w:r w:rsidR="00834D1E">
        <w:t>,</w:t>
      </w:r>
      <w:r w:rsidRPr="00BE0458">
        <w:t xml:space="preserve">999) of women giving birth </w:t>
      </w:r>
      <w:r>
        <w:t>reported they were smoking</w:t>
      </w:r>
      <w:r w:rsidRPr="00BE0458">
        <w:t xml:space="preserve"> at first registration with their primary maternity care provider, and 12.1% (6</w:t>
      </w:r>
      <w:r w:rsidR="00834D1E">
        <w:t>,</w:t>
      </w:r>
      <w:r w:rsidRPr="00BE0458">
        <w:t>569) at two weeks after birth.</w:t>
      </w:r>
      <w:r w:rsidRPr="00834D1E">
        <w:rPr>
          <w:rStyle w:val="FootnoteReference"/>
        </w:rPr>
        <w:footnoteReference w:id="7"/>
      </w:r>
      <w:r w:rsidRPr="00BE0458">
        <w:t xml:space="preserve"> Between 200</w:t>
      </w:r>
      <w:r>
        <w:t>8</w:t>
      </w:r>
      <w:r w:rsidRPr="00BE0458">
        <w:t xml:space="preserve"> and 2015, </w:t>
      </w:r>
      <w:r w:rsidRPr="00DD0899">
        <w:t>there was a statistically significant decrease in the proportion of women identified as smokers, both at first registration and at two weeks after birth (</w:t>
      </w:r>
      <w:r w:rsidRPr="00DD0899">
        <w:fldChar w:fldCharType="begin"/>
      </w:r>
      <w:r w:rsidRPr="00DD0899">
        <w:instrText xml:space="preserve"> REF _Ref428540434 \h  \* MERGEFORMAT </w:instrText>
      </w:r>
      <w:r w:rsidRPr="00DD0899">
        <w:fldChar w:fldCharType="separate"/>
      </w:r>
      <w:r w:rsidR="00071E85" w:rsidRPr="00BE0458">
        <w:t xml:space="preserve">Figure </w:t>
      </w:r>
      <w:r w:rsidR="00071E85">
        <w:rPr>
          <w:noProof/>
        </w:rPr>
        <w:t>18</w:t>
      </w:r>
      <w:r w:rsidRPr="00DD0899">
        <w:fldChar w:fldCharType="end"/>
      </w:r>
      <w:r w:rsidRPr="00DD0899">
        <w:t>).</w:t>
      </w:r>
    </w:p>
    <w:p w:rsidR="000D44A5" w:rsidRPr="00AF16D8" w:rsidRDefault="000D44A5" w:rsidP="00834D1E">
      <w:pPr>
        <w:keepNext/>
        <w:rPr>
          <w:highlight w:val="yellow"/>
        </w:rPr>
      </w:pPr>
    </w:p>
    <w:p w:rsidR="000D44A5" w:rsidRPr="00BE0458" w:rsidRDefault="000D44A5" w:rsidP="00834D1E">
      <w:pPr>
        <w:pStyle w:val="Figure"/>
      </w:pPr>
      <w:bookmarkStart w:id="231" w:name="_Ref428540434"/>
      <w:bookmarkStart w:id="232" w:name="_Toc428799380"/>
      <w:bookmarkStart w:id="233" w:name="_Toc433389777"/>
      <w:bookmarkStart w:id="234" w:name="_Toc485114349"/>
      <w:bookmarkStart w:id="235" w:name="_Toc485542685"/>
      <w:r w:rsidRPr="00BE0458">
        <w:t xml:space="preserve">Figure </w:t>
      </w:r>
      <w:r w:rsidR="00071E85">
        <w:fldChar w:fldCharType="begin"/>
      </w:r>
      <w:r w:rsidR="00071E85">
        <w:instrText xml:space="preserve"> SEQ Figure \</w:instrText>
      </w:r>
      <w:r w:rsidR="00071E85">
        <w:instrText xml:space="preserve">* ARABIC </w:instrText>
      </w:r>
      <w:r w:rsidR="00071E85">
        <w:fldChar w:fldCharType="separate"/>
      </w:r>
      <w:r w:rsidR="00071E85">
        <w:rPr>
          <w:noProof/>
        </w:rPr>
        <w:t>18</w:t>
      </w:r>
      <w:r w:rsidR="00071E85">
        <w:rPr>
          <w:noProof/>
        </w:rPr>
        <w:fldChar w:fldCharType="end"/>
      </w:r>
      <w:bookmarkEnd w:id="231"/>
      <w:r w:rsidRPr="00BE0458">
        <w:t>: Percentage of women giving birth identified as smokers at first registration with their primary maternity care provider and at two weeks after birth, 200</w:t>
      </w:r>
      <w:r>
        <w:t>8</w:t>
      </w:r>
      <w:r w:rsidRPr="00BE0458">
        <w:t>–201</w:t>
      </w:r>
      <w:bookmarkEnd w:id="232"/>
      <w:bookmarkEnd w:id="233"/>
      <w:r w:rsidRPr="00BE0458">
        <w:t>5</w:t>
      </w:r>
      <w:bookmarkEnd w:id="234"/>
      <w:bookmarkEnd w:id="235"/>
    </w:p>
    <w:p w:rsidR="000D44A5" w:rsidRPr="00AF16D8" w:rsidRDefault="000D44A5" w:rsidP="000D44A5">
      <w:pPr>
        <w:rPr>
          <w:highlight w:val="yellow"/>
        </w:rPr>
      </w:pPr>
      <w:r w:rsidRPr="00395C3A">
        <w:rPr>
          <w:noProof/>
          <w:lang w:eastAsia="en-NZ"/>
        </w:rPr>
        <w:drawing>
          <wp:inline distT="0" distB="0" distL="0" distR="0" wp14:anchorId="4CE29385" wp14:editId="2B422D82">
            <wp:extent cx="4609826" cy="2344189"/>
            <wp:effectExtent l="0" t="0" r="635" b="0"/>
            <wp:docPr id="43" name="Picture 43" title="Figure 18: Percentage of women giving birth identified as smokers at first registration with their primary maternity care provider and at two weeks after birth,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422"/>
                    <a:stretch/>
                  </pic:blipFill>
                  <pic:spPr bwMode="auto">
                    <a:xfrm>
                      <a:off x="0" y="0"/>
                      <a:ext cx="4615275" cy="2346960"/>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BE0458" w:rsidRDefault="000D44A5" w:rsidP="00834D1E">
      <w:pPr>
        <w:pStyle w:val="Note"/>
      </w:pPr>
      <w:r w:rsidRPr="00BE0458">
        <w:t>Notes:</w:t>
      </w:r>
    </w:p>
    <w:p w:rsidR="000D44A5" w:rsidRPr="00BE0458" w:rsidRDefault="000D44A5" w:rsidP="00834D1E">
      <w:pPr>
        <w:pStyle w:val="Note"/>
      </w:pPr>
      <w:r w:rsidRPr="00BE0458">
        <w:t>The denominator used to calculate percentages is the number of women giving birth, excluding those with unknown smoking status.</w:t>
      </w:r>
    </w:p>
    <w:p w:rsidR="000D44A5" w:rsidRPr="00BE0458" w:rsidRDefault="000D44A5" w:rsidP="00834D1E">
      <w:pPr>
        <w:pStyle w:val="Note"/>
      </w:pPr>
      <w:r w:rsidRPr="00BE0458">
        <w:t>Smoking status is only available for women registered with an LMC or a DHB primary maternity service.</w:t>
      </w:r>
    </w:p>
    <w:p w:rsidR="000D44A5" w:rsidRDefault="000D44A5" w:rsidP="00834D1E">
      <w:pPr>
        <w:pStyle w:val="Source"/>
      </w:pPr>
      <w:r>
        <w:t>Source: National Maternity Collection</w:t>
      </w:r>
    </w:p>
    <w:p w:rsidR="000D44A5" w:rsidRPr="00AF16D8" w:rsidRDefault="000D44A5" w:rsidP="00834D1E">
      <w:pPr>
        <w:rPr>
          <w:highlight w:val="yellow"/>
        </w:rPr>
      </w:pPr>
    </w:p>
    <w:p w:rsidR="000D44A5" w:rsidRPr="00D93354" w:rsidRDefault="000D44A5" w:rsidP="00834D1E">
      <w:r w:rsidRPr="00D93354">
        <w:fldChar w:fldCharType="begin"/>
      </w:r>
      <w:r w:rsidRPr="00D93354">
        <w:instrText xml:space="preserve"> REF _Ref429646082 \h  \* MERGEFORMAT </w:instrText>
      </w:r>
      <w:r w:rsidRPr="00D93354">
        <w:fldChar w:fldCharType="separate"/>
      </w:r>
      <w:r w:rsidR="00071E85" w:rsidRPr="00D93354">
        <w:t xml:space="preserve">Figure </w:t>
      </w:r>
      <w:r w:rsidR="00071E85">
        <w:rPr>
          <w:noProof/>
        </w:rPr>
        <w:t>19</w:t>
      </w:r>
      <w:r w:rsidRPr="00D93354">
        <w:fldChar w:fldCharType="end"/>
      </w:r>
      <w:r w:rsidRPr="00D93354">
        <w:t xml:space="preserve"> and </w:t>
      </w:r>
      <w:r w:rsidRPr="00D93354">
        <w:fldChar w:fldCharType="begin"/>
      </w:r>
      <w:r w:rsidRPr="00D93354">
        <w:instrText xml:space="preserve"> REF _Ref432061742 \h  \* MERGEFORMAT </w:instrText>
      </w:r>
      <w:r w:rsidRPr="00D93354">
        <w:fldChar w:fldCharType="separate"/>
      </w:r>
      <w:r w:rsidR="00071E85" w:rsidRPr="00D93354">
        <w:t xml:space="preserve">Figure </w:t>
      </w:r>
      <w:r w:rsidR="00071E85">
        <w:rPr>
          <w:noProof/>
        </w:rPr>
        <w:t>20</w:t>
      </w:r>
      <w:r w:rsidRPr="00D93354">
        <w:fldChar w:fldCharType="end"/>
      </w:r>
      <w:r w:rsidRPr="00D93354">
        <w:t xml:space="preserve"> show the proportion of smokers among women giving birth in 2015 at first registration and at two weeks after birth, respectively. The proportion of smokers during pregnancy and the postnatal period showed</w:t>
      </w:r>
      <w:r>
        <w:t xml:space="preserve"> similar trends, with </w:t>
      </w:r>
      <w:r w:rsidRPr="00D93354">
        <w:t>higher proportions among:</w:t>
      </w:r>
    </w:p>
    <w:p w:rsidR="000D44A5" w:rsidRPr="00D93354" w:rsidRDefault="000D44A5" w:rsidP="00834D1E">
      <w:pPr>
        <w:pStyle w:val="Bullet"/>
      </w:pPr>
      <w:r w:rsidRPr="00D93354">
        <w:t>younger women</w:t>
      </w:r>
    </w:p>
    <w:p w:rsidR="000D44A5" w:rsidRPr="00D93354" w:rsidRDefault="000D44A5" w:rsidP="00834D1E">
      <w:pPr>
        <w:pStyle w:val="Bullet"/>
      </w:pPr>
      <w:r w:rsidRPr="00D93354">
        <w:t>Māori women</w:t>
      </w:r>
    </w:p>
    <w:p w:rsidR="000D44A5" w:rsidRPr="00D93354" w:rsidRDefault="000D44A5" w:rsidP="00834D1E">
      <w:pPr>
        <w:pStyle w:val="Bullet"/>
      </w:pPr>
      <w:r w:rsidRPr="00D93354">
        <w:t>women residing in the most deprived neighbourhoods.</w:t>
      </w:r>
    </w:p>
    <w:p w:rsidR="000D44A5" w:rsidRPr="00AF16D8" w:rsidRDefault="000D44A5" w:rsidP="00834D1E">
      <w:pPr>
        <w:rPr>
          <w:highlight w:val="yellow"/>
        </w:rPr>
      </w:pPr>
    </w:p>
    <w:p w:rsidR="00CB6D20" w:rsidRDefault="000D44A5" w:rsidP="00834D1E">
      <w:pPr>
        <w:spacing w:after="240"/>
      </w:pPr>
      <w:r w:rsidRPr="00D93354">
        <w:t>The proportion of smokers among women giving birth varied throughout the country. The lowest proportion was among women residing in Auckland DHB region (4.9% at first registration and 2.7% at two weeks after birth)</w:t>
      </w:r>
      <w:r>
        <w:t>.</w:t>
      </w:r>
      <w:r w:rsidRPr="00D93354">
        <w:t xml:space="preserve"> </w:t>
      </w:r>
      <w:r>
        <w:t>T</w:t>
      </w:r>
      <w:r w:rsidRPr="00D93354">
        <w:t xml:space="preserve">he highest </w:t>
      </w:r>
      <w:r>
        <w:t xml:space="preserve">proportions </w:t>
      </w:r>
      <w:r w:rsidRPr="00D93354">
        <w:t>w</w:t>
      </w:r>
      <w:r>
        <w:t>ere</w:t>
      </w:r>
      <w:r w:rsidRPr="00D93354">
        <w:t xml:space="preserve"> among women in </w:t>
      </w:r>
      <w:r w:rsidRPr="00D93354">
        <w:lastRenderedPageBreak/>
        <w:t>Tairāwhiti (30.0% at first registration and 30.6% at two weeks after birth) and Northland (28.8% at first registration and 26.5% at two weeks after birth) DHB regions.</w:t>
      </w:r>
    </w:p>
    <w:p w:rsidR="000D44A5" w:rsidRPr="00D93354" w:rsidRDefault="000D44A5" w:rsidP="00834D1E">
      <w:pPr>
        <w:pStyle w:val="Figure"/>
      </w:pPr>
      <w:bookmarkStart w:id="236" w:name="_Ref429646082"/>
      <w:bookmarkStart w:id="237" w:name="_Toc433389778"/>
      <w:bookmarkStart w:id="238" w:name="_Toc485114350"/>
      <w:bookmarkStart w:id="239" w:name="_Toc485542686"/>
      <w:r w:rsidRPr="00D93354">
        <w:t xml:space="preserve">Figure </w:t>
      </w:r>
      <w:r w:rsidR="00071E85">
        <w:fldChar w:fldCharType="begin"/>
      </w:r>
      <w:r w:rsidR="00071E85">
        <w:instrText xml:space="preserve"> SEQ Figure \* ARABIC </w:instrText>
      </w:r>
      <w:r w:rsidR="00071E85">
        <w:fldChar w:fldCharType="separate"/>
      </w:r>
      <w:r w:rsidR="00071E85">
        <w:rPr>
          <w:noProof/>
        </w:rPr>
        <w:t>19</w:t>
      </w:r>
      <w:r w:rsidR="00071E85">
        <w:rPr>
          <w:noProof/>
        </w:rPr>
        <w:fldChar w:fldCharType="end"/>
      </w:r>
      <w:bookmarkEnd w:id="236"/>
      <w:r w:rsidRPr="00D93354">
        <w:t>: Percentage of women giving birth identified as smokers at first registration with their primary maternity care provider, by age group, ethnic group and neighbourhood deprivation quintile, 201</w:t>
      </w:r>
      <w:bookmarkEnd w:id="237"/>
      <w:r w:rsidRPr="00D93354">
        <w:t>5</w:t>
      </w:r>
      <w:bookmarkEnd w:id="238"/>
      <w:bookmarkEnd w:id="239"/>
    </w:p>
    <w:p w:rsidR="000D44A5" w:rsidRPr="00D93354" w:rsidRDefault="000D44A5" w:rsidP="000D44A5">
      <w:r>
        <w:rPr>
          <w:noProof/>
          <w:lang w:eastAsia="en-NZ"/>
        </w:rPr>
        <w:drawing>
          <wp:inline distT="0" distB="0" distL="0" distR="0" wp14:anchorId="24D8A60D" wp14:editId="266701B0">
            <wp:extent cx="4671753" cy="2867005"/>
            <wp:effectExtent l="0" t="0" r="0" b="0"/>
            <wp:docPr id="62" name="Picture 62" title="Figure 19: Percentage of women giving birth identified as smokers at first registration with their primary maternity care provider,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9007" cy="2889867"/>
                    </a:xfrm>
                    <a:prstGeom prst="rect">
                      <a:avLst/>
                    </a:prstGeom>
                    <a:noFill/>
                  </pic:spPr>
                </pic:pic>
              </a:graphicData>
            </a:graphic>
          </wp:inline>
        </w:drawing>
      </w:r>
    </w:p>
    <w:p w:rsidR="000D44A5" w:rsidRPr="00D93354" w:rsidRDefault="000D44A5" w:rsidP="00834D1E">
      <w:pPr>
        <w:pStyle w:val="Note"/>
      </w:pPr>
      <w:r w:rsidRPr="00D93354">
        <w:t>Notes:</w:t>
      </w:r>
    </w:p>
    <w:p w:rsidR="000D44A5" w:rsidRPr="00D93354" w:rsidRDefault="000D44A5" w:rsidP="00834D1E">
      <w:pPr>
        <w:pStyle w:val="Note"/>
      </w:pPr>
      <w:r w:rsidRPr="00D93354">
        <w:t>The denominator used to calculate percentages is the number of women giving birth for that demographic group, excluding those with unknown smoking status.</w:t>
      </w:r>
    </w:p>
    <w:p w:rsidR="000D44A5" w:rsidRPr="00D93354" w:rsidRDefault="000D44A5" w:rsidP="00834D1E">
      <w:pPr>
        <w:pStyle w:val="Note"/>
      </w:pPr>
      <w:r w:rsidRPr="00D93354">
        <w:t>Smoking status is only available for women registered with an LMC or a DHB primary maternity service.</w:t>
      </w:r>
    </w:p>
    <w:p w:rsidR="000D44A5" w:rsidRDefault="000D44A5" w:rsidP="00834D1E">
      <w:pPr>
        <w:pStyle w:val="Source"/>
      </w:pPr>
      <w:r>
        <w:t>Source: National Maternity Collection</w:t>
      </w:r>
    </w:p>
    <w:p w:rsidR="000D44A5" w:rsidRPr="00AF16D8" w:rsidRDefault="000D44A5" w:rsidP="00834D1E">
      <w:pPr>
        <w:rPr>
          <w:highlight w:val="yellow"/>
        </w:rPr>
      </w:pPr>
      <w:bookmarkStart w:id="240" w:name="_Ref431303225"/>
      <w:bookmarkStart w:id="241" w:name="_Ref405478804"/>
      <w:bookmarkStart w:id="242" w:name="_Toc405887009"/>
      <w:bookmarkStart w:id="243" w:name="_Toc412122403"/>
    </w:p>
    <w:p w:rsidR="000D44A5" w:rsidRPr="00D93354" w:rsidRDefault="000D44A5" w:rsidP="00834D1E">
      <w:pPr>
        <w:pStyle w:val="Figure"/>
      </w:pPr>
      <w:bookmarkStart w:id="244" w:name="_Ref432061742"/>
      <w:bookmarkStart w:id="245" w:name="_Toc433389779"/>
      <w:bookmarkStart w:id="246" w:name="_Toc485114351"/>
      <w:bookmarkStart w:id="247" w:name="_Toc485542687"/>
      <w:r w:rsidRPr="00D93354">
        <w:t xml:space="preserve">Figure </w:t>
      </w:r>
      <w:r w:rsidR="00071E85">
        <w:fldChar w:fldCharType="begin"/>
      </w:r>
      <w:r w:rsidR="00071E85">
        <w:instrText xml:space="preserve"> SEQ Figure \* ARABIC </w:instrText>
      </w:r>
      <w:r w:rsidR="00071E85">
        <w:fldChar w:fldCharType="separate"/>
      </w:r>
      <w:r w:rsidR="00071E85">
        <w:rPr>
          <w:noProof/>
        </w:rPr>
        <w:t>20</w:t>
      </w:r>
      <w:r w:rsidR="00071E85">
        <w:rPr>
          <w:noProof/>
        </w:rPr>
        <w:fldChar w:fldCharType="end"/>
      </w:r>
      <w:bookmarkEnd w:id="240"/>
      <w:bookmarkEnd w:id="244"/>
      <w:r w:rsidRPr="00D93354">
        <w:t>: Percentage of women giving birth identified as smokers at two weeks after birth, by age group, ethnic group and neighbourhood deprivation quintile, 201</w:t>
      </w:r>
      <w:bookmarkEnd w:id="245"/>
      <w:r w:rsidRPr="00D93354">
        <w:t>5</w:t>
      </w:r>
      <w:bookmarkEnd w:id="246"/>
      <w:bookmarkEnd w:id="247"/>
    </w:p>
    <w:p w:rsidR="000D44A5" w:rsidRPr="00D93354" w:rsidRDefault="000D44A5" w:rsidP="000D44A5">
      <w:r>
        <w:rPr>
          <w:noProof/>
          <w:lang w:eastAsia="en-NZ"/>
        </w:rPr>
        <w:drawing>
          <wp:inline distT="0" distB="0" distL="0" distR="0" wp14:anchorId="533F386A" wp14:editId="3B6421FC">
            <wp:extent cx="4671753" cy="2867003"/>
            <wp:effectExtent l="0" t="0" r="0" b="0"/>
            <wp:docPr id="63" name="Picture 63" title="Figure 20: Percentage of women giving birth identified as smokers at two weeks after birth,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8615" cy="2908036"/>
                    </a:xfrm>
                    <a:prstGeom prst="rect">
                      <a:avLst/>
                    </a:prstGeom>
                    <a:noFill/>
                  </pic:spPr>
                </pic:pic>
              </a:graphicData>
            </a:graphic>
          </wp:inline>
        </w:drawing>
      </w:r>
    </w:p>
    <w:p w:rsidR="000D44A5" w:rsidRPr="00D93354" w:rsidRDefault="000D44A5" w:rsidP="00834D1E">
      <w:pPr>
        <w:pStyle w:val="Note"/>
      </w:pPr>
      <w:r w:rsidRPr="00D93354">
        <w:t>Notes:</w:t>
      </w:r>
    </w:p>
    <w:p w:rsidR="000D44A5" w:rsidRPr="00D93354" w:rsidRDefault="000D44A5" w:rsidP="00834D1E">
      <w:pPr>
        <w:pStyle w:val="Note"/>
      </w:pPr>
      <w:r w:rsidRPr="00D93354">
        <w:t>The denominator used to calculate percentages is the number of women giving birth for that demographic group, excluding those with unknown smoking status.</w:t>
      </w:r>
    </w:p>
    <w:p w:rsidR="000D44A5" w:rsidRPr="00D93354" w:rsidRDefault="000D44A5" w:rsidP="00834D1E">
      <w:pPr>
        <w:pStyle w:val="Note"/>
      </w:pPr>
      <w:r w:rsidRPr="00D93354">
        <w:t>Smoking status is only available for women registered with an LMC or a DHB primary maternity service.</w:t>
      </w:r>
    </w:p>
    <w:p w:rsidR="000D44A5" w:rsidRDefault="000D44A5" w:rsidP="00834D1E">
      <w:pPr>
        <w:pStyle w:val="Source"/>
      </w:pPr>
      <w:r>
        <w:t>Source: National Maternity Collection</w:t>
      </w:r>
    </w:p>
    <w:p w:rsidR="00834D1E" w:rsidRDefault="00834D1E" w:rsidP="00834D1E"/>
    <w:p w:rsidR="000D44A5" w:rsidRPr="00201E95" w:rsidRDefault="000D44A5" w:rsidP="00834D1E">
      <w:pPr>
        <w:keepLines/>
      </w:pPr>
      <w:r w:rsidRPr="00201E95">
        <w:t>Of the 7</w:t>
      </w:r>
      <w:r w:rsidR="00834D1E">
        <w:t>,</w:t>
      </w:r>
      <w:r w:rsidRPr="00201E95">
        <w:t>999 women who</w:t>
      </w:r>
      <w:r>
        <w:t xml:space="preserve"> reported they </w:t>
      </w:r>
      <w:r w:rsidRPr="00201E95">
        <w:t>were smoking at first registration with their primary maternity care provider, 78.1% (5</w:t>
      </w:r>
      <w:r w:rsidR="009D02FA">
        <w:t>,</w:t>
      </w:r>
      <w:r w:rsidRPr="00201E95">
        <w:t xml:space="preserve">903) were also smoking at two weeks after birth. </w:t>
      </w:r>
      <w:r w:rsidRPr="00201E95">
        <w:fldChar w:fldCharType="begin"/>
      </w:r>
      <w:r w:rsidRPr="00201E95">
        <w:instrText xml:space="preserve"> REF _Ref429646057 \h  \* MERGEFORMAT </w:instrText>
      </w:r>
      <w:r w:rsidRPr="00201E95">
        <w:fldChar w:fldCharType="separate"/>
      </w:r>
      <w:r w:rsidR="00071E85" w:rsidRPr="00746DFB">
        <w:t xml:space="preserve">Figure </w:t>
      </w:r>
      <w:r w:rsidR="00071E85">
        <w:rPr>
          <w:noProof/>
        </w:rPr>
        <w:t>21</w:t>
      </w:r>
      <w:r w:rsidRPr="00201E95">
        <w:fldChar w:fldCharType="end"/>
      </w:r>
      <w:r w:rsidRPr="00201E95">
        <w:t xml:space="preserve"> shows the number of women who were also smoking at two weeks after birth as a proportion of the women who were smoking at first registration.</w:t>
      </w:r>
    </w:p>
    <w:bookmarkEnd w:id="241"/>
    <w:bookmarkEnd w:id="242"/>
    <w:bookmarkEnd w:id="243"/>
    <w:p w:rsidR="00834D1E" w:rsidRDefault="00834D1E" w:rsidP="00834D1E"/>
    <w:p w:rsidR="00CB6D20" w:rsidRDefault="000D44A5" w:rsidP="00834D1E">
      <w:r>
        <w:t>Smoking at time of registration</w:t>
      </w:r>
      <w:r w:rsidRPr="00201E95">
        <w:t xml:space="preserve"> and </w:t>
      </w:r>
      <w:r>
        <w:t xml:space="preserve">at two weeks </w:t>
      </w:r>
      <w:r w:rsidRPr="00201E95">
        <w:t>postnatal was mo</w:t>
      </w:r>
      <w:r>
        <w:t>re</w:t>
      </w:r>
      <w:r w:rsidRPr="00201E95">
        <w:t xml:space="preserve"> common among Māori women</w:t>
      </w:r>
      <w:r>
        <w:t xml:space="preserve">, women aged 30–34 </w:t>
      </w:r>
      <w:r w:rsidRPr="00201E95">
        <w:t>years</w:t>
      </w:r>
      <w:r>
        <w:t xml:space="preserve"> and women residing in the most deprived neighbourhoods</w:t>
      </w:r>
      <w:r w:rsidRPr="00201E95">
        <w:t xml:space="preserve"> (80</w:t>
      </w:r>
      <w:r>
        <w:t xml:space="preserve">.5%, </w:t>
      </w:r>
      <w:r w:rsidRPr="00201E95">
        <w:t>79.</w:t>
      </w:r>
      <w:r>
        <w:t>7% and</w:t>
      </w:r>
      <w:r w:rsidRPr="00201E95">
        <w:t xml:space="preserve"> </w:t>
      </w:r>
      <w:r>
        <w:t xml:space="preserve">79.6% </w:t>
      </w:r>
      <w:r w:rsidRPr="00201E95">
        <w:t>respectively).</w:t>
      </w:r>
    </w:p>
    <w:p w:rsidR="000D44A5" w:rsidRPr="00AF16D8" w:rsidRDefault="000D44A5" w:rsidP="00834D1E">
      <w:pPr>
        <w:rPr>
          <w:highlight w:val="yellow"/>
        </w:rPr>
      </w:pPr>
    </w:p>
    <w:p w:rsidR="000D44A5" w:rsidRPr="00746DFB" w:rsidRDefault="000D44A5" w:rsidP="00834D1E">
      <w:r w:rsidRPr="00882D4B">
        <w:t xml:space="preserve">Smoking </w:t>
      </w:r>
      <w:r>
        <w:t>at time of first registration</w:t>
      </w:r>
      <w:r w:rsidRPr="00882D4B">
        <w:t xml:space="preserve"> and not smoking </w:t>
      </w:r>
      <w:r>
        <w:t>at two weeks</w:t>
      </w:r>
      <w:r w:rsidRPr="00882D4B">
        <w:t xml:space="preserve"> postnatal was more common among Pacific and Indian women (34.7% and 30.8%, respectively). Note that only 13 Indian </w:t>
      </w:r>
      <w:r w:rsidRPr="00746DFB">
        <w:t>women identified as smokers at first registration in 2015.</w:t>
      </w:r>
      <w:r>
        <w:t xml:space="preserve"> There was little to differentiate by age group.</w:t>
      </w:r>
    </w:p>
    <w:p w:rsidR="000D44A5" w:rsidRPr="00746DFB" w:rsidRDefault="000D44A5" w:rsidP="00834D1E"/>
    <w:p w:rsidR="000D44A5" w:rsidRPr="00746DFB" w:rsidRDefault="000D44A5" w:rsidP="00834D1E">
      <w:pPr>
        <w:pStyle w:val="Figure"/>
      </w:pPr>
      <w:bookmarkStart w:id="248" w:name="_Ref429646057"/>
      <w:bookmarkStart w:id="249" w:name="_Toc433389780"/>
      <w:bookmarkStart w:id="250" w:name="_Toc485114352"/>
      <w:bookmarkStart w:id="251" w:name="_Toc485542688"/>
      <w:r w:rsidRPr="00746DFB">
        <w:t xml:space="preserve">Figure </w:t>
      </w:r>
      <w:r w:rsidR="00071E85">
        <w:fldChar w:fldCharType="begin"/>
      </w:r>
      <w:r w:rsidR="00071E85">
        <w:instrText xml:space="preserve"> SEQ Figure \* ARABIC </w:instrText>
      </w:r>
      <w:r w:rsidR="00071E85">
        <w:fldChar w:fldCharType="separate"/>
      </w:r>
      <w:r w:rsidR="00071E85">
        <w:rPr>
          <w:noProof/>
        </w:rPr>
        <w:t>21</w:t>
      </w:r>
      <w:r w:rsidR="00071E85">
        <w:rPr>
          <w:noProof/>
        </w:rPr>
        <w:fldChar w:fldCharType="end"/>
      </w:r>
      <w:bookmarkEnd w:id="248"/>
      <w:r w:rsidRPr="00746DFB">
        <w:rPr>
          <w:noProof/>
        </w:rPr>
        <w:t>:</w:t>
      </w:r>
      <w:r w:rsidRPr="00746DFB">
        <w:t xml:space="preserve"> Percentage of women smoking at first registration with their primary maternity care provider who were also smoking at two weeks after birth, by age group, ethnic group and neighbourhood deprivation quintile, 201</w:t>
      </w:r>
      <w:bookmarkEnd w:id="249"/>
      <w:r w:rsidRPr="00746DFB">
        <w:t>5</w:t>
      </w:r>
      <w:bookmarkEnd w:id="250"/>
      <w:bookmarkEnd w:id="251"/>
    </w:p>
    <w:p w:rsidR="000D44A5" w:rsidRPr="00746DFB" w:rsidRDefault="000D44A5" w:rsidP="000D44A5">
      <w:r>
        <w:rPr>
          <w:noProof/>
          <w:lang w:eastAsia="en-NZ"/>
        </w:rPr>
        <w:drawing>
          <wp:inline distT="0" distB="0" distL="0" distR="0" wp14:anchorId="0B789478" wp14:editId="2BE483DB">
            <wp:extent cx="5295207" cy="3158836"/>
            <wp:effectExtent l="0" t="0" r="1270" b="3810"/>
            <wp:docPr id="67" name="Picture 67" title="Figure 21: Percentage of women smoking at first registration with their primary maternity care provider who were also smoking at two weeks after birth,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b="2794"/>
                    <a:stretch/>
                  </pic:blipFill>
                  <pic:spPr bwMode="auto">
                    <a:xfrm>
                      <a:off x="0" y="0"/>
                      <a:ext cx="5303878" cy="3164009"/>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746DFB" w:rsidRDefault="000D44A5" w:rsidP="00834D1E">
      <w:pPr>
        <w:pStyle w:val="Note"/>
      </w:pPr>
      <w:r w:rsidRPr="00746DFB">
        <w:t>Note: The denominator used to calculate percentages is the number of women giving birth who were identified as smokers at first registration with an LMC or a DHB primary maternity service.</w:t>
      </w:r>
    </w:p>
    <w:p w:rsidR="000D44A5" w:rsidRDefault="000D44A5" w:rsidP="00834D1E">
      <w:pPr>
        <w:pStyle w:val="Source"/>
      </w:pPr>
      <w:r>
        <w:t>Source: National Maternity Collection</w:t>
      </w:r>
    </w:p>
    <w:p w:rsidR="000D44A5" w:rsidRPr="00AF16D8" w:rsidRDefault="000D44A5" w:rsidP="00834D1E">
      <w:pPr>
        <w:rPr>
          <w:highlight w:val="yellow"/>
        </w:rPr>
      </w:pPr>
      <w:bookmarkStart w:id="252" w:name="_Ref428543483"/>
      <w:bookmarkStart w:id="253" w:name="_Toc400706142"/>
      <w:bookmarkStart w:id="254" w:name="_Toc405886950"/>
      <w:bookmarkStart w:id="255" w:name="_Toc412122439"/>
      <w:bookmarkStart w:id="256" w:name="_Toc428799381"/>
    </w:p>
    <w:p w:rsidR="000D44A5" w:rsidRPr="00746DFB" w:rsidRDefault="000D44A5" w:rsidP="00834D1E">
      <w:pPr>
        <w:pStyle w:val="Heading2"/>
      </w:pPr>
      <w:bookmarkStart w:id="257" w:name="_Toc431462727"/>
      <w:bookmarkStart w:id="258" w:name="_Toc479583265"/>
      <w:bookmarkStart w:id="259" w:name="_Toc485542633"/>
      <w:bookmarkEnd w:id="252"/>
      <w:bookmarkEnd w:id="253"/>
      <w:bookmarkEnd w:id="254"/>
      <w:bookmarkEnd w:id="255"/>
      <w:bookmarkEnd w:id="256"/>
      <w:r w:rsidRPr="00746DFB">
        <w:lastRenderedPageBreak/>
        <w:t>Primary maternity care</w:t>
      </w:r>
      <w:bookmarkEnd w:id="257"/>
      <w:bookmarkEnd w:id="258"/>
      <w:bookmarkEnd w:id="259"/>
    </w:p>
    <w:p w:rsidR="000D44A5" w:rsidRPr="00746DFB" w:rsidRDefault="000D44A5" w:rsidP="00834D1E">
      <w:pPr>
        <w:pStyle w:val="Box"/>
        <w:keepNext/>
      </w:pPr>
      <w:r w:rsidRPr="00746DFB">
        <w:t>Primary maternity care is usually provided by a community-based LMC. An LMC provides a woman and her baby with continuity of care throughout pregnancy, labour and birth and the postnatal period.</w:t>
      </w:r>
      <w:r w:rsidRPr="00834D1E">
        <w:rPr>
          <w:rStyle w:val="FootnoteReference"/>
        </w:rPr>
        <w:footnoteReference w:id="8"/>
      </w:r>
    </w:p>
    <w:p w:rsidR="000D44A5" w:rsidRPr="00746DFB" w:rsidRDefault="000D44A5" w:rsidP="00834D1E">
      <w:pPr>
        <w:pStyle w:val="Box"/>
        <w:keepLines/>
      </w:pPr>
      <w:r w:rsidRPr="00746DFB">
        <w:t>Women who do not access an LMC, either through choice or lack of availability, are entitled to receive primary maternity services from their DHB. Collection of data from DHB primary maternity services is under way; currently, only some DHBs have provided their data.</w:t>
      </w:r>
    </w:p>
    <w:p w:rsidR="000D44A5" w:rsidRPr="00AF16D8" w:rsidRDefault="000D44A5" w:rsidP="00834D1E">
      <w:pPr>
        <w:rPr>
          <w:highlight w:val="yellow"/>
        </w:rPr>
      </w:pPr>
    </w:p>
    <w:p w:rsidR="000D44A5" w:rsidRPr="0088690C" w:rsidRDefault="000D44A5" w:rsidP="00834D1E">
      <w:r w:rsidRPr="0088690C">
        <w:t>The vast majority of women giving birth in 2015 received primary maternity care from an LMC (92.2%: 54,386 women). A further 3.7% (2</w:t>
      </w:r>
      <w:r w:rsidR="00834D1E">
        <w:t>,</w:t>
      </w:r>
      <w:r w:rsidRPr="0088690C">
        <w:t xml:space="preserve">153) received care from a DHB primary maternity service. Provision of care was unknown for </w:t>
      </w:r>
      <w:r>
        <w:t>4.1</w:t>
      </w:r>
      <w:r w:rsidRPr="0088690C">
        <w:t>% (2</w:t>
      </w:r>
      <w:r w:rsidR="00834D1E">
        <w:t>,</w:t>
      </w:r>
      <w:r w:rsidRPr="0088690C">
        <w:t>418) of women giving birth. These women most likely received care from their respective DHB primary maternity services (not yet reporting),</w:t>
      </w:r>
      <w:r w:rsidRPr="00834D1E">
        <w:rPr>
          <w:rStyle w:val="FootnoteReference"/>
        </w:rPr>
        <w:footnoteReference w:id="9"/>
      </w:r>
      <w:r w:rsidRPr="0088690C">
        <w:t xml:space="preserve"> but some may not have received any primary maternity care.</w:t>
      </w:r>
    </w:p>
    <w:p w:rsidR="000D44A5" w:rsidRPr="003007BF" w:rsidRDefault="000D44A5" w:rsidP="00834D1E"/>
    <w:p w:rsidR="000D44A5" w:rsidRPr="00AF16D8" w:rsidRDefault="000D44A5" w:rsidP="00834D1E">
      <w:pPr>
        <w:rPr>
          <w:highlight w:val="yellow"/>
        </w:rPr>
      </w:pPr>
      <w:r w:rsidRPr="003007BF">
        <w:t>There was a statistically significant increase in the proportion</w:t>
      </w:r>
      <w:r w:rsidRPr="00C953F4">
        <w:t xml:space="preserve"> of women registered with an LMC, from 80.7% in 2008 to 92.2% in 2015. </w:t>
      </w:r>
      <w:r>
        <w:t xml:space="preserve">During the same period there was a decrease in the proportion of women </w:t>
      </w:r>
      <w:r w:rsidRPr="00647C92">
        <w:t>registered with a DHB primary maternity service (from 11.0% in 2008 to 3.7% in 2015) (</w:t>
      </w:r>
      <w:r w:rsidRPr="00647C92">
        <w:fldChar w:fldCharType="begin"/>
      </w:r>
      <w:r w:rsidRPr="00647C92">
        <w:instrText xml:space="preserve"> REF _Ref428979421 \h  \* MERGEFORMAT </w:instrText>
      </w:r>
      <w:r w:rsidRPr="00647C92">
        <w:fldChar w:fldCharType="separate"/>
      </w:r>
      <w:r w:rsidR="00071E85" w:rsidRPr="00B81A19">
        <w:t xml:space="preserve">Figure </w:t>
      </w:r>
      <w:r w:rsidR="00071E85">
        <w:rPr>
          <w:noProof/>
        </w:rPr>
        <w:t>22</w:t>
      </w:r>
      <w:r w:rsidRPr="00647C92">
        <w:fldChar w:fldCharType="end"/>
      </w:r>
      <w:r w:rsidRPr="00647C92">
        <w:t>).</w:t>
      </w:r>
    </w:p>
    <w:p w:rsidR="000D44A5" w:rsidRPr="00AF16D8" w:rsidRDefault="000D44A5" w:rsidP="00834D1E">
      <w:pPr>
        <w:rPr>
          <w:highlight w:val="yellow"/>
        </w:rPr>
      </w:pPr>
    </w:p>
    <w:p w:rsidR="000D44A5" w:rsidRPr="00B81A19" w:rsidRDefault="000D44A5" w:rsidP="00834D1E">
      <w:pPr>
        <w:pStyle w:val="Figure"/>
      </w:pPr>
      <w:bookmarkStart w:id="260" w:name="_Ref428979421"/>
      <w:bookmarkStart w:id="261" w:name="_Toc433389781"/>
      <w:bookmarkStart w:id="262" w:name="_Toc485114353"/>
      <w:bookmarkStart w:id="263" w:name="_Toc485542689"/>
      <w:r w:rsidRPr="00B81A19">
        <w:t xml:space="preserve">Figure </w:t>
      </w:r>
      <w:r w:rsidR="00071E85">
        <w:fldChar w:fldCharType="begin"/>
      </w:r>
      <w:r w:rsidR="00071E85">
        <w:instrText xml:space="preserve"> SEQ Figure \* ARABIC </w:instrText>
      </w:r>
      <w:r w:rsidR="00071E85">
        <w:fldChar w:fldCharType="separate"/>
      </w:r>
      <w:r w:rsidR="00071E85">
        <w:rPr>
          <w:noProof/>
        </w:rPr>
        <w:t>22</w:t>
      </w:r>
      <w:r w:rsidR="00071E85">
        <w:rPr>
          <w:noProof/>
        </w:rPr>
        <w:fldChar w:fldCharType="end"/>
      </w:r>
      <w:bookmarkEnd w:id="260"/>
      <w:r w:rsidRPr="00B81A19">
        <w:t xml:space="preserve">: </w:t>
      </w:r>
      <w:bookmarkStart w:id="264" w:name="_Ref431306940"/>
      <w:r w:rsidRPr="00B81A19">
        <w:t>Percentage of women giving birth, by primary maternity care provider,</w:t>
      </w:r>
      <w:r w:rsidRPr="00B81A19">
        <w:br/>
        <w:t>200</w:t>
      </w:r>
      <w:r>
        <w:t>8</w:t>
      </w:r>
      <w:r w:rsidRPr="00B81A19">
        <w:t>–201</w:t>
      </w:r>
      <w:bookmarkEnd w:id="261"/>
      <w:bookmarkEnd w:id="264"/>
      <w:r w:rsidRPr="00B81A19">
        <w:t>5</w:t>
      </w:r>
      <w:bookmarkEnd w:id="262"/>
      <w:bookmarkEnd w:id="263"/>
    </w:p>
    <w:p w:rsidR="000D44A5" w:rsidRPr="00AF16D8" w:rsidRDefault="000D44A5" w:rsidP="00834D1E">
      <w:pPr>
        <w:rPr>
          <w:highlight w:val="yellow"/>
        </w:rPr>
      </w:pPr>
      <w:r w:rsidRPr="00825493">
        <w:rPr>
          <w:noProof/>
          <w:lang w:eastAsia="en-NZ"/>
        </w:rPr>
        <w:drawing>
          <wp:inline distT="0" distB="0" distL="0" distR="0" wp14:anchorId="78A32E3D" wp14:editId="2731D784">
            <wp:extent cx="4771505" cy="2291020"/>
            <wp:effectExtent l="0" t="0" r="0" b="0"/>
            <wp:docPr id="47" name="Picture 47" title="Figure 22: Percentage of women giving birth, by primary maternity car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1544" t="2128"/>
                    <a:stretch/>
                  </pic:blipFill>
                  <pic:spPr bwMode="auto">
                    <a:xfrm>
                      <a:off x="0" y="0"/>
                      <a:ext cx="4784009" cy="2297024"/>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B81A19" w:rsidRDefault="000D44A5" w:rsidP="00834D1E">
      <w:pPr>
        <w:pStyle w:val="Note"/>
      </w:pPr>
      <w:r w:rsidRPr="00B81A19">
        <w:t>Notes:</w:t>
      </w:r>
    </w:p>
    <w:p w:rsidR="000D44A5" w:rsidRPr="00B81A19" w:rsidRDefault="000D44A5" w:rsidP="00834D1E">
      <w:pPr>
        <w:pStyle w:val="Note"/>
      </w:pPr>
      <w:r w:rsidRPr="00B81A19">
        <w:t>LMC: women registered with a Lead Maternity Carer.</w:t>
      </w:r>
    </w:p>
    <w:p w:rsidR="000D44A5" w:rsidRPr="00B81A19" w:rsidRDefault="000D44A5" w:rsidP="00834D1E">
      <w:pPr>
        <w:pStyle w:val="Note"/>
      </w:pPr>
      <w:r w:rsidRPr="00B81A19">
        <w:t>DHB: women registered with a DHB primary maternity service.</w:t>
      </w:r>
    </w:p>
    <w:p w:rsidR="000D44A5" w:rsidRDefault="000D44A5" w:rsidP="00834D1E">
      <w:pPr>
        <w:pStyle w:val="Note"/>
      </w:pPr>
      <w:r w:rsidRPr="00B81A19">
        <w:t>The denominator used to calculate percentages is the number of women giving birth.</w:t>
      </w:r>
    </w:p>
    <w:p w:rsidR="000D44A5" w:rsidRPr="00B81A19" w:rsidRDefault="000D44A5" w:rsidP="00834D1E">
      <w:pPr>
        <w:pStyle w:val="Source"/>
      </w:pPr>
      <w:r>
        <w:t>Source: National Maternity Collection</w:t>
      </w:r>
    </w:p>
    <w:p w:rsidR="000D44A5" w:rsidRPr="00AF16D8" w:rsidRDefault="000D44A5" w:rsidP="00834D1E">
      <w:pPr>
        <w:rPr>
          <w:highlight w:val="yellow"/>
        </w:rPr>
      </w:pPr>
    </w:p>
    <w:p w:rsidR="000D44A5" w:rsidRPr="00B81A19" w:rsidRDefault="000D44A5" w:rsidP="00834D1E">
      <w:pPr>
        <w:pStyle w:val="Heading3"/>
      </w:pPr>
      <w:r w:rsidRPr="00B81A19">
        <w:lastRenderedPageBreak/>
        <w:t>Registration with a Lead Maternity Carer</w:t>
      </w:r>
    </w:p>
    <w:p w:rsidR="000D44A5" w:rsidRPr="00B81A19" w:rsidRDefault="000D44A5" w:rsidP="00834D1E">
      <w:pPr>
        <w:pStyle w:val="Box"/>
      </w:pPr>
      <w:r w:rsidRPr="00B81A19">
        <w:t xml:space="preserve">Most LMCs are midwives, but a GP meeting the required criteria or an obstetrician may also provide LMC services. A description of LMC services from registration to discharge is available from </w:t>
      </w:r>
      <w:r w:rsidRPr="00B81A19">
        <w:rPr>
          <w:szCs w:val="22"/>
        </w:rPr>
        <w:t xml:space="preserve">the </w:t>
      </w:r>
      <w:hyperlink r:id="rId46" w:history="1">
        <w:r w:rsidRPr="00B81A19">
          <w:rPr>
            <w:rStyle w:val="Hyperlink"/>
            <w:rFonts w:cs="Arial"/>
            <w:szCs w:val="22"/>
          </w:rPr>
          <w:t>New Zealand College of Midwives</w:t>
        </w:r>
      </w:hyperlink>
      <w:r w:rsidR="0021121A">
        <w:t xml:space="preserve"> website www.midwife.org.nz</w:t>
      </w:r>
    </w:p>
    <w:p w:rsidR="000D44A5" w:rsidRPr="00B81A19" w:rsidRDefault="000D44A5" w:rsidP="00834D1E">
      <w:pPr>
        <w:pStyle w:val="Box"/>
      </w:pPr>
      <w:r w:rsidRPr="00B81A19">
        <w:rPr>
          <w:b/>
        </w:rPr>
        <w:t>Registration</w:t>
      </w:r>
      <w:r w:rsidRPr="00B81A19">
        <w:t xml:space="preserve"> refers to the selection of an LMC and the documentation of this selection.</w:t>
      </w:r>
    </w:p>
    <w:p w:rsidR="000D44A5" w:rsidRPr="00B81A19" w:rsidRDefault="000D44A5" w:rsidP="00834D1E">
      <w:pPr>
        <w:pStyle w:val="Box"/>
      </w:pPr>
      <w:r w:rsidRPr="00B81A19">
        <w:rPr>
          <w:b/>
        </w:rPr>
        <w:t>Discharge</w:t>
      </w:r>
      <w:r w:rsidRPr="00B81A19">
        <w:t xml:space="preserve"> refers to the end of an LMC care episode, which occurs four to six weeks after the baby</w:t>
      </w:r>
      <w:r w:rsidR="00CB6D20">
        <w:t>’</w:t>
      </w:r>
      <w:r w:rsidRPr="00B81A19">
        <w:t>s birth.</w:t>
      </w:r>
    </w:p>
    <w:p w:rsidR="000D44A5" w:rsidRPr="00B81A19" w:rsidRDefault="000D44A5" w:rsidP="00834D1E">
      <w:pPr>
        <w:pStyle w:val="Box"/>
      </w:pPr>
      <w:r w:rsidRPr="00B81A19">
        <w:t>This section focuses on women registered with an LMC, when they registered and the type of practitioner they chose. Information presented in this chapter may not fully reflect the collaborative and complex nature of primary maternity care. LMCs may work in a group or as solo practitioners with a back-up LMC for when they are not available. This publication does not present analysis of non-LMC maternity services such as maternity-rel</w:t>
      </w:r>
      <w:r>
        <w:t>ated GP visits and ultrasounds</w:t>
      </w:r>
      <w:r w:rsidRPr="00B81A19">
        <w:t>.</w:t>
      </w:r>
    </w:p>
    <w:p w:rsidR="000D44A5" w:rsidRPr="00B81A19" w:rsidRDefault="000D44A5" w:rsidP="00834D1E">
      <w:pPr>
        <w:pStyle w:val="Box"/>
      </w:pPr>
      <w:r>
        <w:t>D</w:t>
      </w:r>
      <w:r w:rsidRPr="00B81A19">
        <w:t>ata presented here is sourced from LMC claim forms submitted to the Ministry of Health for payment of services</w:t>
      </w:r>
      <w:r>
        <w:t>.</w:t>
      </w:r>
    </w:p>
    <w:p w:rsidR="000D44A5" w:rsidRPr="00AF16D8" w:rsidRDefault="000D44A5" w:rsidP="00834D1E">
      <w:pPr>
        <w:rPr>
          <w:highlight w:val="yellow"/>
        </w:rPr>
      </w:pPr>
    </w:p>
    <w:p w:rsidR="000D44A5" w:rsidRPr="00AF16D8" w:rsidRDefault="000D44A5" w:rsidP="00834D1E">
      <w:pPr>
        <w:rPr>
          <w:highlight w:val="yellow"/>
        </w:rPr>
      </w:pPr>
      <w:r w:rsidRPr="00B81A19">
        <w:t xml:space="preserve">The proportion of </w:t>
      </w:r>
      <w:r>
        <w:t xml:space="preserve">women registered with an </w:t>
      </w:r>
      <w:r w:rsidRPr="00B81A19">
        <w:t xml:space="preserve">LMC </w:t>
      </w:r>
      <w:r w:rsidRPr="00025B31">
        <w:t>in 2015 varied across age groups, ethnic groups and neighbourhood deprivation; within most groups, at least 80% of women giving birth were registered with an LMC (</w:t>
      </w:r>
      <w:r w:rsidRPr="00025B31">
        <w:fldChar w:fldCharType="begin"/>
      </w:r>
      <w:r w:rsidRPr="00025B31">
        <w:instrText xml:space="preserve"> REF _Ref428544132 \h  \* MERGEFORMAT </w:instrText>
      </w:r>
      <w:r w:rsidRPr="00025B31">
        <w:fldChar w:fldCharType="separate"/>
      </w:r>
      <w:r w:rsidR="00071E85" w:rsidRPr="007229CD">
        <w:t xml:space="preserve">Figure </w:t>
      </w:r>
      <w:r w:rsidR="00071E85">
        <w:rPr>
          <w:noProof/>
        </w:rPr>
        <w:t>23</w:t>
      </w:r>
      <w:r w:rsidRPr="00025B31">
        <w:fldChar w:fldCharType="end"/>
      </w:r>
      <w:r w:rsidRPr="00025B31">
        <w:t>).</w:t>
      </w:r>
    </w:p>
    <w:p w:rsidR="000D44A5" w:rsidRPr="00025B31" w:rsidRDefault="000D44A5" w:rsidP="00834D1E"/>
    <w:p w:rsidR="000D44A5" w:rsidRPr="00AF16D8" w:rsidRDefault="000D44A5" w:rsidP="00834D1E">
      <w:pPr>
        <w:rPr>
          <w:highlight w:val="yellow"/>
        </w:rPr>
      </w:pPr>
      <w:r w:rsidRPr="00025B31">
        <w:t>The proportion of women registered with an LMC ranged between 89.3% and 93.5% across the age groups. Women in the European or Other ethnic group were most likely to register (96.5%), followed by Māori women (92.0%). Registration with an LMC was less common among Pacific</w:t>
      </w:r>
      <w:r>
        <w:t xml:space="preserve"> (78.4%)</w:t>
      </w:r>
      <w:r w:rsidRPr="00025B31">
        <w:t xml:space="preserve"> </w:t>
      </w:r>
      <w:r>
        <w:t>and Indian</w:t>
      </w:r>
      <w:r w:rsidRPr="00025B31">
        <w:t xml:space="preserve"> (84.4%)</w:t>
      </w:r>
      <w:r>
        <w:t xml:space="preserve"> women</w:t>
      </w:r>
      <w:r w:rsidRPr="00025B31">
        <w:t>.</w:t>
      </w:r>
    </w:p>
    <w:p w:rsidR="000D44A5" w:rsidRPr="00AF16D8" w:rsidRDefault="000D44A5" w:rsidP="00834D1E">
      <w:pPr>
        <w:rPr>
          <w:highlight w:val="yellow"/>
        </w:rPr>
      </w:pPr>
    </w:p>
    <w:p w:rsidR="00CB6D20" w:rsidRDefault="000D44A5" w:rsidP="00834D1E">
      <w:r w:rsidRPr="007229CD">
        <w:t>Registration with an LMC was less common among women in the most deprived neighbourhoods (86.1% of women in quintile 5 compared to over 94.2% of women in quintiles</w:t>
      </w:r>
      <w:r w:rsidR="00834D1E">
        <w:t> </w:t>
      </w:r>
      <w:r w:rsidRPr="007229CD">
        <w:t>1–4).</w:t>
      </w:r>
    </w:p>
    <w:p w:rsidR="000D44A5" w:rsidRDefault="000D44A5" w:rsidP="00834D1E"/>
    <w:p w:rsidR="000D44A5" w:rsidRPr="007229CD" w:rsidRDefault="000D44A5" w:rsidP="00834D1E">
      <w:r w:rsidRPr="00A93922">
        <w:t>Women giving birth for the first time (99.7%) were more likely to register with an LMC than women who had previously given birth (96.1%).</w:t>
      </w:r>
    </w:p>
    <w:p w:rsidR="000D44A5" w:rsidRPr="00AF16D8" w:rsidRDefault="000D44A5" w:rsidP="00834D1E">
      <w:pPr>
        <w:rPr>
          <w:highlight w:val="yellow"/>
        </w:rPr>
      </w:pPr>
    </w:p>
    <w:p w:rsidR="000D44A5" w:rsidRPr="007229CD" w:rsidRDefault="000D44A5" w:rsidP="00834D1E">
      <w:r w:rsidRPr="007229CD">
        <w:t>Variations in the proportion of women registered with an LMC likely reflect the LMC workforce availability. DHB primary maternity services are expected to be avail</w:t>
      </w:r>
      <w:r>
        <w:t>able for women who do not register with</w:t>
      </w:r>
      <w:r w:rsidRPr="007229CD">
        <w:t xml:space="preserve"> an LMC (through choice or availability).</w:t>
      </w:r>
    </w:p>
    <w:p w:rsidR="000D44A5" w:rsidRPr="00AF16D8" w:rsidRDefault="000D44A5" w:rsidP="00834D1E">
      <w:pPr>
        <w:rPr>
          <w:highlight w:val="yellow"/>
        </w:rPr>
      </w:pPr>
    </w:p>
    <w:p w:rsidR="000D44A5" w:rsidRPr="00AF16D8" w:rsidRDefault="000D44A5" w:rsidP="00834D1E">
      <w:pPr>
        <w:rPr>
          <w:highlight w:val="yellow"/>
        </w:rPr>
      </w:pPr>
      <w:r w:rsidRPr="00071521">
        <w:t>The proportion of women who registered with an LMC was generally very high in most DHB regions. In eight DHB regions, at least 99% of women giving b</w:t>
      </w:r>
      <w:r>
        <w:t>irth were registered</w:t>
      </w:r>
      <w:r w:rsidRPr="00071521">
        <w:t>: Lakes, Bay of Plenty, Tairāwhiti, Taranaki, Wairarapa, Canterbury, South Canterbury and Southern</w:t>
      </w:r>
      <w:r w:rsidRPr="00184748">
        <w:t>. Counties Manukau, Auckland and Nelson Marlborough DHB regions had the lowest proportion of women registered with an LMC (78.3%, 79.3% and 87.2%, respectively).</w:t>
      </w:r>
    </w:p>
    <w:p w:rsidR="000D44A5" w:rsidRPr="00AF16D8" w:rsidRDefault="000D44A5" w:rsidP="00834D1E">
      <w:pPr>
        <w:rPr>
          <w:highlight w:val="yellow"/>
        </w:rPr>
      </w:pPr>
    </w:p>
    <w:p w:rsidR="000D44A5" w:rsidRPr="002D2BE6" w:rsidRDefault="000D44A5" w:rsidP="00834D1E">
      <w:r w:rsidRPr="002D2BE6">
        <w:t>From 2011 to 2015, the proportion of women giving birth who were registered with an LMC showed a statistically significant increase in all DHB regions except three (Bay of Plenty</w:t>
      </w:r>
      <w:r>
        <w:t>, Tairāwhiti</w:t>
      </w:r>
      <w:r w:rsidRPr="002D2BE6">
        <w:t xml:space="preserve"> and South Canterbury).</w:t>
      </w:r>
      <w:r w:rsidR="00CB6D20">
        <w:t xml:space="preserve"> </w:t>
      </w:r>
      <w:r w:rsidRPr="002D2BE6">
        <w:t>The largest increase was among women residing in West Coast DHB region (from 32.8% to 96.4%) (</w:t>
      </w:r>
      <w:r w:rsidRPr="002D2BE6">
        <w:fldChar w:fldCharType="begin"/>
      </w:r>
      <w:r w:rsidRPr="002D2BE6">
        <w:instrText xml:space="preserve"> REF _Ref428544146 \h  \* MERGEFORMAT </w:instrText>
      </w:r>
      <w:r w:rsidRPr="002D2BE6">
        <w:fldChar w:fldCharType="separate"/>
      </w:r>
      <w:r w:rsidR="00071E85" w:rsidRPr="00184748">
        <w:t xml:space="preserve">Figure </w:t>
      </w:r>
      <w:r w:rsidR="00071E85">
        <w:rPr>
          <w:noProof/>
        </w:rPr>
        <w:t>24</w:t>
      </w:r>
      <w:r w:rsidRPr="002D2BE6">
        <w:fldChar w:fldCharType="end"/>
      </w:r>
      <w:r w:rsidRPr="002D2BE6">
        <w:t>).</w:t>
      </w:r>
    </w:p>
    <w:p w:rsidR="000D44A5" w:rsidRPr="00AF16D8" w:rsidRDefault="000D44A5" w:rsidP="00834D1E">
      <w:pPr>
        <w:rPr>
          <w:highlight w:val="yellow"/>
        </w:rPr>
      </w:pPr>
    </w:p>
    <w:p w:rsidR="000D44A5" w:rsidRPr="007229CD" w:rsidRDefault="000D44A5" w:rsidP="00834D1E">
      <w:pPr>
        <w:pStyle w:val="Figure"/>
      </w:pPr>
      <w:bookmarkStart w:id="265" w:name="_Ref428544132"/>
      <w:bookmarkStart w:id="266" w:name="_Toc400706143"/>
      <w:bookmarkStart w:id="267" w:name="_Toc405886951"/>
      <w:bookmarkStart w:id="268" w:name="_Toc412122440"/>
      <w:bookmarkStart w:id="269" w:name="_Toc428799382"/>
      <w:bookmarkStart w:id="270" w:name="_Toc433389782"/>
      <w:bookmarkStart w:id="271" w:name="_Toc485114354"/>
      <w:bookmarkStart w:id="272" w:name="_Toc485542690"/>
      <w:r w:rsidRPr="007229CD">
        <w:lastRenderedPageBreak/>
        <w:t xml:space="preserve">Figure </w:t>
      </w:r>
      <w:r w:rsidR="00071E85">
        <w:fldChar w:fldCharType="begin"/>
      </w:r>
      <w:r w:rsidR="00071E85">
        <w:instrText xml:space="preserve"> SEQ Figure \* ARABIC </w:instrText>
      </w:r>
      <w:r w:rsidR="00071E85">
        <w:fldChar w:fldCharType="separate"/>
      </w:r>
      <w:r w:rsidR="00071E85">
        <w:rPr>
          <w:noProof/>
        </w:rPr>
        <w:t>23</w:t>
      </w:r>
      <w:r w:rsidR="00071E85">
        <w:rPr>
          <w:noProof/>
        </w:rPr>
        <w:fldChar w:fldCharType="end"/>
      </w:r>
      <w:bookmarkEnd w:id="265"/>
      <w:r w:rsidRPr="007229CD">
        <w:rPr>
          <w:noProof/>
        </w:rPr>
        <w:t>:</w:t>
      </w:r>
      <w:r w:rsidRPr="007229CD">
        <w:t xml:space="preserve"> Percentage of women giving birth who registered with a Lead Maternity Carer by age group, ethnic group and neighbourhood deprivation quintile, </w:t>
      </w:r>
      <w:bookmarkEnd w:id="266"/>
      <w:bookmarkEnd w:id="267"/>
      <w:bookmarkEnd w:id="268"/>
      <w:r w:rsidRPr="007229CD">
        <w:t>201</w:t>
      </w:r>
      <w:bookmarkEnd w:id="269"/>
      <w:bookmarkEnd w:id="270"/>
      <w:r w:rsidRPr="007229CD">
        <w:t>5</w:t>
      </w:r>
      <w:bookmarkEnd w:id="271"/>
      <w:bookmarkEnd w:id="272"/>
    </w:p>
    <w:p w:rsidR="000D44A5" w:rsidRPr="00AF16D8" w:rsidRDefault="000D44A5" w:rsidP="000D44A5">
      <w:pPr>
        <w:rPr>
          <w:highlight w:val="yellow"/>
        </w:rPr>
      </w:pPr>
      <w:r w:rsidRPr="002505F7">
        <w:rPr>
          <w:noProof/>
          <w:lang w:eastAsia="en-NZ"/>
        </w:rPr>
        <w:drawing>
          <wp:inline distT="0" distB="0" distL="0" distR="0" wp14:anchorId="3E25B872" wp14:editId="4821D0EB">
            <wp:extent cx="5339751" cy="3273699"/>
            <wp:effectExtent l="0" t="0" r="0" b="3175"/>
            <wp:docPr id="19" name="Picture 19" title="Figure 23: Percentage of women giving birth who registered with a Lead Maternity Carer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6464" cy="3277814"/>
                    </a:xfrm>
                    <a:prstGeom prst="rect">
                      <a:avLst/>
                    </a:prstGeom>
                    <a:noFill/>
                  </pic:spPr>
                </pic:pic>
              </a:graphicData>
            </a:graphic>
          </wp:inline>
        </w:drawing>
      </w:r>
    </w:p>
    <w:p w:rsidR="000D44A5" w:rsidRPr="007229CD" w:rsidRDefault="000D44A5" w:rsidP="00834D1E">
      <w:pPr>
        <w:pStyle w:val="Note"/>
      </w:pPr>
      <w:r w:rsidRPr="007229CD">
        <w:t>Note: The denominator used to calculate percentages is the number of women giving birth for that demographic group.</w:t>
      </w:r>
    </w:p>
    <w:p w:rsidR="000D44A5" w:rsidRDefault="000D44A5" w:rsidP="00834D1E">
      <w:pPr>
        <w:pStyle w:val="Source"/>
      </w:pPr>
      <w:r>
        <w:t>Source: National Maternity Collection</w:t>
      </w:r>
    </w:p>
    <w:p w:rsidR="000D44A5" w:rsidRPr="00AF16D8" w:rsidRDefault="000D44A5" w:rsidP="00834D1E">
      <w:pPr>
        <w:rPr>
          <w:highlight w:val="yellow"/>
        </w:rPr>
      </w:pPr>
    </w:p>
    <w:p w:rsidR="000D44A5" w:rsidRPr="00184748" w:rsidRDefault="000D44A5" w:rsidP="00834D1E">
      <w:pPr>
        <w:pStyle w:val="Figure"/>
      </w:pPr>
      <w:bookmarkStart w:id="273" w:name="_Ref428544146"/>
      <w:bookmarkStart w:id="274" w:name="_Toc400706144"/>
      <w:bookmarkStart w:id="275" w:name="_Toc405886952"/>
      <w:bookmarkStart w:id="276" w:name="_Toc412122441"/>
      <w:bookmarkStart w:id="277" w:name="_Toc428799383"/>
      <w:bookmarkStart w:id="278" w:name="_Toc433389783"/>
      <w:bookmarkStart w:id="279" w:name="_Toc485114355"/>
      <w:bookmarkStart w:id="280" w:name="_Toc485542691"/>
      <w:r w:rsidRPr="00184748">
        <w:t xml:space="preserve">Figure </w:t>
      </w:r>
      <w:r w:rsidR="00071E85">
        <w:fldChar w:fldCharType="begin"/>
      </w:r>
      <w:r w:rsidR="00071E85">
        <w:instrText xml:space="preserve"> SEQ Figure \* ARABIC </w:instrText>
      </w:r>
      <w:r w:rsidR="00071E85">
        <w:fldChar w:fldCharType="separate"/>
      </w:r>
      <w:r w:rsidR="00071E85">
        <w:rPr>
          <w:noProof/>
        </w:rPr>
        <w:t>24</w:t>
      </w:r>
      <w:r w:rsidR="00071E85">
        <w:rPr>
          <w:noProof/>
        </w:rPr>
        <w:fldChar w:fldCharType="end"/>
      </w:r>
      <w:bookmarkEnd w:id="273"/>
      <w:r w:rsidRPr="00184748">
        <w:t>: Percentage of women registered with a Lead Maternity Carer, by DHB of residence</w:t>
      </w:r>
      <w:bookmarkEnd w:id="274"/>
      <w:bookmarkEnd w:id="275"/>
      <w:r w:rsidRPr="00184748">
        <w:t>, 2011 and 201</w:t>
      </w:r>
      <w:bookmarkEnd w:id="276"/>
      <w:bookmarkEnd w:id="277"/>
      <w:bookmarkEnd w:id="278"/>
      <w:r w:rsidRPr="00184748">
        <w:t>5</w:t>
      </w:r>
      <w:bookmarkEnd w:id="279"/>
      <w:bookmarkEnd w:id="280"/>
    </w:p>
    <w:p w:rsidR="000D44A5" w:rsidRPr="00184748" w:rsidRDefault="000D44A5" w:rsidP="000D44A5">
      <w:r w:rsidRPr="00184748">
        <w:rPr>
          <w:noProof/>
          <w:lang w:eastAsia="en-NZ"/>
        </w:rPr>
        <w:drawing>
          <wp:inline distT="0" distB="0" distL="0" distR="0" wp14:anchorId="5458A99A" wp14:editId="686F57CD">
            <wp:extent cx="5220000" cy="3511751"/>
            <wp:effectExtent l="0" t="0" r="0" b="0"/>
            <wp:docPr id="78" name="Picture 78" title="Figure 24: Percentage of women registered with a Lead Maternity Carer,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regYear_LMCReg.jpg"/>
                    <pic:cNvPicPr/>
                  </pic:nvPicPr>
                  <pic:blipFill>
                    <a:blip r:embed="rId48">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184748" w:rsidRDefault="000D44A5" w:rsidP="00834D1E">
      <w:pPr>
        <w:pStyle w:val="Note"/>
      </w:pPr>
      <w:r w:rsidRPr="00184748">
        <w:t>Note: The denominator used to calculate percentages is the number of women giving birth residing in the DHB region.</w:t>
      </w:r>
    </w:p>
    <w:p w:rsidR="000D44A5" w:rsidRDefault="000D44A5" w:rsidP="00834D1E">
      <w:pPr>
        <w:pStyle w:val="Source"/>
      </w:pPr>
      <w:r>
        <w:t>Source: National Maternity Collection</w:t>
      </w:r>
    </w:p>
    <w:p w:rsidR="000D44A5" w:rsidRPr="00AF16D8" w:rsidRDefault="000D44A5" w:rsidP="00834D1E">
      <w:pPr>
        <w:rPr>
          <w:highlight w:val="yellow"/>
        </w:rPr>
      </w:pPr>
    </w:p>
    <w:p w:rsidR="000D44A5" w:rsidRPr="00AF16D8" w:rsidRDefault="000D44A5" w:rsidP="00834D1E">
      <w:pPr>
        <w:pStyle w:val="Heading4"/>
        <w:rPr>
          <w:highlight w:val="yellow"/>
        </w:rPr>
      </w:pPr>
      <w:r w:rsidRPr="007229CD">
        <w:lastRenderedPageBreak/>
        <w:t>Trimester of registration with Lead Maternity Carer</w:t>
      </w:r>
    </w:p>
    <w:p w:rsidR="000D44A5" w:rsidRPr="00450B2F" w:rsidRDefault="000D44A5" w:rsidP="00834D1E">
      <w:bookmarkStart w:id="281" w:name="_Ref401750772"/>
      <w:bookmarkStart w:id="282" w:name="_Toc400706145"/>
      <w:r w:rsidRPr="00C24DF5">
        <w:t xml:space="preserve">Of the women who </w:t>
      </w:r>
      <w:r w:rsidRPr="00450B2F">
        <w:t>registered with an LMC in 2015, 70.0% registered within the first trimester of pregnancy (under 13 weeks</w:t>
      </w:r>
      <w:r w:rsidR="00CB6D20">
        <w:t>’</w:t>
      </w:r>
      <w:r w:rsidRPr="00450B2F">
        <w:t xml:space="preserve"> gestation), a statistically significant increase from 50.7% in 2008. Accordingly, the percentage of women who registered during the second trimester of pregnancy (13–28 weeks</w:t>
      </w:r>
      <w:r w:rsidR="00CB6D20">
        <w:t>’</w:t>
      </w:r>
      <w:r w:rsidRPr="00450B2F">
        <w:t xml:space="preserve"> gestation) decreased significantly from 43.4% in 2008 to 25.8% in 2015 (</w:t>
      </w:r>
      <w:r w:rsidRPr="00450B2F">
        <w:fldChar w:fldCharType="begin"/>
      </w:r>
      <w:r w:rsidRPr="00450B2F">
        <w:instrText xml:space="preserve"> REF _Ref428802665 \h  \* MERGEFORMAT </w:instrText>
      </w:r>
      <w:r w:rsidRPr="00450B2F">
        <w:fldChar w:fldCharType="separate"/>
      </w:r>
      <w:r w:rsidR="00071E85" w:rsidRPr="00B36269">
        <w:t xml:space="preserve">Figure </w:t>
      </w:r>
      <w:r w:rsidR="00071E85">
        <w:rPr>
          <w:noProof/>
        </w:rPr>
        <w:t>25</w:t>
      </w:r>
      <w:r w:rsidRPr="00450B2F">
        <w:fldChar w:fldCharType="end"/>
      </w:r>
      <w:r w:rsidRPr="00450B2F">
        <w:t>).</w:t>
      </w:r>
    </w:p>
    <w:p w:rsidR="000D44A5" w:rsidRPr="00AF16D8" w:rsidRDefault="000D44A5" w:rsidP="00900242">
      <w:pPr>
        <w:rPr>
          <w:highlight w:val="yellow"/>
        </w:rPr>
      </w:pPr>
    </w:p>
    <w:p w:rsidR="000D44A5" w:rsidRPr="00B36269" w:rsidRDefault="000D44A5" w:rsidP="00900242">
      <w:pPr>
        <w:pStyle w:val="Figure"/>
      </w:pPr>
      <w:bookmarkStart w:id="283" w:name="_Ref428802665"/>
      <w:bookmarkStart w:id="284" w:name="_Toc405886953"/>
      <w:bookmarkStart w:id="285" w:name="_Toc412122442"/>
      <w:bookmarkStart w:id="286" w:name="_Toc428799327"/>
      <w:bookmarkStart w:id="287" w:name="_Toc433389784"/>
      <w:bookmarkStart w:id="288" w:name="_Toc485114356"/>
      <w:bookmarkStart w:id="289" w:name="_Toc485542692"/>
      <w:bookmarkEnd w:id="281"/>
      <w:r w:rsidRPr="00B36269">
        <w:t xml:space="preserve">Figure </w:t>
      </w:r>
      <w:r w:rsidR="00071E85">
        <w:fldChar w:fldCharType="begin"/>
      </w:r>
      <w:r w:rsidR="00071E85">
        <w:instrText xml:space="preserve"> SEQ Figure \* ARABIC </w:instrText>
      </w:r>
      <w:r w:rsidR="00071E85">
        <w:fldChar w:fldCharType="separate"/>
      </w:r>
      <w:r w:rsidR="00071E85">
        <w:rPr>
          <w:noProof/>
        </w:rPr>
        <w:t>25</w:t>
      </w:r>
      <w:r w:rsidR="00071E85">
        <w:rPr>
          <w:noProof/>
        </w:rPr>
        <w:fldChar w:fldCharType="end"/>
      </w:r>
      <w:bookmarkEnd w:id="283"/>
      <w:r w:rsidRPr="00B36269">
        <w:rPr>
          <w:noProof/>
        </w:rPr>
        <w:t>:</w:t>
      </w:r>
      <w:r w:rsidRPr="00B36269">
        <w:t xml:space="preserve"> Percentage of women registered with a Lead Maternity Carer by trimester of first registration, 200</w:t>
      </w:r>
      <w:r>
        <w:t>8</w:t>
      </w:r>
      <w:r w:rsidRPr="00B36269">
        <w:t>–201</w:t>
      </w:r>
      <w:bookmarkEnd w:id="282"/>
      <w:bookmarkEnd w:id="284"/>
      <w:bookmarkEnd w:id="285"/>
      <w:bookmarkEnd w:id="286"/>
      <w:bookmarkEnd w:id="287"/>
      <w:r w:rsidRPr="00B36269">
        <w:t>5</w:t>
      </w:r>
      <w:bookmarkEnd w:id="288"/>
      <w:bookmarkEnd w:id="289"/>
    </w:p>
    <w:p w:rsidR="000D44A5" w:rsidRPr="00B36269" w:rsidRDefault="000D44A5" w:rsidP="00900242">
      <w:r w:rsidRPr="00825493">
        <w:rPr>
          <w:noProof/>
          <w:lang w:eastAsia="en-NZ"/>
        </w:rPr>
        <w:drawing>
          <wp:inline distT="0" distB="0" distL="0" distR="0" wp14:anchorId="12885208" wp14:editId="12BFA85E">
            <wp:extent cx="4247804" cy="2101618"/>
            <wp:effectExtent l="0" t="0" r="635" b="0"/>
            <wp:docPr id="48" name="Picture 48" title="Figure 25: Percentage of women registered with a Lead Maternity Carer by trimester of first registration,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l="1160" t="2317"/>
                    <a:stretch/>
                  </pic:blipFill>
                  <pic:spPr bwMode="auto">
                    <a:xfrm>
                      <a:off x="0" y="0"/>
                      <a:ext cx="4270035" cy="2112617"/>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B36269" w:rsidRDefault="000D44A5" w:rsidP="00900242">
      <w:pPr>
        <w:pStyle w:val="Note"/>
      </w:pPr>
      <w:r w:rsidRPr="00B36269">
        <w:t>Note: The denominator used to calculate percentages is the number of women registered with an LMC.</w:t>
      </w:r>
    </w:p>
    <w:p w:rsidR="000D44A5" w:rsidRDefault="000D44A5" w:rsidP="00900242">
      <w:pPr>
        <w:pStyle w:val="Source"/>
      </w:pPr>
      <w:r>
        <w:t>Source: National Maternity Collection</w:t>
      </w:r>
    </w:p>
    <w:p w:rsidR="000D44A5" w:rsidRPr="00B36269" w:rsidRDefault="000D44A5" w:rsidP="00900242"/>
    <w:p w:rsidR="000D44A5" w:rsidRPr="00B36269" w:rsidRDefault="000D44A5" w:rsidP="00900242">
      <w:r w:rsidRPr="00B36269">
        <w:fldChar w:fldCharType="begin"/>
      </w:r>
      <w:r w:rsidRPr="00B36269">
        <w:instrText xml:space="preserve"> REF _Ref428802681 \h  \* MERGEFORMAT </w:instrText>
      </w:r>
      <w:r w:rsidRPr="00B36269">
        <w:fldChar w:fldCharType="separate"/>
      </w:r>
      <w:r w:rsidR="00071E85" w:rsidRPr="00B36269">
        <w:t xml:space="preserve">Figure </w:t>
      </w:r>
      <w:r w:rsidR="00071E85">
        <w:rPr>
          <w:noProof/>
        </w:rPr>
        <w:t>26</w:t>
      </w:r>
      <w:r w:rsidRPr="00B36269">
        <w:fldChar w:fldCharType="end"/>
      </w:r>
      <w:r w:rsidRPr="00B36269">
        <w:t xml:space="preserve"> shows the number of women registered with an LMC during the first, second and third trimester of pregnancy, as a proportion of the total number of women giving birth.</w:t>
      </w:r>
    </w:p>
    <w:p w:rsidR="000D44A5" w:rsidRPr="00B36269" w:rsidRDefault="000D44A5" w:rsidP="00900242"/>
    <w:p w:rsidR="000D44A5" w:rsidRPr="00B36269" w:rsidRDefault="000D44A5" w:rsidP="00900242">
      <w:r w:rsidRPr="00B36269">
        <w:t>Registration with an LMC during the first trimester of pregnancy was less common among:</w:t>
      </w:r>
    </w:p>
    <w:p w:rsidR="000D44A5" w:rsidRPr="00B36269" w:rsidRDefault="000D44A5" w:rsidP="00900242">
      <w:pPr>
        <w:pStyle w:val="Bullet"/>
      </w:pPr>
      <w:r w:rsidRPr="00B36269">
        <w:t>young women (</w:t>
      </w:r>
      <w:r>
        <w:t>46.8</w:t>
      </w:r>
      <w:r w:rsidRPr="00B36269">
        <w:t xml:space="preserve">% of women aged </w:t>
      </w:r>
      <w:r>
        <w:t>under</w:t>
      </w:r>
      <w:r w:rsidRPr="00B36269">
        <w:t xml:space="preserve"> 20 years)</w:t>
      </w:r>
    </w:p>
    <w:p w:rsidR="000D44A5" w:rsidRPr="00B36269" w:rsidRDefault="000D44A5" w:rsidP="00900242">
      <w:pPr>
        <w:pStyle w:val="Bullet"/>
      </w:pPr>
      <w:r w:rsidRPr="00B36269">
        <w:t>Māori and Pacific women (</w:t>
      </w:r>
      <w:r>
        <w:t>52.1</w:t>
      </w:r>
      <w:r w:rsidRPr="00B36269">
        <w:t xml:space="preserve">% and </w:t>
      </w:r>
      <w:r>
        <w:t>34.7</w:t>
      </w:r>
      <w:r w:rsidRPr="00B36269">
        <w:t>%, respectively)</w:t>
      </w:r>
    </w:p>
    <w:p w:rsidR="000D44A5" w:rsidRPr="00B36269" w:rsidRDefault="000D44A5" w:rsidP="00900242">
      <w:pPr>
        <w:pStyle w:val="Bullet"/>
      </w:pPr>
      <w:r w:rsidRPr="00B36269">
        <w:t>women residing in the most deprived neighbourhoods (</w:t>
      </w:r>
      <w:r>
        <w:t>49.9</w:t>
      </w:r>
      <w:r w:rsidRPr="00B36269">
        <w:t>% in quintile 5).</w:t>
      </w:r>
    </w:p>
    <w:p w:rsidR="000D44A5" w:rsidRPr="00B36269" w:rsidRDefault="000D44A5" w:rsidP="00900242"/>
    <w:p w:rsidR="000D44A5" w:rsidRDefault="000D44A5" w:rsidP="00900242">
      <w:r w:rsidRPr="00B36269">
        <w:t xml:space="preserve">Within the groups presented in </w:t>
      </w:r>
      <w:r w:rsidRPr="00B36269">
        <w:fldChar w:fldCharType="begin"/>
      </w:r>
      <w:r w:rsidRPr="00B36269">
        <w:instrText xml:space="preserve"> REF _Ref428802681 \h  \* MERGEFORMAT </w:instrText>
      </w:r>
      <w:r w:rsidRPr="00B36269">
        <w:fldChar w:fldCharType="separate"/>
      </w:r>
      <w:r w:rsidR="00071E85" w:rsidRPr="00B36269">
        <w:t xml:space="preserve">Figure </w:t>
      </w:r>
      <w:r w:rsidR="00071E85">
        <w:rPr>
          <w:noProof/>
        </w:rPr>
        <w:t>26</w:t>
      </w:r>
      <w:r w:rsidRPr="00B36269">
        <w:fldChar w:fldCharType="end"/>
      </w:r>
      <w:r>
        <w:t xml:space="preserve">, at least 80% </w:t>
      </w:r>
      <w:r w:rsidRPr="00B36269">
        <w:t xml:space="preserve">had registered with an LMC by the end of their second trimester, except </w:t>
      </w:r>
      <w:r>
        <w:t>for</w:t>
      </w:r>
      <w:r w:rsidRPr="00B36269">
        <w:t xml:space="preserve"> Pacific women (70.8%).</w:t>
      </w:r>
    </w:p>
    <w:p w:rsidR="000D44A5" w:rsidRDefault="000D44A5" w:rsidP="00900242"/>
    <w:p w:rsidR="000D44A5" w:rsidRPr="00B36269" w:rsidRDefault="000D44A5" w:rsidP="00900242">
      <w:r w:rsidRPr="00A93922">
        <w:t>Of women giving birth for the first time, 71.1% registered with an LMC within the first trimester and 96.0% by the end of their second trimester. Registration with an LMC within the first trimester generally decreased with increasing parity.</w:t>
      </w:r>
    </w:p>
    <w:p w:rsidR="000D44A5" w:rsidRPr="00450B2F" w:rsidRDefault="000D44A5" w:rsidP="00900242"/>
    <w:p w:rsidR="000D44A5" w:rsidRPr="00AF16D8" w:rsidRDefault="000D44A5" w:rsidP="000D44A5">
      <w:pPr>
        <w:rPr>
          <w:highlight w:val="yellow"/>
        </w:rPr>
      </w:pPr>
      <w:r w:rsidRPr="00450B2F">
        <w:t>The proportion of women giving birth who registered with an LMC within the first trimester of pregnanc</w:t>
      </w:r>
      <w:r w:rsidRPr="00900242">
        <w:t>y</w:t>
      </w:r>
      <w:r w:rsidRPr="00450B2F">
        <w:t xml:space="preserve"> ranged from 41.6% to 78.4% </w:t>
      </w:r>
      <w:r w:rsidRPr="00AB1883">
        <w:t>across the DHB regions. The lowest percentage was for women residing in Counties Manukau DHB region, where only 4</w:t>
      </w:r>
      <w:r>
        <w:t>1.6</w:t>
      </w:r>
      <w:r w:rsidRPr="00AB1883">
        <w:t>% of women registered with an LMC during their first trimester. At least 50% of women in all other DHB regions registered within their first trimester, with the highest proportion</w:t>
      </w:r>
      <w:r>
        <w:t>s</w:t>
      </w:r>
      <w:r w:rsidRPr="00AB1883">
        <w:t xml:space="preserve"> among women in</w:t>
      </w:r>
      <w:r>
        <w:t xml:space="preserve"> Taranaki,</w:t>
      </w:r>
      <w:r w:rsidRPr="00AB1883">
        <w:t xml:space="preserve"> Canterbury and Southern DHB regions (</w:t>
      </w:r>
      <w:r>
        <w:t xml:space="preserve">78.4%, </w:t>
      </w:r>
      <w:r w:rsidRPr="00AB1883">
        <w:t>76.8% and 76.7%, respectively) (</w:t>
      </w:r>
      <w:r w:rsidRPr="00AB1883">
        <w:fldChar w:fldCharType="begin"/>
      </w:r>
      <w:r w:rsidRPr="00AB1883">
        <w:instrText xml:space="preserve"> REF _Ref428802693 \h  \* MERGEFORMAT </w:instrText>
      </w:r>
      <w:r w:rsidRPr="00AB1883">
        <w:fldChar w:fldCharType="separate"/>
      </w:r>
      <w:r w:rsidR="00071E85" w:rsidRPr="00737191">
        <w:t xml:space="preserve">Figure </w:t>
      </w:r>
      <w:r w:rsidR="00071E85">
        <w:rPr>
          <w:noProof/>
        </w:rPr>
        <w:t>27</w:t>
      </w:r>
      <w:r w:rsidRPr="00AB1883">
        <w:fldChar w:fldCharType="end"/>
      </w:r>
      <w:r w:rsidRPr="00AB1883">
        <w:t>).</w:t>
      </w:r>
    </w:p>
    <w:p w:rsidR="000D44A5" w:rsidRPr="00AF16D8" w:rsidRDefault="000D44A5" w:rsidP="00900242">
      <w:pPr>
        <w:rPr>
          <w:highlight w:val="yellow"/>
        </w:rPr>
      </w:pPr>
    </w:p>
    <w:p w:rsidR="000D44A5" w:rsidRDefault="000D44A5" w:rsidP="00900242">
      <w:r w:rsidRPr="00AB1883">
        <w:t xml:space="preserve">Between 2011 and 2015, the proportion of women registered with an LMC within the first trimester of pregnancy increased significantly among women giving birth in all DHB regions. </w:t>
      </w:r>
      <w:r w:rsidRPr="00737191">
        <w:t xml:space="preserve">The largest increases were among women residing in West Coast (from 15.1% to 52.1%) and South Canterbury (from 42.9% to 70.1%) </w:t>
      </w:r>
      <w:r>
        <w:t xml:space="preserve">DHB </w:t>
      </w:r>
      <w:r w:rsidRPr="00737191">
        <w:t>regions (</w:t>
      </w:r>
      <w:r w:rsidRPr="00737191">
        <w:fldChar w:fldCharType="begin"/>
      </w:r>
      <w:r w:rsidRPr="00737191">
        <w:instrText xml:space="preserve"> REF _Ref428802693 \h  \* MERGEFORMAT </w:instrText>
      </w:r>
      <w:r w:rsidRPr="00737191">
        <w:fldChar w:fldCharType="separate"/>
      </w:r>
      <w:r w:rsidR="00071E85" w:rsidRPr="00737191">
        <w:t xml:space="preserve">Figure </w:t>
      </w:r>
      <w:r w:rsidR="00071E85">
        <w:rPr>
          <w:noProof/>
        </w:rPr>
        <w:t>27</w:t>
      </w:r>
      <w:r w:rsidRPr="00737191">
        <w:fldChar w:fldCharType="end"/>
      </w:r>
      <w:r w:rsidRPr="00737191">
        <w:t>).</w:t>
      </w:r>
    </w:p>
    <w:p w:rsidR="00900242" w:rsidRPr="00AF16D8" w:rsidRDefault="00900242" w:rsidP="00900242">
      <w:pPr>
        <w:rPr>
          <w:highlight w:val="yellow"/>
        </w:rPr>
      </w:pPr>
    </w:p>
    <w:p w:rsidR="000D44A5" w:rsidRPr="00B36269" w:rsidRDefault="000D44A5" w:rsidP="00900242">
      <w:pPr>
        <w:pStyle w:val="Figure"/>
      </w:pPr>
      <w:bookmarkStart w:id="290" w:name="_Ref428802681"/>
      <w:bookmarkStart w:id="291" w:name="_Toc400706146"/>
      <w:bookmarkStart w:id="292" w:name="_Toc405886954"/>
      <w:bookmarkStart w:id="293" w:name="_Toc412122443"/>
      <w:bookmarkStart w:id="294" w:name="_Toc428799328"/>
      <w:bookmarkStart w:id="295" w:name="_Toc433389785"/>
      <w:bookmarkStart w:id="296" w:name="_Toc485114357"/>
      <w:bookmarkStart w:id="297" w:name="_Toc485542693"/>
      <w:r w:rsidRPr="00B36269">
        <w:lastRenderedPageBreak/>
        <w:t xml:space="preserve">Figure </w:t>
      </w:r>
      <w:r w:rsidR="00071E85">
        <w:fldChar w:fldCharType="begin"/>
      </w:r>
      <w:r w:rsidR="00071E85">
        <w:instrText xml:space="preserve"> SEQ Figure \* ARABIC </w:instrText>
      </w:r>
      <w:r w:rsidR="00071E85">
        <w:fldChar w:fldCharType="separate"/>
      </w:r>
      <w:r w:rsidR="00071E85">
        <w:rPr>
          <w:noProof/>
        </w:rPr>
        <w:t>26</w:t>
      </w:r>
      <w:r w:rsidR="00071E85">
        <w:rPr>
          <w:noProof/>
        </w:rPr>
        <w:fldChar w:fldCharType="end"/>
      </w:r>
      <w:bookmarkEnd w:id="290"/>
      <w:r w:rsidRPr="00B36269">
        <w:rPr>
          <w:noProof/>
        </w:rPr>
        <w:t>:</w:t>
      </w:r>
      <w:r w:rsidRPr="00B36269">
        <w:t xml:space="preserve"> Percentage of women giving birth who registered with a Lead Maternity Carer prior to birth, by trimester of registration, age group, ethnic group and neighbourhood deprivation quintile, </w:t>
      </w:r>
      <w:bookmarkEnd w:id="291"/>
      <w:bookmarkEnd w:id="292"/>
      <w:bookmarkEnd w:id="293"/>
      <w:bookmarkEnd w:id="294"/>
      <w:r w:rsidRPr="00B36269">
        <w:t>201</w:t>
      </w:r>
      <w:bookmarkEnd w:id="295"/>
      <w:r w:rsidRPr="00B36269">
        <w:t>5</w:t>
      </w:r>
      <w:bookmarkEnd w:id="296"/>
      <w:bookmarkEnd w:id="297"/>
    </w:p>
    <w:p w:rsidR="000D44A5" w:rsidRPr="00AF16D8" w:rsidRDefault="000D44A5" w:rsidP="000D44A5">
      <w:pPr>
        <w:rPr>
          <w:highlight w:val="yellow"/>
        </w:rPr>
      </w:pPr>
      <w:r w:rsidRPr="00B444F5">
        <w:rPr>
          <w:noProof/>
          <w:lang w:eastAsia="en-NZ"/>
        </w:rPr>
        <w:drawing>
          <wp:inline distT="0" distB="0" distL="0" distR="0" wp14:anchorId="5DAADF1C" wp14:editId="7F3E2184">
            <wp:extent cx="4698884" cy="3233651"/>
            <wp:effectExtent l="0" t="0" r="6985" b="5080"/>
            <wp:docPr id="20" name="Picture 20" title="Figure 26: Percentage of women giving birth who registered with a Lead Maternity Carer prior to birth, by trimester of registration,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9844" cy="3254957"/>
                    </a:xfrm>
                    <a:prstGeom prst="rect">
                      <a:avLst/>
                    </a:prstGeom>
                    <a:noFill/>
                  </pic:spPr>
                </pic:pic>
              </a:graphicData>
            </a:graphic>
          </wp:inline>
        </w:drawing>
      </w:r>
    </w:p>
    <w:p w:rsidR="00CB6D20" w:rsidRDefault="000D44A5" w:rsidP="00900242">
      <w:pPr>
        <w:pStyle w:val="Note"/>
      </w:pPr>
      <w:r w:rsidRPr="00B36269">
        <w:t>Note</w:t>
      </w:r>
      <w:r>
        <w:t>s</w:t>
      </w:r>
      <w:r w:rsidRPr="00B36269">
        <w:t>:</w:t>
      </w:r>
    </w:p>
    <w:p w:rsidR="000D44A5" w:rsidRPr="00B36269" w:rsidRDefault="000D44A5" w:rsidP="00900242">
      <w:pPr>
        <w:pStyle w:val="Note"/>
      </w:pPr>
      <w:r w:rsidRPr="00B36269">
        <w:t>The denominator used to calculate percentages is the number of women giving birth for that demographic group.</w:t>
      </w:r>
    </w:p>
    <w:p w:rsidR="000D44A5" w:rsidRDefault="000D44A5" w:rsidP="00900242">
      <w:pPr>
        <w:pStyle w:val="Note"/>
      </w:pPr>
      <w:r>
        <w:t>197 women (3.9%) registered with an LMC postnatally. Three women had unknown trimester of registration.</w:t>
      </w:r>
    </w:p>
    <w:p w:rsidR="000D44A5" w:rsidRDefault="000D44A5" w:rsidP="00900242">
      <w:pPr>
        <w:pStyle w:val="Source"/>
      </w:pPr>
      <w:r>
        <w:t>Source: National Maternity Collection</w:t>
      </w:r>
    </w:p>
    <w:p w:rsidR="000D44A5" w:rsidRPr="00AF16D8" w:rsidRDefault="000D44A5" w:rsidP="00900242">
      <w:pPr>
        <w:rPr>
          <w:highlight w:val="yellow"/>
        </w:rPr>
      </w:pPr>
    </w:p>
    <w:p w:rsidR="000D44A5" w:rsidRPr="00737191" w:rsidRDefault="000D44A5" w:rsidP="00900242">
      <w:pPr>
        <w:pStyle w:val="Figure"/>
      </w:pPr>
      <w:bookmarkStart w:id="298" w:name="_Ref428802693"/>
      <w:bookmarkStart w:id="299" w:name="_Toc400706147"/>
      <w:bookmarkStart w:id="300" w:name="_Toc405886955"/>
      <w:bookmarkStart w:id="301" w:name="_Toc412122444"/>
      <w:bookmarkStart w:id="302" w:name="_Toc428799329"/>
      <w:bookmarkStart w:id="303" w:name="_Toc433389786"/>
      <w:bookmarkStart w:id="304" w:name="_Toc485114358"/>
      <w:bookmarkStart w:id="305" w:name="_Toc485542694"/>
      <w:r w:rsidRPr="00737191">
        <w:t xml:space="preserve">Figure </w:t>
      </w:r>
      <w:r w:rsidR="00071E85">
        <w:fldChar w:fldCharType="begin"/>
      </w:r>
      <w:r w:rsidR="00071E85">
        <w:instrText xml:space="preserve"> SEQ Figure \* ARABIC </w:instrText>
      </w:r>
      <w:r w:rsidR="00071E85">
        <w:fldChar w:fldCharType="separate"/>
      </w:r>
      <w:r w:rsidR="00071E85">
        <w:rPr>
          <w:noProof/>
        </w:rPr>
        <w:t>27</w:t>
      </w:r>
      <w:r w:rsidR="00071E85">
        <w:rPr>
          <w:noProof/>
        </w:rPr>
        <w:fldChar w:fldCharType="end"/>
      </w:r>
      <w:bookmarkEnd w:id="298"/>
      <w:r w:rsidRPr="00737191">
        <w:rPr>
          <w:noProof/>
        </w:rPr>
        <w:t>:</w:t>
      </w:r>
      <w:r w:rsidRPr="00737191">
        <w:t xml:space="preserve"> Percentage of women giving birth who registered with a Lead Maternity Carer within the first trimester of pregnancy, by </w:t>
      </w:r>
      <w:bookmarkEnd w:id="299"/>
      <w:r w:rsidRPr="00737191">
        <w:t>DHB of residence</w:t>
      </w:r>
      <w:bookmarkEnd w:id="300"/>
      <w:r w:rsidRPr="00737191">
        <w:t>, 2011 and 201</w:t>
      </w:r>
      <w:bookmarkEnd w:id="301"/>
      <w:bookmarkEnd w:id="302"/>
      <w:bookmarkEnd w:id="303"/>
      <w:r w:rsidRPr="00737191">
        <w:t>5</w:t>
      </w:r>
      <w:bookmarkEnd w:id="304"/>
      <w:bookmarkEnd w:id="305"/>
    </w:p>
    <w:p w:rsidR="000D44A5" w:rsidRPr="00737191" w:rsidRDefault="000D44A5" w:rsidP="000D44A5">
      <w:r w:rsidRPr="00737191">
        <w:rPr>
          <w:noProof/>
          <w:lang w:eastAsia="en-NZ"/>
        </w:rPr>
        <w:drawing>
          <wp:inline distT="0" distB="0" distL="0" distR="0" wp14:anchorId="0D98B7D2" wp14:editId="36D0B84D">
            <wp:extent cx="4879694" cy="3282812"/>
            <wp:effectExtent l="0" t="0" r="0" b="0"/>
            <wp:docPr id="79" name="Picture 79" title="Figure 27: Percentage of women giving birth who registered with a Lead Maternity Carer within the first trimester of pregnancy,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regYear_LMC1stTrim.jpg"/>
                    <pic:cNvPicPr/>
                  </pic:nvPicPr>
                  <pic:blipFill>
                    <a:blip r:embed="rId51">
                      <a:extLst>
                        <a:ext uri="{28A0092B-C50C-407E-A947-70E740481C1C}">
                          <a14:useLocalDpi xmlns:a14="http://schemas.microsoft.com/office/drawing/2010/main" val="0"/>
                        </a:ext>
                      </a:extLst>
                    </a:blip>
                    <a:stretch>
                      <a:fillRect/>
                    </a:stretch>
                  </pic:blipFill>
                  <pic:spPr>
                    <a:xfrm>
                      <a:off x="0" y="0"/>
                      <a:ext cx="4892017" cy="3291102"/>
                    </a:xfrm>
                    <a:prstGeom prst="rect">
                      <a:avLst/>
                    </a:prstGeom>
                  </pic:spPr>
                </pic:pic>
              </a:graphicData>
            </a:graphic>
          </wp:inline>
        </w:drawing>
      </w:r>
    </w:p>
    <w:p w:rsidR="000D44A5" w:rsidRPr="00737191" w:rsidRDefault="000D44A5" w:rsidP="00900242">
      <w:pPr>
        <w:pStyle w:val="Note"/>
      </w:pPr>
      <w:r w:rsidRPr="00737191">
        <w:t>Note: The denominator used to calculate percentages is the number of women giving birth residing in the DHB region.</w:t>
      </w:r>
    </w:p>
    <w:p w:rsidR="000D44A5" w:rsidRDefault="000D44A5" w:rsidP="00900242">
      <w:pPr>
        <w:pStyle w:val="Source"/>
      </w:pPr>
      <w:r>
        <w:t>Source: National Maternity Collection</w:t>
      </w:r>
    </w:p>
    <w:p w:rsidR="00900242" w:rsidRPr="00900242" w:rsidRDefault="00900242" w:rsidP="00900242"/>
    <w:p w:rsidR="000D44A5" w:rsidRPr="00B36269" w:rsidRDefault="000D44A5" w:rsidP="00900242">
      <w:pPr>
        <w:pStyle w:val="Heading4"/>
      </w:pPr>
      <w:r w:rsidRPr="00B36269">
        <w:lastRenderedPageBreak/>
        <w:t>Type of Lead Maternity Carer</w:t>
      </w:r>
    </w:p>
    <w:p w:rsidR="000D44A5" w:rsidRPr="00825493" w:rsidRDefault="000D44A5" w:rsidP="00900242">
      <w:pPr>
        <w:rPr>
          <w:highlight w:val="yellow"/>
        </w:rPr>
      </w:pPr>
      <w:r w:rsidRPr="00B36269">
        <w:t xml:space="preserve">In 2015, the majority of women giving birth who </w:t>
      </w:r>
      <w:r>
        <w:t>registered with an LMC chose</w:t>
      </w:r>
      <w:r w:rsidRPr="00B36269">
        <w:t xml:space="preserve"> </w:t>
      </w:r>
      <w:r>
        <w:t>a midwife as their LMC (93.6</w:t>
      </w:r>
      <w:r w:rsidRPr="00B36269">
        <w:t xml:space="preserve">%). A </w:t>
      </w:r>
      <w:r w:rsidRPr="008B64BA">
        <w:t xml:space="preserve">small proportion of women </w:t>
      </w:r>
      <w:r>
        <w:t>chose</w:t>
      </w:r>
      <w:r w:rsidRPr="008B64BA">
        <w:t xml:space="preserve"> an obstetrician or a GP as their LMC (</w:t>
      </w:r>
      <w:r>
        <w:t>5.9</w:t>
      </w:r>
      <w:r w:rsidRPr="008B64BA">
        <w:t>% and 0.</w:t>
      </w:r>
      <w:r w:rsidRPr="00AA11A8">
        <w:t xml:space="preserve">3%, respectively). The number of women registered with a GP LMC as a proportion of all women registered with an LMC decreased steadily between 2008 and 2015, from </w:t>
      </w:r>
      <w:r>
        <w:t>2.7</w:t>
      </w:r>
      <w:r w:rsidRPr="00AA11A8">
        <w:t xml:space="preserve">% to 0.3%. Conversely, the proportion of women registered with a midwife LMC increased significantly over the same period, from </w:t>
      </w:r>
      <w:r>
        <w:t>89.7</w:t>
      </w:r>
      <w:r w:rsidRPr="00AA11A8">
        <w:t xml:space="preserve">% to </w:t>
      </w:r>
      <w:r>
        <w:t>93.6</w:t>
      </w:r>
      <w:r w:rsidRPr="00AA11A8">
        <w:t>% (</w:t>
      </w:r>
      <w:r w:rsidRPr="00AA11A8">
        <w:fldChar w:fldCharType="begin"/>
      </w:r>
      <w:r w:rsidRPr="00AA11A8">
        <w:instrText xml:space="preserve"> REF _Ref428802718 \h  \* MERGEFORMAT </w:instrText>
      </w:r>
      <w:r w:rsidRPr="00AA11A8">
        <w:fldChar w:fldCharType="separate"/>
      </w:r>
      <w:r w:rsidR="00071E85" w:rsidRPr="008B64BA">
        <w:t xml:space="preserve">Figure </w:t>
      </w:r>
      <w:r w:rsidR="00071E85">
        <w:rPr>
          <w:noProof/>
        </w:rPr>
        <w:t>28</w:t>
      </w:r>
      <w:r w:rsidRPr="00AA11A8">
        <w:fldChar w:fldCharType="end"/>
      </w:r>
      <w:r w:rsidRPr="00AA11A8">
        <w:t>).</w:t>
      </w:r>
    </w:p>
    <w:p w:rsidR="000D44A5" w:rsidRPr="00825493" w:rsidRDefault="000D44A5" w:rsidP="00900242">
      <w:pPr>
        <w:rPr>
          <w:highlight w:val="yellow"/>
        </w:rPr>
      </w:pPr>
    </w:p>
    <w:p w:rsidR="000D44A5" w:rsidRPr="008B64BA" w:rsidRDefault="000D44A5" w:rsidP="00900242">
      <w:pPr>
        <w:pStyle w:val="Figure"/>
      </w:pPr>
      <w:bookmarkStart w:id="306" w:name="_Ref428802718"/>
      <w:bookmarkStart w:id="307" w:name="_Toc400706148"/>
      <w:bookmarkStart w:id="308" w:name="_Toc405886956"/>
      <w:bookmarkStart w:id="309" w:name="_Toc412122445"/>
      <w:bookmarkStart w:id="310" w:name="_Toc428799330"/>
      <w:bookmarkStart w:id="311" w:name="_Toc433389787"/>
      <w:bookmarkStart w:id="312" w:name="_Toc485114359"/>
      <w:bookmarkStart w:id="313" w:name="_Toc485542695"/>
      <w:r w:rsidRPr="008B64BA">
        <w:t xml:space="preserve">Figure </w:t>
      </w:r>
      <w:r w:rsidR="00071E85">
        <w:fldChar w:fldCharType="begin"/>
      </w:r>
      <w:r w:rsidR="00071E85">
        <w:instrText xml:space="preserve"> SEQ Figure \* ARABIC </w:instrText>
      </w:r>
      <w:r w:rsidR="00071E85">
        <w:fldChar w:fldCharType="separate"/>
      </w:r>
      <w:r w:rsidR="00071E85">
        <w:rPr>
          <w:noProof/>
        </w:rPr>
        <w:t>28</w:t>
      </w:r>
      <w:r w:rsidR="00071E85">
        <w:rPr>
          <w:noProof/>
        </w:rPr>
        <w:fldChar w:fldCharType="end"/>
      </w:r>
      <w:bookmarkEnd w:id="306"/>
      <w:r w:rsidRPr="008B64BA">
        <w:rPr>
          <w:noProof/>
        </w:rPr>
        <w:t>:</w:t>
      </w:r>
      <w:r w:rsidRPr="008B64BA">
        <w:t xml:space="preserve"> </w:t>
      </w:r>
      <w:bookmarkEnd w:id="307"/>
      <w:r w:rsidRPr="008B64BA">
        <w:t>Percentage of women registered with a Lead Maternity Carer (LMC), by type of LMC, 200</w:t>
      </w:r>
      <w:r>
        <w:t>8</w:t>
      </w:r>
      <w:r w:rsidRPr="008B64BA">
        <w:t>–201</w:t>
      </w:r>
      <w:bookmarkEnd w:id="308"/>
      <w:bookmarkEnd w:id="309"/>
      <w:bookmarkEnd w:id="310"/>
      <w:bookmarkEnd w:id="311"/>
      <w:r w:rsidRPr="008B64BA">
        <w:t>5</w:t>
      </w:r>
      <w:bookmarkEnd w:id="312"/>
      <w:bookmarkEnd w:id="313"/>
    </w:p>
    <w:p w:rsidR="000D44A5" w:rsidRPr="00AF16D8" w:rsidRDefault="000D44A5" w:rsidP="000D44A5">
      <w:pPr>
        <w:rPr>
          <w:highlight w:val="yellow"/>
        </w:rPr>
      </w:pPr>
      <w:r w:rsidRPr="00BB254A">
        <w:rPr>
          <w:noProof/>
          <w:lang w:eastAsia="en-NZ"/>
        </w:rPr>
        <w:drawing>
          <wp:inline distT="0" distB="0" distL="0" distR="0" wp14:anchorId="003B209E" wp14:editId="775EFB2D">
            <wp:extent cx="4289367" cy="2186248"/>
            <wp:effectExtent l="0" t="0" r="0" b="5080"/>
            <wp:docPr id="69" name="Picture 69" title="Figure 28: Percentage of women registered with a Lead Maternity Carer (LMC), by type of LMC,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a:extLst>
                        <a:ext uri="{28A0092B-C50C-407E-A947-70E740481C1C}">
                          <a14:useLocalDpi xmlns:a14="http://schemas.microsoft.com/office/drawing/2010/main" val="0"/>
                        </a:ext>
                      </a:extLst>
                    </a:blip>
                    <a:srcRect l="1316" t="1866" r="1644"/>
                    <a:stretch/>
                  </pic:blipFill>
                  <pic:spPr bwMode="auto">
                    <a:xfrm>
                      <a:off x="0" y="0"/>
                      <a:ext cx="4289306" cy="2186217"/>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8B64BA" w:rsidRDefault="000D44A5" w:rsidP="00900242">
      <w:pPr>
        <w:pStyle w:val="Note"/>
      </w:pPr>
      <w:r w:rsidRPr="008B64BA">
        <w:t>Note: The denominator used to calculate the percentage is the number of women registered with an LMC.</w:t>
      </w:r>
    </w:p>
    <w:p w:rsidR="000D44A5" w:rsidRDefault="000D44A5" w:rsidP="00900242">
      <w:pPr>
        <w:pStyle w:val="Source"/>
      </w:pPr>
      <w:r>
        <w:t>Source: National Maternity Collection</w:t>
      </w:r>
    </w:p>
    <w:p w:rsidR="000D44A5" w:rsidRPr="00AF16D8" w:rsidRDefault="000D44A5" w:rsidP="00900242">
      <w:pPr>
        <w:rPr>
          <w:highlight w:val="yellow"/>
        </w:rPr>
      </w:pPr>
    </w:p>
    <w:p w:rsidR="000D44A5" w:rsidRPr="00AF16D8" w:rsidRDefault="000D44A5" w:rsidP="00900242">
      <w:pPr>
        <w:rPr>
          <w:highlight w:val="yellow"/>
        </w:rPr>
      </w:pPr>
      <w:r w:rsidRPr="00AA11A8">
        <w:t>Between 2003 (prior</w:t>
      </w:r>
      <w:r w:rsidRPr="008B64BA">
        <w:t xml:space="preserve"> to implementation of the Primary Maternity Services Notice 2007) and 2015</w:t>
      </w:r>
      <w:r>
        <w:t>, the</w:t>
      </w:r>
      <w:r w:rsidRPr="008B64BA">
        <w:t xml:space="preserve"> percentage of women registered with a midwife LMC </w:t>
      </w:r>
      <w:r>
        <w:t xml:space="preserve">increased </w:t>
      </w:r>
      <w:r w:rsidRPr="008B64BA">
        <w:t xml:space="preserve">(from 60.7% in 2003 to 86.4% in 2015) and the percentage of women registered with a GP LMC </w:t>
      </w:r>
      <w:r>
        <w:t xml:space="preserve">decreased </w:t>
      </w:r>
      <w:r w:rsidRPr="008B64BA">
        <w:t>(from 6.1% to 0.3%). Table 2 presents the number and percentage of each LMC type in 2003 and 2015.</w:t>
      </w:r>
    </w:p>
    <w:p w:rsidR="000D44A5" w:rsidRPr="00AF16D8" w:rsidRDefault="000D44A5" w:rsidP="00900242">
      <w:pPr>
        <w:rPr>
          <w:highlight w:val="yellow"/>
        </w:rPr>
      </w:pPr>
    </w:p>
    <w:p w:rsidR="000D44A5" w:rsidRPr="008B64BA" w:rsidRDefault="000D44A5" w:rsidP="00900242">
      <w:pPr>
        <w:pStyle w:val="Table"/>
      </w:pPr>
      <w:bookmarkStart w:id="314" w:name="_Ref428802741"/>
      <w:bookmarkStart w:id="315" w:name="_Toc405886988"/>
      <w:bookmarkStart w:id="316" w:name="_Toc412122478"/>
      <w:bookmarkStart w:id="317" w:name="_Toc433389739"/>
      <w:bookmarkStart w:id="318" w:name="_Toc479605816"/>
      <w:bookmarkStart w:id="319" w:name="_Toc485542654"/>
      <w:r w:rsidRPr="008B64BA">
        <w:t xml:space="preserve">Table </w:t>
      </w:r>
      <w:r w:rsidR="00071E85">
        <w:fldChar w:fldCharType="begin"/>
      </w:r>
      <w:r w:rsidR="00071E85">
        <w:instrText xml:space="preserve"> SEQ Table \* ARABIC </w:instrText>
      </w:r>
      <w:r w:rsidR="00071E85">
        <w:fldChar w:fldCharType="separate"/>
      </w:r>
      <w:r w:rsidR="00071E85">
        <w:rPr>
          <w:noProof/>
        </w:rPr>
        <w:t>2</w:t>
      </w:r>
      <w:r w:rsidR="00071E85">
        <w:rPr>
          <w:noProof/>
        </w:rPr>
        <w:fldChar w:fldCharType="end"/>
      </w:r>
      <w:bookmarkEnd w:id="314"/>
      <w:r w:rsidRPr="008B64BA">
        <w:rPr>
          <w:noProof/>
        </w:rPr>
        <w:t>:</w:t>
      </w:r>
      <w:r w:rsidRPr="008B64BA">
        <w:t xml:space="preserve"> Comparison of Lead Maternity Carer types between 2003 and </w:t>
      </w:r>
      <w:bookmarkEnd w:id="315"/>
      <w:bookmarkEnd w:id="316"/>
      <w:r w:rsidRPr="008B64BA">
        <w:t>201</w:t>
      </w:r>
      <w:bookmarkEnd w:id="317"/>
      <w:r w:rsidRPr="008B64BA">
        <w:t>5</w:t>
      </w:r>
      <w:bookmarkEnd w:id="318"/>
      <w:bookmarkEnd w:id="319"/>
    </w:p>
    <w:tbl>
      <w:tblPr>
        <w:tblStyle w:val="TableGrid"/>
        <w:tblW w:w="0" w:type="auto"/>
        <w:tblInd w:w="57" w:type="dxa"/>
        <w:tblLayout w:type="fixed"/>
        <w:tblCellMar>
          <w:left w:w="57" w:type="dxa"/>
          <w:right w:w="57" w:type="dxa"/>
        </w:tblCellMar>
        <w:tblLook w:val="04A0" w:firstRow="1" w:lastRow="0" w:firstColumn="1" w:lastColumn="0" w:noHBand="0" w:noVBand="1"/>
        <w:tblCaption w:val="Table 2: Comparison of Lead Maternity Carer types between 2003 and 2014"/>
      </w:tblPr>
      <w:tblGrid>
        <w:gridCol w:w="2835"/>
        <w:gridCol w:w="1630"/>
        <w:gridCol w:w="1630"/>
        <w:gridCol w:w="1630"/>
        <w:gridCol w:w="1631"/>
      </w:tblGrid>
      <w:tr w:rsidR="000D44A5" w:rsidRPr="00900242" w:rsidTr="00900242">
        <w:trPr>
          <w:cantSplit/>
        </w:trPr>
        <w:tc>
          <w:tcPr>
            <w:tcW w:w="2835" w:type="dxa"/>
            <w:vMerge w:val="restart"/>
            <w:tcBorders>
              <w:left w:val="nil"/>
              <w:right w:val="nil"/>
            </w:tcBorders>
          </w:tcPr>
          <w:p w:rsidR="000D44A5" w:rsidRPr="00900242" w:rsidRDefault="000D44A5" w:rsidP="00900242">
            <w:pPr>
              <w:pStyle w:val="TableText"/>
              <w:rPr>
                <w:b/>
              </w:rPr>
            </w:pPr>
            <w:r w:rsidRPr="00900242">
              <w:rPr>
                <w:b/>
              </w:rPr>
              <w:t>Lead Maternity Carer (LMC) type</w:t>
            </w:r>
          </w:p>
        </w:tc>
        <w:tc>
          <w:tcPr>
            <w:tcW w:w="3260" w:type="dxa"/>
            <w:gridSpan w:val="2"/>
            <w:tcBorders>
              <w:left w:val="nil"/>
              <w:bottom w:val="single" w:sz="4" w:space="0" w:color="A6A6A6" w:themeColor="background1" w:themeShade="A6"/>
              <w:right w:val="nil"/>
            </w:tcBorders>
          </w:tcPr>
          <w:p w:rsidR="000D44A5" w:rsidRPr="00900242" w:rsidRDefault="000D44A5" w:rsidP="00900242">
            <w:pPr>
              <w:pStyle w:val="TableText"/>
              <w:jc w:val="center"/>
              <w:rPr>
                <w:b/>
              </w:rPr>
            </w:pPr>
            <w:r w:rsidRPr="00900242">
              <w:rPr>
                <w:b/>
              </w:rPr>
              <w:t>2003</w:t>
            </w:r>
          </w:p>
        </w:tc>
        <w:tc>
          <w:tcPr>
            <w:tcW w:w="3261" w:type="dxa"/>
            <w:gridSpan w:val="2"/>
            <w:tcBorders>
              <w:left w:val="nil"/>
              <w:bottom w:val="single" w:sz="4" w:space="0" w:color="A6A6A6" w:themeColor="background1" w:themeShade="A6"/>
              <w:right w:val="nil"/>
            </w:tcBorders>
          </w:tcPr>
          <w:p w:rsidR="000D44A5" w:rsidRPr="00900242" w:rsidRDefault="000D44A5" w:rsidP="00900242">
            <w:pPr>
              <w:pStyle w:val="TableText"/>
              <w:jc w:val="center"/>
              <w:rPr>
                <w:b/>
                <w:highlight w:val="yellow"/>
              </w:rPr>
            </w:pPr>
            <w:r w:rsidRPr="00900242">
              <w:rPr>
                <w:b/>
              </w:rPr>
              <w:t>2015</w:t>
            </w:r>
          </w:p>
        </w:tc>
      </w:tr>
      <w:tr w:rsidR="000D44A5" w:rsidRPr="00900242" w:rsidTr="00900242">
        <w:trPr>
          <w:cantSplit/>
        </w:trPr>
        <w:tc>
          <w:tcPr>
            <w:tcW w:w="2835" w:type="dxa"/>
            <w:vMerge/>
            <w:tcBorders>
              <w:left w:val="nil"/>
              <w:right w:val="nil"/>
            </w:tcBorders>
          </w:tcPr>
          <w:p w:rsidR="000D44A5" w:rsidRPr="00900242" w:rsidRDefault="000D44A5" w:rsidP="00900242">
            <w:pPr>
              <w:pStyle w:val="TableText"/>
              <w:rPr>
                <w:b/>
              </w:rPr>
            </w:pPr>
          </w:p>
        </w:tc>
        <w:tc>
          <w:tcPr>
            <w:tcW w:w="1630" w:type="dxa"/>
            <w:tcBorders>
              <w:top w:val="single" w:sz="4" w:space="0" w:color="A6A6A6" w:themeColor="background1" w:themeShade="A6"/>
              <w:left w:val="nil"/>
              <w:right w:val="nil"/>
            </w:tcBorders>
          </w:tcPr>
          <w:p w:rsidR="000D44A5" w:rsidRPr="00900242" w:rsidRDefault="000D44A5" w:rsidP="00900242">
            <w:pPr>
              <w:pStyle w:val="TableText"/>
              <w:jc w:val="center"/>
              <w:rPr>
                <w:b/>
              </w:rPr>
            </w:pPr>
            <w:r w:rsidRPr="00900242">
              <w:rPr>
                <w:b/>
              </w:rPr>
              <w:t>Number</w:t>
            </w:r>
          </w:p>
        </w:tc>
        <w:tc>
          <w:tcPr>
            <w:tcW w:w="1630" w:type="dxa"/>
            <w:tcBorders>
              <w:top w:val="single" w:sz="4" w:space="0" w:color="A6A6A6" w:themeColor="background1" w:themeShade="A6"/>
              <w:left w:val="nil"/>
              <w:right w:val="nil"/>
            </w:tcBorders>
          </w:tcPr>
          <w:p w:rsidR="000D44A5" w:rsidRPr="00900242" w:rsidRDefault="000D44A5" w:rsidP="00900242">
            <w:pPr>
              <w:pStyle w:val="TableText"/>
              <w:jc w:val="center"/>
              <w:rPr>
                <w:b/>
              </w:rPr>
            </w:pPr>
            <w:r w:rsidRPr="00900242">
              <w:rPr>
                <w:b/>
              </w:rPr>
              <w:t>Percentage</w:t>
            </w:r>
          </w:p>
        </w:tc>
        <w:tc>
          <w:tcPr>
            <w:tcW w:w="1630" w:type="dxa"/>
            <w:tcBorders>
              <w:top w:val="single" w:sz="4" w:space="0" w:color="A6A6A6" w:themeColor="background1" w:themeShade="A6"/>
              <w:left w:val="nil"/>
              <w:right w:val="nil"/>
            </w:tcBorders>
          </w:tcPr>
          <w:p w:rsidR="000D44A5" w:rsidRPr="00900242" w:rsidRDefault="000D44A5" w:rsidP="00900242">
            <w:pPr>
              <w:pStyle w:val="TableText"/>
              <w:jc w:val="center"/>
              <w:rPr>
                <w:b/>
              </w:rPr>
            </w:pPr>
            <w:r w:rsidRPr="00900242">
              <w:rPr>
                <w:b/>
              </w:rPr>
              <w:t>Number</w:t>
            </w:r>
          </w:p>
        </w:tc>
        <w:tc>
          <w:tcPr>
            <w:tcW w:w="1631" w:type="dxa"/>
            <w:tcBorders>
              <w:top w:val="single" w:sz="4" w:space="0" w:color="A6A6A6" w:themeColor="background1" w:themeShade="A6"/>
              <w:left w:val="nil"/>
              <w:right w:val="nil"/>
            </w:tcBorders>
          </w:tcPr>
          <w:p w:rsidR="000D44A5" w:rsidRPr="00900242" w:rsidRDefault="000D44A5" w:rsidP="00900242">
            <w:pPr>
              <w:pStyle w:val="TableText"/>
              <w:jc w:val="center"/>
              <w:rPr>
                <w:b/>
              </w:rPr>
            </w:pPr>
            <w:r w:rsidRPr="00900242">
              <w:rPr>
                <w:b/>
              </w:rPr>
              <w:t>Percentage</w:t>
            </w:r>
          </w:p>
        </w:tc>
      </w:tr>
      <w:tr w:rsidR="000D44A5" w:rsidRPr="00AF16D8" w:rsidTr="00900242">
        <w:trPr>
          <w:cantSplit/>
        </w:trPr>
        <w:tc>
          <w:tcPr>
            <w:tcW w:w="2835" w:type="dxa"/>
            <w:tcBorders>
              <w:left w:val="nil"/>
              <w:bottom w:val="single" w:sz="4" w:space="0" w:color="A6A6A6" w:themeColor="background1" w:themeShade="A6"/>
              <w:right w:val="nil"/>
            </w:tcBorders>
          </w:tcPr>
          <w:p w:rsidR="000D44A5" w:rsidRPr="009F3B3D" w:rsidRDefault="000D44A5" w:rsidP="00900242">
            <w:pPr>
              <w:pStyle w:val="TableText"/>
            </w:pPr>
            <w:r w:rsidRPr="009F3B3D">
              <w:t>Registered with LMC</w:t>
            </w:r>
          </w:p>
        </w:tc>
        <w:tc>
          <w:tcPr>
            <w:tcW w:w="1630" w:type="dxa"/>
            <w:tcBorders>
              <w:left w:val="nil"/>
              <w:bottom w:val="single" w:sz="4" w:space="0" w:color="A6A6A6" w:themeColor="background1" w:themeShade="A6"/>
              <w:right w:val="nil"/>
            </w:tcBorders>
          </w:tcPr>
          <w:p w:rsidR="000D44A5" w:rsidRPr="009F3B3D" w:rsidRDefault="000D44A5" w:rsidP="00900242">
            <w:pPr>
              <w:pStyle w:val="TableText"/>
              <w:tabs>
                <w:tab w:val="decimal" w:pos="996"/>
              </w:tabs>
            </w:pPr>
            <w:r w:rsidRPr="009F3B3D">
              <w:t>42,906</w:t>
            </w:r>
          </w:p>
        </w:tc>
        <w:tc>
          <w:tcPr>
            <w:tcW w:w="1630" w:type="dxa"/>
            <w:tcBorders>
              <w:left w:val="nil"/>
              <w:bottom w:val="single" w:sz="4" w:space="0" w:color="A6A6A6" w:themeColor="background1" w:themeShade="A6"/>
              <w:right w:val="nil"/>
            </w:tcBorders>
          </w:tcPr>
          <w:p w:rsidR="000D44A5" w:rsidRPr="009F3B3D" w:rsidRDefault="000D44A5" w:rsidP="00900242">
            <w:pPr>
              <w:pStyle w:val="TableText"/>
              <w:tabs>
                <w:tab w:val="decimal" w:pos="740"/>
              </w:tabs>
            </w:pPr>
            <w:r w:rsidRPr="009F3B3D">
              <w:t>77.7</w:t>
            </w:r>
          </w:p>
        </w:tc>
        <w:tc>
          <w:tcPr>
            <w:tcW w:w="1630" w:type="dxa"/>
            <w:tcBorders>
              <w:left w:val="nil"/>
              <w:bottom w:val="single" w:sz="4" w:space="0" w:color="A6A6A6" w:themeColor="background1" w:themeShade="A6"/>
              <w:right w:val="nil"/>
            </w:tcBorders>
          </w:tcPr>
          <w:p w:rsidR="000D44A5" w:rsidRPr="008B64BA" w:rsidRDefault="000D44A5" w:rsidP="00900242">
            <w:pPr>
              <w:pStyle w:val="TableText"/>
              <w:tabs>
                <w:tab w:val="decimal" w:pos="1048"/>
              </w:tabs>
            </w:pPr>
            <w:r w:rsidRPr="008B64BA">
              <w:t>54,</w:t>
            </w:r>
            <w:r>
              <w:t>386</w:t>
            </w:r>
          </w:p>
        </w:tc>
        <w:tc>
          <w:tcPr>
            <w:tcW w:w="1631" w:type="dxa"/>
            <w:tcBorders>
              <w:left w:val="nil"/>
              <w:bottom w:val="single" w:sz="4" w:space="0" w:color="A6A6A6" w:themeColor="background1" w:themeShade="A6"/>
              <w:right w:val="nil"/>
            </w:tcBorders>
          </w:tcPr>
          <w:p w:rsidR="000D44A5" w:rsidRPr="008B64BA" w:rsidRDefault="000D44A5" w:rsidP="00900242">
            <w:pPr>
              <w:pStyle w:val="TableText"/>
              <w:tabs>
                <w:tab w:val="decimal" w:pos="766"/>
              </w:tabs>
            </w:pPr>
            <w:r w:rsidRPr="008B64BA">
              <w:t>92.2</w:t>
            </w:r>
          </w:p>
        </w:tc>
      </w:tr>
      <w:tr w:rsidR="000D44A5" w:rsidRPr="00AF16D8" w:rsidTr="00900242">
        <w:trPr>
          <w:cantSplit/>
        </w:trPr>
        <w:tc>
          <w:tcPr>
            <w:tcW w:w="2835"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pPr>
            <w:r w:rsidRPr="009F3B3D">
              <w:t>Midwife</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tabs>
                <w:tab w:val="decimal" w:pos="996"/>
              </w:tabs>
            </w:pPr>
            <w:r w:rsidRPr="009F3B3D">
              <w:t>33,531</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tabs>
                <w:tab w:val="decimal" w:pos="740"/>
              </w:tabs>
            </w:pPr>
            <w:r w:rsidRPr="009F3B3D">
              <w:t>60.7</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8B64BA" w:rsidRDefault="000D44A5" w:rsidP="00900242">
            <w:pPr>
              <w:pStyle w:val="TableText"/>
              <w:tabs>
                <w:tab w:val="decimal" w:pos="1048"/>
              </w:tabs>
            </w:pPr>
            <w:r w:rsidRPr="008B64BA">
              <w:t>50,931</w:t>
            </w:r>
          </w:p>
        </w:tc>
        <w:tc>
          <w:tcPr>
            <w:tcW w:w="1631" w:type="dxa"/>
            <w:tcBorders>
              <w:top w:val="single" w:sz="4" w:space="0" w:color="A6A6A6" w:themeColor="background1" w:themeShade="A6"/>
              <w:left w:val="nil"/>
              <w:bottom w:val="single" w:sz="4" w:space="0" w:color="A6A6A6" w:themeColor="background1" w:themeShade="A6"/>
              <w:right w:val="nil"/>
            </w:tcBorders>
          </w:tcPr>
          <w:p w:rsidR="000D44A5" w:rsidRPr="008B64BA" w:rsidRDefault="000D44A5" w:rsidP="00900242">
            <w:pPr>
              <w:pStyle w:val="TableText"/>
              <w:tabs>
                <w:tab w:val="decimal" w:pos="766"/>
              </w:tabs>
            </w:pPr>
            <w:r w:rsidRPr="008B64BA">
              <w:t>86.4</w:t>
            </w:r>
          </w:p>
        </w:tc>
      </w:tr>
      <w:tr w:rsidR="000D44A5" w:rsidRPr="00AF16D8" w:rsidTr="00900242">
        <w:trPr>
          <w:cantSplit/>
        </w:trPr>
        <w:tc>
          <w:tcPr>
            <w:tcW w:w="2835"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pPr>
            <w:r w:rsidRPr="009F3B3D">
              <w:t>Obstetrician</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tabs>
                <w:tab w:val="decimal" w:pos="996"/>
              </w:tabs>
            </w:pPr>
            <w:r w:rsidRPr="009F3B3D">
              <w:t>3</w:t>
            </w:r>
            <w:r w:rsidR="00900242">
              <w:t>,</w:t>
            </w:r>
            <w:r w:rsidRPr="009F3B3D">
              <w:t>342</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tabs>
                <w:tab w:val="decimal" w:pos="740"/>
              </w:tabs>
            </w:pPr>
            <w:r w:rsidRPr="009F3B3D">
              <w:t>6.1</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8B64BA" w:rsidRDefault="000D44A5" w:rsidP="00900242">
            <w:pPr>
              <w:pStyle w:val="TableText"/>
              <w:tabs>
                <w:tab w:val="decimal" w:pos="1048"/>
              </w:tabs>
            </w:pPr>
            <w:r w:rsidRPr="008B64BA">
              <w:t>3</w:t>
            </w:r>
            <w:r w:rsidR="00900242">
              <w:t>,</w:t>
            </w:r>
            <w:r w:rsidRPr="008B64BA">
              <w:t>225</w:t>
            </w:r>
          </w:p>
        </w:tc>
        <w:tc>
          <w:tcPr>
            <w:tcW w:w="1631" w:type="dxa"/>
            <w:tcBorders>
              <w:top w:val="single" w:sz="4" w:space="0" w:color="A6A6A6" w:themeColor="background1" w:themeShade="A6"/>
              <w:left w:val="nil"/>
              <w:bottom w:val="single" w:sz="4" w:space="0" w:color="A6A6A6" w:themeColor="background1" w:themeShade="A6"/>
              <w:right w:val="nil"/>
            </w:tcBorders>
          </w:tcPr>
          <w:p w:rsidR="000D44A5" w:rsidRPr="008B64BA" w:rsidRDefault="000D44A5" w:rsidP="00900242">
            <w:pPr>
              <w:pStyle w:val="TableText"/>
              <w:tabs>
                <w:tab w:val="decimal" w:pos="766"/>
              </w:tabs>
            </w:pPr>
            <w:r w:rsidRPr="008B64BA">
              <w:t>5.5</w:t>
            </w:r>
          </w:p>
        </w:tc>
      </w:tr>
      <w:tr w:rsidR="000D44A5" w:rsidRPr="00AF16D8" w:rsidTr="00900242">
        <w:trPr>
          <w:cantSplit/>
        </w:trPr>
        <w:tc>
          <w:tcPr>
            <w:tcW w:w="2835"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pPr>
            <w:r w:rsidRPr="009F3B3D">
              <w:t>General practitioner</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tabs>
                <w:tab w:val="decimal" w:pos="996"/>
              </w:tabs>
            </w:pPr>
            <w:r>
              <w:t>3</w:t>
            </w:r>
            <w:r w:rsidR="00900242">
              <w:t>,</w:t>
            </w:r>
            <w:r w:rsidRPr="009F3B3D">
              <w:t>376</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tabs>
                <w:tab w:val="decimal" w:pos="740"/>
              </w:tabs>
            </w:pPr>
            <w:r w:rsidRPr="009F3B3D">
              <w:t>6.1</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8B64BA" w:rsidRDefault="000D44A5" w:rsidP="00900242">
            <w:pPr>
              <w:pStyle w:val="TableText"/>
              <w:tabs>
                <w:tab w:val="decimal" w:pos="1048"/>
              </w:tabs>
            </w:pPr>
            <w:r w:rsidRPr="008B64BA">
              <w:t>179</w:t>
            </w:r>
          </w:p>
        </w:tc>
        <w:tc>
          <w:tcPr>
            <w:tcW w:w="1631" w:type="dxa"/>
            <w:tcBorders>
              <w:top w:val="single" w:sz="4" w:space="0" w:color="A6A6A6" w:themeColor="background1" w:themeShade="A6"/>
              <w:left w:val="nil"/>
              <w:bottom w:val="single" w:sz="4" w:space="0" w:color="A6A6A6" w:themeColor="background1" w:themeShade="A6"/>
              <w:right w:val="nil"/>
            </w:tcBorders>
          </w:tcPr>
          <w:p w:rsidR="000D44A5" w:rsidRPr="008B64BA" w:rsidRDefault="000D44A5" w:rsidP="00900242">
            <w:pPr>
              <w:pStyle w:val="TableText"/>
              <w:tabs>
                <w:tab w:val="decimal" w:pos="766"/>
              </w:tabs>
            </w:pPr>
            <w:r w:rsidRPr="008B64BA">
              <w:t>0.3</w:t>
            </w:r>
          </w:p>
        </w:tc>
      </w:tr>
      <w:tr w:rsidR="000D44A5" w:rsidRPr="00AF16D8" w:rsidTr="00900242">
        <w:trPr>
          <w:cantSplit/>
        </w:trPr>
        <w:tc>
          <w:tcPr>
            <w:tcW w:w="2835"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pPr>
            <w:r w:rsidRPr="009F3B3D">
              <w:t>Other/unknown</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tabs>
                <w:tab w:val="decimal" w:pos="996"/>
              </w:tabs>
            </w:pPr>
            <w:r>
              <w:t>2</w:t>
            </w:r>
            <w:r w:rsidR="00900242">
              <w:t>,</w:t>
            </w:r>
            <w:r w:rsidRPr="009F3B3D">
              <w:t>657</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9F3B3D" w:rsidRDefault="000D44A5" w:rsidP="00900242">
            <w:pPr>
              <w:pStyle w:val="TableText"/>
              <w:tabs>
                <w:tab w:val="decimal" w:pos="740"/>
              </w:tabs>
            </w:pPr>
            <w:r w:rsidRPr="009F3B3D">
              <w:t>4.8</w:t>
            </w:r>
          </w:p>
        </w:tc>
        <w:tc>
          <w:tcPr>
            <w:tcW w:w="1630" w:type="dxa"/>
            <w:tcBorders>
              <w:top w:val="single" w:sz="4" w:space="0" w:color="A6A6A6" w:themeColor="background1" w:themeShade="A6"/>
              <w:left w:val="nil"/>
              <w:bottom w:val="single" w:sz="4" w:space="0" w:color="A6A6A6" w:themeColor="background1" w:themeShade="A6"/>
              <w:right w:val="nil"/>
            </w:tcBorders>
          </w:tcPr>
          <w:p w:rsidR="000D44A5" w:rsidRPr="00B62B89" w:rsidRDefault="000D44A5" w:rsidP="00900242">
            <w:pPr>
              <w:pStyle w:val="TableText"/>
              <w:tabs>
                <w:tab w:val="decimal" w:pos="1048"/>
              </w:tabs>
            </w:pPr>
            <w:r w:rsidRPr="00B62B89">
              <w:t>51</w:t>
            </w:r>
          </w:p>
        </w:tc>
        <w:tc>
          <w:tcPr>
            <w:tcW w:w="1631" w:type="dxa"/>
            <w:tcBorders>
              <w:top w:val="single" w:sz="4" w:space="0" w:color="A6A6A6" w:themeColor="background1" w:themeShade="A6"/>
              <w:left w:val="nil"/>
              <w:bottom w:val="single" w:sz="4" w:space="0" w:color="A6A6A6" w:themeColor="background1" w:themeShade="A6"/>
              <w:right w:val="nil"/>
            </w:tcBorders>
          </w:tcPr>
          <w:p w:rsidR="000D44A5" w:rsidRPr="00B62B89" w:rsidRDefault="000D44A5" w:rsidP="00900242">
            <w:pPr>
              <w:pStyle w:val="TableText"/>
              <w:tabs>
                <w:tab w:val="decimal" w:pos="766"/>
              </w:tabs>
            </w:pPr>
            <w:r w:rsidRPr="00B62B89">
              <w:t>0.1</w:t>
            </w:r>
          </w:p>
        </w:tc>
      </w:tr>
      <w:tr w:rsidR="000D44A5" w:rsidRPr="00AF16D8" w:rsidTr="00900242">
        <w:trPr>
          <w:cantSplit/>
        </w:trPr>
        <w:tc>
          <w:tcPr>
            <w:tcW w:w="2835" w:type="dxa"/>
            <w:tcBorders>
              <w:top w:val="single" w:sz="4" w:space="0" w:color="A6A6A6" w:themeColor="background1" w:themeShade="A6"/>
              <w:left w:val="nil"/>
              <w:bottom w:val="single" w:sz="4" w:space="0" w:color="auto"/>
              <w:right w:val="nil"/>
            </w:tcBorders>
          </w:tcPr>
          <w:p w:rsidR="000D44A5" w:rsidRPr="009F3B3D" w:rsidRDefault="000D44A5" w:rsidP="00900242">
            <w:pPr>
              <w:pStyle w:val="TableText"/>
            </w:pPr>
            <w:r w:rsidRPr="009F3B3D">
              <w:t>Not registered with LMC</w:t>
            </w:r>
          </w:p>
        </w:tc>
        <w:tc>
          <w:tcPr>
            <w:tcW w:w="1630" w:type="dxa"/>
            <w:tcBorders>
              <w:top w:val="single" w:sz="4" w:space="0" w:color="A6A6A6" w:themeColor="background1" w:themeShade="A6"/>
              <w:left w:val="nil"/>
              <w:bottom w:val="single" w:sz="4" w:space="0" w:color="auto"/>
              <w:right w:val="nil"/>
            </w:tcBorders>
          </w:tcPr>
          <w:p w:rsidR="000D44A5" w:rsidRPr="009F3B3D" w:rsidRDefault="000D44A5" w:rsidP="00900242">
            <w:pPr>
              <w:pStyle w:val="TableText"/>
              <w:tabs>
                <w:tab w:val="decimal" w:pos="996"/>
              </w:tabs>
            </w:pPr>
            <w:r w:rsidRPr="009F3B3D">
              <w:t>12,306</w:t>
            </w:r>
          </w:p>
        </w:tc>
        <w:tc>
          <w:tcPr>
            <w:tcW w:w="1630" w:type="dxa"/>
            <w:tcBorders>
              <w:top w:val="single" w:sz="4" w:space="0" w:color="A6A6A6" w:themeColor="background1" w:themeShade="A6"/>
              <w:left w:val="nil"/>
              <w:bottom w:val="single" w:sz="4" w:space="0" w:color="auto"/>
              <w:right w:val="nil"/>
            </w:tcBorders>
          </w:tcPr>
          <w:p w:rsidR="000D44A5" w:rsidRPr="009F3B3D" w:rsidRDefault="000D44A5" w:rsidP="00900242">
            <w:pPr>
              <w:pStyle w:val="TableText"/>
              <w:tabs>
                <w:tab w:val="decimal" w:pos="740"/>
              </w:tabs>
            </w:pPr>
            <w:r w:rsidRPr="009F3B3D">
              <w:t>22.3</w:t>
            </w:r>
          </w:p>
        </w:tc>
        <w:tc>
          <w:tcPr>
            <w:tcW w:w="1630" w:type="dxa"/>
            <w:tcBorders>
              <w:top w:val="single" w:sz="4" w:space="0" w:color="A6A6A6" w:themeColor="background1" w:themeShade="A6"/>
              <w:left w:val="nil"/>
              <w:bottom w:val="single" w:sz="4" w:space="0" w:color="auto"/>
              <w:right w:val="nil"/>
            </w:tcBorders>
          </w:tcPr>
          <w:p w:rsidR="000D44A5" w:rsidRPr="009F3B3D" w:rsidRDefault="000D44A5" w:rsidP="00900242">
            <w:pPr>
              <w:pStyle w:val="TableText"/>
              <w:tabs>
                <w:tab w:val="decimal" w:pos="1048"/>
              </w:tabs>
            </w:pPr>
            <w:r w:rsidRPr="009F3B3D">
              <w:t>4</w:t>
            </w:r>
            <w:r w:rsidR="00900242">
              <w:t>,</w:t>
            </w:r>
            <w:r w:rsidRPr="009F3B3D">
              <w:t>571</w:t>
            </w:r>
          </w:p>
        </w:tc>
        <w:tc>
          <w:tcPr>
            <w:tcW w:w="1631" w:type="dxa"/>
            <w:tcBorders>
              <w:top w:val="single" w:sz="4" w:space="0" w:color="A6A6A6" w:themeColor="background1" w:themeShade="A6"/>
              <w:left w:val="nil"/>
              <w:bottom w:val="single" w:sz="4" w:space="0" w:color="auto"/>
              <w:right w:val="nil"/>
            </w:tcBorders>
          </w:tcPr>
          <w:p w:rsidR="000D44A5" w:rsidRPr="009F3B3D" w:rsidRDefault="000D44A5" w:rsidP="00900242">
            <w:pPr>
              <w:pStyle w:val="TableText"/>
              <w:tabs>
                <w:tab w:val="decimal" w:pos="766"/>
              </w:tabs>
            </w:pPr>
            <w:r w:rsidRPr="009F3B3D">
              <w:t>7.8</w:t>
            </w:r>
          </w:p>
        </w:tc>
      </w:tr>
      <w:tr w:rsidR="000D44A5" w:rsidRPr="00900242" w:rsidTr="00900242">
        <w:trPr>
          <w:cantSplit/>
        </w:trPr>
        <w:tc>
          <w:tcPr>
            <w:tcW w:w="2835" w:type="dxa"/>
            <w:tcBorders>
              <w:top w:val="single" w:sz="4" w:space="0" w:color="auto"/>
              <w:left w:val="nil"/>
              <w:right w:val="nil"/>
            </w:tcBorders>
          </w:tcPr>
          <w:p w:rsidR="000D44A5" w:rsidRPr="00900242" w:rsidRDefault="000D44A5" w:rsidP="00900242">
            <w:pPr>
              <w:pStyle w:val="TableText"/>
              <w:rPr>
                <w:b/>
              </w:rPr>
            </w:pPr>
            <w:r w:rsidRPr="00900242">
              <w:rPr>
                <w:b/>
              </w:rPr>
              <w:t>Total</w:t>
            </w:r>
          </w:p>
        </w:tc>
        <w:tc>
          <w:tcPr>
            <w:tcW w:w="1630" w:type="dxa"/>
            <w:tcBorders>
              <w:top w:val="single" w:sz="4" w:space="0" w:color="auto"/>
              <w:left w:val="nil"/>
              <w:right w:val="nil"/>
            </w:tcBorders>
          </w:tcPr>
          <w:p w:rsidR="000D44A5" w:rsidRPr="00900242" w:rsidRDefault="000D44A5" w:rsidP="00900242">
            <w:pPr>
              <w:pStyle w:val="TableText"/>
              <w:tabs>
                <w:tab w:val="decimal" w:pos="996"/>
              </w:tabs>
              <w:rPr>
                <w:b/>
              </w:rPr>
            </w:pPr>
            <w:r w:rsidRPr="00900242">
              <w:rPr>
                <w:b/>
              </w:rPr>
              <w:t>55,212</w:t>
            </w:r>
          </w:p>
        </w:tc>
        <w:tc>
          <w:tcPr>
            <w:tcW w:w="1630" w:type="dxa"/>
            <w:tcBorders>
              <w:top w:val="single" w:sz="4" w:space="0" w:color="auto"/>
              <w:left w:val="nil"/>
              <w:right w:val="nil"/>
            </w:tcBorders>
          </w:tcPr>
          <w:p w:rsidR="000D44A5" w:rsidRPr="00900242" w:rsidRDefault="000D44A5" w:rsidP="00900242">
            <w:pPr>
              <w:pStyle w:val="TableText"/>
              <w:tabs>
                <w:tab w:val="decimal" w:pos="740"/>
              </w:tabs>
              <w:rPr>
                <w:b/>
              </w:rPr>
            </w:pPr>
            <w:r w:rsidRPr="00900242">
              <w:rPr>
                <w:b/>
              </w:rPr>
              <w:t>100.0</w:t>
            </w:r>
          </w:p>
        </w:tc>
        <w:tc>
          <w:tcPr>
            <w:tcW w:w="1630" w:type="dxa"/>
            <w:tcBorders>
              <w:top w:val="single" w:sz="4" w:space="0" w:color="auto"/>
              <w:left w:val="nil"/>
              <w:right w:val="nil"/>
            </w:tcBorders>
          </w:tcPr>
          <w:p w:rsidR="000D44A5" w:rsidRPr="00900242" w:rsidRDefault="000D44A5" w:rsidP="00900242">
            <w:pPr>
              <w:pStyle w:val="TableText"/>
              <w:tabs>
                <w:tab w:val="decimal" w:pos="1048"/>
              </w:tabs>
              <w:rPr>
                <w:b/>
              </w:rPr>
            </w:pPr>
            <w:r w:rsidRPr="00900242">
              <w:rPr>
                <w:b/>
              </w:rPr>
              <w:t>58,957</w:t>
            </w:r>
          </w:p>
        </w:tc>
        <w:tc>
          <w:tcPr>
            <w:tcW w:w="1631" w:type="dxa"/>
            <w:tcBorders>
              <w:top w:val="single" w:sz="4" w:space="0" w:color="auto"/>
              <w:left w:val="nil"/>
              <w:right w:val="nil"/>
            </w:tcBorders>
          </w:tcPr>
          <w:p w:rsidR="000D44A5" w:rsidRPr="00900242" w:rsidRDefault="000D44A5" w:rsidP="00900242">
            <w:pPr>
              <w:pStyle w:val="TableText"/>
              <w:tabs>
                <w:tab w:val="decimal" w:pos="766"/>
              </w:tabs>
              <w:rPr>
                <w:b/>
              </w:rPr>
            </w:pPr>
            <w:r w:rsidRPr="00900242">
              <w:rPr>
                <w:b/>
              </w:rPr>
              <w:t>100.0</w:t>
            </w:r>
          </w:p>
        </w:tc>
      </w:tr>
    </w:tbl>
    <w:p w:rsidR="00CB6D20" w:rsidRDefault="000D44A5" w:rsidP="00900242">
      <w:pPr>
        <w:pStyle w:val="Source"/>
      </w:pPr>
      <w:r w:rsidRPr="00401D84">
        <w:t>Sources:</w:t>
      </w:r>
    </w:p>
    <w:p w:rsidR="000D44A5" w:rsidRPr="00401D84" w:rsidRDefault="000D44A5" w:rsidP="00900242">
      <w:pPr>
        <w:pStyle w:val="Source"/>
      </w:pPr>
      <w:r w:rsidRPr="00401D84">
        <w:t>2003 data: Report on Maternity: Maternal and Newborn Information 2003 (Ministry of Health 2006)</w:t>
      </w:r>
    </w:p>
    <w:p w:rsidR="000D44A5" w:rsidRDefault="000D44A5" w:rsidP="00900242">
      <w:pPr>
        <w:pStyle w:val="Source"/>
      </w:pPr>
      <w:r w:rsidRPr="00401D84">
        <w:t>2015 data: National Maternity Collection</w:t>
      </w:r>
    </w:p>
    <w:p w:rsidR="000D44A5" w:rsidRPr="003F30AE" w:rsidRDefault="000D44A5" w:rsidP="00900242"/>
    <w:p w:rsidR="000D44A5" w:rsidRPr="00AF16D8" w:rsidRDefault="000D44A5" w:rsidP="00900242">
      <w:pPr>
        <w:pStyle w:val="Heading3"/>
        <w:rPr>
          <w:highlight w:val="yellow"/>
        </w:rPr>
      </w:pPr>
      <w:bookmarkStart w:id="320" w:name="_Toc405887010"/>
      <w:bookmarkStart w:id="321" w:name="_Ref409532078"/>
      <w:bookmarkStart w:id="322" w:name="_Toc412122404"/>
      <w:r w:rsidRPr="004C69AF">
        <w:lastRenderedPageBreak/>
        <w:t>Registration with DHB primary maternity services</w:t>
      </w:r>
    </w:p>
    <w:p w:rsidR="000D44A5" w:rsidRPr="00AA1850" w:rsidRDefault="000D44A5" w:rsidP="00900242">
      <w:pPr>
        <w:keepLines/>
      </w:pPr>
      <w:r w:rsidRPr="00AA1850">
        <w:t>In 2015, seven DHBs reported having a total of 2153 women registered with their primary maternity services</w:t>
      </w:r>
      <w:r>
        <w:t>, 3.7% of all women giving birth</w:t>
      </w:r>
      <w:r w:rsidRPr="00AA1850">
        <w:t xml:space="preserve">. These DHBs were Northland, Waitemata, Auckland, </w:t>
      </w:r>
      <w:r w:rsidRPr="00763ADC">
        <w:t>Counties Manukau, Hawke</w:t>
      </w:r>
      <w:r w:rsidR="00CB6D20">
        <w:t>’</w:t>
      </w:r>
      <w:r w:rsidRPr="00763ADC">
        <w:t>s Bay, Hutt Valley and Capital &amp; Coast. The majority of women (89.0%) who registered with a DHB primary maternity service resided in the Auckland region.</w:t>
      </w:r>
    </w:p>
    <w:p w:rsidR="000D44A5" w:rsidRPr="00AF16D8" w:rsidRDefault="000D44A5" w:rsidP="00900242">
      <w:pPr>
        <w:rPr>
          <w:highlight w:val="yellow"/>
        </w:rPr>
      </w:pPr>
    </w:p>
    <w:p w:rsidR="000D44A5" w:rsidRPr="006B392E" w:rsidRDefault="000D44A5" w:rsidP="00900242">
      <w:r>
        <w:t>First r</w:t>
      </w:r>
      <w:r w:rsidRPr="006B392E">
        <w:t>egistration with a DHB primary maternity service was more common among:</w:t>
      </w:r>
    </w:p>
    <w:p w:rsidR="000D44A5" w:rsidRPr="006B392E" w:rsidRDefault="000D44A5" w:rsidP="00900242">
      <w:pPr>
        <w:pStyle w:val="Bullet"/>
      </w:pPr>
      <w:r w:rsidRPr="006B392E">
        <w:t>women in the 40 years and over age group (5.2%)</w:t>
      </w:r>
    </w:p>
    <w:p w:rsidR="000D44A5" w:rsidRPr="006B392E" w:rsidRDefault="000D44A5" w:rsidP="00900242">
      <w:pPr>
        <w:pStyle w:val="Bullet"/>
      </w:pPr>
      <w:r w:rsidRPr="006B392E">
        <w:t>Pacific and Indian women (10.0% and 8.9%, respectively)</w:t>
      </w:r>
    </w:p>
    <w:p w:rsidR="000D44A5" w:rsidRPr="006B392E" w:rsidRDefault="000D44A5" w:rsidP="00900242">
      <w:pPr>
        <w:pStyle w:val="Bullet"/>
      </w:pPr>
      <w:r w:rsidRPr="006B392E">
        <w:t>women in the most deprived neighbourhoods (5.8% of women in quintile 5).</w:t>
      </w:r>
    </w:p>
    <w:p w:rsidR="000D44A5" w:rsidRPr="006B392E" w:rsidRDefault="000D44A5" w:rsidP="00900242"/>
    <w:p w:rsidR="000D44A5" w:rsidRPr="006B392E" w:rsidRDefault="000D44A5" w:rsidP="00900242">
      <w:r w:rsidRPr="006B392E">
        <w:fldChar w:fldCharType="begin"/>
      </w:r>
      <w:r w:rsidRPr="006B392E">
        <w:instrText xml:space="preserve"> REF _Ref429395956 \h  \* MERGEFORMAT </w:instrText>
      </w:r>
      <w:r w:rsidRPr="006B392E">
        <w:fldChar w:fldCharType="separate"/>
      </w:r>
      <w:r w:rsidR="00071E85" w:rsidRPr="004C69AF">
        <w:t xml:space="preserve">Figure </w:t>
      </w:r>
      <w:r w:rsidR="00071E85">
        <w:rPr>
          <w:noProof/>
        </w:rPr>
        <w:t>29</w:t>
      </w:r>
      <w:r w:rsidRPr="006B392E">
        <w:fldChar w:fldCharType="end"/>
      </w:r>
      <w:r w:rsidRPr="006B392E">
        <w:t xml:space="preserve"> shows the percentage of women giving birth who were registered with a DHB primary maternity service in 2015.</w:t>
      </w:r>
    </w:p>
    <w:p w:rsidR="000D44A5" w:rsidRPr="00AF16D8" w:rsidRDefault="000D44A5" w:rsidP="00900242">
      <w:pPr>
        <w:rPr>
          <w:highlight w:val="yellow"/>
        </w:rPr>
      </w:pPr>
    </w:p>
    <w:p w:rsidR="000D44A5" w:rsidRPr="006B392E" w:rsidRDefault="000D44A5" w:rsidP="00900242">
      <w:r w:rsidRPr="006B392E">
        <w:t>The vast majority of women who registered to receive care from a DHB primary maternity service instead of an LMC had already given birth at least once before doing so in 2015. Only 58</w:t>
      </w:r>
      <w:r w:rsidR="00900242">
        <w:t> </w:t>
      </w:r>
      <w:r w:rsidRPr="006B392E">
        <w:t xml:space="preserve">women giving birth for the first time in 2015 were </w:t>
      </w:r>
      <w:r>
        <w:t xml:space="preserve">reported to have first </w:t>
      </w:r>
      <w:r w:rsidRPr="006B392E">
        <w:t>registered with a DHB primary maternity service.</w:t>
      </w:r>
    </w:p>
    <w:p w:rsidR="000D44A5" w:rsidRPr="00AF16D8" w:rsidRDefault="000D44A5" w:rsidP="00900242">
      <w:pPr>
        <w:rPr>
          <w:highlight w:val="yellow"/>
        </w:rPr>
      </w:pPr>
    </w:p>
    <w:p w:rsidR="000D44A5" w:rsidRPr="004C69AF" w:rsidRDefault="000D44A5" w:rsidP="00900242">
      <w:pPr>
        <w:pStyle w:val="Figure"/>
      </w:pPr>
      <w:bookmarkStart w:id="323" w:name="_Ref429395956"/>
      <w:bookmarkStart w:id="324" w:name="_Toc433389788"/>
      <w:bookmarkStart w:id="325" w:name="_Toc485114360"/>
      <w:bookmarkStart w:id="326" w:name="_Toc485542696"/>
      <w:r w:rsidRPr="004C69AF">
        <w:t xml:space="preserve">Figure </w:t>
      </w:r>
      <w:r w:rsidR="00071E85">
        <w:fldChar w:fldCharType="begin"/>
      </w:r>
      <w:r w:rsidR="00071E85">
        <w:instrText xml:space="preserve"> SEQ Figure \* ARABIC </w:instrText>
      </w:r>
      <w:r w:rsidR="00071E85">
        <w:fldChar w:fldCharType="separate"/>
      </w:r>
      <w:r w:rsidR="00071E85">
        <w:rPr>
          <w:noProof/>
        </w:rPr>
        <w:t>29</w:t>
      </w:r>
      <w:r w:rsidR="00071E85">
        <w:rPr>
          <w:noProof/>
        </w:rPr>
        <w:fldChar w:fldCharType="end"/>
      </w:r>
      <w:bookmarkEnd w:id="323"/>
      <w:r w:rsidRPr="004C69AF">
        <w:t>: Percentage of women giving birth who were registered with a DHB primary maternity service, 201</w:t>
      </w:r>
      <w:bookmarkEnd w:id="324"/>
      <w:r w:rsidRPr="004C69AF">
        <w:t>5</w:t>
      </w:r>
      <w:bookmarkEnd w:id="325"/>
      <w:bookmarkEnd w:id="326"/>
    </w:p>
    <w:p w:rsidR="000D44A5" w:rsidRPr="004C69AF" w:rsidRDefault="000D44A5" w:rsidP="000D44A5">
      <w:r>
        <w:rPr>
          <w:noProof/>
          <w:lang w:eastAsia="en-NZ"/>
        </w:rPr>
        <w:drawing>
          <wp:inline distT="0" distB="0" distL="0" distR="0" wp14:anchorId="11D6ECE1" wp14:editId="7D4A3B71">
            <wp:extent cx="5193102" cy="3186949"/>
            <wp:effectExtent l="0" t="0" r="7620" b="0"/>
            <wp:docPr id="70" name="Picture 70" title="Figure 29: Percentage of women giving birth who were registered with a DHB primary maternity servi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2804" cy="3192903"/>
                    </a:xfrm>
                    <a:prstGeom prst="rect">
                      <a:avLst/>
                    </a:prstGeom>
                    <a:noFill/>
                  </pic:spPr>
                </pic:pic>
              </a:graphicData>
            </a:graphic>
          </wp:inline>
        </w:drawing>
      </w:r>
    </w:p>
    <w:p w:rsidR="000D44A5" w:rsidRPr="004C69AF" w:rsidRDefault="000D44A5" w:rsidP="00900242">
      <w:pPr>
        <w:pStyle w:val="Note"/>
      </w:pPr>
      <w:r w:rsidRPr="004C69AF">
        <w:t>Note: The denominator used to calculate percentages is the number of women giving birth for that demographic group.</w:t>
      </w:r>
    </w:p>
    <w:p w:rsidR="000D44A5" w:rsidRDefault="000D44A5" w:rsidP="00900242">
      <w:pPr>
        <w:pStyle w:val="Source"/>
      </w:pPr>
      <w:r>
        <w:t>Source: National Maternity Collection</w:t>
      </w:r>
    </w:p>
    <w:p w:rsidR="000D44A5" w:rsidRDefault="000D44A5" w:rsidP="00900242">
      <w:pPr>
        <w:rPr>
          <w:highlight w:val="yellow"/>
        </w:rPr>
      </w:pPr>
    </w:p>
    <w:p w:rsidR="000D44A5" w:rsidRPr="00763ADC" w:rsidRDefault="000D44A5" w:rsidP="00900242">
      <w:pPr>
        <w:pStyle w:val="Heading4"/>
      </w:pPr>
      <w:r w:rsidRPr="00763ADC">
        <w:lastRenderedPageBreak/>
        <w:t>Trimester of registration with DHB primary maternity services</w:t>
      </w:r>
    </w:p>
    <w:p w:rsidR="00CB6D20" w:rsidRDefault="000D44A5" w:rsidP="00900242">
      <w:pPr>
        <w:keepNext/>
      </w:pPr>
      <w:r w:rsidRPr="00763ADC">
        <w:t xml:space="preserve">Of the women </w:t>
      </w:r>
      <w:r>
        <w:t xml:space="preserve">first </w:t>
      </w:r>
      <w:r w:rsidRPr="00763ADC">
        <w:t>registered with a DHB primary maternity service, 29.0% (577) registered within the first trimester of pregnancy (under 13 weeks</w:t>
      </w:r>
      <w:r w:rsidR="00CB6D20">
        <w:t>’</w:t>
      </w:r>
      <w:r w:rsidRPr="00763ADC">
        <w:t xml:space="preserve"> gestation).</w:t>
      </w:r>
    </w:p>
    <w:p w:rsidR="000D44A5" w:rsidRPr="00763ADC" w:rsidRDefault="000D44A5" w:rsidP="00900242">
      <w:pPr>
        <w:keepNext/>
      </w:pPr>
    </w:p>
    <w:p w:rsidR="00CB6D20" w:rsidRDefault="000D44A5" w:rsidP="00900242">
      <w:pPr>
        <w:keepLines/>
      </w:pPr>
      <w:r w:rsidRPr="00763ADC">
        <w:fldChar w:fldCharType="begin"/>
      </w:r>
      <w:r w:rsidRPr="00763ADC">
        <w:instrText xml:space="preserve"> REF _Ref483906293 \h  \* MERGEFORMAT </w:instrText>
      </w:r>
      <w:r w:rsidRPr="00763ADC">
        <w:fldChar w:fldCharType="separate"/>
      </w:r>
      <w:r w:rsidR="00071E85" w:rsidRPr="00763ADC">
        <w:t xml:space="preserve">Figure </w:t>
      </w:r>
      <w:r w:rsidR="00071E85">
        <w:rPr>
          <w:noProof/>
        </w:rPr>
        <w:t>30</w:t>
      </w:r>
      <w:r w:rsidRPr="00763ADC">
        <w:fldChar w:fldCharType="end"/>
      </w:r>
      <w:r w:rsidRPr="00763ADC">
        <w:t xml:space="preserve"> shows the number of women registered with a DHB primary maternity service during the first, second and third trimester of pregnancy, as a proportion of the total number of women giving birth. Note that percentages are based on small numbers and should be interpreted accordingly.</w:t>
      </w:r>
    </w:p>
    <w:p w:rsidR="000D44A5" w:rsidRPr="00763ADC" w:rsidRDefault="000D44A5" w:rsidP="00900242"/>
    <w:p w:rsidR="000D44A5" w:rsidRPr="00763ADC" w:rsidRDefault="000D44A5" w:rsidP="00900242">
      <w:r w:rsidRPr="00763ADC">
        <w:t>Registration with a DHB primary maternity service during the first trimester of pregnancy was more common among:</w:t>
      </w:r>
    </w:p>
    <w:p w:rsidR="000D44A5" w:rsidRPr="00763ADC" w:rsidRDefault="000D44A5" w:rsidP="00900242">
      <w:pPr>
        <w:pStyle w:val="Bullet"/>
      </w:pPr>
      <w:r w:rsidRPr="00763ADC">
        <w:t>older women (1.6% of women aged 40 years and over compared with 0.5% of women aged under 20 years)</w:t>
      </w:r>
    </w:p>
    <w:p w:rsidR="000D44A5" w:rsidRPr="00763ADC" w:rsidRDefault="000D44A5" w:rsidP="00900242">
      <w:pPr>
        <w:pStyle w:val="Bullet"/>
      </w:pPr>
      <w:r w:rsidRPr="00763ADC">
        <w:t>women in the Indian ethnic group (3.0%)</w:t>
      </w:r>
      <w:r>
        <w:t>.</w:t>
      </w:r>
    </w:p>
    <w:p w:rsidR="000D44A5" w:rsidRPr="00763ADC" w:rsidRDefault="000D44A5" w:rsidP="00900242"/>
    <w:p w:rsidR="000D44A5" w:rsidRPr="00763ADC" w:rsidRDefault="000D44A5" w:rsidP="00900242">
      <w:r w:rsidRPr="00763ADC">
        <w:t>The proportion of women registering within the first trimester with a DHB primary maternity service did not show a pattern in relation to neighbourhood deprivation, and ranged from 0.6% to 1.3%.</w:t>
      </w:r>
    </w:p>
    <w:p w:rsidR="000D44A5" w:rsidRPr="00763ADC" w:rsidRDefault="000D44A5" w:rsidP="00900242"/>
    <w:p w:rsidR="000D44A5" w:rsidRPr="00900242" w:rsidRDefault="000D44A5" w:rsidP="00900242">
      <w:pPr>
        <w:pStyle w:val="Figure"/>
      </w:pPr>
      <w:bookmarkStart w:id="327" w:name="_Ref483906293"/>
      <w:bookmarkStart w:id="328" w:name="_Toc485114361"/>
      <w:bookmarkStart w:id="329" w:name="_Toc485542697"/>
      <w:bookmarkStart w:id="330" w:name="_Toc431462728"/>
      <w:r w:rsidRPr="00763ADC">
        <w:t xml:space="preserve">Figure </w:t>
      </w:r>
      <w:r w:rsidR="00071E85">
        <w:fldChar w:fldCharType="begin"/>
      </w:r>
      <w:r w:rsidR="00071E85">
        <w:instrText xml:space="preserve"> SEQ Figure \* ARABIC </w:instrText>
      </w:r>
      <w:r w:rsidR="00071E85">
        <w:fldChar w:fldCharType="separate"/>
      </w:r>
      <w:r w:rsidR="00071E85">
        <w:rPr>
          <w:noProof/>
        </w:rPr>
        <w:t>30</w:t>
      </w:r>
      <w:r w:rsidR="00071E85">
        <w:rPr>
          <w:noProof/>
        </w:rPr>
        <w:fldChar w:fldCharType="end"/>
      </w:r>
      <w:bookmarkEnd w:id="327"/>
      <w:r>
        <w:t>:</w:t>
      </w:r>
      <w:r w:rsidRPr="00763ADC">
        <w:t xml:space="preserve"> Percentage of women giving birth who registered with a DHB primary maternity service prior to birth, by trimester of registration, age group, ethnic group and neighbourhood deprivation quintile, 2015</w:t>
      </w:r>
      <w:bookmarkEnd w:id="328"/>
      <w:bookmarkEnd w:id="329"/>
    </w:p>
    <w:p w:rsidR="000D44A5" w:rsidRPr="00900242" w:rsidRDefault="000D44A5" w:rsidP="000D44A5">
      <w:r w:rsidRPr="00763ADC">
        <w:rPr>
          <w:i/>
          <w:noProof/>
          <w:lang w:eastAsia="en-NZ"/>
        </w:rPr>
        <w:drawing>
          <wp:inline distT="0" distB="0" distL="0" distR="0" wp14:anchorId="23D757BD" wp14:editId="174DA08A">
            <wp:extent cx="4818491" cy="3315962"/>
            <wp:effectExtent l="0" t="0" r="1270" b="0"/>
            <wp:docPr id="16" name="Picture 16" title="Figure 30: Percentage of women giving birth who registered with a DHB primary maternity service prior to birth, by trimester of registration,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4201" cy="3319892"/>
                    </a:xfrm>
                    <a:prstGeom prst="rect">
                      <a:avLst/>
                    </a:prstGeom>
                    <a:noFill/>
                  </pic:spPr>
                </pic:pic>
              </a:graphicData>
            </a:graphic>
          </wp:inline>
        </w:drawing>
      </w:r>
    </w:p>
    <w:p w:rsidR="00CB6D20" w:rsidRDefault="000D44A5" w:rsidP="00900242">
      <w:pPr>
        <w:pStyle w:val="Note"/>
      </w:pPr>
      <w:r w:rsidRPr="00763ADC">
        <w:t>Notes:</w:t>
      </w:r>
    </w:p>
    <w:p w:rsidR="000D44A5" w:rsidRPr="00763ADC" w:rsidRDefault="000D44A5" w:rsidP="00900242">
      <w:pPr>
        <w:pStyle w:val="Note"/>
      </w:pPr>
      <w:r w:rsidRPr="00763ADC">
        <w:t>The denominator used to calculate percentages is the number of women giving birth for that demographic group.</w:t>
      </w:r>
    </w:p>
    <w:p w:rsidR="000D44A5" w:rsidRPr="00763ADC" w:rsidRDefault="000D44A5" w:rsidP="00900242">
      <w:pPr>
        <w:pStyle w:val="Note"/>
      </w:pPr>
      <w:r w:rsidRPr="00763ADC">
        <w:t>No women registered with a DHB primary maternity service postnatally. The trimester of registration was unknown for 166 women (0.3%).</w:t>
      </w:r>
    </w:p>
    <w:p w:rsidR="000D44A5" w:rsidRDefault="000D44A5" w:rsidP="00900242">
      <w:pPr>
        <w:pStyle w:val="Source"/>
      </w:pPr>
      <w:r w:rsidRPr="00763ADC">
        <w:t>Source: National Maternity Collection</w:t>
      </w:r>
    </w:p>
    <w:p w:rsidR="000D44A5" w:rsidRPr="00EB3900" w:rsidRDefault="000D44A5" w:rsidP="00900242">
      <w:pPr>
        <w:rPr>
          <w:highlight w:val="yellow"/>
        </w:rPr>
      </w:pPr>
    </w:p>
    <w:p w:rsidR="000D44A5" w:rsidRPr="004C69AF" w:rsidRDefault="000D44A5" w:rsidP="00900242">
      <w:pPr>
        <w:pStyle w:val="Heading1"/>
      </w:pPr>
      <w:bookmarkStart w:id="331" w:name="_Toc479583266"/>
      <w:bookmarkStart w:id="332" w:name="_Toc485542634"/>
      <w:r w:rsidRPr="004C69AF">
        <w:lastRenderedPageBreak/>
        <w:t>Labour and birth</w:t>
      </w:r>
      <w:bookmarkEnd w:id="320"/>
      <w:bookmarkEnd w:id="321"/>
      <w:bookmarkEnd w:id="322"/>
      <w:bookmarkEnd w:id="330"/>
      <w:bookmarkEnd w:id="331"/>
      <w:bookmarkEnd w:id="332"/>
    </w:p>
    <w:p w:rsidR="000D44A5" w:rsidRPr="00DA58BE" w:rsidRDefault="000D44A5" w:rsidP="00DA58BE">
      <w:r w:rsidRPr="004C69AF">
        <w:t>This chapter describes events relating to labour and birth, covering the type of birth, interventions and place of birth. It contains these sections are: Type of birth; Interventions; Plurality; and Place of birth.</w:t>
      </w:r>
    </w:p>
    <w:p w:rsidR="000D44A5" w:rsidRPr="004C69AF" w:rsidRDefault="000D44A5" w:rsidP="00DA58BE"/>
    <w:p w:rsidR="000D44A5" w:rsidRPr="004C69AF" w:rsidRDefault="000D44A5" w:rsidP="00DA58BE">
      <w:pPr>
        <w:pStyle w:val="Heading2"/>
      </w:pPr>
      <w:bookmarkStart w:id="333" w:name="_Ref405539912"/>
      <w:bookmarkStart w:id="334" w:name="_Toc405887011"/>
      <w:bookmarkStart w:id="335" w:name="_Toc412122405"/>
      <w:bookmarkStart w:id="336" w:name="_Toc431462729"/>
      <w:bookmarkStart w:id="337" w:name="_Toc479583267"/>
      <w:bookmarkStart w:id="338" w:name="_Toc485542635"/>
      <w:r w:rsidRPr="004C69AF">
        <w:t>Type of birth</w:t>
      </w:r>
      <w:bookmarkEnd w:id="333"/>
      <w:bookmarkEnd w:id="334"/>
      <w:bookmarkEnd w:id="335"/>
      <w:bookmarkEnd w:id="336"/>
      <w:bookmarkEnd w:id="337"/>
      <w:bookmarkEnd w:id="338"/>
    </w:p>
    <w:p w:rsidR="000D44A5" w:rsidRPr="004C69AF" w:rsidRDefault="000D44A5" w:rsidP="00DA58BE">
      <w:pPr>
        <w:pStyle w:val="Box"/>
      </w:pPr>
      <w:r w:rsidRPr="004C69AF">
        <w:t>The numbers presented in this section refer to the number of women giving birth, not the number of delivery procedures. A priority system is used to report a</w:t>
      </w:r>
      <w:r>
        <w:t xml:space="preserve"> procedure type for women reported to have</w:t>
      </w:r>
      <w:r w:rsidRPr="004C69AF">
        <w:t xml:space="preserve"> more than one of the delivery procedures described (see the </w:t>
      </w:r>
      <w:r w:rsidR="00CB6D20">
        <w:t>‘</w:t>
      </w:r>
      <w:r w:rsidRPr="004C69AF">
        <w:t>Type of birth</w:t>
      </w:r>
      <w:r w:rsidR="00CB6D20">
        <w:t>’</w:t>
      </w:r>
      <w:r w:rsidRPr="004C69AF">
        <w:t xml:space="preserve"> section in </w:t>
      </w:r>
      <w:r w:rsidR="00CB6D20">
        <w:t>‘</w:t>
      </w:r>
      <w:r w:rsidRPr="004C69AF">
        <w:t>Appendix 3: Technical notes</w:t>
      </w:r>
      <w:r w:rsidR="00CB6D20">
        <w:t>’</w:t>
      </w:r>
      <w:r w:rsidRPr="004C69AF">
        <w:t xml:space="preserve"> for more information). Types of birth have been grouped into the following aggregated categories.</w:t>
      </w:r>
    </w:p>
    <w:p w:rsidR="000D44A5" w:rsidRPr="004C69AF" w:rsidRDefault="000D44A5" w:rsidP="00DA58BE">
      <w:pPr>
        <w:pStyle w:val="Box"/>
      </w:pPr>
      <w:r w:rsidRPr="004C69AF">
        <w:rPr>
          <w:b/>
        </w:rPr>
        <w:t>Spontaneous vaginal birth</w:t>
      </w:r>
      <w:r w:rsidRPr="004C69AF">
        <w:t>: birth of a baby without any obstetric delivery assistance to facilitate delivery; includes spontaneous breech birth (vaginal birth in which the baby</w:t>
      </w:r>
      <w:r w:rsidR="00CB6D20">
        <w:t>’</w:t>
      </w:r>
      <w:r w:rsidRPr="004C69AF">
        <w:t xml:space="preserve">s buttocks or lower limbs precede </w:t>
      </w:r>
      <w:r>
        <w:t>its head). These births may</w:t>
      </w:r>
      <w:r w:rsidRPr="004C69AF">
        <w:t xml:space="preserve"> include</w:t>
      </w:r>
      <w:r>
        <w:t xml:space="preserve"> labour</w:t>
      </w:r>
      <w:r w:rsidRPr="004C69AF">
        <w:t xml:space="preserve"> interventions such as induction or augmentation prior to delivery.</w:t>
      </w:r>
    </w:p>
    <w:p w:rsidR="000D44A5" w:rsidRPr="004C69AF" w:rsidRDefault="000D44A5" w:rsidP="00DA58BE">
      <w:pPr>
        <w:pStyle w:val="Box"/>
      </w:pPr>
      <w:r w:rsidRPr="004C69AF">
        <w:t>Spontaneous vaginal birth is known to provide multiple benefits for the woman and her baby. These benefits are evident at time of birth and have long-term effects for society as a whole. It specifically contributes to the physical and emotional wellbeing of women and babies by:</w:t>
      </w:r>
    </w:p>
    <w:p w:rsidR="000D44A5" w:rsidRPr="004C69AF" w:rsidRDefault="000D44A5" w:rsidP="00DA58BE">
      <w:pPr>
        <w:pStyle w:val="BoxBullet"/>
      </w:pPr>
      <w:r w:rsidRPr="004C69AF">
        <w:t>preparing the baby for birth as a result of mother</w:t>
      </w:r>
      <w:r w:rsidR="00CB6D20">
        <w:t>’</w:t>
      </w:r>
      <w:r w:rsidRPr="004C69AF">
        <w:t>s hormonal response in spontaneous labour</w:t>
      </w:r>
    </w:p>
    <w:p w:rsidR="000D44A5" w:rsidRPr="004C69AF" w:rsidRDefault="000D44A5" w:rsidP="00DA58BE">
      <w:pPr>
        <w:pStyle w:val="BoxBullet"/>
        <w:rPr>
          <w:rFonts w:cs="Georgia"/>
          <w:color w:val="000000"/>
          <w:szCs w:val="22"/>
          <w:lang w:eastAsia="en-NZ"/>
        </w:rPr>
      </w:pPr>
      <w:r w:rsidRPr="004C69AF">
        <w:t>i</w:t>
      </w:r>
      <w:r w:rsidRPr="004C69AF">
        <w:rPr>
          <w:rFonts w:cs="Georgia"/>
          <w:color w:val="000000"/>
          <w:szCs w:val="22"/>
          <w:lang w:eastAsia="en-NZ"/>
        </w:rPr>
        <w:t>nitiating the bonding process through sight, touch and smell, from immediate skin-to-skin contact between mother and baby after birth</w:t>
      </w:r>
    </w:p>
    <w:p w:rsidR="000D44A5" w:rsidRPr="004C69AF" w:rsidRDefault="000D44A5" w:rsidP="00DA58BE">
      <w:pPr>
        <w:pStyle w:val="BoxBullet"/>
      </w:pPr>
      <w:r w:rsidRPr="004C69AF">
        <w:t>reassuring the baby with ongoing attachment to a familiar environment (ie, the mother)</w:t>
      </w:r>
    </w:p>
    <w:p w:rsidR="000D44A5" w:rsidRPr="004C69AF" w:rsidRDefault="000D44A5" w:rsidP="00DA58BE">
      <w:pPr>
        <w:pStyle w:val="BoxBullet"/>
      </w:pPr>
      <w:r w:rsidRPr="004C69AF">
        <w:t>reducing risk of respiratory difficulties for the baby after birth</w:t>
      </w:r>
    </w:p>
    <w:p w:rsidR="000D44A5" w:rsidRPr="004C69AF" w:rsidRDefault="000D44A5" w:rsidP="00DA58BE">
      <w:pPr>
        <w:pStyle w:val="BoxBullet"/>
      </w:pPr>
      <w:r w:rsidRPr="004C69AF">
        <w:t>exposing the baby to normal flora from the mother, so that it colonises the baby</w:t>
      </w:r>
      <w:r w:rsidR="00CB6D20">
        <w:t>’</w:t>
      </w:r>
      <w:r w:rsidRPr="004C69AF">
        <w:t>s intestine</w:t>
      </w:r>
    </w:p>
    <w:p w:rsidR="000D44A5" w:rsidRPr="004C69AF" w:rsidRDefault="000D44A5" w:rsidP="00DA58BE">
      <w:pPr>
        <w:pStyle w:val="BoxBullet"/>
      </w:pPr>
      <w:r w:rsidRPr="004C69AF">
        <w:t>promoting early initiation of breastfeeding, thereby supporting exclusive breastfeeding for a longer duration</w:t>
      </w:r>
    </w:p>
    <w:p w:rsidR="000D44A5" w:rsidRPr="004C69AF" w:rsidRDefault="000D44A5" w:rsidP="00DA58BE">
      <w:pPr>
        <w:pStyle w:val="BoxBullet"/>
      </w:pPr>
      <w:r w:rsidRPr="004C69AF">
        <w:t>contributing to an easier transition to motherhood with easier physical recovery following birth (Levine 2001; Jordan 2005; Penders 2006; Chalmers 2010; Gregory 2012; PMMRC 2014).</w:t>
      </w:r>
    </w:p>
    <w:p w:rsidR="000D44A5" w:rsidRPr="004C69AF" w:rsidRDefault="000D44A5" w:rsidP="00DA58BE">
      <w:pPr>
        <w:pStyle w:val="Box"/>
      </w:pPr>
      <w:r w:rsidRPr="004C69AF">
        <w:rPr>
          <w:b/>
        </w:rPr>
        <w:t>Assisted birth</w:t>
      </w:r>
      <w:r w:rsidRPr="004C69AF">
        <w:t>: vaginal birth (including assisted breech birth) requiring obstetric delivery assistance (forceps, vacuum).</w:t>
      </w:r>
    </w:p>
    <w:p w:rsidR="000D44A5" w:rsidRPr="004C69AF" w:rsidRDefault="000D44A5" w:rsidP="00DA58BE">
      <w:pPr>
        <w:pStyle w:val="Box"/>
      </w:pPr>
      <w:r w:rsidRPr="004C69AF">
        <w:rPr>
          <w:b/>
        </w:rPr>
        <w:t>Caesarean section</w:t>
      </w:r>
      <w:r w:rsidRPr="004C69AF">
        <w:t>: delivery involving an operation through an abdominal incision.</w:t>
      </w:r>
    </w:p>
    <w:p w:rsidR="000D44A5" w:rsidRPr="00AF16D8" w:rsidRDefault="000D44A5" w:rsidP="00DA58BE">
      <w:pPr>
        <w:rPr>
          <w:highlight w:val="yellow"/>
        </w:rPr>
      </w:pPr>
    </w:p>
    <w:p w:rsidR="000D44A5" w:rsidRPr="00AF16D8" w:rsidRDefault="000D44A5" w:rsidP="00DA58BE">
      <w:pPr>
        <w:keepNext/>
        <w:rPr>
          <w:highlight w:val="yellow"/>
        </w:rPr>
      </w:pPr>
      <w:r w:rsidRPr="004C69AF">
        <w:lastRenderedPageBreak/>
        <w:t xml:space="preserve">Of the 58,260 women with a known type of birth in 2015, 65.2% (37,970) had a spontaneous vaginal birth, </w:t>
      </w:r>
      <w:r>
        <w:t>25.5</w:t>
      </w:r>
      <w:r w:rsidRPr="004C69AF">
        <w:t>% (14,859) had a caesarean section and 9.3% (5</w:t>
      </w:r>
      <w:r w:rsidR="00DA58BE">
        <w:t>,</w:t>
      </w:r>
      <w:r w:rsidRPr="004C69AF">
        <w:t>431) had an assisted birth (</w:t>
      </w:r>
      <w:r w:rsidRPr="004C69AF">
        <w:fldChar w:fldCharType="begin"/>
      </w:r>
      <w:r w:rsidRPr="004C69AF">
        <w:instrText xml:space="preserve"> REF _Ref428802917 \h  \* MERGEFORMAT </w:instrText>
      </w:r>
      <w:r w:rsidRPr="004C69AF">
        <w:fldChar w:fldCharType="separate"/>
      </w:r>
      <w:r w:rsidR="00071E85" w:rsidRPr="0008388D">
        <w:t xml:space="preserve">Table </w:t>
      </w:r>
      <w:r w:rsidR="00071E85">
        <w:rPr>
          <w:noProof/>
        </w:rPr>
        <w:t>3</w:t>
      </w:r>
      <w:r w:rsidRPr="004C69AF">
        <w:fldChar w:fldCharType="end"/>
      </w:r>
      <w:r w:rsidRPr="004C69AF">
        <w:t>).</w:t>
      </w:r>
    </w:p>
    <w:p w:rsidR="000D44A5" w:rsidRPr="00AF16D8" w:rsidRDefault="000D44A5" w:rsidP="00DA58BE">
      <w:pPr>
        <w:keepNext/>
        <w:rPr>
          <w:highlight w:val="yellow"/>
        </w:rPr>
      </w:pPr>
    </w:p>
    <w:p w:rsidR="000D44A5" w:rsidRPr="0008388D" w:rsidRDefault="000D44A5" w:rsidP="000D44A5">
      <w:pPr>
        <w:pStyle w:val="Table"/>
      </w:pPr>
      <w:bookmarkStart w:id="339" w:name="_Ref428802917"/>
      <w:bookmarkStart w:id="340" w:name="_Toc400706150"/>
      <w:bookmarkStart w:id="341" w:name="_Toc405886989"/>
      <w:bookmarkStart w:id="342" w:name="_Toc412122479"/>
      <w:bookmarkStart w:id="343" w:name="_Toc428802810"/>
      <w:bookmarkStart w:id="344" w:name="_Toc433389740"/>
      <w:bookmarkStart w:id="345" w:name="_Toc479605817"/>
      <w:bookmarkStart w:id="346" w:name="_Toc485542655"/>
      <w:r w:rsidRPr="0008388D">
        <w:t xml:space="preserve">Table </w:t>
      </w:r>
      <w:r w:rsidR="00071E85">
        <w:fldChar w:fldCharType="begin"/>
      </w:r>
      <w:r w:rsidR="00071E85">
        <w:instrText xml:space="preserve"> SEQ Table \* ARABIC </w:instrText>
      </w:r>
      <w:r w:rsidR="00071E85">
        <w:fldChar w:fldCharType="separate"/>
      </w:r>
      <w:r w:rsidR="00071E85">
        <w:rPr>
          <w:noProof/>
        </w:rPr>
        <w:t>3</w:t>
      </w:r>
      <w:r w:rsidR="00071E85">
        <w:rPr>
          <w:noProof/>
        </w:rPr>
        <w:fldChar w:fldCharType="end"/>
      </w:r>
      <w:bookmarkEnd w:id="339"/>
      <w:r w:rsidRPr="0008388D">
        <w:rPr>
          <w:noProof/>
        </w:rPr>
        <w:t>:</w:t>
      </w:r>
      <w:r w:rsidRPr="0008388D">
        <w:t xml:space="preserve"> Number and percentage of women giving birth, by type of birth, 201</w:t>
      </w:r>
      <w:bookmarkEnd w:id="340"/>
      <w:bookmarkEnd w:id="341"/>
      <w:bookmarkEnd w:id="342"/>
      <w:bookmarkEnd w:id="343"/>
      <w:bookmarkEnd w:id="344"/>
      <w:r w:rsidRPr="0008388D">
        <w:t>5</w:t>
      </w:r>
      <w:bookmarkEnd w:id="345"/>
      <w:bookmarkEnd w:id="346"/>
    </w:p>
    <w:tbl>
      <w:tblPr>
        <w:tblStyle w:val="TableGrid"/>
        <w:tblW w:w="6032"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3: Number and percentage of women giving birth, by type of birth, 2014"/>
      </w:tblPr>
      <w:tblGrid>
        <w:gridCol w:w="2835"/>
        <w:gridCol w:w="1598"/>
        <w:gridCol w:w="1599"/>
      </w:tblGrid>
      <w:tr w:rsidR="000D44A5" w:rsidRPr="0008388D" w:rsidTr="00DA58BE">
        <w:trPr>
          <w:cantSplit/>
          <w:tblHeader/>
        </w:trPr>
        <w:tc>
          <w:tcPr>
            <w:tcW w:w="2835" w:type="dxa"/>
            <w:tcBorders>
              <w:top w:val="single" w:sz="4" w:space="0" w:color="auto"/>
              <w:bottom w:val="single" w:sz="4" w:space="0" w:color="auto"/>
            </w:tcBorders>
            <w:shd w:val="clear" w:color="auto" w:fill="auto"/>
          </w:tcPr>
          <w:p w:rsidR="000D44A5" w:rsidRPr="0008388D" w:rsidRDefault="000D44A5" w:rsidP="007B3A51">
            <w:pPr>
              <w:pStyle w:val="TableText"/>
              <w:rPr>
                <w:b/>
              </w:rPr>
            </w:pPr>
            <w:r w:rsidRPr="0008388D">
              <w:rPr>
                <w:b/>
              </w:rPr>
              <w:t>Type of birth</w:t>
            </w:r>
          </w:p>
        </w:tc>
        <w:tc>
          <w:tcPr>
            <w:tcW w:w="1598" w:type="dxa"/>
            <w:tcBorders>
              <w:top w:val="single" w:sz="4" w:space="0" w:color="auto"/>
              <w:bottom w:val="single" w:sz="4" w:space="0" w:color="auto"/>
            </w:tcBorders>
            <w:shd w:val="clear" w:color="auto" w:fill="auto"/>
          </w:tcPr>
          <w:p w:rsidR="000D44A5" w:rsidRPr="0008388D" w:rsidRDefault="000D44A5" w:rsidP="007B3A51">
            <w:pPr>
              <w:pStyle w:val="TableText"/>
              <w:jc w:val="center"/>
              <w:rPr>
                <w:b/>
              </w:rPr>
            </w:pPr>
            <w:r w:rsidRPr="0008388D">
              <w:rPr>
                <w:b/>
              </w:rPr>
              <w:t>Number</w:t>
            </w:r>
          </w:p>
        </w:tc>
        <w:tc>
          <w:tcPr>
            <w:tcW w:w="1599" w:type="dxa"/>
            <w:tcBorders>
              <w:top w:val="single" w:sz="4" w:space="0" w:color="auto"/>
              <w:bottom w:val="single" w:sz="4" w:space="0" w:color="auto"/>
            </w:tcBorders>
            <w:shd w:val="clear" w:color="auto" w:fill="auto"/>
          </w:tcPr>
          <w:p w:rsidR="000D44A5" w:rsidRPr="0008388D" w:rsidRDefault="000D44A5" w:rsidP="007B3A51">
            <w:pPr>
              <w:pStyle w:val="TableText"/>
              <w:jc w:val="center"/>
              <w:rPr>
                <w:b/>
              </w:rPr>
            </w:pPr>
            <w:r w:rsidRPr="0008388D">
              <w:rPr>
                <w:b/>
              </w:rPr>
              <w:t>Percentage</w:t>
            </w:r>
          </w:p>
        </w:tc>
      </w:tr>
      <w:tr w:rsidR="000D44A5" w:rsidRPr="0008388D" w:rsidTr="00DA58BE">
        <w:trPr>
          <w:cantSplit/>
        </w:trPr>
        <w:tc>
          <w:tcPr>
            <w:tcW w:w="2835" w:type="dxa"/>
            <w:tcBorders>
              <w:top w:val="single" w:sz="4" w:space="0" w:color="auto"/>
            </w:tcBorders>
            <w:shd w:val="clear" w:color="auto" w:fill="auto"/>
          </w:tcPr>
          <w:p w:rsidR="000D44A5" w:rsidRPr="0008388D" w:rsidRDefault="000D44A5" w:rsidP="007B3A51">
            <w:pPr>
              <w:pStyle w:val="TableText"/>
              <w:rPr>
                <w:b/>
              </w:rPr>
            </w:pPr>
            <w:r w:rsidRPr="0008388D">
              <w:rPr>
                <w:b/>
              </w:rPr>
              <w:t>Spontaneous vaginal birth</w:t>
            </w:r>
          </w:p>
        </w:tc>
        <w:tc>
          <w:tcPr>
            <w:tcW w:w="1598" w:type="dxa"/>
            <w:tcBorders>
              <w:top w:val="single" w:sz="4" w:space="0" w:color="auto"/>
            </w:tcBorders>
            <w:shd w:val="clear" w:color="auto" w:fill="auto"/>
          </w:tcPr>
          <w:p w:rsidR="000D44A5" w:rsidRPr="0008388D" w:rsidRDefault="000D44A5" w:rsidP="00DA58BE">
            <w:pPr>
              <w:pStyle w:val="TableText"/>
              <w:tabs>
                <w:tab w:val="decimal" w:pos="1077"/>
              </w:tabs>
              <w:rPr>
                <w:b/>
              </w:rPr>
            </w:pPr>
            <w:r w:rsidRPr="0008388D">
              <w:rPr>
                <w:b/>
              </w:rPr>
              <w:t>37,970</w:t>
            </w:r>
          </w:p>
        </w:tc>
        <w:tc>
          <w:tcPr>
            <w:tcW w:w="1599" w:type="dxa"/>
            <w:tcBorders>
              <w:top w:val="single" w:sz="4" w:space="0" w:color="auto"/>
            </w:tcBorders>
            <w:shd w:val="clear" w:color="auto" w:fill="auto"/>
          </w:tcPr>
          <w:p w:rsidR="000D44A5" w:rsidRPr="0008388D" w:rsidRDefault="000D44A5" w:rsidP="00DA58BE">
            <w:pPr>
              <w:pStyle w:val="TableText"/>
              <w:tabs>
                <w:tab w:val="decimal" w:pos="755"/>
              </w:tabs>
              <w:rPr>
                <w:b/>
              </w:rPr>
            </w:pPr>
            <w:r w:rsidRPr="0008388D">
              <w:rPr>
                <w:b/>
              </w:rPr>
              <w:t>65.2</w:t>
            </w:r>
          </w:p>
        </w:tc>
      </w:tr>
      <w:tr w:rsidR="000D44A5" w:rsidRPr="0008388D" w:rsidTr="00DA58BE">
        <w:trPr>
          <w:cantSplit/>
        </w:trPr>
        <w:tc>
          <w:tcPr>
            <w:tcW w:w="2835" w:type="dxa"/>
            <w:shd w:val="clear" w:color="auto" w:fill="auto"/>
          </w:tcPr>
          <w:p w:rsidR="000D44A5" w:rsidRPr="0008388D" w:rsidRDefault="000D44A5" w:rsidP="007B3A51">
            <w:pPr>
              <w:pStyle w:val="TableText"/>
              <w:ind w:left="227"/>
            </w:pPr>
            <w:r w:rsidRPr="0008388D">
              <w:t>Spontaneous vertex</w:t>
            </w:r>
          </w:p>
        </w:tc>
        <w:tc>
          <w:tcPr>
            <w:tcW w:w="1598" w:type="dxa"/>
            <w:shd w:val="clear" w:color="auto" w:fill="auto"/>
          </w:tcPr>
          <w:p w:rsidR="000D44A5" w:rsidRPr="0008388D" w:rsidRDefault="000D44A5" w:rsidP="00DA58BE">
            <w:pPr>
              <w:pStyle w:val="TableText"/>
              <w:tabs>
                <w:tab w:val="decimal" w:pos="1077"/>
              </w:tabs>
            </w:pPr>
            <w:r w:rsidRPr="0008388D">
              <w:t>37,829</w:t>
            </w:r>
          </w:p>
        </w:tc>
        <w:tc>
          <w:tcPr>
            <w:tcW w:w="1599" w:type="dxa"/>
            <w:shd w:val="clear" w:color="auto" w:fill="auto"/>
          </w:tcPr>
          <w:p w:rsidR="000D44A5" w:rsidRPr="0008388D" w:rsidRDefault="000D44A5" w:rsidP="00DA58BE">
            <w:pPr>
              <w:pStyle w:val="TableText"/>
              <w:tabs>
                <w:tab w:val="decimal" w:pos="755"/>
              </w:tabs>
            </w:pPr>
            <w:r w:rsidRPr="0008388D">
              <w:t>64.9</w:t>
            </w:r>
          </w:p>
        </w:tc>
      </w:tr>
      <w:tr w:rsidR="000D44A5" w:rsidRPr="00AF16D8" w:rsidTr="00DA58BE">
        <w:trPr>
          <w:cantSplit/>
        </w:trPr>
        <w:tc>
          <w:tcPr>
            <w:tcW w:w="2835" w:type="dxa"/>
            <w:tcBorders>
              <w:bottom w:val="single" w:sz="4" w:space="0" w:color="A6A6A6" w:themeColor="background1" w:themeShade="A6"/>
            </w:tcBorders>
            <w:shd w:val="clear" w:color="auto" w:fill="auto"/>
          </w:tcPr>
          <w:p w:rsidR="000D44A5" w:rsidRPr="0008388D" w:rsidRDefault="000D44A5" w:rsidP="007B3A51">
            <w:pPr>
              <w:pStyle w:val="TableText"/>
              <w:ind w:left="227"/>
            </w:pPr>
            <w:r w:rsidRPr="0008388D">
              <w:t>Spontaneous breech</w:t>
            </w:r>
          </w:p>
        </w:tc>
        <w:tc>
          <w:tcPr>
            <w:tcW w:w="1598" w:type="dxa"/>
            <w:tcBorders>
              <w:bottom w:val="single" w:sz="4" w:space="0" w:color="A6A6A6" w:themeColor="background1" w:themeShade="A6"/>
            </w:tcBorders>
            <w:shd w:val="clear" w:color="auto" w:fill="auto"/>
          </w:tcPr>
          <w:p w:rsidR="000D44A5" w:rsidRPr="0008388D" w:rsidRDefault="000D44A5" w:rsidP="00DA58BE">
            <w:pPr>
              <w:pStyle w:val="TableText"/>
              <w:tabs>
                <w:tab w:val="decimal" w:pos="1077"/>
              </w:tabs>
            </w:pPr>
            <w:r w:rsidRPr="0008388D">
              <w:t>141</w:t>
            </w:r>
          </w:p>
        </w:tc>
        <w:tc>
          <w:tcPr>
            <w:tcW w:w="1599" w:type="dxa"/>
            <w:tcBorders>
              <w:bottom w:val="single" w:sz="4" w:space="0" w:color="A6A6A6" w:themeColor="background1" w:themeShade="A6"/>
            </w:tcBorders>
            <w:shd w:val="clear" w:color="auto" w:fill="auto"/>
          </w:tcPr>
          <w:p w:rsidR="000D44A5" w:rsidRPr="0008388D" w:rsidRDefault="000D44A5" w:rsidP="00DA58BE">
            <w:pPr>
              <w:pStyle w:val="TableText"/>
              <w:tabs>
                <w:tab w:val="decimal" w:pos="755"/>
              </w:tabs>
            </w:pPr>
            <w:r w:rsidRPr="0008388D">
              <w:t>0.2</w:t>
            </w:r>
          </w:p>
        </w:tc>
      </w:tr>
      <w:tr w:rsidR="000D44A5" w:rsidRPr="00AF16D8" w:rsidTr="00DA58BE">
        <w:trPr>
          <w:cantSplit/>
        </w:trPr>
        <w:tc>
          <w:tcPr>
            <w:tcW w:w="2835" w:type="dxa"/>
            <w:tcBorders>
              <w:top w:val="single" w:sz="4" w:space="0" w:color="A6A6A6" w:themeColor="background1" w:themeShade="A6"/>
              <w:bottom w:val="nil"/>
            </w:tcBorders>
            <w:shd w:val="clear" w:color="auto" w:fill="auto"/>
          </w:tcPr>
          <w:p w:rsidR="000D44A5" w:rsidRPr="0008388D" w:rsidRDefault="000D44A5" w:rsidP="007B3A51">
            <w:pPr>
              <w:pStyle w:val="TableText"/>
              <w:rPr>
                <w:b/>
              </w:rPr>
            </w:pPr>
            <w:r w:rsidRPr="0008388D">
              <w:rPr>
                <w:b/>
              </w:rPr>
              <w:t>Assisted birth</w:t>
            </w:r>
          </w:p>
        </w:tc>
        <w:tc>
          <w:tcPr>
            <w:tcW w:w="1598" w:type="dxa"/>
            <w:tcBorders>
              <w:top w:val="single" w:sz="4" w:space="0" w:color="A6A6A6" w:themeColor="background1" w:themeShade="A6"/>
              <w:bottom w:val="nil"/>
            </w:tcBorders>
            <w:shd w:val="clear" w:color="auto" w:fill="auto"/>
          </w:tcPr>
          <w:p w:rsidR="000D44A5" w:rsidRPr="0008388D" w:rsidRDefault="000D44A5" w:rsidP="00DA58BE">
            <w:pPr>
              <w:pStyle w:val="TableText"/>
              <w:tabs>
                <w:tab w:val="decimal" w:pos="1077"/>
              </w:tabs>
              <w:rPr>
                <w:b/>
              </w:rPr>
            </w:pPr>
            <w:r w:rsidRPr="0008388D">
              <w:rPr>
                <w:b/>
              </w:rPr>
              <w:t>5,431</w:t>
            </w:r>
          </w:p>
        </w:tc>
        <w:tc>
          <w:tcPr>
            <w:tcW w:w="1599" w:type="dxa"/>
            <w:tcBorders>
              <w:top w:val="single" w:sz="4" w:space="0" w:color="A6A6A6" w:themeColor="background1" w:themeShade="A6"/>
              <w:bottom w:val="nil"/>
            </w:tcBorders>
            <w:shd w:val="clear" w:color="auto" w:fill="auto"/>
          </w:tcPr>
          <w:p w:rsidR="000D44A5" w:rsidRPr="0008388D" w:rsidRDefault="000D44A5" w:rsidP="00DA58BE">
            <w:pPr>
              <w:pStyle w:val="TableText"/>
              <w:tabs>
                <w:tab w:val="decimal" w:pos="755"/>
              </w:tabs>
              <w:rPr>
                <w:b/>
              </w:rPr>
            </w:pPr>
            <w:r w:rsidRPr="0008388D">
              <w:rPr>
                <w:b/>
              </w:rPr>
              <w:t>9.3</w:t>
            </w:r>
          </w:p>
        </w:tc>
      </w:tr>
      <w:tr w:rsidR="000D44A5" w:rsidRPr="00AF16D8" w:rsidTr="00DA58BE">
        <w:trPr>
          <w:cantSplit/>
        </w:trPr>
        <w:tc>
          <w:tcPr>
            <w:tcW w:w="2835" w:type="dxa"/>
            <w:tcBorders>
              <w:top w:val="nil"/>
              <w:bottom w:val="nil"/>
            </w:tcBorders>
            <w:shd w:val="clear" w:color="auto" w:fill="auto"/>
          </w:tcPr>
          <w:p w:rsidR="000D44A5" w:rsidRPr="0008388D" w:rsidRDefault="000D44A5" w:rsidP="007B3A51">
            <w:pPr>
              <w:pStyle w:val="TableText"/>
              <w:ind w:left="227"/>
            </w:pPr>
            <w:r w:rsidRPr="0008388D">
              <w:t>Forceps only</w:t>
            </w:r>
          </w:p>
        </w:tc>
        <w:tc>
          <w:tcPr>
            <w:tcW w:w="1598" w:type="dxa"/>
            <w:tcBorders>
              <w:top w:val="nil"/>
              <w:bottom w:val="nil"/>
            </w:tcBorders>
            <w:shd w:val="clear" w:color="auto" w:fill="auto"/>
          </w:tcPr>
          <w:p w:rsidR="000D44A5" w:rsidRPr="0008388D" w:rsidRDefault="000D44A5" w:rsidP="00DA58BE">
            <w:pPr>
              <w:pStyle w:val="TableText"/>
              <w:tabs>
                <w:tab w:val="decimal" w:pos="1077"/>
              </w:tabs>
            </w:pPr>
            <w:r w:rsidRPr="0008388D">
              <w:t>2,087</w:t>
            </w:r>
          </w:p>
        </w:tc>
        <w:tc>
          <w:tcPr>
            <w:tcW w:w="1599" w:type="dxa"/>
            <w:tcBorders>
              <w:top w:val="nil"/>
              <w:bottom w:val="nil"/>
            </w:tcBorders>
            <w:shd w:val="clear" w:color="auto" w:fill="auto"/>
          </w:tcPr>
          <w:p w:rsidR="000D44A5" w:rsidRPr="0008388D" w:rsidRDefault="000D44A5" w:rsidP="00DA58BE">
            <w:pPr>
              <w:pStyle w:val="TableText"/>
              <w:tabs>
                <w:tab w:val="decimal" w:pos="755"/>
              </w:tabs>
            </w:pPr>
            <w:r w:rsidRPr="0008388D">
              <w:t>3.6</w:t>
            </w:r>
          </w:p>
        </w:tc>
      </w:tr>
      <w:tr w:rsidR="000D44A5" w:rsidRPr="00AF16D8" w:rsidTr="00DA58BE">
        <w:trPr>
          <w:cantSplit/>
        </w:trPr>
        <w:tc>
          <w:tcPr>
            <w:tcW w:w="2835" w:type="dxa"/>
            <w:tcBorders>
              <w:top w:val="nil"/>
              <w:bottom w:val="nil"/>
            </w:tcBorders>
            <w:shd w:val="clear" w:color="auto" w:fill="auto"/>
          </w:tcPr>
          <w:p w:rsidR="000D44A5" w:rsidRPr="0008388D" w:rsidRDefault="000D44A5" w:rsidP="007B3A51">
            <w:pPr>
              <w:pStyle w:val="TableText"/>
              <w:ind w:left="227"/>
            </w:pPr>
            <w:r w:rsidRPr="0008388D">
              <w:t>Vacuum only</w:t>
            </w:r>
          </w:p>
        </w:tc>
        <w:tc>
          <w:tcPr>
            <w:tcW w:w="1598" w:type="dxa"/>
            <w:tcBorders>
              <w:top w:val="nil"/>
              <w:bottom w:val="nil"/>
            </w:tcBorders>
            <w:shd w:val="clear" w:color="auto" w:fill="auto"/>
          </w:tcPr>
          <w:p w:rsidR="000D44A5" w:rsidRPr="0008388D" w:rsidRDefault="000D44A5" w:rsidP="00DA58BE">
            <w:pPr>
              <w:pStyle w:val="TableText"/>
              <w:tabs>
                <w:tab w:val="decimal" w:pos="1077"/>
              </w:tabs>
            </w:pPr>
            <w:r w:rsidRPr="0008388D">
              <w:t>3,225</w:t>
            </w:r>
          </w:p>
        </w:tc>
        <w:tc>
          <w:tcPr>
            <w:tcW w:w="1599" w:type="dxa"/>
            <w:tcBorders>
              <w:top w:val="nil"/>
              <w:bottom w:val="nil"/>
            </w:tcBorders>
            <w:shd w:val="clear" w:color="auto" w:fill="auto"/>
          </w:tcPr>
          <w:p w:rsidR="000D44A5" w:rsidRPr="0008388D" w:rsidRDefault="000D44A5" w:rsidP="00DA58BE">
            <w:pPr>
              <w:pStyle w:val="TableText"/>
              <w:tabs>
                <w:tab w:val="decimal" w:pos="755"/>
              </w:tabs>
            </w:pPr>
            <w:r w:rsidRPr="0008388D">
              <w:t>5.5</w:t>
            </w:r>
          </w:p>
        </w:tc>
      </w:tr>
      <w:tr w:rsidR="000D44A5" w:rsidRPr="00AF16D8" w:rsidTr="00DA58BE">
        <w:trPr>
          <w:cantSplit/>
        </w:trPr>
        <w:tc>
          <w:tcPr>
            <w:tcW w:w="2835" w:type="dxa"/>
            <w:tcBorders>
              <w:top w:val="nil"/>
              <w:bottom w:val="nil"/>
            </w:tcBorders>
            <w:shd w:val="clear" w:color="auto" w:fill="auto"/>
          </w:tcPr>
          <w:p w:rsidR="000D44A5" w:rsidRPr="0008388D" w:rsidRDefault="000D44A5" w:rsidP="007B3A51">
            <w:pPr>
              <w:pStyle w:val="TableText"/>
              <w:ind w:left="227"/>
            </w:pPr>
            <w:r w:rsidRPr="0008388D">
              <w:t>Forceps and vacuum</w:t>
            </w:r>
          </w:p>
        </w:tc>
        <w:tc>
          <w:tcPr>
            <w:tcW w:w="1598" w:type="dxa"/>
            <w:tcBorders>
              <w:top w:val="nil"/>
              <w:bottom w:val="nil"/>
            </w:tcBorders>
            <w:shd w:val="clear" w:color="auto" w:fill="auto"/>
          </w:tcPr>
          <w:p w:rsidR="000D44A5" w:rsidRPr="0008388D" w:rsidRDefault="000D44A5" w:rsidP="00DA58BE">
            <w:pPr>
              <w:pStyle w:val="TableText"/>
              <w:tabs>
                <w:tab w:val="decimal" w:pos="1077"/>
              </w:tabs>
            </w:pPr>
            <w:r w:rsidRPr="0008388D">
              <w:t>18</w:t>
            </w:r>
          </w:p>
        </w:tc>
        <w:tc>
          <w:tcPr>
            <w:tcW w:w="1599" w:type="dxa"/>
            <w:tcBorders>
              <w:top w:val="nil"/>
              <w:bottom w:val="nil"/>
            </w:tcBorders>
            <w:shd w:val="clear" w:color="auto" w:fill="auto"/>
          </w:tcPr>
          <w:p w:rsidR="000D44A5" w:rsidRPr="0008388D" w:rsidRDefault="000D44A5" w:rsidP="00DA58BE">
            <w:pPr>
              <w:pStyle w:val="TableText"/>
              <w:tabs>
                <w:tab w:val="decimal" w:pos="755"/>
              </w:tabs>
            </w:pPr>
            <w:r w:rsidRPr="0008388D">
              <w:t>0.0</w:t>
            </w:r>
          </w:p>
        </w:tc>
      </w:tr>
      <w:tr w:rsidR="000D44A5" w:rsidRPr="00AF16D8" w:rsidTr="00DA58BE">
        <w:trPr>
          <w:cantSplit/>
        </w:trPr>
        <w:tc>
          <w:tcPr>
            <w:tcW w:w="2835" w:type="dxa"/>
            <w:tcBorders>
              <w:top w:val="nil"/>
              <w:bottom w:val="nil"/>
            </w:tcBorders>
            <w:shd w:val="clear" w:color="auto" w:fill="auto"/>
          </w:tcPr>
          <w:p w:rsidR="000D44A5" w:rsidRPr="0008388D" w:rsidRDefault="000D44A5" w:rsidP="007B3A51">
            <w:pPr>
              <w:pStyle w:val="TableText"/>
              <w:ind w:left="227"/>
            </w:pPr>
            <w:r w:rsidRPr="0008388D">
              <w:t>Assisted breech</w:t>
            </w:r>
          </w:p>
        </w:tc>
        <w:tc>
          <w:tcPr>
            <w:tcW w:w="1598" w:type="dxa"/>
            <w:tcBorders>
              <w:top w:val="nil"/>
              <w:bottom w:val="nil"/>
            </w:tcBorders>
            <w:shd w:val="clear" w:color="auto" w:fill="auto"/>
          </w:tcPr>
          <w:p w:rsidR="000D44A5" w:rsidRPr="0008388D" w:rsidRDefault="000D44A5" w:rsidP="00DA58BE">
            <w:pPr>
              <w:pStyle w:val="TableText"/>
              <w:tabs>
                <w:tab w:val="decimal" w:pos="1077"/>
              </w:tabs>
            </w:pPr>
            <w:r w:rsidRPr="0008388D">
              <w:t>72</w:t>
            </w:r>
          </w:p>
        </w:tc>
        <w:tc>
          <w:tcPr>
            <w:tcW w:w="1599" w:type="dxa"/>
            <w:tcBorders>
              <w:top w:val="nil"/>
              <w:bottom w:val="nil"/>
            </w:tcBorders>
            <w:shd w:val="clear" w:color="auto" w:fill="auto"/>
          </w:tcPr>
          <w:p w:rsidR="000D44A5" w:rsidRPr="0008388D" w:rsidRDefault="000D44A5" w:rsidP="00DA58BE">
            <w:pPr>
              <w:pStyle w:val="TableText"/>
              <w:tabs>
                <w:tab w:val="decimal" w:pos="755"/>
              </w:tabs>
            </w:pPr>
            <w:r w:rsidRPr="0008388D">
              <w:t>0.1</w:t>
            </w:r>
          </w:p>
        </w:tc>
      </w:tr>
      <w:tr w:rsidR="000D44A5" w:rsidRPr="00AF16D8" w:rsidTr="00DA58BE">
        <w:trPr>
          <w:cantSplit/>
        </w:trPr>
        <w:tc>
          <w:tcPr>
            <w:tcW w:w="2835" w:type="dxa"/>
            <w:tcBorders>
              <w:top w:val="nil"/>
              <w:bottom w:val="single" w:sz="4" w:space="0" w:color="A6A6A6" w:themeColor="background1" w:themeShade="A6"/>
            </w:tcBorders>
            <w:shd w:val="clear" w:color="auto" w:fill="auto"/>
          </w:tcPr>
          <w:p w:rsidR="000D44A5" w:rsidRPr="0008388D" w:rsidRDefault="000D44A5" w:rsidP="007B3A51">
            <w:pPr>
              <w:pStyle w:val="TableText"/>
              <w:ind w:left="227"/>
            </w:pPr>
            <w:r w:rsidRPr="0008388D">
              <w:t>Breech extraction</w:t>
            </w:r>
          </w:p>
        </w:tc>
        <w:tc>
          <w:tcPr>
            <w:tcW w:w="1598" w:type="dxa"/>
            <w:tcBorders>
              <w:top w:val="nil"/>
              <w:bottom w:val="single" w:sz="4" w:space="0" w:color="A6A6A6" w:themeColor="background1" w:themeShade="A6"/>
            </w:tcBorders>
            <w:shd w:val="clear" w:color="auto" w:fill="auto"/>
          </w:tcPr>
          <w:p w:rsidR="000D44A5" w:rsidRPr="0008388D" w:rsidRDefault="000D44A5" w:rsidP="00DA58BE">
            <w:pPr>
              <w:pStyle w:val="TableText"/>
              <w:tabs>
                <w:tab w:val="decimal" w:pos="1077"/>
              </w:tabs>
            </w:pPr>
            <w:r w:rsidRPr="0008388D">
              <w:t>29</w:t>
            </w:r>
          </w:p>
        </w:tc>
        <w:tc>
          <w:tcPr>
            <w:tcW w:w="1599" w:type="dxa"/>
            <w:tcBorders>
              <w:top w:val="nil"/>
              <w:bottom w:val="single" w:sz="4" w:space="0" w:color="A6A6A6" w:themeColor="background1" w:themeShade="A6"/>
            </w:tcBorders>
            <w:shd w:val="clear" w:color="auto" w:fill="auto"/>
          </w:tcPr>
          <w:p w:rsidR="000D44A5" w:rsidRPr="0008388D" w:rsidRDefault="000D44A5" w:rsidP="00DA58BE">
            <w:pPr>
              <w:pStyle w:val="TableText"/>
              <w:tabs>
                <w:tab w:val="decimal" w:pos="755"/>
              </w:tabs>
            </w:pPr>
            <w:r w:rsidRPr="0008388D">
              <w:t>0.0</w:t>
            </w:r>
          </w:p>
        </w:tc>
      </w:tr>
      <w:tr w:rsidR="000D44A5" w:rsidRPr="00AF16D8" w:rsidTr="00DA58BE">
        <w:trPr>
          <w:cantSplit/>
        </w:trPr>
        <w:tc>
          <w:tcPr>
            <w:tcW w:w="2835" w:type="dxa"/>
            <w:tcBorders>
              <w:top w:val="single" w:sz="4" w:space="0" w:color="A6A6A6" w:themeColor="background1" w:themeShade="A6"/>
            </w:tcBorders>
            <w:shd w:val="clear" w:color="auto" w:fill="auto"/>
          </w:tcPr>
          <w:p w:rsidR="000D44A5" w:rsidRPr="0008388D" w:rsidRDefault="000D44A5" w:rsidP="007B3A51">
            <w:pPr>
              <w:pStyle w:val="TableText"/>
              <w:rPr>
                <w:b/>
              </w:rPr>
            </w:pPr>
            <w:r w:rsidRPr="0008388D">
              <w:rPr>
                <w:b/>
              </w:rPr>
              <w:t>Caesarean section</w:t>
            </w:r>
          </w:p>
        </w:tc>
        <w:tc>
          <w:tcPr>
            <w:tcW w:w="1598" w:type="dxa"/>
            <w:tcBorders>
              <w:top w:val="single" w:sz="4" w:space="0" w:color="A6A6A6" w:themeColor="background1" w:themeShade="A6"/>
            </w:tcBorders>
            <w:shd w:val="clear" w:color="auto" w:fill="auto"/>
          </w:tcPr>
          <w:p w:rsidR="000D44A5" w:rsidRPr="0008388D" w:rsidRDefault="000D44A5" w:rsidP="00DA58BE">
            <w:pPr>
              <w:pStyle w:val="TableText"/>
              <w:tabs>
                <w:tab w:val="decimal" w:pos="1077"/>
              </w:tabs>
              <w:rPr>
                <w:b/>
              </w:rPr>
            </w:pPr>
            <w:r w:rsidRPr="0008388D">
              <w:rPr>
                <w:b/>
              </w:rPr>
              <w:t>14,859</w:t>
            </w:r>
          </w:p>
        </w:tc>
        <w:tc>
          <w:tcPr>
            <w:tcW w:w="1599" w:type="dxa"/>
            <w:tcBorders>
              <w:top w:val="single" w:sz="4" w:space="0" w:color="A6A6A6" w:themeColor="background1" w:themeShade="A6"/>
            </w:tcBorders>
            <w:shd w:val="clear" w:color="auto" w:fill="auto"/>
          </w:tcPr>
          <w:p w:rsidR="000D44A5" w:rsidRPr="0008388D" w:rsidRDefault="000D44A5" w:rsidP="00DA58BE">
            <w:pPr>
              <w:pStyle w:val="TableText"/>
              <w:tabs>
                <w:tab w:val="decimal" w:pos="755"/>
              </w:tabs>
              <w:rPr>
                <w:b/>
              </w:rPr>
            </w:pPr>
            <w:r w:rsidRPr="0008388D">
              <w:rPr>
                <w:b/>
              </w:rPr>
              <w:t>25.5</w:t>
            </w:r>
          </w:p>
        </w:tc>
      </w:tr>
      <w:tr w:rsidR="000D44A5" w:rsidRPr="00AF16D8" w:rsidTr="00DA58BE">
        <w:trPr>
          <w:cantSplit/>
        </w:trPr>
        <w:tc>
          <w:tcPr>
            <w:tcW w:w="2835" w:type="dxa"/>
            <w:shd w:val="clear" w:color="auto" w:fill="auto"/>
          </w:tcPr>
          <w:p w:rsidR="000D44A5" w:rsidRPr="0008388D" w:rsidRDefault="000D44A5" w:rsidP="007B3A51">
            <w:pPr>
              <w:pStyle w:val="TableText"/>
              <w:ind w:left="227"/>
            </w:pPr>
            <w:r w:rsidRPr="0008388D">
              <w:t>Emergency caesarean</w:t>
            </w:r>
          </w:p>
        </w:tc>
        <w:tc>
          <w:tcPr>
            <w:tcW w:w="1598" w:type="dxa"/>
            <w:shd w:val="clear" w:color="auto" w:fill="auto"/>
          </w:tcPr>
          <w:p w:rsidR="000D44A5" w:rsidRPr="0008388D" w:rsidRDefault="000D44A5" w:rsidP="00DA58BE">
            <w:pPr>
              <w:pStyle w:val="TableText"/>
              <w:tabs>
                <w:tab w:val="decimal" w:pos="1077"/>
              </w:tabs>
            </w:pPr>
            <w:r w:rsidRPr="0008388D">
              <w:t>7,986</w:t>
            </w:r>
          </w:p>
        </w:tc>
        <w:tc>
          <w:tcPr>
            <w:tcW w:w="1599" w:type="dxa"/>
            <w:shd w:val="clear" w:color="auto" w:fill="auto"/>
          </w:tcPr>
          <w:p w:rsidR="000D44A5" w:rsidRPr="0008388D" w:rsidRDefault="000D44A5" w:rsidP="00DA58BE">
            <w:pPr>
              <w:pStyle w:val="TableText"/>
              <w:tabs>
                <w:tab w:val="decimal" w:pos="755"/>
              </w:tabs>
            </w:pPr>
            <w:r w:rsidRPr="0008388D">
              <w:t>13.7</w:t>
            </w:r>
          </w:p>
        </w:tc>
      </w:tr>
      <w:tr w:rsidR="000D44A5" w:rsidRPr="00AF16D8" w:rsidTr="00DA58BE">
        <w:trPr>
          <w:cantSplit/>
        </w:trPr>
        <w:tc>
          <w:tcPr>
            <w:tcW w:w="2835" w:type="dxa"/>
            <w:tcBorders>
              <w:bottom w:val="single" w:sz="4" w:space="0" w:color="A6A6A6" w:themeColor="background1" w:themeShade="A6"/>
            </w:tcBorders>
            <w:shd w:val="clear" w:color="auto" w:fill="auto"/>
          </w:tcPr>
          <w:p w:rsidR="000D44A5" w:rsidRPr="0008388D" w:rsidRDefault="000D44A5" w:rsidP="007B3A51">
            <w:pPr>
              <w:pStyle w:val="TableText"/>
              <w:ind w:left="227"/>
            </w:pPr>
            <w:r w:rsidRPr="0008388D">
              <w:t>Elective caesarean</w:t>
            </w:r>
          </w:p>
        </w:tc>
        <w:tc>
          <w:tcPr>
            <w:tcW w:w="1598" w:type="dxa"/>
            <w:tcBorders>
              <w:bottom w:val="single" w:sz="4" w:space="0" w:color="A6A6A6" w:themeColor="background1" w:themeShade="A6"/>
            </w:tcBorders>
            <w:shd w:val="clear" w:color="auto" w:fill="auto"/>
          </w:tcPr>
          <w:p w:rsidR="000D44A5" w:rsidRPr="0008388D" w:rsidRDefault="000D44A5" w:rsidP="00DA58BE">
            <w:pPr>
              <w:pStyle w:val="TableText"/>
              <w:tabs>
                <w:tab w:val="decimal" w:pos="1077"/>
              </w:tabs>
            </w:pPr>
            <w:r w:rsidRPr="0008388D">
              <w:t>6,873</w:t>
            </w:r>
          </w:p>
        </w:tc>
        <w:tc>
          <w:tcPr>
            <w:tcW w:w="1599" w:type="dxa"/>
            <w:tcBorders>
              <w:bottom w:val="single" w:sz="4" w:space="0" w:color="A6A6A6" w:themeColor="background1" w:themeShade="A6"/>
            </w:tcBorders>
            <w:shd w:val="clear" w:color="auto" w:fill="auto"/>
          </w:tcPr>
          <w:p w:rsidR="000D44A5" w:rsidRPr="0008388D" w:rsidRDefault="000D44A5" w:rsidP="00DA58BE">
            <w:pPr>
              <w:pStyle w:val="TableText"/>
              <w:tabs>
                <w:tab w:val="decimal" w:pos="755"/>
              </w:tabs>
            </w:pPr>
            <w:r w:rsidRPr="0008388D">
              <w:t>11.8</w:t>
            </w:r>
          </w:p>
        </w:tc>
      </w:tr>
      <w:tr w:rsidR="000D44A5" w:rsidRPr="00AF16D8" w:rsidTr="00DA58BE">
        <w:trPr>
          <w:cantSplit/>
        </w:trPr>
        <w:tc>
          <w:tcPr>
            <w:tcW w:w="2835" w:type="dxa"/>
            <w:tcBorders>
              <w:top w:val="single" w:sz="4" w:space="0" w:color="A6A6A6" w:themeColor="background1" w:themeShade="A6"/>
              <w:bottom w:val="single" w:sz="4" w:space="0" w:color="auto"/>
            </w:tcBorders>
            <w:shd w:val="clear" w:color="auto" w:fill="auto"/>
          </w:tcPr>
          <w:p w:rsidR="000D44A5" w:rsidRPr="0008388D" w:rsidRDefault="000D44A5" w:rsidP="007B3A51">
            <w:pPr>
              <w:pStyle w:val="TableText"/>
              <w:rPr>
                <w:b/>
              </w:rPr>
            </w:pPr>
            <w:r w:rsidRPr="0008388D">
              <w:rPr>
                <w:b/>
              </w:rPr>
              <w:t>Unknown</w:t>
            </w:r>
          </w:p>
        </w:tc>
        <w:tc>
          <w:tcPr>
            <w:tcW w:w="1598" w:type="dxa"/>
            <w:tcBorders>
              <w:top w:val="single" w:sz="4" w:space="0" w:color="A6A6A6" w:themeColor="background1" w:themeShade="A6"/>
              <w:bottom w:val="single" w:sz="4" w:space="0" w:color="auto"/>
            </w:tcBorders>
            <w:shd w:val="clear" w:color="auto" w:fill="auto"/>
          </w:tcPr>
          <w:p w:rsidR="000D44A5" w:rsidRPr="0008388D" w:rsidRDefault="000D44A5" w:rsidP="00DA58BE">
            <w:pPr>
              <w:pStyle w:val="TableText"/>
              <w:tabs>
                <w:tab w:val="decimal" w:pos="1077"/>
              </w:tabs>
              <w:rPr>
                <w:b/>
              </w:rPr>
            </w:pPr>
            <w:r w:rsidRPr="0008388D">
              <w:rPr>
                <w:b/>
              </w:rPr>
              <w:t>697</w:t>
            </w:r>
          </w:p>
        </w:tc>
        <w:tc>
          <w:tcPr>
            <w:tcW w:w="1599" w:type="dxa"/>
            <w:tcBorders>
              <w:top w:val="single" w:sz="4" w:space="0" w:color="A6A6A6" w:themeColor="background1" w:themeShade="A6"/>
              <w:bottom w:val="single" w:sz="4" w:space="0" w:color="auto"/>
            </w:tcBorders>
            <w:shd w:val="clear" w:color="auto" w:fill="auto"/>
          </w:tcPr>
          <w:p w:rsidR="000D44A5" w:rsidRPr="0008388D" w:rsidRDefault="000D44A5" w:rsidP="00DA58BE">
            <w:pPr>
              <w:pStyle w:val="TableText"/>
              <w:tabs>
                <w:tab w:val="decimal" w:pos="755"/>
              </w:tabs>
              <w:rPr>
                <w:b/>
              </w:rPr>
            </w:pPr>
            <w:r w:rsidRPr="0008388D">
              <w:rPr>
                <w:b/>
              </w:rPr>
              <w:t>–</w:t>
            </w:r>
          </w:p>
        </w:tc>
      </w:tr>
      <w:tr w:rsidR="000D44A5" w:rsidRPr="00AF16D8" w:rsidTr="00DA58BE">
        <w:trPr>
          <w:cantSplit/>
        </w:trPr>
        <w:tc>
          <w:tcPr>
            <w:tcW w:w="2835" w:type="dxa"/>
            <w:tcBorders>
              <w:top w:val="single" w:sz="4" w:space="0" w:color="auto"/>
            </w:tcBorders>
            <w:shd w:val="clear" w:color="auto" w:fill="auto"/>
          </w:tcPr>
          <w:p w:rsidR="000D44A5" w:rsidRPr="0008388D" w:rsidRDefault="000D44A5" w:rsidP="007B3A51">
            <w:pPr>
              <w:pStyle w:val="TableText"/>
            </w:pPr>
            <w:r w:rsidRPr="0008388D">
              <w:rPr>
                <w:b/>
              </w:rPr>
              <w:t>Total</w:t>
            </w:r>
          </w:p>
        </w:tc>
        <w:tc>
          <w:tcPr>
            <w:tcW w:w="1598" w:type="dxa"/>
            <w:tcBorders>
              <w:top w:val="single" w:sz="4" w:space="0" w:color="auto"/>
            </w:tcBorders>
            <w:shd w:val="clear" w:color="auto" w:fill="auto"/>
          </w:tcPr>
          <w:p w:rsidR="000D44A5" w:rsidRPr="0008388D" w:rsidRDefault="000D44A5" w:rsidP="00DA58BE">
            <w:pPr>
              <w:pStyle w:val="TableText"/>
              <w:tabs>
                <w:tab w:val="decimal" w:pos="1077"/>
              </w:tabs>
              <w:rPr>
                <w:b/>
              </w:rPr>
            </w:pPr>
            <w:r w:rsidRPr="0008388D">
              <w:rPr>
                <w:b/>
              </w:rPr>
              <w:t>58,957</w:t>
            </w:r>
          </w:p>
        </w:tc>
        <w:tc>
          <w:tcPr>
            <w:tcW w:w="1599" w:type="dxa"/>
            <w:tcBorders>
              <w:top w:val="single" w:sz="4" w:space="0" w:color="auto"/>
            </w:tcBorders>
            <w:shd w:val="clear" w:color="auto" w:fill="auto"/>
          </w:tcPr>
          <w:p w:rsidR="000D44A5" w:rsidRPr="0008388D" w:rsidRDefault="000D44A5" w:rsidP="00DA58BE">
            <w:pPr>
              <w:pStyle w:val="TableText"/>
              <w:tabs>
                <w:tab w:val="decimal" w:pos="755"/>
              </w:tabs>
              <w:rPr>
                <w:b/>
              </w:rPr>
            </w:pPr>
            <w:r w:rsidRPr="0008388D">
              <w:rPr>
                <w:b/>
              </w:rPr>
              <w:t>100.0</w:t>
            </w:r>
          </w:p>
        </w:tc>
      </w:tr>
    </w:tbl>
    <w:p w:rsidR="000D44A5" w:rsidRPr="00ED66C0" w:rsidRDefault="000D44A5" w:rsidP="00DA58BE">
      <w:pPr>
        <w:pStyle w:val="Source"/>
      </w:pPr>
      <w:r w:rsidRPr="00ED66C0">
        <w:t>Source: National Maternity Collection</w:t>
      </w:r>
    </w:p>
    <w:p w:rsidR="000D44A5" w:rsidRPr="0008388D" w:rsidRDefault="000D44A5" w:rsidP="00DA58BE"/>
    <w:p w:rsidR="000D44A5" w:rsidRPr="00B26FC1" w:rsidRDefault="000D44A5" w:rsidP="00DA58BE">
      <w:r w:rsidRPr="00B26FC1">
        <w:t>The distribution of birth types has changed over the last decade. From 2006 to 2015</w:t>
      </w:r>
      <w:r w:rsidR="009D02FA">
        <w:t>,</w:t>
      </w:r>
      <w:r w:rsidRPr="00B26FC1">
        <w:t xml:space="preserve"> there was a statistically significant decrease in the proportion of women having a spontaneous vaginal birth (from 66.7% to 65.2%)</w:t>
      </w:r>
      <w:r>
        <w:t>. Whereas there was a</w:t>
      </w:r>
      <w:r w:rsidRPr="00B26FC1">
        <w:t xml:space="preserve"> statistically significant increase in the proportion of </w:t>
      </w:r>
      <w:r>
        <w:t xml:space="preserve">assisted births (from 8.9% to 9.3%) and </w:t>
      </w:r>
      <w:r w:rsidRPr="00B26FC1">
        <w:t>caesarean sections (from 24.4% to 25.5</w:t>
      </w:r>
      <w:r>
        <w:t>%)</w:t>
      </w:r>
      <w:r w:rsidRPr="00B26FC1">
        <w:t xml:space="preserve"> (</w:t>
      </w:r>
      <w:r w:rsidRPr="00B26FC1">
        <w:fldChar w:fldCharType="begin"/>
      </w:r>
      <w:r w:rsidRPr="00B26FC1">
        <w:instrText xml:space="preserve"> REF _Ref428804254 \h  \* MERGEFORMAT </w:instrText>
      </w:r>
      <w:r w:rsidRPr="00B26FC1">
        <w:fldChar w:fldCharType="separate"/>
      </w:r>
      <w:r w:rsidR="00071E85" w:rsidRPr="000F2041">
        <w:t xml:space="preserve">Figure </w:t>
      </w:r>
      <w:r w:rsidR="00071E85">
        <w:rPr>
          <w:noProof/>
        </w:rPr>
        <w:t>31</w:t>
      </w:r>
      <w:r w:rsidRPr="00B26FC1">
        <w:fldChar w:fldCharType="end"/>
      </w:r>
      <w:r w:rsidRPr="00B26FC1">
        <w:t>).</w:t>
      </w:r>
    </w:p>
    <w:p w:rsidR="000D44A5" w:rsidRPr="00AF16D8" w:rsidRDefault="000D44A5" w:rsidP="00DA58BE">
      <w:pPr>
        <w:rPr>
          <w:highlight w:val="yellow"/>
        </w:rPr>
      </w:pPr>
    </w:p>
    <w:p w:rsidR="000D44A5" w:rsidRPr="000F2041" w:rsidRDefault="000D44A5" w:rsidP="00DA58BE">
      <w:pPr>
        <w:pStyle w:val="Figure"/>
      </w:pPr>
      <w:bookmarkStart w:id="347" w:name="_Ref428804254"/>
      <w:bookmarkStart w:id="348" w:name="_Toc400706151"/>
      <w:bookmarkStart w:id="349" w:name="_Toc405886957"/>
      <w:bookmarkStart w:id="350" w:name="_Toc412122446"/>
      <w:bookmarkStart w:id="351" w:name="_Toc428799331"/>
      <w:bookmarkStart w:id="352" w:name="_Toc433389789"/>
      <w:bookmarkStart w:id="353" w:name="_Toc485114362"/>
      <w:bookmarkStart w:id="354" w:name="_Toc485542698"/>
      <w:r w:rsidRPr="000F2041">
        <w:t xml:space="preserve">Figure </w:t>
      </w:r>
      <w:r w:rsidR="00071E85">
        <w:fldChar w:fldCharType="begin"/>
      </w:r>
      <w:r w:rsidR="00071E85">
        <w:instrText xml:space="preserve"> SEQ Figure \* ARABIC </w:instrText>
      </w:r>
      <w:r w:rsidR="00071E85">
        <w:fldChar w:fldCharType="separate"/>
      </w:r>
      <w:r w:rsidR="00071E85">
        <w:rPr>
          <w:noProof/>
        </w:rPr>
        <w:t>31</w:t>
      </w:r>
      <w:r w:rsidR="00071E85">
        <w:rPr>
          <w:noProof/>
        </w:rPr>
        <w:fldChar w:fldCharType="end"/>
      </w:r>
      <w:bookmarkEnd w:id="347"/>
      <w:r w:rsidRPr="000F2041">
        <w:rPr>
          <w:noProof/>
        </w:rPr>
        <w:t>:</w:t>
      </w:r>
      <w:r w:rsidRPr="000F2041">
        <w:t xml:space="preserve"> Percentage of women giving birth, by type of birth (aggregated), 2006–201</w:t>
      </w:r>
      <w:bookmarkEnd w:id="348"/>
      <w:bookmarkEnd w:id="349"/>
      <w:bookmarkEnd w:id="350"/>
      <w:bookmarkEnd w:id="351"/>
      <w:bookmarkEnd w:id="352"/>
      <w:r w:rsidRPr="000F2041">
        <w:t>5</w:t>
      </w:r>
      <w:bookmarkEnd w:id="353"/>
      <w:bookmarkEnd w:id="354"/>
    </w:p>
    <w:p w:rsidR="000D44A5" w:rsidRPr="00AF16D8" w:rsidRDefault="000D44A5" w:rsidP="00DA58BE">
      <w:pPr>
        <w:rPr>
          <w:highlight w:val="yellow"/>
        </w:rPr>
      </w:pPr>
      <w:r w:rsidRPr="000F2041">
        <w:rPr>
          <w:noProof/>
          <w:lang w:eastAsia="en-NZ"/>
        </w:rPr>
        <w:drawing>
          <wp:inline distT="0" distB="0" distL="0" distR="0" wp14:anchorId="18148E6D" wp14:editId="67A8993A">
            <wp:extent cx="4314305" cy="2147885"/>
            <wp:effectExtent l="0" t="0" r="0" b="5080"/>
            <wp:docPr id="94" name="Picture 94" title="Figure 31: Percentage of women giving birth, by type of birth (aggregated),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5">
                      <a:extLst>
                        <a:ext uri="{28A0092B-C50C-407E-A947-70E740481C1C}">
                          <a14:useLocalDpi xmlns:a14="http://schemas.microsoft.com/office/drawing/2010/main" val="0"/>
                        </a:ext>
                      </a:extLst>
                    </a:blip>
                    <a:srcRect l="1633" t="2176"/>
                    <a:stretch/>
                  </pic:blipFill>
                  <pic:spPr bwMode="auto">
                    <a:xfrm>
                      <a:off x="0" y="0"/>
                      <a:ext cx="4330027" cy="2155712"/>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0F2041" w:rsidRDefault="000D44A5" w:rsidP="00DA58BE">
      <w:pPr>
        <w:pStyle w:val="Note"/>
      </w:pPr>
      <w:r w:rsidRPr="000F2041">
        <w:t>Notes:</w:t>
      </w:r>
    </w:p>
    <w:p w:rsidR="000D44A5" w:rsidRPr="000F2041" w:rsidRDefault="000D44A5" w:rsidP="00DA58BE">
      <w:pPr>
        <w:pStyle w:val="Note"/>
      </w:pPr>
      <w:r w:rsidRPr="000F2041">
        <w:t>Spontaneous vaginal birth includes spontaneous vertex and breech births. Assisted birth includes breech extraction and assisted breech.</w:t>
      </w:r>
    </w:p>
    <w:p w:rsidR="000D44A5" w:rsidRPr="000F2041" w:rsidRDefault="000D44A5" w:rsidP="00DA58BE">
      <w:pPr>
        <w:pStyle w:val="Note"/>
      </w:pPr>
      <w:r w:rsidRPr="000F2041">
        <w:t>The denominator used to calculate percentages is the number of women giving birth, excluding those with unknown birth type.</w:t>
      </w:r>
    </w:p>
    <w:p w:rsidR="000D44A5" w:rsidRDefault="000D44A5" w:rsidP="00DA58BE">
      <w:pPr>
        <w:pStyle w:val="Source"/>
      </w:pPr>
      <w:r>
        <w:t>Source: National Maternity Collection</w:t>
      </w:r>
    </w:p>
    <w:p w:rsidR="000D44A5" w:rsidRPr="00AF16D8" w:rsidRDefault="000D44A5" w:rsidP="00DA58BE">
      <w:pPr>
        <w:rPr>
          <w:highlight w:val="yellow"/>
        </w:rPr>
      </w:pPr>
    </w:p>
    <w:p w:rsidR="000D44A5" w:rsidRPr="000B21F0" w:rsidRDefault="000D44A5" w:rsidP="00DA58BE">
      <w:r w:rsidRPr="000B21F0">
        <w:lastRenderedPageBreak/>
        <w:t xml:space="preserve">The Organisation for Economic Co-operation and Development (OECD) presented a comparison of caesarean section rates (number of caesarean section deliveries performed per 100 live births) across OECD countries between 2000 and 2013 in the most recent edition of the </w:t>
      </w:r>
      <w:r w:rsidRPr="000B21F0">
        <w:rPr>
          <w:i/>
        </w:rPr>
        <w:t>Health at a Glance</w:t>
      </w:r>
      <w:r w:rsidRPr="000B21F0">
        <w:t xml:space="preserve"> publication (OECD 2015).</w:t>
      </w:r>
      <w:r w:rsidRPr="00DA58BE">
        <w:rPr>
          <w:rStyle w:val="FootnoteReference"/>
        </w:rPr>
        <w:footnoteReference w:id="10"/>
      </w:r>
    </w:p>
    <w:p w:rsidR="000D44A5" w:rsidRPr="00AF16D8" w:rsidRDefault="000D44A5" w:rsidP="00DA58BE">
      <w:pPr>
        <w:rPr>
          <w:highlight w:val="yellow"/>
        </w:rPr>
      </w:pPr>
    </w:p>
    <w:p w:rsidR="000D44A5" w:rsidRPr="00AF16D8" w:rsidRDefault="000D44A5" w:rsidP="00DA58BE">
      <w:pPr>
        <w:rPr>
          <w:highlight w:val="yellow"/>
        </w:rPr>
      </w:pPr>
      <w:r>
        <w:t>In 2013, t</w:t>
      </w:r>
      <w:r w:rsidRPr="000B21F0">
        <w:t xml:space="preserve">he rate of caesarean </w:t>
      </w:r>
      <w:r>
        <w:t>sections for New Zealand w</w:t>
      </w:r>
      <w:r w:rsidRPr="000B21F0">
        <w:t>as 25.8 per 100 live births, s</w:t>
      </w:r>
      <w:r>
        <w:t>lightly higher than</w:t>
      </w:r>
      <w:r w:rsidRPr="000B21F0">
        <w:t xml:space="preserve"> the rate for the </w:t>
      </w:r>
      <w:r>
        <w:t xml:space="preserve">United Kingdom </w:t>
      </w:r>
      <w:r w:rsidRPr="000B21F0">
        <w:t>(2</w:t>
      </w:r>
      <w:r>
        <w:t>3.0</w:t>
      </w:r>
      <w:r w:rsidRPr="000B21F0">
        <w:t xml:space="preserve"> per 100 live births). The New Zealand rate was lower than the rates for Australia (32.1 per 100 live births, 2012) and the United States (32.5</w:t>
      </w:r>
      <w:r w:rsidR="00DA58BE">
        <w:t> </w:t>
      </w:r>
      <w:r w:rsidRPr="000B21F0">
        <w:t>per 100 live births), as well as the overall OECD rate (27.6 per 100 live births) (</w:t>
      </w:r>
      <w:r w:rsidRPr="000B21F0">
        <w:fldChar w:fldCharType="begin"/>
      </w:r>
      <w:r w:rsidRPr="000B21F0">
        <w:instrText xml:space="preserve"> REF _Ref428804236 \h  \* MERGEFORMAT </w:instrText>
      </w:r>
      <w:r w:rsidRPr="000B21F0">
        <w:fldChar w:fldCharType="separate"/>
      </w:r>
      <w:r w:rsidR="00071E85" w:rsidRPr="00FF394D">
        <w:t>Figure </w:t>
      </w:r>
      <w:r w:rsidR="00071E85">
        <w:t>32</w:t>
      </w:r>
      <w:r w:rsidRPr="000B21F0">
        <w:fldChar w:fldCharType="end"/>
      </w:r>
      <w:r w:rsidRPr="000B21F0">
        <w:t>).</w:t>
      </w:r>
    </w:p>
    <w:p w:rsidR="000D44A5" w:rsidRPr="00E83070" w:rsidRDefault="000D44A5" w:rsidP="00DA58BE"/>
    <w:p w:rsidR="000D44A5" w:rsidRPr="00AF16D8" w:rsidRDefault="000D44A5" w:rsidP="00DA58BE">
      <w:pPr>
        <w:rPr>
          <w:highlight w:val="yellow"/>
        </w:rPr>
      </w:pPr>
      <w:r w:rsidRPr="00E83070">
        <w:t xml:space="preserve">Almost all OECD countries, including New Zealand, showed an increase in the caesarean section rate between </w:t>
      </w:r>
      <w:r w:rsidRPr="00E133D9">
        <w:t>2000 and 2013. The increases were particularly rapid in the Slovak Republic, the Czech Republic, Mexico, Slovenia, Poland and</w:t>
      </w:r>
      <w:r>
        <w:t xml:space="preserve"> Turkey. T</w:t>
      </w:r>
      <w:r w:rsidRPr="00E133D9">
        <w:t xml:space="preserve">he growth rate has slowed </w:t>
      </w:r>
      <w:r>
        <w:t>in some countries, and</w:t>
      </w:r>
      <w:r w:rsidRPr="00E133D9">
        <w:t xml:space="preserve"> </w:t>
      </w:r>
      <w:r w:rsidRPr="0085449E">
        <w:t xml:space="preserve">since 2006 </w:t>
      </w:r>
      <w:r>
        <w:t xml:space="preserve">has reversed </w:t>
      </w:r>
      <w:r w:rsidRPr="0085449E">
        <w:t>for Italy, Israel, Sweden, Finland and Spain (</w:t>
      </w:r>
      <w:r w:rsidRPr="0085449E">
        <w:fldChar w:fldCharType="begin"/>
      </w:r>
      <w:r w:rsidRPr="0085449E">
        <w:instrText xml:space="preserve"> REF _Ref428804236 \h  \* MERGEFORMAT </w:instrText>
      </w:r>
      <w:r w:rsidRPr="0085449E">
        <w:fldChar w:fldCharType="separate"/>
      </w:r>
      <w:r w:rsidR="00071E85" w:rsidRPr="00FF394D">
        <w:t>Figure </w:t>
      </w:r>
      <w:r w:rsidR="00071E85">
        <w:t>32</w:t>
      </w:r>
      <w:r w:rsidRPr="0085449E">
        <w:fldChar w:fldCharType="end"/>
      </w:r>
      <w:r w:rsidRPr="0085449E">
        <w:t>).</w:t>
      </w:r>
    </w:p>
    <w:p w:rsidR="000D44A5" w:rsidRPr="00AF16D8" w:rsidRDefault="000D44A5" w:rsidP="00DA58BE">
      <w:pPr>
        <w:rPr>
          <w:highlight w:val="yellow"/>
        </w:rPr>
      </w:pPr>
    </w:p>
    <w:p w:rsidR="000D44A5" w:rsidRPr="00AF16D8" w:rsidRDefault="000D44A5" w:rsidP="000D44A5">
      <w:pPr>
        <w:rPr>
          <w:highlight w:val="yellow"/>
        </w:rPr>
      </w:pPr>
      <w:r w:rsidRPr="00FF394D">
        <w:t>The cae</w:t>
      </w:r>
      <w:r w:rsidRPr="00DA58BE">
        <w:t>s</w:t>
      </w:r>
      <w:r w:rsidRPr="00FF394D">
        <w:t xml:space="preserve">arean section rate for </w:t>
      </w:r>
      <w:r w:rsidRPr="00E133D9">
        <w:t>New Zealand in 2015 was 25.</w:t>
      </w:r>
      <w:r>
        <w:t>1</w:t>
      </w:r>
      <w:r w:rsidRPr="00E133D9">
        <w:t xml:space="preserve"> per 100 live births,</w:t>
      </w:r>
      <w:r w:rsidRPr="00DA58BE">
        <w:rPr>
          <w:rStyle w:val="FootnoteReference"/>
        </w:rPr>
        <w:footnoteReference w:id="11"/>
      </w:r>
      <w:r w:rsidRPr="00E133D9">
        <w:t xml:space="preserve"> a </w:t>
      </w:r>
      <w:r>
        <w:t>decrease from 25.8</w:t>
      </w:r>
      <w:r w:rsidRPr="00E133D9">
        <w:t xml:space="preserve"> per 100 live births in 2013.</w:t>
      </w:r>
    </w:p>
    <w:p w:rsidR="000D44A5" w:rsidRPr="00AF16D8" w:rsidRDefault="000D44A5" w:rsidP="00DA58BE">
      <w:pPr>
        <w:rPr>
          <w:highlight w:val="yellow"/>
        </w:rPr>
      </w:pPr>
      <w:bookmarkStart w:id="355" w:name="_Ref401670009"/>
      <w:bookmarkStart w:id="356" w:name="_Toc405886958"/>
      <w:bookmarkStart w:id="357" w:name="_Toc412122447"/>
    </w:p>
    <w:p w:rsidR="000D44A5" w:rsidRPr="00FF394D" w:rsidRDefault="000D44A5" w:rsidP="00DA58BE">
      <w:pPr>
        <w:pStyle w:val="Figure"/>
      </w:pPr>
      <w:bookmarkStart w:id="358" w:name="_Ref428804236"/>
      <w:bookmarkStart w:id="359" w:name="_Toc428799332"/>
      <w:bookmarkStart w:id="360" w:name="_Toc433389790"/>
      <w:bookmarkStart w:id="361" w:name="_Ref434657788"/>
      <w:bookmarkStart w:id="362" w:name="_Toc485114363"/>
      <w:bookmarkStart w:id="363" w:name="_Toc485542699"/>
      <w:bookmarkEnd w:id="355"/>
      <w:r w:rsidRPr="00FF394D">
        <w:t>Figure </w:t>
      </w:r>
      <w:r w:rsidR="00071E85">
        <w:fldChar w:fldCharType="begin"/>
      </w:r>
      <w:r w:rsidR="00071E85">
        <w:instrText xml:space="preserve"> SEQ Figure \* ARABIC </w:instrText>
      </w:r>
      <w:r w:rsidR="00071E85">
        <w:fldChar w:fldCharType="separate"/>
      </w:r>
      <w:r w:rsidR="00071E85">
        <w:rPr>
          <w:noProof/>
        </w:rPr>
        <w:t>32</w:t>
      </w:r>
      <w:r w:rsidR="00071E85">
        <w:rPr>
          <w:noProof/>
        </w:rPr>
        <w:fldChar w:fldCharType="end"/>
      </w:r>
      <w:bookmarkEnd w:id="358"/>
      <w:r w:rsidRPr="00FF394D">
        <w:rPr>
          <w:noProof/>
        </w:rPr>
        <w:t>:</w:t>
      </w:r>
      <w:r w:rsidRPr="00FF394D">
        <w:t xml:space="preserve"> Comparison of caesarean section rates (per 100 live births) in 2000, 2006 and 2013 (or nearest year) for OECD countries</w:t>
      </w:r>
      <w:bookmarkEnd w:id="356"/>
      <w:bookmarkEnd w:id="357"/>
      <w:bookmarkEnd w:id="359"/>
      <w:bookmarkEnd w:id="360"/>
      <w:bookmarkEnd w:id="361"/>
      <w:bookmarkEnd w:id="362"/>
      <w:bookmarkEnd w:id="363"/>
    </w:p>
    <w:p w:rsidR="000D44A5" w:rsidRPr="00AF16D8" w:rsidRDefault="000D44A5" w:rsidP="00573B97">
      <w:pPr>
        <w:rPr>
          <w:noProof/>
          <w:highlight w:val="yellow"/>
          <w:lang w:eastAsia="en-NZ"/>
        </w:rPr>
      </w:pPr>
      <w:r w:rsidRPr="00573B97">
        <w:rPr>
          <w:noProof/>
          <w:lang w:eastAsia="en-NZ"/>
        </w:rPr>
        <w:drawing>
          <wp:inline distT="0" distB="0" distL="0" distR="0" wp14:anchorId="4A0B37A9" wp14:editId="2B633652">
            <wp:extent cx="5611091" cy="3366654"/>
            <wp:effectExtent l="0" t="0" r="8890" b="5715"/>
            <wp:docPr id="40" name="Picture 40" title="Figure 32: Comparison of caesarean section rates (per 100 live births) in 2000, 2006 and 2013 (or nearest year) for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l="1589" t="1666" r="998" b="1905"/>
                    <a:stretch/>
                  </pic:blipFill>
                  <pic:spPr bwMode="auto">
                    <a:xfrm>
                      <a:off x="0" y="0"/>
                      <a:ext cx="5617506" cy="3370503"/>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FF394D" w:rsidRDefault="000D44A5" w:rsidP="00DA58BE">
      <w:pPr>
        <w:pStyle w:val="Note"/>
      </w:pPr>
      <w:r w:rsidRPr="00FF394D">
        <w:t>Notes:</w:t>
      </w:r>
    </w:p>
    <w:p w:rsidR="000D44A5" w:rsidRPr="00FF394D" w:rsidRDefault="000D44A5" w:rsidP="00DA58BE">
      <w:pPr>
        <w:pStyle w:val="Note"/>
      </w:pPr>
      <w:r w:rsidRPr="00FF394D">
        <w:t>Countries for which the caesarean section rate was unavailable for the year 2000 are marked with an asterisk (*).</w:t>
      </w:r>
    </w:p>
    <w:p w:rsidR="000D44A5" w:rsidRDefault="000D44A5" w:rsidP="00DA58BE">
      <w:pPr>
        <w:pStyle w:val="Note"/>
      </w:pPr>
      <w:r w:rsidRPr="00FF394D">
        <w:t>The rate presented is the number of caesarean deliveries performed per 100 live births.</w:t>
      </w:r>
    </w:p>
    <w:p w:rsidR="000D44A5" w:rsidRPr="00FF394D" w:rsidRDefault="000D44A5" w:rsidP="00DA58BE">
      <w:pPr>
        <w:pStyle w:val="Note"/>
      </w:pPr>
      <w:r w:rsidRPr="00FF394D">
        <w:t xml:space="preserve">Data was sourced from </w:t>
      </w:r>
      <w:r w:rsidRPr="00FF394D">
        <w:rPr>
          <w:i/>
        </w:rPr>
        <w:t>Health at a Glance 2015: OECD indicators</w:t>
      </w:r>
      <w:r w:rsidRPr="00FF394D">
        <w:t xml:space="preserve"> (OECD 2015). Refer to publication for more details on limitations in data comparability.</w:t>
      </w:r>
    </w:p>
    <w:p w:rsidR="000D44A5" w:rsidRPr="00ED66C0" w:rsidRDefault="000D44A5" w:rsidP="00DA58BE"/>
    <w:p w:rsidR="000D44A5" w:rsidRPr="000F2041" w:rsidRDefault="000D44A5" w:rsidP="00DA58BE">
      <w:pPr>
        <w:pStyle w:val="Heading3"/>
      </w:pPr>
      <w:r w:rsidRPr="000F2041">
        <w:lastRenderedPageBreak/>
        <w:t>Breech births</w:t>
      </w:r>
    </w:p>
    <w:p w:rsidR="000D44A5" w:rsidRPr="000F2041" w:rsidRDefault="000D44A5" w:rsidP="00DA58BE">
      <w:pPr>
        <w:pStyle w:val="Box"/>
      </w:pPr>
      <w:r w:rsidRPr="000F2041">
        <w:t>Breech birth in this publication refers to a vaginal birth of a baby by the buttocks or lower limbs first rather than the head.</w:t>
      </w:r>
    </w:p>
    <w:p w:rsidR="000D44A5" w:rsidRPr="000F2041" w:rsidRDefault="000D44A5" w:rsidP="00DA58BE">
      <w:pPr>
        <w:pStyle w:val="Box"/>
      </w:pPr>
      <w:r w:rsidRPr="000F2041">
        <w:rPr>
          <w:b/>
        </w:rPr>
        <w:t>Spontaneous breech</w:t>
      </w:r>
      <w:r w:rsidRPr="000F2041">
        <w:t xml:space="preserve"> refers to the birth of a baby from a breech presentation without obstetric intervention to facilitate delivery, but which may include other obstetric procedures such as induction.</w:t>
      </w:r>
    </w:p>
    <w:p w:rsidR="000D44A5" w:rsidRPr="000F2041" w:rsidRDefault="000D44A5" w:rsidP="00DA58BE">
      <w:pPr>
        <w:pStyle w:val="Box"/>
      </w:pPr>
      <w:r w:rsidRPr="000F2041">
        <w:rPr>
          <w:b/>
        </w:rPr>
        <w:t xml:space="preserve">Assisted breech </w:t>
      </w:r>
      <w:r w:rsidRPr="000F2041">
        <w:t>refers to</w:t>
      </w:r>
      <w:r w:rsidRPr="000F2041">
        <w:rPr>
          <w:b/>
        </w:rPr>
        <w:t xml:space="preserve"> </w:t>
      </w:r>
      <w:r w:rsidRPr="000F2041">
        <w:t>an assisted vaginal birth in which a baby being born feet or buttocks first is delivered spontaneously as far as its umbilicus and is then extracted. It may include the use of forceps.</w:t>
      </w:r>
    </w:p>
    <w:p w:rsidR="000D44A5" w:rsidRPr="000F2041" w:rsidRDefault="000D44A5" w:rsidP="00DA58BE">
      <w:pPr>
        <w:pStyle w:val="Box"/>
      </w:pPr>
      <w:r w:rsidRPr="000F2041">
        <w:rPr>
          <w:b/>
        </w:rPr>
        <w:t xml:space="preserve">Breech extraction </w:t>
      </w:r>
      <w:r w:rsidRPr="000F2041">
        <w:t>refers to</w:t>
      </w:r>
      <w:r w:rsidRPr="000F2041">
        <w:rPr>
          <w:b/>
        </w:rPr>
        <w:t xml:space="preserve"> </w:t>
      </w:r>
      <w:r w:rsidRPr="000F2041">
        <w:t>an assisted vaginal birth, performed by grasping the baby</w:t>
      </w:r>
      <w:r w:rsidR="00CB6D20">
        <w:t>’</w:t>
      </w:r>
      <w:r w:rsidRPr="000F2041">
        <w:t>s feet or buttocks before any part of the trunk is born and delivering by traction. It may include the use of forceps.</w:t>
      </w:r>
    </w:p>
    <w:p w:rsidR="000D44A5" w:rsidRPr="000F2041" w:rsidRDefault="000D44A5" w:rsidP="00DA58BE"/>
    <w:p w:rsidR="000D44A5" w:rsidRPr="000F2041" w:rsidRDefault="000D44A5" w:rsidP="00DA58BE">
      <w:r w:rsidRPr="000F2041">
        <w:t>A total of 242 women had a vaginal breech birth in 2015; 141 had a spontaneous breech birth, 72</w:t>
      </w:r>
      <w:r w:rsidR="00DA58BE">
        <w:t> </w:t>
      </w:r>
      <w:r w:rsidRPr="000F2041">
        <w:t>had</w:t>
      </w:r>
      <w:r w:rsidR="00DA58BE">
        <w:t xml:space="preserve"> </w:t>
      </w:r>
      <w:r w:rsidRPr="000F2041">
        <w:t>an assisted breech birth and 29 had a birth by breech extraction (</w:t>
      </w:r>
      <w:r w:rsidRPr="000F2041">
        <w:fldChar w:fldCharType="begin"/>
      </w:r>
      <w:r w:rsidRPr="000F2041">
        <w:instrText xml:space="preserve"> REF _Ref428802917 \h  \* MERGEFORMAT </w:instrText>
      </w:r>
      <w:r w:rsidRPr="000F2041">
        <w:fldChar w:fldCharType="separate"/>
      </w:r>
      <w:r w:rsidR="00071E85" w:rsidRPr="0008388D">
        <w:t xml:space="preserve">Table </w:t>
      </w:r>
      <w:r w:rsidR="00071E85">
        <w:rPr>
          <w:noProof/>
        </w:rPr>
        <w:t>3</w:t>
      </w:r>
      <w:r w:rsidRPr="000F2041">
        <w:fldChar w:fldCharType="end"/>
      </w:r>
      <w:r w:rsidRPr="000F2041">
        <w:t>). These births represented 0.4% of all births with a known birth type.</w:t>
      </w:r>
    </w:p>
    <w:p w:rsidR="000D44A5" w:rsidRPr="000F2041" w:rsidRDefault="000D44A5" w:rsidP="00DA58BE"/>
    <w:p w:rsidR="000D44A5" w:rsidRPr="000F2041" w:rsidRDefault="000D44A5" w:rsidP="00DA58BE">
      <w:r>
        <w:t>The proportion of vaginal breech births ranged from 0.4% to 0.5% of all births between 2006 and 2015</w:t>
      </w:r>
      <w:r w:rsidRPr="000F2041">
        <w:t xml:space="preserve"> (</w:t>
      </w:r>
      <w:r w:rsidRPr="000F2041">
        <w:fldChar w:fldCharType="begin"/>
      </w:r>
      <w:r w:rsidRPr="000F2041">
        <w:instrText xml:space="preserve"> REF _Ref428804219 \h  \* MERGEFORMAT </w:instrText>
      </w:r>
      <w:r w:rsidRPr="000F2041">
        <w:fldChar w:fldCharType="separate"/>
      </w:r>
      <w:r w:rsidR="00071E85" w:rsidRPr="000F2041">
        <w:t>Figure </w:t>
      </w:r>
      <w:r w:rsidR="00071E85">
        <w:t>33</w:t>
      </w:r>
      <w:r w:rsidRPr="000F2041">
        <w:fldChar w:fldCharType="end"/>
      </w:r>
      <w:r w:rsidRPr="000F2041">
        <w:t>).</w:t>
      </w:r>
    </w:p>
    <w:p w:rsidR="000D44A5" w:rsidRPr="000F2041" w:rsidRDefault="000D44A5" w:rsidP="00DA58BE"/>
    <w:p w:rsidR="000D44A5" w:rsidRPr="000F2041" w:rsidRDefault="000D44A5" w:rsidP="00DA58BE">
      <w:pPr>
        <w:pStyle w:val="Figure"/>
      </w:pPr>
      <w:bookmarkStart w:id="364" w:name="_Ref428804219"/>
      <w:bookmarkStart w:id="365" w:name="_Ref401317130"/>
      <w:bookmarkStart w:id="366" w:name="_Toc405886959"/>
      <w:bookmarkStart w:id="367" w:name="_Toc412122448"/>
      <w:bookmarkStart w:id="368" w:name="_Toc428799333"/>
      <w:bookmarkStart w:id="369" w:name="_Toc433389791"/>
      <w:bookmarkStart w:id="370" w:name="_Toc485114364"/>
      <w:bookmarkStart w:id="371" w:name="_Toc485542700"/>
      <w:r w:rsidRPr="000F2041">
        <w:t>Figure </w:t>
      </w:r>
      <w:r w:rsidR="00071E85">
        <w:fldChar w:fldCharType="begin"/>
      </w:r>
      <w:r w:rsidR="00071E85">
        <w:instrText xml:space="preserve"> SEQ Figure \* ARABIC </w:instrText>
      </w:r>
      <w:r w:rsidR="00071E85">
        <w:fldChar w:fldCharType="separate"/>
      </w:r>
      <w:r w:rsidR="00071E85">
        <w:rPr>
          <w:noProof/>
        </w:rPr>
        <w:t>33</w:t>
      </w:r>
      <w:r w:rsidR="00071E85">
        <w:rPr>
          <w:noProof/>
        </w:rPr>
        <w:fldChar w:fldCharType="end"/>
      </w:r>
      <w:bookmarkEnd w:id="364"/>
      <w:r w:rsidRPr="000F2041">
        <w:rPr>
          <w:noProof/>
        </w:rPr>
        <w:t>:</w:t>
      </w:r>
      <w:r w:rsidRPr="000F2041">
        <w:t xml:space="preserve"> Percentage of vaginal breech births, 2006–201</w:t>
      </w:r>
      <w:bookmarkEnd w:id="365"/>
      <w:bookmarkEnd w:id="366"/>
      <w:bookmarkEnd w:id="367"/>
      <w:bookmarkEnd w:id="368"/>
      <w:bookmarkEnd w:id="369"/>
      <w:r w:rsidRPr="000F2041">
        <w:t>5</w:t>
      </w:r>
      <w:bookmarkEnd w:id="370"/>
      <w:bookmarkEnd w:id="371"/>
    </w:p>
    <w:p w:rsidR="000D44A5" w:rsidRPr="000F2041" w:rsidRDefault="000D44A5" w:rsidP="00DA58BE">
      <w:r w:rsidRPr="000F2041">
        <w:rPr>
          <w:noProof/>
          <w:lang w:eastAsia="en-NZ"/>
        </w:rPr>
        <w:drawing>
          <wp:inline distT="0" distB="0" distL="0" distR="0" wp14:anchorId="1827BF29" wp14:editId="47DD336D">
            <wp:extent cx="4513810" cy="2243357"/>
            <wp:effectExtent l="0" t="0" r="1270" b="5080"/>
            <wp:docPr id="95" name="Picture 95" title="Figure 33: Percentage of vaginal breech births,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7">
                      <a:extLst>
                        <a:ext uri="{28A0092B-C50C-407E-A947-70E740481C1C}">
                          <a14:useLocalDpi xmlns:a14="http://schemas.microsoft.com/office/drawing/2010/main" val="0"/>
                        </a:ext>
                      </a:extLst>
                    </a:blip>
                    <a:srcRect l="1775" t="2483"/>
                    <a:stretch/>
                  </pic:blipFill>
                  <pic:spPr bwMode="auto">
                    <a:xfrm>
                      <a:off x="0" y="0"/>
                      <a:ext cx="4521707" cy="2247282"/>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AF16D8" w:rsidRDefault="000D44A5" w:rsidP="00DA58BE">
      <w:pPr>
        <w:pStyle w:val="Note"/>
        <w:rPr>
          <w:highlight w:val="yellow"/>
        </w:rPr>
      </w:pPr>
      <w:r w:rsidRPr="000F2041">
        <w:t>Note: The denominator used to calculate percentages is the number of women giving birth, excluding those with unknown birth type.</w:t>
      </w:r>
    </w:p>
    <w:p w:rsidR="000D44A5" w:rsidRDefault="000D44A5" w:rsidP="00DA58BE">
      <w:pPr>
        <w:pStyle w:val="Source"/>
      </w:pPr>
      <w:r>
        <w:t>Source: National Maternity Collection</w:t>
      </w:r>
    </w:p>
    <w:p w:rsidR="000D44A5" w:rsidRPr="00AF16D8" w:rsidRDefault="000D44A5" w:rsidP="00DA58BE">
      <w:pPr>
        <w:rPr>
          <w:highlight w:val="yellow"/>
        </w:rPr>
      </w:pPr>
    </w:p>
    <w:p w:rsidR="000D44A5" w:rsidRPr="000F2041" w:rsidRDefault="000D44A5" w:rsidP="00DA58BE">
      <w:r w:rsidRPr="000F2041">
        <w:t>The majority of spontaneous and assisted breech births in 2015 were for singleton pregnancies (71.6% and 62.5%, respectively); 69.0% of breech extractions were for twin pregnancies.</w:t>
      </w:r>
    </w:p>
    <w:p w:rsidR="000D44A5" w:rsidRPr="00AF16D8" w:rsidRDefault="000D44A5" w:rsidP="00DA58BE">
      <w:pPr>
        <w:rPr>
          <w:highlight w:val="yellow"/>
        </w:rPr>
      </w:pPr>
    </w:p>
    <w:p w:rsidR="000D44A5" w:rsidRPr="00F76F74" w:rsidRDefault="000D44A5" w:rsidP="00DA58BE">
      <w:r w:rsidRPr="00F76F74">
        <w:t>Over half (56.7%) of babies born by vaginal breech birth were preterm (&lt;37 weeks</w:t>
      </w:r>
      <w:r w:rsidR="00CB6D20">
        <w:t>’</w:t>
      </w:r>
      <w:r w:rsidRPr="00F76F74">
        <w:t xml:space="preserve"> gestation).</w:t>
      </w:r>
    </w:p>
    <w:p w:rsidR="000D44A5" w:rsidRPr="00AF16D8" w:rsidRDefault="000D44A5" w:rsidP="00DA58BE">
      <w:pPr>
        <w:rPr>
          <w:highlight w:val="yellow"/>
        </w:rPr>
      </w:pPr>
    </w:p>
    <w:p w:rsidR="000D44A5" w:rsidRDefault="000D44A5" w:rsidP="00DA58BE">
      <w:r w:rsidRPr="00587ABB">
        <w:t>The distribution of vaginal breech birth types changed from 2006 to 2015. There was an increase in the proportion of spontaneous breech births (from 52.3% to 58.3% of breech births) and a decrease in the proportion of assisted breech births (from 33.3% to 29.8% of breech births). The proportion of breech extraction fluctuated between 12.0% and 20.1% of breech births over the same time period (</w:t>
      </w:r>
      <w:r w:rsidRPr="00587ABB">
        <w:fldChar w:fldCharType="begin"/>
      </w:r>
      <w:r w:rsidRPr="00587ABB">
        <w:instrText xml:space="preserve"> REF _Ref428805091 \h  \* MERGEFORMAT </w:instrText>
      </w:r>
      <w:r w:rsidRPr="00587ABB">
        <w:fldChar w:fldCharType="separate"/>
      </w:r>
      <w:r w:rsidR="00071E85" w:rsidRPr="00587ABB">
        <w:t xml:space="preserve">Figure </w:t>
      </w:r>
      <w:r w:rsidR="00071E85">
        <w:rPr>
          <w:noProof/>
        </w:rPr>
        <w:t>34</w:t>
      </w:r>
      <w:r w:rsidRPr="00587ABB">
        <w:fldChar w:fldCharType="end"/>
      </w:r>
      <w:r w:rsidRPr="00587ABB">
        <w:t>).</w:t>
      </w:r>
    </w:p>
    <w:p w:rsidR="00DA58BE" w:rsidRPr="00587ABB" w:rsidRDefault="00DA58BE" w:rsidP="00DA58BE"/>
    <w:p w:rsidR="000D44A5" w:rsidRPr="00587ABB" w:rsidRDefault="000D44A5" w:rsidP="00DA58BE">
      <w:pPr>
        <w:pStyle w:val="Figure"/>
      </w:pPr>
      <w:bookmarkStart w:id="372" w:name="_Ref428805091"/>
      <w:bookmarkStart w:id="373" w:name="_Toc412122449"/>
      <w:bookmarkStart w:id="374" w:name="_Toc428799334"/>
      <w:bookmarkStart w:id="375" w:name="_Toc433389792"/>
      <w:bookmarkStart w:id="376" w:name="_Toc485114365"/>
      <w:bookmarkStart w:id="377" w:name="_Toc485542701"/>
      <w:r w:rsidRPr="00587ABB">
        <w:lastRenderedPageBreak/>
        <w:t xml:space="preserve">Figure </w:t>
      </w:r>
      <w:r w:rsidR="00071E85">
        <w:fldChar w:fldCharType="begin"/>
      </w:r>
      <w:r w:rsidR="00071E85">
        <w:instrText xml:space="preserve"> SEQ Figure \* ARABIC </w:instrText>
      </w:r>
      <w:r w:rsidR="00071E85">
        <w:fldChar w:fldCharType="separate"/>
      </w:r>
      <w:r w:rsidR="00071E85">
        <w:rPr>
          <w:noProof/>
        </w:rPr>
        <w:t>34</w:t>
      </w:r>
      <w:r w:rsidR="00071E85">
        <w:rPr>
          <w:noProof/>
        </w:rPr>
        <w:fldChar w:fldCharType="end"/>
      </w:r>
      <w:bookmarkEnd w:id="372"/>
      <w:r w:rsidRPr="00587ABB">
        <w:rPr>
          <w:noProof/>
        </w:rPr>
        <w:t>:</w:t>
      </w:r>
      <w:r w:rsidRPr="00587ABB">
        <w:t xml:space="preserve"> Distribution of breech birth types, 2006–201</w:t>
      </w:r>
      <w:bookmarkEnd w:id="373"/>
      <w:bookmarkEnd w:id="374"/>
      <w:bookmarkEnd w:id="375"/>
      <w:r w:rsidRPr="00587ABB">
        <w:t>5</w:t>
      </w:r>
      <w:bookmarkEnd w:id="376"/>
      <w:bookmarkEnd w:id="377"/>
    </w:p>
    <w:p w:rsidR="000D44A5" w:rsidRPr="00587ABB" w:rsidRDefault="000D44A5" w:rsidP="000D44A5">
      <w:pPr>
        <w:rPr>
          <w:rStyle w:val="NoteChar"/>
        </w:rPr>
      </w:pPr>
      <w:r w:rsidRPr="00587ABB">
        <w:rPr>
          <w:rStyle w:val="NoteChar"/>
          <w:noProof/>
          <w:lang w:eastAsia="en-NZ"/>
        </w:rPr>
        <w:drawing>
          <wp:inline distT="0" distB="0" distL="0" distR="0" wp14:anchorId="0C0ACAE5" wp14:editId="1516750E">
            <wp:extent cx="4472248" cy="2226792"/>
            <wp:effectExtent l="0" t="0" r="5080" b="2540"/>
            <wp:docPr id="5" name="Picture 5" title="Figure 34: Distribution of breech birth types,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1598" t="2128"/>
                    <a:stretch/>
                  </pic:blipFill>
                  <pic:spPr bwMode="auto">
                    <a:xfrm>
                      <a:off x="0" y="0"/>
                      <a:ext cx="4477536" cy="2229425"/>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587ABB" w:rsidRDefault="000D44A5" w:rsidP="00DA58BE">
      <w:pPr>
        <w:pStyle w:val="Note"/>
        <w:rPr>
          <w:rStyle w:val="NoteChar"/>
        </w:rPr>
      </w:pPr>
      <w:r w:rsidRPr="00587ABB">
        <w:rPr>
          <w:rStyle w:val="NoteChar"/>
        </w:rPr>
        <w:t>Note: The denominator used to calculate percentages is the number of vaginal breech births.</w:t>
      </w:r>
    </w:p>
    <w:p w:rsidR="000D44A5" w:rsidRDefault="000D44A5" w:rsidP="00DA58BE">
      <w:pPr>
        <w:pStyle w:val="Source"/>
        <w:rPr>
          <w:rStyle w:val="NoteChar"/>
        </w:rPr>
      </w:pPr>
      <w:r>
        <w:rPr>
          <w:rStyle w:val="NoteChar"/>
        </w:rPr>
        <w:t>Source: National Maternity Collection</w:t>
      </w:r>
    </w:p>
    <w:p w:rsidR="000D44A5" w:rsidRPr="00AF16D8" w:rsidRDefault="000D44A5" w:rsidP="00DA58BE">
      <w:pPr>
        <w:rPr>
          <w:highlight w:val="yellow"/>
        </w:rPr>
      </w:pPr>
    </w:p>
    <w:p w:rsidR="000D44A5" w:rsidRPr="00587ABB" w:rsidRDefault="000D44A5" w:rsidP="00DA58BE">
      <w:pPr>
        <w:pStyle w:val="Heading3"/>
      </w:pPr>
      <w:r w:rsidRPr="00587ABB">
        <w:t>Caesarean sections</w:t>
      </w:r>
    </w:p>
    <w:p w:rsidR="000D44A5" w:rsidRPr="00587ABB" w:rsidRDefault="000D44A5" w:rsidP="00DA58BE">
      <w:pPr>
        <w:pStyle w:val="Box"/>
      </w:pPr>
      <w:r w:rsidRPr="00587ABB">
        <w:rPr>
          <w:b/>
        </w:rPr>
        <w:t>Emergency caesarean section</w:t>
      </w:r>
      <w:r w:rsidRPr="00587ABB">
        <w:t xml:space="preserve"> refers to a caesarean section performed urgently for the health of the woman or baby, once labour has started.</w:t>
      </w:r>
    </w:p>
    <w:p w:rsidR="000D44A5" w:rsidRPr="00587ABB" w:rsidRDefault="000D44A5" w:rsidP="00DA58BE">
      <w:pPr>
        <w:pStyle w:val="Box"/>
      </w:pPr>
      <w:r w:rsidRPr="00587ABB">
        <w:rPr>
          <w:b/>
        </w:rPr>
        <w:t>Elective caesarean section</w:t>
      </w:r>
      <w:r w:rsidRPr="00587ABB">
        <w:t xml:space="preserve"> refers to a caesarean section performed as a planned procedure before or following the onset of labour, where the decision to have a caesarean section was made before labour.</w:t>
      </w:r>
    </w:p>
    <w:p w:rsidR="000D44A5" w:rsidRPr="00355D64" w:rsidRDefault="000D44A5" w:rsidP="00DA58BE"/>
    <w:p w:rsidR="000D44A5" w:rsidRPr="00355D64" w:rsidRDefault="000D44A5" w:rsidP="00DA58BE">
      <w:r w:rsidRPr="00355D64">
        <w:t>One in four women giving birth in 2015 had a caesarean section; just over half of these were emergency caesarean sections (</w:t>
      </w:r>
      <w:r w:rsidRPr="00355D64">
        <w:fldChar w:fldCharType="begin"/>
      </w:r>
      <w:r w:rsidRPr="00355D64">
        <w:instrText xml:space="preserve"> REF _Ref428802917 \h  \* MERGEFORMAT </w:instrText>
      </w:r>
      <w:r w:rsidRPr="00355D64">
        <w:fldChar w:fldCharType="separate"/>
      </w:r>
      <w:r w:rsidR="00071E85" w:rsidRPr="0008388D">
        <w:t xml:space="preserve">Table </w:t>
      </w:r>
      <w:r w:rsidR="00071E85">
        <w:rPr>
          <w:noProof/>
        </w:rPr>
        <w:t>3</w:t>
      </w:r>
      <w:r w:rsidRPr="00355D64">
        <w:fldChar w:fldCharType="end"/>
      </w:r>
      <w:r w:rsidRPr="00355D64">
        <w:t>).</w:t>
      </w:r>
    </w:p>
    <w:p w:rsidR="000D44A5" w:rsidRPr="00355D64" w:rsidRDefault="000D44A5" w:rsidP="00DA58BE"/>
    <w:p w:rsidR="000D44A5" w:rsidRPr="00AF16D8" w:rsidRDefault="000D44A5" w:rsidP="00DA58BE">
      <w:pPr>
        <w:rPr>
          <w:highlight w:val="yellow"/>
        </w:rPr>
      </w:pPr>
      <w:r w:rsidRPr="00355D64">
        <w:t xml:space="preserve">Between 2006 and </w:t>
      </w:r>
      <w:r w:rsidRPr="00B26FC1">
        <w:t>2015 the percentage of elective caesarean sections showed a statistically significant increase, from</w:t>
      </w:r>
      <w:r w:rsidRPr="00355D64">
        <w:t xml:space="preserve"> 10.1% to 11.8% of </w:t>
      </w:r>
      <w:r>
        <w:t>all births. Whereas t</w:t>
      </w:r>
      <w:r w:rsidRPr="00B26FC1">
        <w:t>he percentage of emergency caesarean sections showed a significant decrease, from</w:t>
      </w:r>
      <w:r w:rsidRPr="00355D64">
        <w:t xml:space="preserve"> 14.4% to 13.7% of all births (</w:t>
      </w:r>
      <w:r w:rsidRPr="00355D64">
        <w:fldChar w:fldCharType="begin"/>
      </w:r>
      <w:r w:rsidRPr="00355D64">
        <w:instrText xml:space="preserve"> REF _Ref428805521 \h  \* MERGEFORMAT </w:instrText>
      </w:r>
      <w:r w:rsidRPr="00355D64">
        <w:fldChar w:fldCharType="separate"/>
      </w:r>
      <w:r w:rsidR="00071E85" w:rsidRPr="00355D64">
        <w:t xml:space="preserve">Figure </w:t>
      </w:r>
      <w:r w:rsidR="00071E85">
        <w:rPr>
          <w:noProof/>
        </w:rPr>
        <w:t>35</w:t>
      </w:r>
      <w:r w:rsidRPr="00355D64">
        <w:fldChar w:fldCharType="end"/>
      </w:r>
      <w:r w:rsidRPr="00355D64">
        <w:t>).</w:t>
      </w:r>
    </w:p>
    <w:p w:rsidR="000D44A5" w:rsidRPr="00355D64" w:rsidRDefault="000D44A5" w:rsidP="00DA58BE"/>
    <w:p w:rsidR="000D44A5" w:rsidRPr="00355D64" w:rsidRDefault="000D44A5" w:rsidP="00DA58BE">
      <w:pPr>
        <w:pStyle w:val="Figure"/>
      </w:pPr>
      <w:bookmarkStart w:id="378" w:name="_Ref428805521"/>
      <w:bookmarkStart w:id="379" w:name="_Toc405886960"/>
      <w:bookmarkStart w:id="380" w:name="_Toc412122450"/>
      <w:bookmarkStart w:id="381" w:name="_Toc428799335"/>
      <w:bookmarkStart w:id="382" w:name="_Toc433389793"/>
      <w:bookmarkStart w:id="383" w:name="_Toc485114366"/>
      <w:bookmarkStart w:id="384" w:name="_Toc485542702"/>
      <w:bookmarkStart w:id="385" w:name="_Ref401582581"/>
      <w:r w:rsidRPr="00355D64">
        <w:t xml:space="preserve">Figure </w:t>
      </w:r>
      <w:r w:rsidR="00071E85">
        <w:fldChar w:fldCharType="begin"/>
      </w:r>
      <w:r w:rsidR="00071E85">
        <w:instrText xml:space="preserve"> SEQ Figure \* ARABIC </w:instrText>
      </w:r>
      <w:r w:rsidR="00071E85">
        <w:fldChar w:fldCharType="separate"/>
      </w:r>
      <w:r w:rsidR="00071E85">
        <w:rPr>
          <w:noProof/>
        </w:rPr>
        <w:t>35</w:t>
      </w:r>
      <w:r w:rsidR="00071E85">
        <w:rPr>
          <w:noProof/>
        </w:rPr>
        <w:fldChar w:fldCharType="end"/>
      </w:r>
      <w:bookmarkEnd w:id="378"/>
      <w:r w:rsidRPr="00355D64">
        <w:rPr>
          <w:noProof/>
        </w:rPr>
        <w:t>:</w:t>
      </w:r>
      <w:r w:rsidRPr="00355D64">
        <w:t xml:space="preserve"> Percentage of emergency and elective caesarean sections, 2006–201</w:t>
      </w:r>
      <w:bookmarkEnd w:id="379"/>
      <w:bookmarkEnd w:id="380"/>
      <w:bookmarkEnd w:id="381"/>
      <w:bookmarkEnd w:id="382"/>
      <w:r w:rsidRPr="00355D64">
        <w:t>5</w:t>
      </w:r>
      <w:bookmarkEnd w:id="383"/>
      <w:bookmarkEnd w:id="384"/>
    </w:p>
    <w:p w:rsidR="000D44A5" w:rsidRPr="00355D64" w:rsidRDefault="000D44A5" w:rsidP="000D44A5">
      <w:r w:rsidRPr="00355D64">
        <w:rPr>
          <w:noProof/>
          <w:lang w:eastAsia="en-NZ"/>
        </w:rPr>
        <w:drawing>
          <wp:inline distT="0" distB="0" distL="0" distR="0" wp14:anchorId="199566F7" wp14:editId="139BD325">
            <wp:extent cx="4289368" cy="2134853"/>
            <wp:effectExtent l="0" t="0" r="0" b="0"/>
            <wp:docPr id="6" name="Picture 6" title="Figure 35: Percentage of emergency and elective caesarean sections,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2086" t="2654"/>
                    <a:stretch/>
                  </pic:blipFill>
                  <pic:spPr bwMode="auto">
                    <a:xfrm>
                      <a:off x="0" y="0"/>
                      <a:ext cx="4303572" cy="2141922"/>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355D64" w:rsidRDefault="000D44A5" w:rsidP="00DA58BE">
      <w:pPr>
        <w:pStyle w:val="Note"/>
      </w:pPr>
      <w:r w:rsidRPr="00355D64">
        <w:t>Note: The denominator used to calculate percentages is the total number of women giving birth, excluding those with unknown birth type.</w:t>
      </w:r>
    </w:p>
    <w:p w:rsidR="000D44A5" w:rsidRDefault="000D44A5" w:rsidP="00DA58BE">
      <w:pPr>
        <w:pStyle w:val="Source"/>
      </w:pPr>
      <w:r>
        <w:t>Source: National Maternity Collection</w:t>
      </w:r>
    </w:p>
    <w:p w:rsidR="000D44A5" w:rsidRPr="00AF16D8" w:rsidRDefault="000D44A5" w:rsidP="00DA58BE">
      <w:pPr>
        <w:rPr>
          <w:highlight w:val="yellow"/>
        </w:rPr>
      </w:pPr>
      <w:bookmarkStart w:id="386" w:name="_Ref401748678"/>
    </w:p>
    <w:p w:rsidR="000D44A5" w:rsidRPr="007D32B3" w:rsidRDefault="000D44A5" w:rsidP="00DA58BE">
      <w:r w:rsidRPr="007D32B3">
        <w:lastRenderedPageBreak/>
        <w:t>The percentage of women having a caesarean section varied by age group, ethnic group and neighbourhood deprivation quintile (</w:t>
      </w:r>
      <w:r w:rsidRPr="007D32B3">
        <w:fldChar w:fldCharType="begin"/>
      </w:r>
      <w:r w:rsidRPr="007D32B3">
        <w:instrText xml:space="preserve"> REF _Ref428806115 \h  \* MERGEFORMAT </w:instrText>
      </w:r>
      <w:r w:rsidRPr="007D32B3">
        <w:fldChar w:fldCharType="separate"/>
      </w:r>
      <w:r w:rsidR="00071E85" w:rsidRPr="00663EDA">
        <w:t xml:space="preserve">Figure </w:t>
      </w:r>
      <w:r w:rsidR="00071E85">
        <w:rPr>
          <w:noProof/>
        </w:rPr>
        <w:t>36</w:t>
      </w:r>
      <w:r w:rsidRPr="007D32B3">
        <w:fldChar w:fldCharType="end"/>
      </w:r>
      <w:r w:rsidRPr="007D32B3">
        <w:t>). This variation was primarily driven by the difference in proportion of women having an elective caesarean section by demographic group. The percentage of women having an emergency caesarean section ranged from 10.8% to 21.5% across age groups, ethnic groups and deprivation quintiles.</w:t>
      </w:r>
    </w:p>
    <w:p w:rsidR="000D44A5" w:rsidRPr="00AF16D8" w:rsidRDefault="000D44A5" w:rsidP="00DA58BE">
      <w:pPr>
        <w:rPr>
          <w:highlight w:val="yellow"/>
        </w:rPr>
      </w:pPr>
    </w:p>
    <w:p w:rsidR="000D44A5" w:rsidRPr="007D32B3" w:rsidRDefault="000D44A5" w:rsidP="00DA58BE">
      <w:r w:rsidRPr="007D32B3">
        <w:t>Caesarean sections were more common among women:</w:t>
      </w:r>
    </w:p>
    <w:p w:rsidR="000D44A5" w:rsidRPr="007D32B3" w:rsidRDefault="000D44A5" w:rsidP="00DA58BE">
      <w:pPr>
        <w:pStyle w:val="Bullet"/>
      </w:pPr>
      <w:r>
        <w:t xml:space="preserve">aged 35 years and over </w:t>
      </w:r>
      <w:r w:rsidRPr="007D32B3">
        <w:t>(34.2% of women aged 35–39 years and 42.6% of women aged 40</w:t>
      </w:r>
      <w:r w:rsidR="00DA58BE">
        <w:t> </w:t>
      </w:r>
      <w:r w:rsidRPr="007D32B3">
        <w:t>years and over)</w:t>
      </w:r>
    </w:p>
    <w:p w:rsidR="000D44A5" w:rsidRPr="007D32B3" w:rsidRDefault="000D44A5" w:rsidP="00DA58BE">
      <w:pPr>
        <w:pStyle w:val="Bullet"/>
      </w:pPr>
      <w:r>
        <w:t>of Indian, Asian (excl</w:t>
      </w:r>
      <w:r w:rsidR="007E161A">
        <w:t>uding</w:t>
      </w:r>
      <w:r>
        <w:t xml:space="preserve"> Indian) and</w:t>
      </w:r>
      <w:r w:rsidRPr="007D32B3">
        <w:t xml:space="preserve"> European or other ethnicities (33.0%, 30.0% and 27.8%</w:t>
      </w:r>
      <w:r>
        <w:t xml:space="preserve">, </w:t>
      </w:r>
      <w:r w:rsidRPr="007D32B3">
        <w:t>respectively)</w:t>
      </w:r>
    </w:p>
    <w:p w:rsidR="000D44A5" w:rsidRPr="007D32B3" w:rsidRDefault="000D44A5" w:rsidP="00DA58BE">
      <w:pPr>
        <w:pStyle w:val="Bullet"/>
      </w:pPr>
      <w:r w:rsidRPr="007D32B3">
        <w:t>in the least deprived neighbourhoods (30.4% of women in quintile 1).</w:t>
      </w:r>
    </w:p>
    <w:p w:rsidR="000D44A5" w:rsidRPr="00AF16D8" w:rsidRDefault="000D44A5" w:rsidP="00DA58BE">
      <w:pPr>
        <w:rPr>
          <w:highlight w:val="yellow"/>
        </w:rPr>
      </w:pPr>
    </w:p>
    <w:p w:rsidR="000D44A5" w:rsidRPr="00AF16D8" w:rsidRDefault="000D44A5" w:rsidP="00DA58BE">
      <w:pPr>
        <w:rPr>
          <w:highlight w:val="yellow"/>
        </w:rPr>
      </w:pPr>
      <w:bookmarkStart w:id="387" w:name="_Ref405550061"/>
      <w:bookmarkStart w:id="388" w:name="_Toc405886961"/>
      <w:bookmarkStart w:id="389" w:name="_Toc412122451"/>
      <w:r w:rsidRPr="007D32B3">
        <w:t xml:space="preserve">Emergency caesarean sections were more common for women having their first baby (21.5%) than for women who had given </w:t>
      </w:r>
      <w:r w:rsidRPr="00663EDA">
        <w:t>birth before (7.8%). The opposite was true for elective caesarean sections (6.0% of women giving birth for the first time compared with 15.5% of women who had given birth at least once).</w:t>
      </w:r>
    </w:p>
    <w:p w:rsidR="000D44A5" w:rsidRPr="00663EDA" w:rsidRDefault="000D44A5" w:rsidP="00DA58BE"/>
    <w:p w:rsidR="000D44A5" w:rsidRPr="00663EDA" w:rsidRDefault="000D44A5" w:rsidP="00DA58BE">
      <w:pPr>
        <w:pStyle w:val="Figure"/>
      </w:pPr>
      <w:bookmarkStart w:id="390" w:name="_Ref428806115"/>
      <w:bookmarkStart w:id="391" w:name="_Toc428799336"/>
      <w:bookmarkStart w:id="392" w:name="_Toc433389794"/>
      <w:bookmarkStart w:id="393" w:name="_Toc485114367"/>
      <w:bookmarkStart w:id="394" w:name="_Toc485542703"/>
      <w:bookmarkEnd w:id="385"/>
      <w:bookmarkEnd w:id="386"/>
      <w:bookmarkEnd w:id="387"/>
      <w:r w:rsidRPr="00663EDA">
        <w:t xml:space="preserve">Figure </w:t>
      </w:r>
      <w:r w:rsidR="00071E85">
        <w:fldChar w:fldCharType="begin"/>
      </w:r>
      <w:r w:rsidR="00071E85">
        <w:instrText xml:space="preserve"> SEQ Figure \* ARABIC </w:instrText>
      </w:r>
      <w:r w:rsidR="00071E85">
        <w:fldChar w:fldCharType="separate"/>
      </w:r>
      <w:r w:rsidR="00071E85">
        <w:rPr>
          <w:noProof/>
        </w:rPr>
        <w:t>36</w:t>
      </w:r>
      <w:r w:rsidR="00071E85">
        <w:rPr>
          <w:noProof/>
        </w:rPr>
        <w:fldChar w:fldCharType="end"/>
      </w:r>
      <w:bookmarkEnd w:id="390"/>
      <w:r w:rsidRPr="00663EDA">
        <w:rPr>
          <w:noProof/>
        </w:rPr>
        <w:t>:</w:t>
      </w:r>
      <w:r w:rsidRPr="00663EDA">
        <w:t xml:space="preserve"> Percentage of caesarean sections, by type, age group, ethnic group and neighbourhood deprivation quintile, </w:t>
      </w:r>
      <w:bookmarkEnd w:id="388"/>
      <w:bookmarkEnd w:id="389"/>
      <w:bookmarkEnd w:id="391"/>
      <w:r w:rsidRPr="00663EDA">
        <w:t>201</w:t>
      </w:r>
      <w:bookmarkEnd w:id="392"/>
      <w:r w:rsidRPr="00663EDA">
        <w:t>5</w:t>
      </w:r>
      <w:bookmarkEnd w:id="393"/>
      <w:bookmarkEnd w:id="394"/>
    </w:p>
    <w:p w:rsidR="000D44A5" w:rsidRPr="00663EDA" w:rsidRDefault="000D44A5" w:rsidP="000D44A5">
      <w:r>
        <w:rPr>
          <w:noProof/>
          <w:lang w:eastAsia="en-NZ"/>
        </w:rPr>
        <w:drawing>
          <wp:inline distT="0" distB="0" distL="0" distR="0" wp14:anchorId="5BFFFBDF" wp14:editId="066E7427">
            <wp:extent cx="5037512" cy="3507971"/>
            <wp:effectExtent l="0" t="0" r="0" b="0"/>
            <wp:docPr id="71" name="Picture 71" title="Figure 36: Percentage of caesarean sections, by type,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0">
                      <a:extLst>
                        <a:ext uri="{28A0092B-C50C-407E-A947-70E740481C1C}">
                          <a14:useLocalDpi xmlns:a14="http://schemas.microsoft.com/office/drawing/2010/main" val="0"/>
                        </a:ext>
                      </a:extLst>
                    </a:blip>
                    <a:srcRect l="3503" t="1799" b="3334"/>
                    <a:stretch/>
                  </pic:blipFill>
                  <pic:spPr bwMode="auto">
                    <a:xfrm>
                      <a:off x="0" y="0"/>
                      <a:ext cx="5048036" cy="3515300"/>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663EDA" w:rsidRDefault="000D44A5" w:rsidP="00DA58BE">
      <w:pPr>
        <w:pStyle w:val="Note"/>
      </w:pPr>
      <w:r w:rsidRPr="00663EDA">
        <w:t>Note: The denominator used to calculate percentages is the total number of women giving birth, excluding those with unknown birth type.</w:t>
      </w:r>
    </w:p>
    <w:p w:rsidR="000D44A5" w:rsidRDefault="000D44A5" w:rsidP="00DA58BE">
      <w:pPr>
        <w:pStyle w:val="Source"/>
      </w:pPr>
      <w:r>
        <w:t>Source: National Maternity Collection</w:t>
      </w:r>
    </w:p>
    <w:p w:rsidR="000D44A5" w:rsidRPr="00AF16D8" w:rsidRDefault="000D44A5" w:rsidP="00DA58BE">
      <w:pPr>
        <w:rPr>
          <w:highlight w:val="yellow"/>
        </w:rPr>
      </w:pPr>
    </w:p>
    <w:p w:rsidR="000D44A5" w:rsidRPr="0042276C" w:rsidRDefault="000D44A5" w:rsidP="00DA58BE">
      <w:r w:rsidRPr="0042276C">
        <w:t>The proportion of emergency caesarean sections varied throughout the country. Whanganui DHB region had the lowest proportion of emergency sections (9.4% of women giving birth); Wairarapa DHB region had the highest (20.9%) (</w:t>
      </w:r>
      <w:r w:rsidRPr="0042276C">
        <w:fldChar w:fldCharType="begin"/>
      </w:r>
      <w:r w:rsidRPr="0042276C">
        <w:instrText xml:space="preserve"> REF _Ref428806647 \h  \* MERGEFORMAT </w:instrText>
      </w:r>
      <w:r w:rsidRPr="0042276C">
        <w:fldChar w:fldCharType="separate"/>
      </w:r>
      <w:r w:rsidR="00071E85" w:rsidRPr="009C0996">
        <w:t>Figure </w:t>
      </w:r>
      <w:r w:rsidR="00071E85">
        <w:t>37</w:t>
      </w:r>
      <w:r w:rsidRPr="0042276C">
        <w:fldChar w:fldCharType="end"/>
      </w:r>
      <w:r w:rsidRPr="0042276C">
        <w:t>).</w:t>
      </w:r>
    </w:p>
    <w:p w:rsidR="000D44A5" w:rsidRPr="00AF16D8" w:rsidRDefault="000D44A5" w:rsidP="00DA58BE">
      <w:pPr>
        <w:rPr>
          <w:highlight w:val="yellow"/>
        </w:rPr>
      </w:pPr>
    </w:p>
    <w:p w:rsidR="000D44A5" w:rsidRPr="00AF16D8" w:rsidRDefault="000D44A5" w:rsidP="00DA58BE">
      <w:pPr>
        <w:keepLines/>
        <w:rPr>
          <w:highlight w:val="yellow"/>
        </w:rPr>
      </w:pPr>
      <w:r>
        <w:lastRenderedPageBreak/>
        <w:t>From 2011 to 2015, there was a</w:t>
      </w:r>
      <w:r w:rsidRPr="0042276C">
        <w:t xml:space="preserve"> significant increase in the proportion of emergency caesarean sections in Waitemata (from 14.2% to 15.5%), Counties Manukau (from 12.1% to 15.2%) and Hutt Valley (from 13.4% to 18.8%) DHB </w:t>
      </w:r>
      <w:r w:rsidRPr="009C0996">
        <w:t>regions. Conversely, the proportion of emergency caesarean sections decreased significantly for women in Canterbury (from 14.0% to 11.7%),</w:t>
      </w:r>
      <w:r>
        <w:t xml:space="preserve"> </w:t>
      </w:r>
      <w:r w:rsidRPr="009C0996">
        <w:t>South Canterbury (from 15.3% to 11.3%) and Southern (from 13.5% to 10.8%) DHB regions. The remaining DHB regions showed changes in proportions of emergency caesarean sections that were not statistically significant (</w:t>
      </w:r>
      <w:r w:rsidRPr="009C0996">
        <w:fldChar w:fldCharType="begin"/>
      </w:r>
      <w:r w:rsidRPr="009C0996">
        <w:instrText xml:space="preserve"> REF _Ref428806647 \h  \* MERGEFORMAT </w:instrText>
      </w:r>
      <w:r w:rsidRPr="009C0996">
        <w:fldChar w:fldCharType="separate"/>
      </w:r>
      <w:r w:rsidR="00071E85" w:rsidRPr="009C0996">
        <w:t>Figure </w:t>
      </w:r>
      <w:r w:rsidR="00071E85">
        <w:t>37</w:t>
      </w:r>
      <w:r w:rsidRPr="009C0996">
        <w:fldChar w:fldCharType="end"/>
      </w:r>
      <w:r w:rsidRPr="009C0996">
        <w:t>).</w:t>
      </w:r>
    </w:p>
    <w:p w:rsidR="000D44A5" w:rsidRPr="00AF16D8" w:rsidRDefault="000D44A5" w:rsidP="00DA58BE">
      <w:pPr>
        <w:rPr>
          <w:highlight w:val="yellow"/>
        </w:rPr>
      </w:pPr>
    </w:p>
    <w:p w:rsidR="000D44A5" w:rsidRPr="009C0996" w:rsidRDefault="000D44A5" w:rsidP="00DA58BE">
      <w:pPr>
        <w:pStyle w:val="Figure"/>
      </w:pPr>
      <w:bookmarkStart w:id="395" w:name="_Ref428806647"/>
      <w:bookmarkStart w:id="396" w:name="_Toc405886962"/>
      <w:bookmarkStart w:id="397" w:name="_Toc412122452"/>
      <w:bookmarkStart w:id="398" w:name="_Toc428799337"/>
      <w:bookmarkStart w:id="399" w:name="_Toc433389795"/>
      <w:bookmarkStart w:id="400" w:name="_Toc485114368"/>
      <w:bookmarkStart w:id="401" w:name="_Toc485542704"/>
      <w:r w:rsidRPr="009C0996">
        <w:t>Figure </w:t>
      </w:r>
      <w:r w:rsidR="00071E85">
        <w:fldChar w:fldCharType="begin"/>
      </w:r>
      <w:r w:rsidR="00071E85">
        <w:instrText xml:space="preserve"> SEQ Figure \* ARABIC </w:instrText>
      </w:r>
      <w:r w:rsidR="00071E85">
        <w:fldChar w:fldCharType="separate"/>
      </w:r>
      <w:r w:rsidR="00071E85">
        <w:rPr>
          <w:noProof/>
        </w:rPr>
        <w:t>37</w:t>
      </w:r>
      <w:r w:rsidR="00071E85">
        <w:rPr>
          <w:noProof/>
        </w:rPr>
        <w:fldChar w:fldCharType="end"/>
      </w:r>
      <w:bookmarkEnd w:id="395"/>
      <w:r w:rsidRPr="009C0996">
        <w:rPr>
          <w:noProof/>
        </w:rPr>
        <w:t>:</w:t>
      </w:r>
      <w:r w:rsidRPr="009C0996">
        <w:t xml:space="preserve"> Percentage of emergency caesarean sections, by DHB of residence</w:t>
      </w:r>
      <w:bookmarkEnd w:id="396"/>
      <w:r w:rsidRPr="009C0996">
        <w:t xml:space="preserve">, 2011 and </w:t>
      </w:r>
      <w:bookmarkEnd w:id="397"/>
      <w:bookmarkEnd w:id="398"/>
      <w:r w:rsidRPr="009C0996">
        <w:t>201</w:t>
      </w:r>
      <w:bookmarkEnd w:id="399"/>
      <w:r w:rsidRPr="009C0996">
        <w:t>5</w:t>
      </w:r>
      <w:bookmarkEnd w:id="400"/>
      <w:bookmarkEnd w:id="401"/>
    </w:p>
    <w:p w:rsidR="000D44A5" w:rsidRPr="009C0996" w:rsidRDefault="000D44A5" w:rsidP="000D44A5">
      <w:r w:rsidRPr="009C0996">
        <w:rPr>
          <w:noProof/>
          <w:lang w:eastAsia="en-NZ"/>
        </w:rPr>
        <w:drawing>
          <wp:inline distT="0" distB="0" distL="0" distR="0" wp14:anchorId="566AC359" wp14:editId="58D51C99">
            <wp:extent cx="5220000" cy="3511751"/>
            <wp:effectExtent l="0" t="0" r="0" b="0"/>
            <wp:docPr id="25" name="Picture 25" title="Figure 37: Percentage of emergency caesarean sections,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gYear_Emergency.jpg"/>
                    <pic:cNvPicPr/>
                  </pic:nvPicPr>
                  <pic:blipFill>
                    <a:blip r:embed="rId61">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9C0996" w:rsidRDefault="000D44A5" w:rsidP="00DA58BE">
      <w:pPr>
        <w:pStyle w:val="Note"/>
      </w:pPr>
      <w:r w:rsidRPr="009C0996">
        <w:t>Note: The denominator used for calculating percentages is the number of women giving birth residing in the DHB region, excluding those with unknown type of birth.</w:t>
      </w:r>
    </w:p>
    <w:p w:rsidR="000D44A5" w:rsidRDefault="000D44A5" w:rsidP="00DA58BE">
      <w:pPr>
        <w:pStyle w:val="Source"/>
      </w:pPr>
      <w:r>
        <w:t>Source: National Maternity Collection</w:t>
      </w:r>
    </w:p>
    <w:p w:rsidR="000D44A5" w:rsidRPr="00AF16D8" w:rsidRDefault="000D44A5" w:rsidP="00DA58BE">
      <w:pPr>
        <w:rPr>
          <w:highlight w:val="yellow"/>
        </w:rPr>
      </w:pPr>
      <w:bookmarkStart w:id="402" w:name="_Ref405547463"/>
    </w:p>
    <w:p w:rsidR="000D44A5" w:rsidRPr="00277825" w:rsidRDefault="000D44A5" w:rsidP="00DA58BE">
      <w:r w:rsidRPr="00594F37">
        <w:t>The proportion of elective caesarean sections was generally higher among women residing in the South Island (14.7%) than among women residing in the North Island (11.1%). The</w:t>
      </w:r>
      <w:r w:rsidRPr="00277825">
        <w:t xml:space="preserve"> highest proportion was among women residing in Nelson Marlborough DHB region (15.8%), followed by Southern and Auckland DHB regions (14.9% and 14.8%, respectively). Northland DHB </w:t>
      </w:r>
      <w:r>
        <w:t xml:space="preserve">region </w:t>
      </w:r>
      <w:r w:rsidRPr="00277825">
        <w:t>had the lowest percentage (4.4%) (</w:t>
      </w:r>
      <w:r w:rsidRPr="00277825">
        <w:fldChar w:fldCharType="begin"/>
      </w:r>
      <w:r w:rsidRPr="00277825">
        <w:instrText xml:space="preserve"> REF _Ref428806673 \h  \* MERGEFORMAT </w:instrText>
      </w:r>
      <w:r w:rsidRPr="00277825">
        <w:fldChar w:fldCharType="separate"/>
      </w:r>
      <w:r w:rsidR="00071E85" w:rsidRPr="009C0996">
        <w:t>Figure </w:t>
      </w:r>
      <w:r w:rsidR="00071E85">
        <w:t>38</w:t>
      </w:r>
      <w:r w:rsidRPr="00277825">
        <w:fldChar w:fldCharType="end"/>
      </w:r>
      <w:r w:rsidRPr="00277825">
        <w:t>).</w:t>
      </w:r>
    </w:p>
    <w:p w:rsidR="000D44A5" w:rsidRPr="00AF16D8" w:rsidRDefault="000D44A5" w:rsidP="00DA58BE">
      <w:pPr>
        <w:rPr>
          <w:highlight w:val="yellow"/>
        </w:rPr>
      </w:pPr>
    </w:p>
    <w:p w:rsidR="000D44A5" w:rsidRPr="00AF16D8" w:rsidRDefault="000D44A5" w:rsidP="00DA58BE">
      <w:pPr>
        <w:rPr>
          <w:highlight w:val="yellow"/>
        </w:rPr>
      </w:pPr>
      <w:r>
        <w:t>From 2011 to 2015, t</w:t>
      </w:r>
      <w:r w:rsidRPr="00BB2091">
        <w:t xml:space="preserve">he proportion of women having an elective caesarean section increased </w:t>
      </w:r>
      <w:r>
        <w:t>for 13</w:t>
      </w:r>
      <w:r w:rsidRPr="00BB2091">
        <w:t xml:space="preserve"> of the 20 DHB regions (</w:t>
      </w:r>
      <w:r w:rsidRPr="00BB2091">
        <w:fldChar w:fldCharType="begin"/>
      </w:r>
      <w:r w:rsidRPr="00BB2091">
        <w:instrText xml:space="preserve"> REF _Ref428806673 \h  \* MERGEFORMAT </w:instrText>
      </w:r>
      <w:r w:rsidRPr="00BB2091">
        <w:fldChar w:fldCharType="separate"/>
      </w:r>
      <w:r w:rsidR="00071E85" w:rsidRPr="009C0996">
        <w:t>Figure </w:t>
      </w:r>
      <w:r w:rsidR="00071E85">
        <w:t>38</w:t>
      </w:r>
      <w:r w:rsidRPr="00BB2091">
        <w:fldChar w:fldCharType="end"/>
      </w:r>
      <w:r w:rsidRPr="00BB2091">
        <w:t>). The following DHB regions showed a statistically significant increase: Waitemata (from 12.0% to 13.3%), Auckland (from 13.3% to 14.8%) and Counties Manukau (from 8.2% to 9.6%). The proportion of elective caesarean sections did not decrease significantly in any DHB regions during this time.</w:t>
      </w:r>
    </w:p>
    <w:p w:rsidR="000D44A5" w:rsidRPr="009C0996" w:rsidRDefault="000D44A5" w:rsidP="00DA58BE"/>
    <w:p w:rsidR="000D44A5" w:rsidRPr="009C0996" w:rsidRDefault="000D44A5" w:rsidP="00DA58BE">
      <w:pPr>
        <w:pStyle w:val="Figure"/>
      </w:pPr>
      <w:bookmarkStart w:id="403" w:name="_Ref428806673"/>
      <w:bookmarkStart w:id="404" w:name="_Toc433389796"/>
      <w:bookmarkStart w:id="405" w:name="_Toc485114369"/>
      <w:bookmarkStart w:id="406" w:name="_Toc485542705"/>
      <w:bookmarkEnd w:id="402"/>
      <w:r w:rsidRPr="009C0996">
        <w:lastRenderedPageBreak/>
        <w:t>Figure </w:t>
      </w:r>
      <w:r w:rsidR="00071E85">
        <w:fldChar w:fldCharType="begin"/>
      </w:r>
      <w:r w:rsidR="00071E85">
        <w:instrText xml:space="preserve"> SEQ Figure \* ARABIC </w:instrText>
      </w:r>
      <w:r w:rsidR="00071E85">
        <w:fldChar w:fldCharType="separate"/>
      </w:r>
      <w:r w:rsidR="00071E85">
        <w:rPr>
          <w:noProof/>
        </w:rPr>
        <w:t>38</w:t>
      </w:r>
      <w:r w:rsidR="00071E85">
        <w:rPr>
          <w:noProof/>
        </w:rPr>
        <w:fldChar w:fldCharType="end"/>
      </w:r>
      <w:bookmarkEnd w:id="403"/>
      <w:r w:rsidRPr="009C0996">
        <w:rPr>
          <w:noProof/>
        </w:rPr>
        <w:t>:</w:t>
      </w:r>
      <w:r w:rsidRPr="009C0996">
        <w:t xml:space="preserve"> Percentage of elective caesarean sections, by DHB of residence, 2011 and 201</w:t>
      </w:r>
      <w:bookmarkEnd w:id="404"/>
      <w:r w:rsidRPr="009C0996">
        <w:t>5</w:t>
      </w:r>
      <w:bookmarkEnd w:id="405"/>
      <w:bookmarkEnd w:id="406"/>
    </w:p>
    <w:p w:rsidR="000D44A5" w:rsidRPr="009C0996" w:rsidRDefault="000D44A5" w:rsidP="00DA58BE">
      <w:r w:rsidRPr="009C0996">
        <w:rPr>
          <w:noProof/>
          <w:lang w:eastAsia="en-NZ"/>
        </w:rPr>
        <w:drawing>
          <wp:inline distT="0" distB="0" distL="0" distR="0" wp14:anchorId="02B70FAC" wp14:editId="43E0F727">
            <wp:extent cx="5220000" cy="3511751"/>
            <wp:effectExtent l="0" t="0" r="0" b="0"/>
            <wp:docPr id="18" name="Picture 18" title="Figure 38: Percentage of elective caesarean sections,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gYear_Elective.jpg"/>
                    <pic:cNvPicPr/>
                  </pic:nvPicPr>
                  <pic:blipFill>
                    <a:blip r:embed="rId62">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9C0996" w:rsidRDefault="000D44A5" w:rsidP="00DA58BE">
      <w:pPr>
        <w:pStyle w:val="Note"/>
      </w:pPr>
      <w:r w:rsidRPr="009C0996">
        <w:t>Note: The denominator used for calculating percentages is the number of women giving birth residing in the DHB region, excluding those with unknown type of birth.</w:t>
      </w:r>
    </w:p>
    <w:p w:rsidR="000D44A5" w:rsidRDefault="000D44A5" w:rsidP="00DA58BE">
      <w:pPr>
        <w:pStyle w:val="Source"/>
      </w:pPr>
      <w:r>
        <w:t>Source: National Maternity Collection</w:t>
      </w:r>
    </w:p>
    <w:p w:rsidR="000D44A5" w:rsidRPr="00AF16D8" w:rsidRDefault="000D44A5" w:rsidP="00DA58BE">
      <w:pPr>
        <w:rPr>
          <w:highlight w:val="yellow"/>
        </w:rPr>
      </w:pPr>
    </w:p>
    <w:p w:rsidR="000D44A5" w:rsidRPr="00980C14" w:rsidRDefault="000D44A5" w:rsidP="00DA58BE">
      <w:pPr>
        <w:pStyle w:val="Heading2"/>
      </w:pPr>
      <w:bookmarkStart w:id="407" w:name="_Ref405539914"/>
      <w:bookmarkStart w:id="408" w:name="_Toc405887013"/>
      <w:bookmarkStart w:id="409" w:name="_Toc412122407"/>
      <w:bookmarkStart w:id="410" w:name="_Toc431462730"/>
      <w:bookmarkStart w:id="411" w:name="_Toc479583268"/>
      <w:bookmarkStart w:id="412" w:name="_Toc485542636"/>
      <w:r w:rsidRPr="00980C14">
        <w:lastRenderedPageBreak/>
        <w:t>Interventions</w:t>
      </w:r>
      <w:bookmarkEnd w:id="407"/>
      <w:bookmarkEnd w:id="408"/>
      <w:bookmarkEnd w:id="409"/>
      <w:bookmarkEnd w:id="410"/>
      <w:bookmarkEnd w:id="411"/>
      <w:bookmarkEnd w:id="412"/>
    </w:p>
    <w:p w:rsidR="000D44A5" w:rsidRPr="00980C14" w:rsidRDefault="000D44A5" w:rsidP="00DA58BE">
      <w:pPr>
        <w:pStyle w:val="Box"/>
        <w:keepNext/>
      </w:pPr>
      <w:r w:rsidRPr="00980C14">
        <w:t>This section describes women experiencing a normal birth and those having an obstetric intervention (induction, augmentation, epidural or episiotomy) during labour and birth.</w:t>
      </w:r>
    </w:p>
    <w:p w:rsidR="000D44A5" w:rsidRPr="00980C14" w:rsidRDefault="000D44A5" w:rsidP="00DA58BE">
      <w:pPr>
        <w:pStyle w:val="Box"/>
        <w:keepNext/>
      </w:pPr>
      <w:r w:rsidRPr="00980C14">
        <w:rPr>
          <w:b/>
        </w:rPr>
        <w:t>Normal</w:t>
      </w:r>
      <w:r w:rsidRPr="00980C14">
        <w:t xml:space="preserve"> </w:t>
      </w:r>
      <w:r w:rsidRPr="00980C14">
        <w:rPr>
          <w:b/>
        </w:rPr>
        <w:t>birth</w:t>
      </w:r>
      <w:r w:rsidRPr="00980C14">
        <w:t xml:space="preserve"> refers to spontaneous vaginal birth (including spontaneous vertex and spontaneous breech) without an induced or augmented labour, an epidural or an episiotomy.</w:t>
      </w:r>
    </w:p>
    <w:p w:rsidR="000D44A5" w:rsidRPr="00980C14" w:rsidRDefault="000D44A5" w:rsidP="00DA58BE">
      <w:pPr>
        <w:pStyle w:val="Box"/>
        <w:keepNext/>
      </w:pPr>
      <w:r w:rsidRPr="00980C14">
        <w:rPr>
          <w:b/>
        </w:rPr>
        <w:t xml:space="preserve">Induction </w:t>
      </w:r>
      <w:r w:rsidRPr="00980C14">
        <w:t>refers to the process</w:t>
      </w:r>
      <w:r w:rsidRPr="00980C14">
        <w:rPr>
          <w:b/>
        </w:rPr>
        <w:t xml:space="preserve"> </w:t>
      </w:r>
      <w:r w:rsidRPr="00980C14">
        <w:t>of artificially stimulating the uterus to start labour by artificial rupture of membranes or pharmacological means.</w:t>
      </w:r>
    </w:p>
    <w:p w:rsidR="000D44A5" w:rsidRPr="00980C14" w:rsidRDefault="000D44A5" w:rsidP="00DA58BE">
      <w:pPr>
        <w:pStyle w:val="Box"/>
        <w:keepNext/>
      </w:pPr>
      <w:r w:rsidRPr="00980C14">
        <w:rPr>
          <w:b/>
        </w:rPr>
        <w:t>Augmentation</w:t>
      </w:r>
      <w:r w:rsidRPr="00980C14">
        <w:t xml:space="preserve"> refers to the process of stimulating the uterus to increase the frequency, duration and intensity of contractions after the onset of spontaneous labour by artificial rupture of membranes or pharmacological means.</w:t>
      </w:r>
    </w:p>
    <w:p w:rsidR="000D44A5" w:rsidRPr="00980C14" w:rsidRDefault="000D44A5" w:rsidP="00DA58BE">
      <w:pPr>
        <w:pStyle w:val="Box"/>
        <w:keepNext/>
      </w:pPr>
      <w:r w:rsidRPr="00980C14">
        <w:rPr>
          <w:b/>
        </w:rPr>
        <w:t>Epidural</w:t>
      </w:r>
      <w:r w:rsidRPr="00980C14">
        <w:t xml:space="preserve"> refers to a regional analgesic agent being injected into the epidural space of the spinal cord.</w:t>
      </w:r>
    </w:p>
    <w:p w:rsidR="000D44A5" w:rsidRPr="00980C14" w:rsidRDefault="000D44A5" w:rsidP="00DA58BE">
      <w:pPr>
        <w:pStyle w:val="Box"/>
        <w:keepNext/>
      </w:pPr>
      <w:r w:rsidRPr="00980C14">
        <w:rPr>
          <w:b/>
        </w:rPr>
        <w:t>Episiotomy</w:t>
      </w:r>
      <w:r w:rsidRPr="00980C14">
        <w:t xml:space="preserve"> refers to an incision of the perineal tissue surrounding the vagina at the time of birth to facilitate delivery.</w:t>
      </w:r>
    </w:p>
    <w:p w:rsidR="000D44A5" w:rsidRPr="00980C14" w:rsidRDefault="000D44A5" w:rsidP="00DA58BE">
      <w:pPr>
        <w:pStyle w:val="Box"/>
        <w:keepNext/>
      </w:pPr>
      <w:r w:rsidRPr="00980C14">
        <w:t>Women who had their labour both induced and augmented are recorded as having had an induction only. Therefore, the number of augmentations presented may be lower than the true number.</w:t>
      </w:r>
    </w:p>
    <w:p w:rsidR="000D44A5" w:rsidRPr="00980C14" w:rsidRDefault="000D44A5" w:rsidP="00DA58BE">
      <w:pPr>
        <w:pStyle w:val="Box"/>
        <w:keepLines/>
      </w:pPr>
      <w:r w:rsidRPr="00980C14">
        <w:t>The number and percentage of inductions, augmentations and epidurals presented does not include women giving birth by elective caesarean section. The number and percentage of episiotomies is limited to vaginal births (all births excluding caesarean sections). It should be noted that women giving birth may have had more than one of these interventions.</w:t>
      </w:r>
    </w:p>
    <w:p w:rsidR="000D44A5" w:rsidRPr="00980C14" w:rsidRDefault="000D44A5" w:rsidP="00DA58BE"/>
    <w:p w:rsidR="000D44A5" w:rsidRPr="00980C14" w:rsidRDefault="000D44A5" w:rsidP="00DA58BE">
      <w:r w:rsidRPr="00980C14">
        <w:t>From 2006 to 2015, one in every three women giving birth each year had a normal birth (</w:t>
      </w:r>
      <w:r w:rsidRPr="00980C14">
        <w:fldChar w:fldCharType="begin"/>
      </w:r>
      <w:r w:rsidRPr="00980C14">
        <w:instrText xml:space="preserve"> REF _Ref428894427 \h  \* MERGEFORMAT </w:instrText>
      </w:r>
      <w:r w:rsidRPr="00980C14">
        <w:fldChar w:fldCharType="separate"/>
      </w:r>
      <w:r w:rsidR="00071E85" w:rsidRPr="00980C14">
        <w:t>Figure </w:t>
      </w:r>
      <w:r w:rsidR="00071E85">
        <w:t>39</w:t>
      </w:r>
      <w:r w:rsidRPr="00980C14">
        <w:fldChar w:fldCharType="end"/>
      </w:r>
      <w:r w:rsidRPr="00980C14">
        <w:t>).</w:t>
      </w:r>
    </w:p>
    <w:p w:rsidR="000D44A5" w:rsidRPr="00AF16D8" w:rsidRDefault="000D44A5" w:rsidP="00DA58BE">
      <w:pPr>
        <w:rPr>
          <w:highlight w:val="yellow"/>
        </w:rPr>
      </w:pPr>
    </w:p>
    <w:p w:rsidR="000D44A5" w:rsidRPr="00980C14" w:rsidRDefault="000D44A5" w:rsidP="00DA58BE">
      <w:r w:rsidRPr="00980C14">
        <w:t>Half of all women giving birth had at least one form of intervention during labour and birth (ie, induction, augmentation, epidural or episiotomy).</w:t>
      </w:r>
    </w:p>
    <w:p w:rsidR="000D44A5" w:rsidRPr="00AF16D8" w:rsidRDefault="000D44A5" w:rsidP="00DA58BE">
      <w:pPr>
        <w:rPr>
          <w:highlight w:val="yellow"/>
        </w:rPr>
      </w:pPr>
    </w:p>
    <w:p w:rsidR="000D44A5" w:rsidRPr="00AF16D8" w:rsidRDefault="000D44A5" w:rsidP="00DA58BE">
      <w:pPr>
        <w:rPr>
          <w:highlight w:val="yellow"/>
        </w:rPr>
      </w:pPr>
      <w:r w:rsidRPr="00980C14">
        <w:t xml:space="preserve">The proportion of </w:t>
      </w:r>
      <w:r w:rsidRPr="00150E0A">
        <w:t>inductions and episiotomies among women giving birth showed a statistically significant increase from 2006 to 2015 (from 19.1% to 23.8% for inductions and from 12.0% to 14.2% for episiotomies). Conversely, women having their labour augmented as a proportion of women giving birth showed a statistically significant decrease (</w:t>
      </w:r>
      <w:r>
        <w:t>from 32.2</w:t>
      </w:r>
      <w:r w:rsidRPr="00980C14">
        <w:t>% to 24.6</w:t>
      </w:r>
      <w:r>
        <w:t xml:space="preserve">%) over the same </w:t>
      </w:r>
      <w:r w:rsidRPr="00980C14">
        <w:t>period. About one-quarter of women giving birth had an epidural; this figure</w:t>
      </w:r>
      <w:r>
        <w:t xml:space="preserve"> fluctuated between 24.5% and 27</w:t>
      </w:r>
      <w:r w:rsidRPr="00980C14">
        <w:t>.2% each year (</w:t>
      </w:r>
      <w:r w:rsidRPr="00980C14">
        <w:fldChar w:fldCharType="begin"/>
      </w:r>
      <w:r w:rsidRPr="00980C14">
        <w:instrText xml:space="preserve"> REF _Ref428894427 \h  \* MERGEFORMAT </w:instrText>
      </w:r>
      <w:r w:rsidRPr="00980C14">
        <w:fldChar w:fldCharType="separate"/>
      </w:r>
      <w:r w:rsidR="00071E85" w:rsidRPr="00980C14">
        <w:t>Figure </w:t>
      </w:r>
      <w:r w:rsidR="00071E85">
        <w:t>39</w:t>
      </w:r>
      <w:r w:rsidRPr="00980C14">
        <w:fldChar w:fldCharType="end"/>
      </w:r>
      <w:r w:rsidRPr="00980C14">
        <w:t>).</w:t>
      </w:r>
    </w:p>
    <w:p w:rsidR="000D44A5" w:rsidRPr="00AF16D8" w:rsidRDefault="000D44A5" w:rsidP="00DA58BE">
      <w:pPr>
        <w:rPr>
          <w:highlight w:val="yellow"/>
        </w:rPr>
      </w:pPr>
    </w:p>
    <w:p w:rsidR="000D44A5" w:rsidRPr="00980C14" w:rsidRDefault="000D44A5" w:rsidP="00DA58BE">
      <w:pPr>
        <w:pStyle w:val="Figure"/>
      </w:pPr>
      <w:bookmarkStart w:id="413" w:name="_Ref428894427"/>
      <w:bookmarkStart w:id="414" w:name="_Toc400706152"/>
      <w:bookmarkStart w:id="415" w:name="_Toc405886964"/>
      <w:bookmarkStart w:id="416" w:name="_Toc412122454"/>
      <w:bookmarkStart w:id="417" w:name="_Toc428799339"/>
      <w:bookmarkStart w:id="418" w:name="_Toc433389797"/>
      <w:bookmarkStart w:id="419" w:name="_Toc485114370"/>
      <w:bookmarkStart w:id="420" w:name="_Toc485542706"/>
      <w:r w:rsidRPr="00980C14">
        <w:lastRenderedPageBreak/>
        <w:t>Figure </w:t>
      </w:r>
      <w:r w:rsidR="00071E85">
        <w:fldChar w:fldCharType="begin"/>
      </w:r>
      <w:r w:rsidR="00071E85">
        <w:instrText xml:space="preserve"> SEQ Figure \* ARABIC </w:instrText>
      </w:r>
      <w:r w:rsidR="00071E85">
        <w:fldChar w:fldCharType="separate"/>
      </w:r>
      <w:r w:rsidR="00071E85">
        <w:rPr>
          <w:noProof/>
        </w:rPr>
        <w:t>39</w:t>
      </w:r>
      <w:r w:rsidR="00071E85">
        <w:rPr>
          <w:noProof/>
        </w:rPr>
        <w:fldChar w:fldCharType="end"/>
      </w:r>
      <w:bookmarkEnd w:id="413"/>
      <w:r w:rsidRPr="00980C14">
        <w:rPr>
          <w:noProof/>
        </w:rPr>
        <w:t>:</w:t>
      </w:r>
      <w:r w:rsidRPr="00980C14">
        <w:t xml:space="preserve"> Percentage of women having a normal birth and having an induction, augmentation, epidural or episiotomy during labour and birth, 2006–201</w:t>
      </w:r>
      <w:bookmarkEnd w:id="414"/>
      <w:bookmarkEnd w:id="415"/>
      <w:bookmarkEnd w:id="416"/>
      <w:bookmarkEnd w:id="417"/>
      <w:bookmarkEnd w:id="418"/>
      <w:r w:rsidRPr="00980C14">
        <w:t>5</w:t>
      </w:r>
      <w:bookmarkEnd w:id="419"/>
      <w:bookmarkEnd w:id="420"/>
    </w:p>
    <w:p w:rsidR="000D44A5" w:rsidRPr="00AF16D8" w:rsidRDefault="000D44A5" w:rsidP="000D44A5">
      <w:pPr>
        <w:rPr>
          <w:highlight w:val="yellow"/>
        </w:rPr>
      </w:pPr>
      <w:r>
        <w:rPr>
          <w:noProof/>
          <w:lang w:eastAsia="en-NZ"/>
        </w:rPr>
        <w:drawing>
          <wp:inline distT="0" distB="0" distL="0" distR="0" wp14:anchorId="28765974" wp14:editId="5F529027">
            <wp:extent cx="5780737" cy="5434641"/>
            <wp:effectExtent l="0" t="0" r="0" b="0"/>
            <wp:docPr id="73" name="Picture 73" title="Figure 39: Percentage of women having a normal birth and having an induction, augmentation, epidural or episiotomy during labour and birth,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81735" cy="5435579"/>
                    </a:xfrm>
                    <a:prstGeom prst="rect">
                      <a:avLst/>
                    </a:prstGeom>
                  </pic:spPr>
                </pic:pic>
              </a:graphicData>
            </a:graphic>
          </wp:inline>
        </w:drawing>
      </w:r>
    </w:p>
    <w:p w:rsidR="000D44A5" w:rsidRPr="00980C14" w:rsidRDefault="000D44A5" w:rsidP="00DA58BE">
      <w:pPr>
        <w:pStyle w:val="Note"/>
      </w:pPr>
      <w:r w:rsidRPr="00980C14">
        <w:t>Notes:</w:t>
      </w:r>
    </w:p>
    <w:p w:rsidR="000D44A5" w:rsidRPr="00980C14" w:rsidRDefault="000D44A5" w:rsidP="00DA58BE">
      <w:pPr>
        <w:pStyle w:val="Note"/>
      </w:pPr>
      <w:r w:rsidRPr="00980C14">
        <w:t>Normal births are women having a spontaneous vaginal birth without having an induced or augmented labour, an epidural or an episiotomy at time of birth. The denominator used to calculate normal births is the total number of women giving birth.</w:t>
      </w:r>
    </w:p>
    <w:p w:rsidR="000D44A5" w:rsidRPr="00980C14" w:rsidRDefault="000D44A5" w:rsidP="00DA58BE">
      <w:pPr>
        <w:pStyle w:val="Note"/>
      </w:pPr>
      <w:r w:rsidRPr="00980C14">
        <w:t>The denominator used to calculate percentage of induction, augmentation and epidural is the total number of women giving birth, excluding those who had an elective caesarean section and those with unknown birth type.</w:t>
      </w:r>
    </w:p>
    <w:p w:rsidR="000D44A5" w:rsidRPr="00980C14" w:rsidRDefault="000D44A5" w:rsidP="00DA58BE">
      <w:pPr>
        <w:pStyle w:val="Note"/>
      </w:pPr>
      <w:r w:rsidRPr="00980C14">
        <w:t>The denominator used to calculate percentage of episiotomy is the number of women who had vaginal births.</w:t>
      </w:r>
    </w:p>
    <w:p w:rsidR="000D44A5" w:rsidRDefault="000D44A5" w:rsidP="00DA58BE">
      <w:pPr>
        <w:pStyle w:val="Source"/>
      </w:pPr>
      <w:r>
        <w:t>Source: National Maternity Collection</w:t>
      </w:r>
    </w:p>
    <w:p w:rsidR="000D44A5" w:rsidRPr="00AF16D8" w:rsidRDefault="000D44A5" w:rsidP="00DA58BE">
      <w:pPr>
        <w:rPr>
          <w:highlight w:val="yellow"/>
        </w:rPr>
      </w:pPr>
    </w:p>
    <w:p w:rsidR="000D44A5" w:rsidRPr="008A34B4" w:rsidRDefault="000D44A5" w:rsidP="00DA58BE">
      <w:pPr>
        <w:pStyle w:val="Heading3"/>
      </w:pPr>
      <w:r w:rsidRPr="008A34B4">
        <w:t>Normal births</w:t>
      </w:r>
    </w:p>
    <w:p w:rsidR="000D44A5" w:rsidRPr="008A34B4" w:rsidRDefault="000D44A5" w:rsidP="00DA58BE">
      <w:r w:rsidRPr="008A34B4">
        <w:t xml:space="preserve">One-third (34.3%: 20,234) of women giving birth in 2015 had a normal birth (ie, a spontaneous vaginal birth without an induction, augmentation, epidural or episiotomy). </w:t>
      </w:r>
      <w:r w:rsidRPr="008A34B4">
        <w:fldChar w:fldCharType="begin"/>
      </w:r>
      <w:r w:rsidRPr="008A34B4">
        <w:instrText xml:space="preserve"> REF _Ref428951094 \h  \* MERGEFORMAT </w:instrText>
      </w:r>
      <w:r w:rsidRPr="008A34B4">
        <w:fldChar w:fldCharType="separate"/>
      </w:r>
      <w:r w:rsidR="00071E85" w:rsidRPr="00791E39">
        <w:t xml:space="preserve">Figure </w:t>
      </w:r>
      <w:r w:rsidR="00071E85">
        <w:rPr>
          <w:noProof/>
        </w:rPr>
        <w:t>40</w:t>
      </w:r>
      <w:r w:rsidRPr="008A34B4">
        <w:fldChar w:fldCharType="end"/>
      </w:r>
      <w:r w:rsidRPr="008A34B4">
        <w:t xml:space="preserve"> shows the distribution of women having a normal birth.</w:t>
      </w:r>
    </w:p>
    <w:p w:rsidR="000D44A5" w:rsidRPr="008A34B4" w:rsidRDefault="000D44A5" w:rsidP="00CE3A17"/>
    <w:p w:rsidR="000D44A5" w:rsidRPr="008A34B4" w:rsidRDefault="000D44A5" w:rsidP="00CE3A17">
      <w:r w:rsidRPr="008A34B4">
        <w:t xml:space="preserve">Normal births were more common among younger women: 37.7% of women aged </w:t>
      </w:r>
      <w:r>
        <w:t>under</w:t>
      </w:r>
      <w:r w:rsidRPr="008A34B4">
        <w:t xml:space="preserve"> 30</w:t>
      </w:r>
      <w:r w:rsidR="00CE3A17">
        <w:t> </w:t>
      </w:r>
      <w:r w:rsidRPr="008A34B4">
        <w:t>years had a normal birth, compared to 21.0% of women aged 40 years and over.</w:t>
      </w:r>
    </w:p>
    <w:p w:rsidR="000D44A5" w:rsidRPr="00791E39" w:rsidRDefault="000D44A5" w:rsidP="00CE3A17"/>
    <w:p w:rsidR="000D44A5" w:rsidRPr="00791E39" w:rsidRDefault="000D44A5" w:rsidP="00CE3A17">
      <w:pPr>
        <w:keepNext/>
      </w:pPr>
      <w:r>
        <w:lastRenderedPageBreak/>
        <w:t>Compared with</w:t>
      </w:r>
      <w:r w:rsidRPr="00791E39">
        <w:t xml:space="preserve"> other ethnic groups, Māori women had the highest proportion of normal births (43.3%), while Indian women had the lowest proportion (20.6%).</w:t>
      </w:r>
    </w:p>
    <w:p w:rsidR="000D44A5" w:rsidRPr="00AF16D8" w:rsidRDefault="000D44A5" w:rsidP="00CE3A17">
      <w:pPr>
        <w:rPr>
          <w:highlight w:val="yellow"/>
        </w:rPr>
      </w:pPr>
    </w:p>
    <w:p w:rsidR="000D44A5" w:rsidRPr="00791E39" w:rsidRDefault="000D44A5" w:rsidP="00CE3A17">
      <w:r w:rsidRPr="00791E39">
        <w:t>The proportion of women having normal births was lowest for those in the least deprived neighbourhoods and highest for those in the most deprived neighbourhoods (29.2% of women in quintile 1 compared with 38.2% of women in quintile 5).</w:t>
      </w:r>
    </w:p>
    <w:p w:rsidR="000D44A5" w:rsidRPr="00AF16D8" w:rsidRDefault="000D44A5" w:rsidP="00CE3A17">
      <w:pPr>
        <w:rPr>
          <w:highlight w:val="yellow"/>
        </w:rPr>
      </w:pPr>
    </w:p>
    <w:p w:rsidR="000D44A5" w:rsidRPr="00791E39" w:rsidRDefault="000D44A5" w:rsidP="00CE3A17">
      <w:r>
        <w:t>One-quarter</w:t>
      </w:r>
      <w:r w:rsidRPr="00791E39">
        <w:t xml:space="preserve"> </w:t>
      </w:r>
      <w:r>
        <w:t>(24.6</w:t>
      </w:r>
      <w:r w:rsidRPr="00791E39">
        <w:t>%</w:t>
      </w:r>
      <w:r>
        <w:t>)</w:t>
      </w:r>
      <w:r w:rsidRPr="00791E39">
        <w:t xml:space="preserve"> of women giving birth for the first time had a </w:t>
      </w:r>
      <w:r>
        <w:t>normal birth, compared with 41.7</w:t>
      </w:r>
      <w:r w:rsidRPr="00791E39">
        <w:t>% of women who had given birth at least once before.</w:t>
      </w:r>
    </w:p>
    <w:p w:rsidR="000D44A5" w:rsidRPr="00AF16D8" w:rsidRDefault="000D44A5" w:rsidP="00CE3A17">
      <w:pPr>
        <w:rPr>
          <w:highlight w:val="yellow"/>
        </w:rPr>
      </w:pPr>
    </w:p>
    <w:p w:rsidR="000D44A5" w:rsidRPr="00AF16D8" w:rsidRDefault="000D44A5" w:rsidP="00CE3A17">
      <w:pPr>
        <w:rPr>
          <w:highlight w:val="yellow"/>
        </w:rPr>
      </w:pPr>
      <w:r w:rsidRPr="00791E39">
        <w:t>Women in Tairāwhiti and Northland DHB regions had the highest proportion of normal births (54.4% and 51.0%, respectively). The lowest proportion of normal births was in Auckland and Hutt Valley DHB regions (24.7% and 25.1%, respectively).</w:t>
      </w:r>
    </w:p>
    <w:p w:rsidR="000D44A5" w:rsidRPr="00AF16D8" w:rsidRDefault="000D44A5" w:rsidP="00CE3A17">
      <w:pPr>
        <w:rPr>
          <w:highlight w:val="yellow"/>
        </w:rPr>
      </w:pPr>
    </w:p>
    <w:p w:rsidR="000D44A5" w:rsidRPr="00791E39" w:rsidRDefault="000D44A5" w:rsidP="00CE3A17">
      <w:pPr>
        <w:pStyle w:val="Figure"/>
      </w:pPr>
      <w:bookmarkStart w:id="421" w:name="_Ref428951094"/>
      <w:bookmarkStart w:id="422" w:name="_Toc433389798"/>
      <w:bookmarkStart w:id="423" w:name="_Toc485114371"/>
      <w:bookmarkStart w:id="424" w:name="_Toc485542707"/>
      <w:r w:rsidRPr="00791E39">
        <w:t xml:space="preserve">Figure </w:t>
      </w:r>
      <w:r w:rsidR="00071E85">
        <w:fldChar w:fldCharType="begin"/>
      </w:r>
      <w:r w:rsidR="00071E85">
        <w:instrText xml:space="preserve"> SEQ Figure \* ARABIC </w:instrText>
      </w:r>
      <w:r w:rsidR="00071E85">
        <w:fldChar w:fldCharType="separate"/>
      </w:r>
      <w:r w:rsidR="00071E85">
        <w:rPr>
          <w:noProof/>
        </w:rPr>
        <w:t>40</w:t>
      </w:r>
      <w:r w:rsidR="00071E85">
        <w:rPr>
          <w:noProof/>
        </w:rPr>
        <w:fldChar w:fldCharType="end"/>
      </w:r>
      <w:bookmarkEnd w:id="421"/>
      <w:r w:rsidRPr="00791E39">
        <w:rPr>
          <w:noProof/>
        </w:rPr>
        <w:t>:</w:t>
      </w:r>
      <w:r w:rsidRPr="00791E39">
        <w:t xml:space="preserve"> Percentage of women having a normal birth, by age group, ethnic group and neighbourhood deprivation quintile, 201</w:t>
      </w:r>
      <w:bookmarkEnd w:id="422"/>
      <w:r w:rsidRPr="00791E39">
        <w:t>5</w:t>
      </w:r>
      <w:bookmarkEnd w:id="423"/>
      <w:bookmarkEnd w:id="424"/>
    </w:p>
    <w:p w:rsidR="000D44A5" w:rsidRPr="00791E39" w:rsidRDefault="000D44A5" w:rsidP="000D44A5">
      <w:r>
        <w:rPr>
          <w:noProof/>
          <w:lang w:eastAsia="en-NZ"/>
        </w:rPr>
        <w:drawing>
          <wp:inline distT="0" distB="0" distL="0" distR="0" wp14:anchorId="7D712046" wp14:editId="77F02426">
            <wp:extent cx="5178829" cy="3084021"/>
            <wp:effectExtent l="0" t="0" r="3175" b="2540"/>
            <wp:docPr id="75" name="Picture 75" title="Figure 40: Percentage of women having a normal birth,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a:extLst>
                        <a:ext uri="{28A0092B-C50C-407E-A947-70E740481C1C}">
                          <a14:useLocalDpi xmlns:a14="http://schemas.microsoft.com/office/drawing/2010/main" val="0"/>
                        </a:ext>
                      </a:extLst>
                    </a:blip>
                    <a:srcRect l="1735" t="1544" b="3008"/>
                    <a:stretch/>
                  </pic:blipFill>
                  <pic:spPr bwMode="auto">
                    <a:xfrm>
                      <a:off x="0" y="0"/>
                      <a:ext cx="5183755" cy="3086954"/>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791E39" w:rsidRDefault="000D44A5" w:rsidP="00CE3A17">
      <w:pPr>
        <w:pStyle w:val="Note"/>
      </w:pPr>
      <w:r w:rsidRPr="00791E39">
        <w:t>Notes:</w:t>
      </w:r>
    </w:p>
    <w:p w:rsidR="000D44A5" w:rsidRPr="00791E39" w:rsidRDefault="000D44A5" w:rsidP="00CE3A17">
      <w:pPr>
        <w:pStyle w:val="Note"/>
      </w:pPr>
      <w:r w:rsidRPr="00791E39">
        <w:t>Normal births are women having a spontaneous vaginal birth without having an induced or augmented labour, an epidural or an episiotomy at time of birth.</w:t>
      </w:r>
    </w:p>
    <w:p w:rsidR="000D44A5" w:rsidRPr="00791E39" w:rsidRDefault="000D44A5" w:rsidP="00CE3A17">
      <w:pPr>
        <w:pStyle w:val="Note"/>
      </w:pPr>
      <w:r w:rsidRPr="00791E39">
        <w:t>The denominator used to calculate percentages is the number of women giving birth for that demographic group.</w:t>
      </w:r>
    </w:p>
    <w:p w:rsidR="000D44A5" w:rsidRDefault="000D44A5" w:rsidP="00CE3A17">
      <w:pPr>
        <w:pStyle w:val="Source"/>
      </w:pPr>
      <w:r>
        <w:t>Source: National Maternity Collection</w:t>
      </w:r>
    </w:p>
    <w:p w:rsidR="000D44A5" w:rsidRPr="00AF16D8" w:rsidRDefault="000D44A5" w:rsidP="00CE3A17">
      <w:pPr>
        <w:rPr>
          <w:highlight w:val="yellow"/>
        </w:rPr>
      </w:pPr>
    </w:p>
    <w:p w:rsidR="000D44A5" w:rsidRPr="00791E39" w:rsidRDefault="000D44A5" w:rsidP="00CE3A17">
      <w:pPr>
        <w:pStyle w:val="Heading3"/>
      </w:pPr>
      <w:r w:rsidRPr="00791E39">
        <w:t>Induction</w:t>
      </w:r>
    </w:p>
    <w:p w:rsidR="000D44A5" w:rsidRPr="00791E39" w:rsidRDefault="000D44A5" w:rsidP="00CE3A17">
      <w:r w:rsidRPr="00791E39">
        <w:t>In 2015</w:t>
      </w:r>
      <w:r>
        <w:t>, almost one-quarter (23.8</w:t>
      </w:r>
      <w:r w:rsidRPr="00791E39">
        <w:t>%: 12</w:t>
      </w:r>
      <w:r>
        <w:t>,225</w:t>
      </w:r>
      <w:r w:rsidRPr="00791E39">
        <w:t xml:space="preserve"> women) of women giving birth (excluding those who had elective caesarean sections) had their labour induced. </w:t>
      </w:r>
      <w:r w:rsidRPr="00791E39">
        <w:fldChar w:fldCharType="begin"/>
      </w:r>
      <w:r w:rsidRPr="00791E39">
        <w:instrText xml:space="preserve"> REF _Ref428953223 \h  \* MERGEFORMAT </w:instrText>
      </w:r>
      <w:r w:rsidRPr="00791E39">
        <w:fldChar w:fldCharType="separate"/>
      </w:r>
      <w:r w:rsidR="00071E85" w:rsidRPr="00BD7CF2">
        <w:t xml:space="preserve">Figure </w:t>
      </w:r>
      <w:r w:rsidR="00071E85">
        <w:rPr>
          <w:noProof/>
        </w:rPr>
        <w:t>41</w:t>
      </w:r>
      <w:r w:rsidRPr="00791E39">
        <w:fldChar w:fldCharType="end"/>
      </w:r>
      <w:r w:rsidRPr="00791E39">
        <w:t xml:space="preserve"> shows the distribution of women undergoing induction.</w:t>
      </w:r>
    </w:p>
    <w:p w:rsidR="000D44A5" w:rsidRPr="00791E39" w:rsidRDefault="000D44A5" w:rsidP="00CE3A17"/>
    <w:p w:rsidR="000D44A5" w:rsidRPr="00BD7CF2" w:rsidRDefault="000D44A5" w:rsidP="00CE3A17">
      <w:r w:rsidRPr="00791E39">
        <w:t xml:space="preserve">The proportion of inductions among women giving birth increased with maternal age, and was highest for women aged 40 years and over (21.8% of women aged </w:t>
      </w:r>
      <w:r>
        <w:t>under</w:t>
      </w:r>
      <w:r w:rsidRPr="00791E39">
        <w:t xml:space="preserve"> 20 years compared </w:t>
      </w:r>
      <w:r>
        <w:t>with 42.3</w:t>
      </w:r>
      <w:r w:rsidRPr="00BD7CF2">
        <w:t>% of women aged 40 years and over).</w:t>
      </w:r>
    </w:p>
    <w:p w:rsidR="000D44A5" w:rsidRPr="00BD7CF2" w:rsidRDefault="000D44A5" w:rsidP="00CE3A17"/>
    <w:p w:rsidR="000D44A5" w:rsidRPr="00BD7CF2" w:rsidRDefault="000D44A5" w:rsidP="00CE3A17">
      <w:r w:rsidRPr="00BD7CF2">
        <w:t>Inductions were more common among Indian women giving birth (31.</w:t>
      </w:r>
      <w:r>
        <w:t>4</w:t>
      </w:r>
      <w:r w:rsidRPr="00BD7CF2">
        <w:t xml:space="preserve">%) compared </w:t>
      </w:r>
      <w:r w:rsidR="009D02FA">
        <w:t>with</w:t>
      </w:r>
      <w:r w:rsidRPr="00BD7CF2">
        <w:t xml:space="preserve"> women of other ethnicities. Inductions were least common among Māori women (20.</w:t>
      </w:r>
      <w:r>
        <w:t>0</w:t>
      </w:r>
      <w:r w:rsidRPr="00BD7CF2">
        <w:t>%).</w:t>
      </w:r>
    </w:p>
    <w:p w:rsidR="000D44A5" w:rsidRPr="00AF16D8" w:rsidRDefault="000D44A5" w:rsidP="00CE3A17">
      <w:pPr>
        <w:rPr>
          <w:highlight w:val="yellow"/>
        </w:rPr>
      </w:pPr>
    </w:p>
    <w:p w:rsidR="00CB6D20" w:rsidRDefault="000D44A5" w:rsidP="00CE3A17">
      <w:r w:rsidRPr="00BD7CF2">
        <w:lastRenderedPageBreak/>
        <w:t xml:space="preserve">The proportion of women giving birth who had their labour induced was less varied by neighbourhood deprivation, </w:t>
      </w:r>
      <w:r>
        <w:t>and ranged from 23.2%–24.8</w:t>
      </w:r>
      <w:r w:rsidRPr="00BD7CF2">
        <w:t>%.</w:t>
      </w:r>
    </w:p>
    <w:p w:rsidR="000D44A5" w:rsidRDefault="000D44A5" w:rsidP="00CE3A17"/>
    <w:p w:rsidR="000D44A5" w:rsidRPr="00BD7CF2" w:rsidRDefault="000D44A5" w:rsidP="00CE3A17">
      <w:r w:rsidRPr="00BD7CF2">
        <w:t>Women giving birth for the first time in 2015 had a higher proportion of inductions (2</w:t>
      </w:r>
      <w:r>
        <w:t>7.8</w:t>
      </w:r>
      <w:r w:rsidRPr="00BD7CF2">
        <w:t xml:space="preserve">%) </w:t>
      </w:r>
      <w:r>
        <w:t>than</w:t>
      </w:r>
      <w:r w:rsidRPr="00BD7CF2">
        <w:t xml:space="preserve"> women who had given birth previously (</w:t>
      </w:r>
      <w:r>
        <w:t>19.9</w:t>
      </w:r>
      <w:r w:rsidRPr="00BD7CF2">
        <w:t>%).</w:t>
      </w:r>
    </w:p>
    <w:p w:rsidR="000D44A5" w:rsidRPr="00AF16D8" w:rsidRDefault="000D44A5" w:rsidP="00CE3A17">
      <w:pPr>
        <w:rPr>
          <w:highlight w:val="yellow"/>
        </w:rPr>
      </w:pPr>
    </w:p>
    <w:p w:rsidR="000D44A5" w:rsidRPr="00BD7CF2" w:rsidRDefault="000D44A5" w:rsidP="00CE3A17">
      <w:pPr>
        <w:pStyle w:val="Figure"/>
      </w:pPr>
      <w:bookmarkStart w:id="425" w:name="_Ref428953223"/>
      <w:bookmarkStart w:id="426" w:name="_Toc400706153"/>
      <w:bookmarkStart w:id="427" w:name="_Toc405886965"/>
      <w:bookmarkStart w:id="428" w:name="_Toc412122455"/>
      <w:bookmarkStart w:id="429" w:name="_Toc428799340"/>
      <w:bookmarkStart w:id="430" w:name="_Toc433389799"/>
      <w:bookmarkStart w:id="431" w:name="_Toc485114372"/>
      <w:bookmarkStart w:id="432" w:name="_Toc485542708"/>
      <w:r w:rsidRPr="00BD7CF2">
        <w:t xml:space="preserve">Figure </w:t>
      </w:r>
      <w:r w:rsidR="00071E85">
        <w:fldChar w:fldCharType="begin"/>
      </w:r>
      <w:r w:rsidR="00071E85">
        <w:instrText xml:space="preserve"> SEQ Figure \* ARABIC </w:instrText>
      </w:r>
      <w:r w:rsidR="00071E85">
        <w:fldChar w:fldCharType="separate"/>
      </w:r>
      <w:r w:rsidR="00071E85">
        <w:rPr>
          <w:noProof/>
        </w:rPr>
        <w:t>41</w:t>
      </w:r>
      <w:r w:rsidR="00071E85">
        <w:rPr>
          <w:noProof/>
        </w:rPr>
        <w:fldChar w:fldCharType="end"/>
      </w:r>
      <w:bookmarkEnd w:id="425"/>
      <w:r w:rsidRPr="00BD7CF2">
        <w:rPr>
          <w:noProof/>
        </w:rPr>
        <w:t>:</w:t>
      </w:r>
      <w:r w:rsidRPr="00BD7CF2">
        <w:t xml:space="preserve"> Percentage of women having an induction of labour, by age group, ethnic group and neighbourhood deprivation quintile, </w:t>
      </w:r>
      <w:bookmarkEnd w:id="426"/>
      <w:bookmarkEnd w:id="427"/>
      <w:bookmarkEnd w:id="428"/>
      <w:bookmarkEnd w:id="429"/>
      <w:r w:rsidRPr="00BD7CF2">
        <w:t>201</w:t>
      </w:r>
      <w:bookmarkEnd w:id="430"/>
      <w:r w:rsidRPr="00BD7CF2">
        <w:t>5</w:t>
      </w:r>
      <w:bookmarkEnd w:id="431"/>
      <w:bookmarkEnd w:id="432"/>
    </w:p>
    <w:p w:rsidR="000D44A5" w:rsidRPr="0050390E" w:rsidRDefault="000D44A5" w:rsidP="000D44A5">
      <w:r>
        <w:rPr>
          <w:noProof/>
          <w:lang w:eastAsia="en-NZ"/>
        </w:rPr>
        <w:drawing>
          <wp:inline distT="0" distB="0" distL="0" distR="0" wp14:anchorId="52A7B66C" wp14:editId="070E2760">
            <wp:extent cx="5453149" cy="3250277"/>
            <wp:effectExtent l="0" t="0" r="0" b="7620"/>
            <wp:docPr id="76" name="Picture 76" title="Figure 41: Percentage of women having an induction of labour,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5">
                      <a:extLst>
                        <a:ext uri="{28A0092B-C50C-407E-A947-70E740481C1C}">
                          <a14:useLocalDpi xmlns:a14="http://schemas.microsoft.com/office/drawing/2010/main" val="0"/>
                        </a:ext>
                      </a:extLst>
                    </a:blip>
                    <a:srcRect l="1649" t="1223" b="3161"/>
                    <a:stretch/>
                  </pic:blipFill>
                  <pic:spPr bwMode="auto">
                    <a:xfrm>
                      <a:off x="0" y="0"/>
                      <a:ext cx="5479903" cy="3266223"/>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50390E" w:rsidRDefault="000D44A5" w:rsidP="00CE3A17">
      <w:pPr>
        <w:pStyle w:val="Note"/>
      </w:pPr>
      <w:r w:rsidRPr="0050390E">
        <w:t xml:space="preserve">Note: The denominator used to calculate percentages is the number of women giving birth for that demographic group, excluding those who had </w:t>
      </w:r>
      <w:r>
        <w:t>an elective caesarean section and</w:t>
      </w:r>
      <w:r w:rsidRPr="0050390E">
        <w:t xml:space="preserve"> those with unknown birth type.</w:t>
      </w:r>
    </w:p>
    <w:p w:rsidR="000D44A5" w:rsidRDefault="000D44A5" w:rsidP="00CE3A17">
      <w:pPr>
        <w:pStyle w:val="Source"/>
      </w:pPr>
      <w:r>
        <w:t>Source: National Maternity Collection</w:t>
      </w:r>
    </w:p>
    <w:p w:rsidR="000D44A5" w:rsidRPr="00AF16D8" w:rsidRDefault="000D44A5" w:rsidP="00CE3A17">
      <w:pPr>
        <w:rPr>
          <w:highlight w:val="yellow"/>
        </w:rPr>
      </w:pPr>
    </w:p>
    <w:p w:rsidR="000D44A5" w:rsidRPr="0050390E" w:rsidRDefault="000D44A5" w:rsidP="00CE3A17">
      <w:pPr>
        <w:pStyle w:val="Heading3"/>
      </w:pPr>
      <w:r w:rsidRPr="0050390E">
        <w:t>Augmentation</w:t>
      </w:r>
    </w:p>
    <w:p w:rsidR="000D44A5" w:rsidRPr="0050390E" w:rsidRDefault="000D44A5" w:rsidP="00CE3A17">
      <w:bookmarkStart w:id="433" w:name="_Toc400706154"/>
      <w:r w:rsidRPr="0050390E">
        <w:t>In 2015, one-quarter (24.6%: 12,</w:t>
      </w:r>
      <w:r>
        <w:t>61</w:t>
      </w:r>
      <w:r w:rsidRPr="0050390E">
        <w:t>6) of women giving birth (excluding those who had elective caesarean sections) had their labour augmented.</w:t>
      </w:r>
      <w:r w:rsidRPr="00CE3A17">
        <w:rPr>
          <w:rStyle w:val="FootnoteReference"/>
        </w:rPr>
        <w:footnoteReference w:id="12"/>
      </w:r>
      <w:r w:rsidRPr="0050390E">
        <w:t xml:space="preserve"> </w:t>
      </w:r>
      <w:r w:rsidRPr="0050390E">
        <w:fldChar w:fldCharType="begin"/>
      </w:r>
      <w:r w:rsidRPr="0050390E">
        <w:instrText xml:space="preserve"> REF _Ref428953213 \h  \* MERGEFORMAT </w:instrText>
      </w:r>
      <w:r w:rsidRPr="0050390E">
        <w:fldChar w:fldCharType="separate"/>
      </w:r>
      <w:r w:rsidR="00071E85" w:rsidRPr="008825D9">
        <w:t xml:space="preserve">Figure </w:t>
      </w:r>
      <w:r w:rsidR="00071E85">
        <w:rPr>
          <w:noProof/>
        </w:rPr>
        <w:t>42</w:t>
      </w:r>
      <w:r w:rsidRPr="0050390E">
        <w:fldChar w:fldCharType="end"/>
      </w:r>
      <w:r w:rsidRPr="0050390E">
        <w:t xml:space="preserve"> shows the distribution of women undergoing augmentation of labour.</w:t>
      </w:r>
    </w:p>
    <w:p w:rsidR="000D44A5" w:rsidRPr="00AF16D8" w:rsidRDefault="000D44A5" w:rsidP="00CE3A17">
      <w:pPr>
        <w:rPr>
          <w:highlight w:val="yellow"/>
        </w:rPr>
      </w:pPr>
    </w:p>
    <w:p w:rsidR="000D44A5" w:rsidRPr="0050390E" w:rsidRDefault="000D44A5" w:rsidP="00CE3A17">
      <w:r w:rsidRPr="0050390E">
        <w:t>The proportion of augmentation among women giving birth decreased with maternal age (29</w:t>
      </w:r>
      <w:r>
        <w:t>.7</w:t>
      </w:r>
      <w:r w:rsidRPr="0050390E">
        <w:t xml:space="preserve">% of women aged </w:t>
      </w:r>
      <w:r>
        <w:t>under</w:t>
      </w:r>
      <w:r w:rsidRPr="0050390E">
        <w:t xml:space="preserve"> 20 years compared with </w:t>
      </w:r>
      <w:r>
        <w:t>14.9</w:t>
      </w:r>
      <w:r w:rsidRPr="0050390E">
        <w:t>% of women aged 40 years and over).</w:t>
      </w:r>
    </w:p>
    <w:p w:rsidR="000D44A5" w:rsidRPr="00A409BC" w:rsidRDefault="000D44A5" w:rsidP="00CE3A17"/>
    <w:p w:rsidR="000D44A5" w:rsidRPr="00A409BC" w:rsidRDefault="000D44A5" w:rsidP="00CE3A17">
      <w:r w:rsidRPr="00A409BC">
        <w:t xml:space="preserve">Augmentation was more common for Asian and </w:t>
      </w:r>
      <w:r>
        <w:t>Pacific women: 28.8</w:t>
      </w:r>
      <w:r w:rsidRPr="00A409BC">
        <w:t>% of Asian (excl</w:t>
      </w:r>
      <w:r w:rsidR="007E161A">
        <w:t>uding</w:t>
      </w:r>
      <w:r w:rsidRPr="00A409BC">
        <w:t xml:space="preserve"> Indian), 26.8% of Indian women</w:t>
      </w:r>
      <w:r>
        <w:t xml:space="preserve"> and 25.6</w:t>
      </w:r>
      <w:r w:rsidRPr="00A409BC">
        <w:t>% of Pacific women had an augmentation, compared with around 24% of women in the Māori and European or Other ethnic groups.</w:t>
      </w:r>
    </w:p>
    <w:p w:rsidR="000D44A5" w:rsidRPr="00AF16D8" w:rsidRDefault="000D44A5" w:rsidP="00CE3A17">
      <w:pPr>
        <w:rPr>
          <w:highlight w:val="yellow"/>
        </w:rPr>
      </w:pPr>
    </w:p>
    <w:p w:rsidR="000D44A5" w:rsidRPr="00A409BC" w:rsidRDefault="000D44A5" w:rsidP="00CE3A17">
      <w:r w:rsidRPr="00A409BC">
        <w:t>The proportion of women who</w:t>
      </w:r>
      <w:r>
        <w:t xml:space="preserve"> had their labour augmented showed a generally decreasing pattern </w:t>
      </w:r>
      <w:r w:rsidRPr="00A409BC">
        <w:t>across neighbourhood deprivation quintiles</w:t>
      </w:r>
      <w:r>
        <w:t xml:space="preserve"> (26.2% of women in quintile 1 compared with 23.7% of women in quintile 5).</w:t>
      </w:r>
    </w:p>
    <w:p w:rsidR="000D44A5" w:rsidRPr="00A409BC" w:rsidRDefault="000D44A5" w:rsidP="00CE3A17"/>
    <w:p w:rsidR="000D44A5" w:rsidRPr="00A409BC" w:rsidRDefault="000D44A5" w:rsidP="00CE3A17">
      <w:r w:rsidRPr="00A409BC">
        <w:lastRenderedPageBreak/>
        <w:t>Almost one-third (</w:t>
      </w:r>
      <w:r>
        <w:t>30.2</w:t>
      </w:r>
      <w:r w:rsidRPr="00A409BC">
        <w:t>%) of women giving birth for the first time in 2015 had their labour augmented, compared to only one-fifth (2</w:t>
      </w:r>
      <w:r>
        <w:t>0.3</w:t>
      </w:r>
      <w:r w:rsidRPr="00A409BC">
        <w:t>%) of women who had given birth at least once before.</w:t>
      </w:r>
    </w:p>
    <w:p w:rsidR="000D44A5" w:rsidRPr="00AF16D8" w:rsidRDefault="000D44A5" w:rsidP="00CE3A17">
      <w:pPr>
        <w:rPr>
          <w:highlight w:val="yellow"/>
        </w:rPr>
      </w:pPr>
    </w:p>
    <w:p w:rsidR="000D44A5" w:rsidRPr="008825D9" w:rsidRDefault="000D44A5" w:rsidP="00CE3A17">
      <w:pPr>
        <w:pStyle w:val="Figure"/>
      </w:pPr>
      <w:bookmarkStart w:id="434" w:name="_Ref428953213"/>
      <w:bookmarkStart w:id="435" w:name="_Toc405886966"/>
      <w:bookmarkStart w:id="436" w:name="_Toc412122456"/>
      <w:bookmarkStart w:id="437" w:name="_Toc428799341"/>
      <w:bookmarkStart w:id="438" w:name="_Toc433389800"/>
      <w:bookmarkStart w:id="439" w:name="_Toc485114373"/>
      <w:bookmarkStart w:id="440" w:name="_Toc485542709"/>
      <w:r w:rsidRPr="008825D9">
        <w:t xml:space="preserve">Figure </w:t>
      </w:r>
      <w:r w:rsidR="00071E85">
        <w:fldChar w:fldCharType="begin"/>
      </w:r>
      <w:r w:rsidR="00071E85">
        <w:instrText xml:space="preserve"> SEQ Figure \* ARABIC </w:instrText>
      </w:r>
      <w:r w:rsidR="00071E85">
        <w:fldChar w:fldCharType="separate"/>
      </w:r>
      <w:r w:rsidR="00071E85">
        <w:rPr>
          <w:noProof/>
        </w:rPr>
        <w:t>42</w:t>
      </w:r>
      <w:r w:rsidR="00071E85">
        <w:rPr>
          <w:noProof/>
        </w:rPr>
        <w:fldChar w:fldCharType="end"/>
      </w:r>
      <w:bookmarkEnd w:id="434"/>
      <w:r w:rsidRPr="008825D9">
        <w:rPr>
          <w:noProof/>
        </w:rPr>
        <w:t>:</w:t>
      </w:r>
      <w:r w:rsidRPr="008825D9">
        <w:t xml:space="preserve"> Percentage of women undergoing augmentation of labour, by age group, ethnic group and neighbourhood deprivation quintile, </w:t>
      </w:r>
      <w:bookmarkEnd w:id="433"/>
      <w:bookmarkEnd w:id="435"/>
      <w:bookmarkEnd w:id="436"/>
      <w:bookmarkEnd w:id="437"/>
      <w:r w:rsidRPr="008825D9">
        <w:t>201</w:t>
      </w:r>
      <w:bookmarkEnd w:id="438"/>
      <w:r w:rsidRPr="008825D9">
        <w:t>5</w:t>
      </w:r>
      <w:bookmarkEnd w:id="439"/>
      <w:bookmarkEnd w:id="440"/>
    </w:p>
    <w:p w:rsidR="000D44A5" w:rsidRPr="008825D9" w:rsidRDefault="000D44A5" w:rsidP="000D44A5">
      <w:r>
        <w:rPr>
          <w:noProof/>
          <w:lang w:eastAsia="en-NZ"/>
        </w:rPr>
        <w:drawing>
          <wp:inline distT="0" distB="0" distL="0" distR="0" wp14:anchorId="4509550F" wp14:editId="1210E95C">
            <wp:extent cx="5311833" cy="3133898"/>
            <wp:effectExtent l="0" t="0" r="3175" b="9525"/>
            <wp:docPr id="77" name="Picture 77" title="Figure 42: Percentage of women undergoing augmentation of labour,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6">
                      <a:extLst>
                        <a:ext uri="{28A0092B-C50C-407E-A947-70E740481C1C}">
                          <a14:useLocalDpi xmlns:a14="http://schemas.microsoft.com/office/drawing/2010/main" val="0"/>
                        </a:ext>
                      </a:extLst>
                    </a:blip>
                    <a:srcRect l="1540" t="1759" b="3491"/>
                    <a:stretch/>
                  </pic:blipFill>
                  <pic:spPr bwMode="auto">
                    <a:xfrm>
                      <a:off x="0" y="0"/>
                      <a:ext cx="5324237" cy="3141216"/>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8825D9" w:rsidRDefault="000D44A5" w:rsidP="00CE3A17">
      <w:pPr>
        <w:pStyle w:val="Note"/>
      </w:pPr>
      <w:r w:rsidRPr="008825D9">
        <w:t xml:space="preserve">Note: The denominator used to calculate percentages is the number of women giving birth for that demographic group, excluding those who had </w:t>
      </w:r>
      <w:r>
        <w:t>an elective caesarean section and</w:t>
      </w:r>
      <w:r w:rsidRPr="008825D9">
        <w:t xml:space="preserve"> those with unknown birth type.</w:t>
      </w:r>
    </w:p>
    <w:p w:rsidR="000D44A5" w:rsidRDefault="000D44A5" w:rsidP="00CE3A17">
      <w:pPr>
        <w:pStyle w:val="Source"/>
      </w:pPr>
      <w:r>
        <w:t>Source: National Maternity Collection</w:t>
      </w:r>
    </w:p>
    <w:p w:rsidR="000D44A5" w:rsidRPr="00A324E1" w:rsidRDefault="000D44A5" w:rsidP="00CE3A17"/>
    <w:p w:rsidR="000D44A5" w:rsidRPr="008825D9" w:rsidRDefault="000D44A5" w:rsidP="00CE3A17">
      <w:pPr>
        <w:pStyle w:val="Heading3"/>
      </w:pPr>
      <w:r w:rsidRPr="00A324E1">
        <w:t>Epidural</w:t>
      </w:r>
    </w:p>
    <w:p w:rsidR="000D44A5" w:rsidRPr="008825D9" w:rsidRDefault="000D44A5" w:rsidP="00CE3A17">
      <w:r>
        <w:t>A total of 13,56</w:t>
      </w:r>
      <w:r w:rsidRPr="008825D9">
        <w:t>1</w:t>
      </w:r>
      <w:r>
        <w:t xml:space="preserve"> (26.4</w:t>
      </w:r>
      <w:r w:rsidRPr="008825D9">
        <w:t xml:space="preserve">%) women giving birth in 2015 (excluding those who had elective caesarean sections) had an epidural. </w:t>
      </w:r>
      <w:r w:rsidRPr="008825D9">
        <w:fldChar w:fldCharType="begin"/>
      </w:r>
      <w:r w:rsidRPr="008825D9">
        <w:instrText xml:space="preserve"> REF _Ref428953200 \h  \* MERGEFORMAT </w:instrText>
      </w:r>
      <w:r w:rsidRPr="008825D9">
        <w:fldChar w:fldCharType="separate"/>
      </w:r>
      <w:r w:rsidR="00071E85" w:rsidRPr="00AE1D7F">
        <w:t xml:space="preserve">Figure </w:t>
      </w:r>
      <w:r w:rsidR="00071E85">
        <w:rPr>
          <w:noProof/>
        </w:rPr>
        <w:t>43</w:t>
      </w:r>
      <w:r w:rsidRPr="008825D9">
        <w:fldChar w:fldCharType="end"/>
      </w:r>
      <w:r w:rsidRPr="008825D9">
        <w:t xml:space="preserve"> shows the distribution of women having an epidural.</w:t>
      </w:r>
    </w:p>
    <w:p w:rsidR="000D44A5" w:rsidRPr="00AF16D8" w:rsidRDefault="000D44A5" w:rsidP="00CE3A17">
      <w:pPr>
        <w:rPr>
          <w:highlight w:val="yellow"/>
        </w:rPr>
      </w:pPr>
    </w:p>
    <w:p w:rsidR="000D44A5" w:rsidRPr="008825D9" w:rsidRDefault="000D44A5" w:rsidP="00CE3A17">
      <w:r w:rsidRPr="008825D9">
        <w:t>The proportion of epidurals was fairly consistent across age groups, ranging from 24.</w:t>
      </w:r>
      <w:r>
        <w:t>6</w:t>
      </w:r>
      <w:r w:rsidRPr="008825D9">
        <w:t xml:space="preserve">% (in the 20–24 years age group) to </w:t>
      </w:r>
      <w:r>
        <w:t>27.9</w:t>
      </w:r>
      <w:r w:rsidRPr="008825D9">
        <w:t>% (in the 30–34 years age group).</w:t>
      </w:r>
    </w:p>
    <w:p w:rsidR="000D44A5" w:rsidRPr="00AF16D8" w:rsidRDefault="000D44A5" w:rsidP="00CE3A17">
      <w:pPr>
        <w:rPr>
          <w:highlight w:val="yellow"/>
        </w:rPr>
      </w:pPr>
    </w:p>
    <w:p w:rsidR="000D44A5" w:rsidRPr="008825D9" w:rsidRDefault="000D44A5" w:rsidP="00CE3A17">
      <w:r w:rsidRPr="008825D9">
        <w:t>Use of epidural varied notably by ethnic group. Epidurals were most common among Indian women (</w:t>
      </w:r>
      <w:r>
        <w:t>39.4</w:t>
      </w:r>
      <w:r w:rsidRPr="008825D9">
        <w:t>%), followed by women in the Asian (excl</w:t>
      </w:r>
      <w:r w:rsidR="007E161A">
        <w:t>uding</w:t>
      </w:r>
      <w:r w:rsidRPr="008825D9">
        <w:t xml:space="preserve"> Indian) (</w:t>
      </w:r>
      <w:r>
        <w:t>32.3%) and European or Other (29.6</w:t>
      </w:r>
      <w:r w:rsidRPr="008825D9">
        <w:t>%) ethnic group</w:t>
      </w:r>
      <w:r>
        <w:t>s. In contrast, only 17.9</w:t>
      </w:r>
      <w:r w:rsidRPr="008825D9">
        <w:t xml:space="preserve">% of Māori women and </w:t>
      </w:r>
      <w:r>
        <w:t>20.6</w:t>
      </w:r>
      <w:r w:rsidRPr="008825D9">
        <w:t>% of Pacific women giving birth had an epidural.</w:t>
      </w:r>
    </w:p>
    <w:p w:rsidR="000D44A5" w:rsidRPr="00AF16D8" w:rsidRDefault="000D44A5" w:rsidP="00CE3A17">
      <w:pPr>
        <w:rPr>
          <w:highlight w:val="yellow"/>
        </w:rPr>
      </w:pPr>
    </w:p>
    <w:p w:rsidR="000D44A5" w:rsidRPr="00AE1D7F" w:rsidRDefault="000D44A5" w:rsidP="00CE3A17">
      <w:r w:rsidRPr="00AE1D7F">
        <w:t>Epidurals were more common among women in the lea</w:t>
      </w:r>
      <w:r>
        <w:t>st deprived neighbourhoods (33.8</w:t>
      </w:r>
      <w:r w:rsidRPr="00AE1D7F">
        <w:t xml:space="preserve">% of women in quintile 1) than among those in the most deprived neighbourhoods </w:t>
      </w:r>
      <w:r>
        <w:t>(20.6</w:t>
      </w:r>
      <w:r w:rsidRPr="00AE1D7F">
        <w:t>% of women in quintile 5).</w:t>
      </w:r>
    </w:p>
    <w:p w:rsidR="000D44A5" w:rsidRPr="00AE1D7F" w:rsidRDefault="000D44A5" w:rsidP="00CE3A17"/>
    <w:p w:rsidR="000D44A5" w:rsidRPr="00AE1D7F" w:rsidRDefault="000D44A5" w:rsidP="00CE3A17">
      <w:r w:rsidRPr="00AE1D7F">
        <w:t xml:space="preserve">The proportion of epidurals among women giving birth for the first time in 2015 was </w:t>
      </w:r>
      <w:r>
        <w:t xml:space="preserve">over </w:t>
      </w:r>
      <w:r w:rsidRPr="00AE1D7F">
        <w:t>2.5</w:t>
      </w:r>
      <w:r w:rsidR="00CE3A17">
        <w:t> </w:t>
      </w:r>
      <w:r w:rsidRPr="00AE1D7F">
        <w:t>times the proportion for women who had given birth previously (41.</w:t>
      </w:r>
      <w:r>
        <w:t>3</w:t>
      </w:r>
      <w:r w:rsidRPr="00AE1D7F">
        <w:t>% compared with 1</w:t>
      </w:r>
      <w:r>
        <w:t>4.8</w:t>
      </w:r>
      <w:r w:rsidRPr="00AE1D7F">
        <w:t>%).</w:t>
      </w:r>
    </w:p>
    <w:p w:rsidR="000D44A5" w:rsidRPr="00AF16D8" w:rsidRDefault="000D44A5" w:rsidP="00CE3A17">
      <w:pPr>
        <w:rPr>
          <w:highlight w:val="yellow"/>
        </w:rPr>
      </w:pPr>
      <w:bookmarkStart w:id="441" w:name="_Ref405218220"/>
      <w:bookmarkStart w:id="442" w:name="_Toc400706155"/>
      <w:bookmarkStart w:id="443" w:name="_Toc405886967"/>
      <w:bookmarkStart w:id="444" w:name="_Toc412122457"/>
    </w:p>
    <w:p w:rsidR="000D44A5" w:rsidRPr="00AE1D7F" w:rsidRDefault="000D44A5" w:rsidP="00CE3A17">
      <w:pPr>
        <w:pStyle w:val="Figure"/>
      </w:pPr>
      <w:bookmarkStart w:id="445" w:name="_Ref428953200"/>
      <w:bookmarkStart w:id="446" w:name="_Toc428799342"/>
      <w:bookmarkStart w:id="447" w:name="_Toc433389801"/>
      <w:bookmarkStart w:id="448" w:name="_Toc485114374"/>
      <w:bookmarkStart w:id="449" w:name="_Toc485542710"/>
      <w:bookmarkEnd w:id="441"/>
      <w:r w:rsidRPr="00AE1D7F">
        <w:lastRenderedPageBreak/>
        <w:t xml:space="preserve">Figure </w:t>
      </w:r>
      <w:r w:rsidR="00071E85">
        <w:fldChar w:fldCharType="begin"/>
      </w:r>
      <w:r w:rsidR="00071E85">
        <w:instrText xml:space="preserve"> SEQ Figure \* ARABIC </w:instrText>
      </w:r>
      <w:r w:rsidR="00071E85">
        <w:fldChar w:fldCharType="separate"/>
      </w:r>
      <w:r w:rsidR="00071E85">
        <w:rPr>
          <w:noProof/>
        </w:rPr>
        <w:t>43</w:t>
      </w:r>
      <w:r w:rsidR="00071E85">
        <w:rPr>
          <w:noProof/>
        </w:rPr>
        <w:fldChar w:fldCharType="end"/>
      </w:r>
      <w:bookmarkEnd w:id="445"/>
      <w:r w:rsidRPr="00AE1D7F">
        <w:rPr>
          <w:noProof/>
        </w:rPr>
        <w:t>:</w:t>
      </w:r>
      <w:r w:rsidRPr="00AE1D7F">
        <w:t xml:space="preserve"> Percentage of women having an epidural, by age group, ethnic group and neighbourhood deprivation quintile, </w:t>
      </w:r>
      <w:bookmarkEnd w:id="442"/>
      <w:bookmarkEnd w:id="443"/>
      <w:bookmarkEnd w:id="444"/>
      <w:bookmarkEnd w:id="446"/>
      <w:r w:rsidRPr="00AE1D7F">
        <w:t>201</w:t>
      </w:r>
      <w:bookmarkEnd w:id="447"/>
      <w:r w:rsidRPr="00AE1D7F">
        <w:t>5</w:t>
      </w:r>
      <w:bookmarkEnd w:id="448"/>
      <w:bookmarkEnd w:id="449"/>
    </w:p>
    <w:p w:rsidR="000D44A5" w:rsidRPr="00AF16D8" w:rsidRDefault="000D44A5" w:rsidP="000D44A5">
      <w:pPr>
        <w:rPr>
          <w:highlight w:val="yellow"/>
        </w:rPr>
      </w:pPr>
      <w:r w:rsidRPr="00962D18">
        <w:rPr>
          <w:noProof/>
          <w:lang w:eastAsia="en-NZ"/>
        </w:rPr>
        <w:drawing>
          <wp:inline distT="0" distB="0" distL="0" distR="0" wp14:anchorId="2DD517C9" wp14:editId="62FE37AF">
            <wp:extent cx="5261956" cy="3142211"/>
            <wp:effectExtent l="0" t="0" r="0" b="1270"/>
            <wp:docPr id="8" name="Picture 8" title="Figure 43: Percentage of women having an epidural,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l="1402" t="1270" b="2693"/>
                    <a:stretch/>
                  </pic:blipFill>
                  <pic:spPr bwMode="auto">
                    <a:xfrm>
                      <a:off x="0" y="0"/>
                      <a:ext cx="5270223" cy="3147148"/>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AE1D7F" w:rsidRDefault="000D44A5" w:rsidP="00CE3A17">
      <w:pPr>
        <w:pStyle w:val="Note"/>
        <w:rPr>
          <w:rStyle w:val="NoteChar"/>
        </w:rPr>
      </w:pPr>
      <w:r w:rsidRPr="00AE1D7F">
        <w:rPr>
          <w:rStyle w:val="NoteChar"/>
        </w:rPr>
        <w:t>Note: The denominator used to calculate percentages is the number of women giving birth for that demographic group, excluding those who had an elective caesarean sec</w:t>
      </w:r>
      <w:r>
        <w:rPr>
          <w:rStyle w:val="NoteChar"/>
        </w:rPr>
        <w:t>tion and</w:t>
      </w:r>
      <w:r w:rsidRPr="00AE1D7F">
        <w:rPr>
          <w:rStyle w:val="NoteChar"/>
        </w:rPr>
        <w:t xml:space="preserve"> those with unknown birth type.</w:t>
      </w:r>
    </w:p>
    <w:p w:rsidR="000D44A5" w:rsidRDefault="000D44A5" w:rsidP="00CE3A17">
      <w:pPr>
        <w:pStyle w:val="Source"/>
        <w:rPr>
          <w:rStyle w:val="NoteChar"/>
        </w:rPr>
      </w:pPr>
      <w:r>
        <w:rPr>
          <w:rStyle w:val="NoteChar"/>
        </w:rPr>
        <w:t>Source: National Maternity Collection</w:t>
      </w:r>
    </w:p>
    <w:p w:rsidR="000D44A5" w:rsidRPr="00AF16D8" w:rsidRDefault="000D44A5" w:rsidP="00CE3A17">
      <w:pPr>
        <w:rPr>
          <w:highlight w:val="yellow"/>
        </w:rPr>
      </w:pPr>
    </w:p>
    <w:p w:rsidR="000D44A5" w:rsidRPr="00AE1D7F" w:rsidRDefault="000D44A5" w:rsidP="00CE3A17">
      <w:pPr>
        <w:pStyle w:val="Heading3"/>
      </w:pPr>
      <w:r w:rsidRPr="00AE1D7F">
        <w:t>Episiotomy</w:t>
      </w:r>
    </w:p>
    <w:p w:rsidR="000D44A5" w:rsidRPr="00AE1D7F" w:rsidRDefault="000D44A5" w:rsidP="00CE3A17">
      <w:r w:rsidRPr="00AE1D7F">
        <w:t>In 2015, 14.</w:t>
      </w:r>
      <w:r>
        <w:t>2</w:t>
      </w:r>
      <w:r w:rsidRPr="00AE1D7F">
        <w:t>% (6</w:t>
      </w:r>
      <w:r w:rsidR="00F1681F">
        <w:t>,</w:t>
      </w:r>
      <w:r>
        <w:t>170</w:t>
      </w:r>
      <w:r w:rsidRPr="00AE1D7F">
        <w:t xml:space="preserve">) of women giving birth vaginally had an episiotomy. </w:t>
      </w:r>
      <w:r w:rsidRPr="00AE1D7F">
        <w:fldChar w:fldCharType="begin"/>
      </w:r>
      <w:r w:rsidRPr="00AE1D7F">
        <w:instrText xml:space="preserve"> REF _Ref428952647 \h  \* MERGEFORMAT </w:instrText>
      </w:r>
      <w:r w:rsidRPr="00AE1D7F">
        <w:fldChar w:fldCharType="separate"/>
      </w:r>
      <w:r w:rsidR="00071E85" w:rsidRPr="00805E6C">
        <w:t xml:space="preserve">Figure </w:t>
      </w:r>
      <w:r w:rsidR="00071E85">
        <w:rPr>
          <w:noProof/>
        </w:rPr>
        <w:t>44</w:t>
      </w:r>
      <w:r w:rsidRPr="00AE1D7F">
        <w:fldChar w:fldCharType="end"/>
      </w:r>
      <w:r w:rsidRPr="00AE1D7F">
        <w:t xml:space="preserve"> shows the distribution of women having an episiotomy.</w:t>
      </w:r>
    </w:p>
    <w:p w:rsidR="000D44A5" w:rsidRPr="00AF16D8" w:rsidRDefault="000D44A5" w:rsidP="00CE3A17">
      <w:pPr>
        <w:rPr>
          <w:highlight w:val="yellow"/>
        </w:rPr>
      </w:pPr>
    </w:p>
    <w:p w:rsidR="000D44A5" w:rsidRPr="00AE1D7F" w:rsidRDefault="000D44A5" w:rsidP="00CE3A17">
      <w:r w:rsidRPr="00AE1D7F">
        <w:t>The proportion of women having an episiotomy varied slightly across age groups, and ranged from 11.2% (in the 20–24 years age group) to 16.</w:t>
      </w:r>
      <w:r>
        <w:t>6</w:t>
      </w:r>
      <w:r w:rsidRPr="00AE1D7F">
        <w:t>% (in the 30–34 years age group).</w:t>
      </w:r>
    </w:p>
    <w:p w:rsidR="000D44A5" w:rsidRPr="00805E6C" w:rsidRDefault="000D44A5" w:rsidP="00CE3A17"/>
    <w:p w:rsidR="000D44A5" w:rsidRPr="00805E6C" w:rsidRDefault="000D44A5" w:rsidP="00CE3A17">
      <w:r w:rsidRPr="00805E6C">
        <w:t>Asian women had a notably higher proportion of women who had an episiotomy compared to women in other ethnic groups. The proportion of Indian and other Asian women who had an episiotomy was at least four times the proportion of Māori women (31.</w:t>
      </w:r>
      <w:r>
        <w:t>0</w:t>
      </w:r>
      <w:r w:rsidRPr="00805E6C">
        <w:t xml:space="preserve">% of Indian women and </w:t>
      </w:r>
      <w:r>
        <w:t>25.9</w:t>
      </w:r>
      <w:r w:rsidRPr="00805E6C">
        <w:t>% of Asian (excl</w:t>
      </w:r>
      <w:r w:rsidR="007E161A">
        <w:t>uding</w:t>
      </w:r>
      <w:r w:rsidRPr="00805E6C">
        <w:t xml:space="preserve"> Indian) women compared with 6.</w:t>
      </w:r>
      <w:r>
        <w:t>2</w:t>
      </w:r>
      <w:r w:rsidRPr="00805E6C">
        <w:t>% of Māori women).</w:t>
      </w:r>
    </w:p>
    <w:p w:rsidR="000D44A5" w:rsidRPr="00805E6C" w:rsidRDefault="000D44A5" w:rsidP="00CE3A17"/>
    <w:p w:rsidR="000D44A5" w:rsidRPr="00805E6C" w:rsidRDefault="000D44A5" w:rsidP="00CE3A17">
      <w:r w:rsidRPr="00805E6C">
        <w:t xml:space="preserve">Women in the least deprived neighbourhoods </w:t>
      </w:r>
      <w:r>
        <w:t xml:space="preserve">were </w:t>
      </w:r>
      <w:r w:rsidRPr="00805E6C">
        <w:t xml:space="preserve">almost twice </w:t>
      </w:r>
      <w:r>
        <w:t>as likely to have</w:t>
      </w:r>
      <w:r w:rsidRPr="00805E6C">
        <w:t xml:space="preserve"> an episiotomy compared with women in the most depriv</w:t>
      </w:r>
      <w:r>
        <w:t>ed neighbourhoods (18.4</w:t>
      </w:r>
      <w:r w:rsidRPr="00805E6C">
        <w:t xml:space="preserve">% of women </w:t>
      </w:r>
      <w:r>
        <w:t>in quintile 1 compared with 10.2</w:t>
      </w:r>
      <w:r w:rsidRPr="00805E6C">
        <w:t>% of women in quintile 5).</w:t>
      </w:r>
    </w:p>
    <w:p w:rsidR="000D44A5" w:rsidRPr="00AF16D8" w:rsidRDefault="000D44A5" w:rsidP="00CE3A17">
      <w:pPr>
        <w:rPr>
          <w:highlight w:val="yellow"/>
        </w:rPr>
      </w:pPr>
    </w:p>
    <w:p w:rsidR="000D44A5" w:rsidRPr="00805E6C" w:rsidRDefault="000D44A5" w:rsidP="00CE3A17">
      <w:r w:rsidRPr="00805E6C">
        <w:t xml:space="preserve">Women giving birth for the first time in 2015 had five times the proportion of </w:t>
      </w:r>
      <w:r>
        <w:t>episiotomies</w:t>
      </w:r>
      <w:r w:rsidRPr="00805E6C">
        <w:t xml:space="preserve"> compared to women who had given birth at least once bef</w:t>
      </w:r>
      <w:r>
        <w:t>ore (27.6</w:t>
      </w:r>
      <w:r w:rsidRPr="00805E6C">
        <w:t>% compared with 5.</w:t>
      </w:r>
      <w:r>
        <w:t>5</w:t>
      </w:r>
      <w:r w:rsidRPr="00805E6C">
        <w:t>%).</w:t>
      </w:r>
    </w:p>
    <w:p w:rsidR="000D44A5" w:rsidRDefault="000D44A5" w:rsidP="00CE3A17">
      <w:pPr>
        <w:rPr>
          <w:highlight w:val="yellow"/>
        </w:rPr>
      </w:pPr>
    </w:p>
    <w:p w:rsidR="000D44A5" w:rsidRPr="00805E6C" w:rsidRDefault="000D44A5" w:rsidP="00CE3A17">
      <w:pPr>
        <w:pStyle w:val="Figure"/>
      </w:pPr>
      <w:bookmarkStart w:id="450" w:name="_Ref428952647"/>
      <w:bookmarkStart w:id="451" w:name="_Toc400706156"/>
      <w:bookmarkStart w:id="452" w:name="_Toc405886968"/>
      <w:bookmarkStart w:id="453" w:name="_Toc412122458"/>
      <w:bookmarkStart w:id="454" w:name="_Toc428799343"/>
      <w:bookmarkStart w:id="455" w:name="_Toc433389802"/>
      <w:bookmarkStart w:id="456" w:name="_Toc485114375"/>
      <w:bookmarkStart w:id="457" w:name="_Toc485542711"/>
      <w:r w:rsidRPr="00805E6C">
        <w:lastRenderedPageBreak/>
        <w:t xml:space="preserve">Figure </w:t>
      </w:r>
      <w:r w:rsidR="00071E85">
        <w:fldChar w:fldCharType="begin"/>
      </w:r>
      <w:r w:rsidR="00071E85">
        <w:instrText xml:space="preserve"> SEQ Figure \* ARABIC </w:instrText>
      </w:r>
      <w:r w:rsidR="00071E85">
        <w:fldChar w:fldCharType="separate"/>
      </w:r>
      <w:r w:rsidR="00071E85">
        <w:rPr>
          <w:noProof/>
        </w:rPr>
        <w:t>44</w:t>
      </w:r>
      <w:r w:rsidR="00071E85">
        <w:rPr>
          <w:noProof/>
        </w:rPr>
        <w:fldChar w:fldCharType="end"/>
      </w:r>
      <w:bookmarkEnd w:id="450"/>
      <w:r w:rsidRPr="00805E6C">
        <w:rPr>
          <w:noProof/>
        </w:rPr>
        <w:t>:</w:t>
      </w:r>
      <w:r w:rsidRPr="00805E6C">
        <w:t xml:space="preserve"> Percentage of women having an episiotomy, by age group, ethnic group and neighbourhood deprivation quintile, </w:t>
      </w:r>
      <w:bookmarkEnd w:id="451"/>
      <w:bookmarkEnd w:id="452"/>
      <w:bookmarkEnd w:id="453"/>
      <w:bookmarkEnd w:id="454"/>
      <w:r w:rsidRPr="00805E6C">
        <w:t>201</w:t>
      </w:r>
      <w:bookmarkEnd w:id="455"/>
      <w:r>
        <w:t>5</w:t>
      </w:r>
      <w:bookmarkEnd w:id="456"/>
      <w:bookmarkEnd w:id="457"/>
    </w:p>
    <w:p w:rsidR="000D44A5" w:rsidRPr="00805E6C" w:rsidRDefault="000D44A5" w:rsidP="000D44A5">
      <w:r>
        <w:rPr>
          <w:noProof/>
          <w:lang w:eastAsia="en-NZ"/>
        </w:rPr>
        <w:drawing>
          <wp:inline distT="0" distB="0" distL="0" distR="0" wp14:anchorId="4DAB2138" wp14:editId="392649B8">
            <wp:extent cx="5087389" cy="3025833"/>
            <wp:effectExtent l="0" t="0" r="0" b="3175"/>
            <wp:docPr id="9" name="Picture 9" title="Figure 44: Percentage of women having an episiotomy,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l="1923" t="1830" r="1" b="3023"/>
                    <a:stretch/>
                  </pic:blipFill>
                  <pic:spPr bwMode="auto">
                    <a:xfrm>
                      <a:off x="0" y="0"/>
                      <a:ext cx="5089760" cy="3027243"/>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805E6C" w:rsidRDefault="000D44A5" w:rsidP="00CE3A17">
      <w:pPr>
        <w:pStyle w:val="Note"/>
      </w:pPr>
      <w:r w:rsidRPr="00805E6C">
        <w:t>Note: The denominator used to calculate percentages is the number of women who had a vaginal birth for that demographic group, excluding those with unknown birth type.</w:t>
      </w:r>
    </w:p>
    <w:p w:rsidR="000D44A5" w:rsidRDefault="000D44A5" w:rsidP="00CE3A17">
      <w:pPr>
        <w:pStyle w:val="Source"/>
      </w:pPr>
      <w:r>
        <w:t>Source: National Maternity Collection</w:t>
      </w:r>
    </w:p>
    <w:p w:rsidR="000D44A5" w:rsidRPr="00AF16D8" w:rsidRDefault="000D44A5" w:rsidP="00CE3A17">
      <w:pPr>
        <w:rPr>
          <w:highlight w:val="yellow"/>
        </w:rPr>
      </w:pPr>
    </w:p>
    <w:p w:rsidR="000D44A5" w:rsidRPr="00805E6C" w:rsidRDefault="000D44A5" w:rsidP="00CE3A17">
      <w:pPr>
        <w:pStyle w:val="Heading2"/>
      </w:pPr>
      <w:bookmarkStart w:id="458" w:name="_Ref405539915"/>
      <w:bookmarkStart w:id="459" w:name="_Ref405805370"/>
      <w:bookmarkStart w:id="460" w:name="_Toc405887012"/>
      <w:bookmarkStart w:id="461" w:name="_Toc412122406"/>
      <w:bookmarkStart w:id="462" w:name="_Toc431462731"/>
      <w:bookmarkStart w:id="463" w:name="_Toc479583269"/>
      <w:bookmarkStart w:id="464" w:name="_Toc485542637"/>
      <w:bookmarkStart w:id="465" w:name="_Ref405539917"/>
      <w:bookmarkStart w:id="466" w:name="_Ref405550097"/>
      <w:bookmarkStart w:id="467" w:name="_Toc405887014"/>
      <w:bookmarkStart w:id="468" w:name="_Toc412122408"/>
      <w:r w:rsidRPr="00805E6C">
        <w:t>Plurality</w:t>
      </w:r>
      <w:bookmarkEnd w:id="458"/>
      <w:bookmarkEnd w:id="459"/>
      <w:bookmarkEnd w:id="460"/>
      <w:bookmarkEnd w:id="461"/>
      <w:bookmarkEnd w:id="462"/>
      <w:bookmarkEnd w:id="463"/>
      <w:bookmarkEnd w:id="464"/>
    </w:p>
    <w:p w:rsidR="000D44A5" w:rsidRPr="00805E6C" w:rsidRDefault="000D44A5" w:rsidP="00CE3A17">
      <w:pPr>
        <w:pStyle w:val="Box"/>
        <w:keepNext/>
      </w:pPr>
      <w:r w:rsidRPr="00805E6C">
        <w:t>Plurality is the number of babies resulting from a pregnancy.</w:t>
      </w:r>
    </w:p>
    <w:p w:rsidR="000D44A5" w:rsidRPr="00805E6C" w:rsidRDefault="000D44A5" w:rsidP="00CE3A17">
      <w:pPr>
        <w:pStyle w:val="Box"/>
        <w:keepNext/>
      </w:pPr>
      <w:r w:rsidRPr="00805E6C">
        <w:rPr>
          <w:b/>
        </w:rPr>
        <w:t>Singleton pregnancy</w:t>
      </w:r>
      <w:r w:rsidRPr="00805E6C">
        <w:t xml:space="preserve"> refers to being pregnant with one baby.</w:t>
      </w:r>
    </w:p>
    <w:p w:rsidR="000D44A5" w:rsidRPr="00805E6C" w:rsidRDefault="000D44A5" w:rsidP="00CE3A17">
      <w:pPr>
        <w:pStyle w:val="Box"/>
        <w:keepNext/>
      </w:pPr>
      <w:r w:rsidRPr="00805E6C">
        <w:rPr>
          <w:b/>
        </w:rPr>
        <w:t>Twin</w:t>
      </w:r>
      <w:r w:rsidRPr="00805E6C">
        <w:t xml:space="preserve"> </w:t>
      </w:r>
      <w:r w:rsidRPr="00805E6C">
        <w:rPr>
          <w:b/>
        </w:rPr>
        <w:t xml:space="preserve">pregnancy </w:t>
      </w:r>
      <w:r w:rsidRPr="00805E6C">
        <w:t>refers to being</w:t>
      </w:r>
      <w:r w:rsidRPr="00805E6C">
        <w:rPr>
          <w:b/>
        </w:rPr>
        <w:t xml:space="preserve"> </w:t>
      </w:r>
      <w:r w:rsidRPr="00805E6C">
        <w:t>pregnant with two babies.</w:t>
      </w:r>
    </w:p>
    <w:p w:rsidR="000D44A5" w:rsidRPr="00805E6C" w:rsidRDefault="000D44A5" w:rsidP="00CE3A17">
      <w:pPr>
        <w:pStyle w:val="Box"/>
        <w:keepNext/>
      </w:pPr>
      <w:r w:rsidRPr="00805E6C">
        <w:rPr>
          <w:b/>
        </w:rPr>
        <w:t>Multiple</w:t>
      </w:r>
      <w:r w:rsidRPr="00805E6C">
        <w:t xml:space="preserve"> </w:t>
      </w:r>
      <w:r w:rsidRPr="00805E6C">
        <w:rPr>
          <w:b/>
        </w:rPr>
        <w:t>pregnancy</w:t>
      </w:r>
      <w:r w:rsidRPr="00805E6C">
        <w:t xml:space="preserve"> refers to being pregnant with three or more babies.</w:t>
      </w:r>
    </w:p>
    <w:p w:rsidR="000D44A5" w:rsidRPr="00AF16D8" w:rsidRDefault="000D44A5" w:rsidP="00CE3A17">
      <w:pPr>
        <w:keepNext/>
        <w:rPr>
          <w:highlight w:val="yellow"/>
        </w:rPr>
      </w:pPr>
    </w:p>
    <w:p w:rsidR="000D44A5" w:rsidRPr="009E2BE2" w:rsidRDefault="000D44A5" w:rsidP="00CE3A17">
      <w:pPr>
        <w:keepNext/>
      </w:pPr>
      <w:r w:rsidRPr="009E2BE2">
        <w:t>The vast majority of women giving birth in 2015 (98.6%) gave birth to one baby, and only 1.4% (823 women) gave birth to two or more babies.</w:t>
      </w:r>
      <w:r w:rsidRPr="00CE3A17">
        <w:rPr>
          <w:rStyle w:val="FootnoteReference"/>
        </w:rPr>
        <w:footnoteReference w:id="13"/>
      </w:r>
      <w:r w:rsidRPr="009E2BE2">
        <w:t xml:space="preserve"> The proportion of twin or multiple births has not changed much over the last decade, ranging from 1.4% to 1.6% of all women giving birth.</w:t>
      </w:r>
    </w:p>
    <w:p w:rsidR="000D44A5" w:rsidRPr="00AF16D8" w:rsidRDefault="000D44A5" w:rsidP="00CE3A17">
      <w:pPr>
        <w:keepNext/>
        <w:rPr>
          <w:highlight w:val="yellow"/>
        </w:rPr>
      </w:pPr>
    </w:p>
    <w:p w:rsidR="000D44A5" w:rsidRPr="00AF16D8" w:rsidRDefault="000D44A5" w:rsidP="00CE3A17">
      <w:pPr>
        <w:keepNext/>
        <w:rPr>
          <w:highlight w:val="yellow"/>
        </w:rPr>
      </w:pPr>
      <w:r w:rsidRPr="0002287D">
        <w:t xml:space="preserve">The type of birth varied with plurality, as shown in </w:t>
      </w:r>
      <w:r w:rsidRPr="0002287D">
        <w:fldChar w:fldCharType="begin"/>
      </w:r>
      <w:r w:rsidRPr="0002287D">
        <w:instrText xml:space="preserve"> REF _Ref428807653 \h  \* MERGEFORMAT </w:instrText>
      </w:r>
      <w:r w:rsidRPr="0002287D">
        <w:fldChar w:fldCharType="separate"/>
      </w:r>
      <w:r w:rsidR="00071E85" w:rsidRPr="0002287D">
        <w:t xml:space="preserve">Table </w:t>
      </w:r>
      <w:r w:rsidR="00071E85">
        <w:rPr>
          <w:noProof/>
        </w:rPr>
        <w:t>4</w:t>
      </w:r>
      <w:r w:rsidRPr="0002287D">
        <w:fldChar w:fldCharType="end"/>
      </w:r>
      <w:r w:rsidRPr="0002287D">
        <w:t xml:space="preserve">. Approximately 75% of women with singleton pregnancies had a vaginal birth (including assisted birth) compared with 38.4% of women pregnant with twins and </w:t>
      </w:r>
      <w:r>
        <w:t>0.0% of</w:t>
      </w:r>
      <w:r w:rsidRPr="0002287D">
        <w:t xml:space="preserve"> women with a multiple pregnancy. The proportion of emergency and elective caesarean sections increased with the number of babies: 25.0% of </w:t>
      </w:r>
      <w:r w:rsidRPr="0002287D">
        <w:lastRenderedPageBreak/>
        <w:t>women with a singleton pregnancy had a caesarean section compared with 61.6% of women with a twin pregnancy and 100.0% of women with a multiple pregnancy.</w:t>
      </w:r>
    </w:p>
    <w:p w:rsidR="000D44A5" w:rsidRDefault="000D44A5" w:rsidP="00CE3A17">
      <w:pPr>
        <w:keepNext/>
        <w:rPr>
          <w:highlight w:val="yellow"/>
        </w:rPr>
      </w:pPr>
    </w:p>
    <w:p w:rsidR="000D44A5" w:rsidRPr="0002287D" w:rsidRDefault="000D44A5" w:rsidP="00CE3A17">
      <w:pPr>
        <w:pStyle w:val="Table"/>
      </w:pPr>
      <w:bookmarkStart w:id="469" w:name="_Ref428807653"/>
      <w:bookmarkStart w:id="470" w:name="_Toc405886990"/>
      <w:bookmarkStart w:id="471" w:name="_Toc412122480"/>
      <w:bookmarkStart w:id="472" w:name="_Toc428802811"/>
      <w:bookmarkStart w:id="473" w:name="_Toc433389741"/>
      <w:bookmarkStart w:id="474" w:name="_Toc479605818"/>
      <w:bookmarkStart w:id="475" w:name="_Toc485542656"/>
      <w:r w:rsidRPr="0002287D">
        <w:t xml:space="preserve">Table </w:t>
      </w:r>
      <w:r w:rsidR="00071E85">
        <w:fldChar w:fldCharType="begin"/>
      </w:r>
      <w:r w:rsidR="00071E85">
        <w:instrText xml:space="preserve"> SEQ Table \* ARABIC </w:instrText>
      </w:r>
      <w:r w:rsidR="00071E85">
        <w:fldChar w:fldCharType="separate"/>
      </w:r>
      <w:r w:rsidR="00071E85">
        <w:rPr>
          <w:noProof/>
        </w:rPr>
        <w:t>4</w:t>
      </w:r>
      <w:r w:rsidR="00071E85">
        <w:rPr>
          <w:noProof/>
        </w:rPr>
        <w:fldChar w:fldCharType="end"/>
      </w:r>
      <w:bookmarkEnd w:id="469"/>
      <w:r w:rsidRPr="0002287D">
        <w:rPr>
          <w:noProof/>
        </w:rPr>
        <w:t>:</w:t>
      </w:r>
      <w:r w:rsidRPr="0002287D">
        <w:t xml:space="preserve"> Number and percentage of women giving birth, by plurality and type of birth, </w:t>
      </w:r>
      <w:bookmarkEnd w:id="470"/>
      <w:bookmarkEnd w:id="471"/>
      <w:bookmarkEnd w:id="472"/>
      <w:r w:rsidRPr="0002287D">
        <w:t>201</w:t>
      </w:r>
      <w:bookmarkEnd w:id="473"/>
      <w:r w:rsidRPr="0002287D">
        <w:t>5</w:t>
      </w:r>
      <w:bookmarkEnd w:id="474"/>
      <w:bookmarkEnd w:id="475"/>
    </w:p>
    <w:tbl>
      <w:tblPr>
        <w:tblW w:w="9356" w:type="dxa"/>
        <w:tblInd w:w="57" w:type="dxa"/>
        <w:tblLayout w:type="fixed"/>
        <w:tblCellMar>
          <w:left w:w="57" w:type="dxa"/>
          <w:right w:w="57" w:type="dxa"/>
        </w:tblCellMar>
        <w:tblLook w:val="0620" w:firstRow="1" w:lastRow="0" w:firstColumn="0" w:lastColumn="0" w:noHBand="1" w:noVBand="1"/>
      </w:tblPr>
      <w:tblGrid>
        <w:gridCol w:w="2268"/>
        <w:gridCol w:w="1175"/>
        <w:gridCol w:w="1177"/>
        <w:gridCol w:w="1176"/>
        <w:gridCol w:w="1177"/>
        <w:gridCol w:w="1176"/>
        <w:gridCol w:w="1207"/>
      </w:tblGrid>
      <w:tr w:rsidR="000D44A5" w:rsidRPr="00AF16D8" w:rsidTr="00CE3A17">
        <w:trPr>
          <w:cantSplit/>
        </w:trPr>
        <w:tc>
          <w:tcPr>
            <w:tcW w:w="2268" w:type="dxa"/>
            <w:vMerge w:val="restart"/>
            <w:tcBorders>
              <w:top w:val="single" w:sz="4" w:space="0" w:color="auto"/>
              <w:bottom w:val="single" w:sz="4" w:space="0" w:color="auto"/>
            </w:tcBorders>
            <w:noWrap/>
            <w:vAlign w:val="center"/>
            <w:hideMark/>
          </w:tcPr>
          <w:p w:rsidR="000D44A5" w:rsidRPr="0002287D" w:rsidRDefault="000D44A5" w:rsidP="00CE3A17">
            <w:pPr>
              <w:pStyle w:val="TableText"/>
              <w:keepNext/>
              <w:rPr>
                <w:rFonts w:ascii="Times New Roman" w:hAnsi="Times New Roman"/>
                <w:b/>
                <w:sz w:val="20"/>
                <w:szCs w:val="24"/>
                <w:lang w:eastAsia="en-NZ"/>
              </w:rPr>
            </w:pPr>
            <w:r w:rsidRPr="0002287D">
              <w:rPr>
                <w:b/>
                <w:lang w:eastAsia="en-NZ"/>
              </w:rPr>
              <w:t>Type of birth</w:t>
            </w:r>
          </w:p>
        </w:tc>
        <w:tc>
          <w:tcPr>
            <w:tcW w:w="2352" w:type="dxa"/>
            <w:gridSpan w:val="2"/>
            <w:tcBorders>
              <w:top w:val="single" w:sz="4" w:space="0" w:color="auto"/>
              <w:bottom w:val="single" w:sz="4" w:space="0" w:color="A6A6A6" w:themeColor="background1" w:themeShade="A6"/>
            </w:tcBorders>
            <w:noWrap/>
            <w:hideMark/>
          </w:tcPr>
          <w:p w:rsidR="000D44A5" w:rsidRPr="0002287D" w:rsidRDefault="000D44A5" w:rsidP="00CE3A17">
            <w:pPr>
              <w:pStyle w:val="TableText"/>
              <w:keepNext/>
              <w:jc w:val="center"/>
              <w:rPr>
                <w:b/>
                <w:lang w:eastAsia="en-NZ"/>
              </w:rPr>
            </w:pPr>
            <w:r w:rsidRPr="0002287D">
              <w:rPr>
                <w:b/>
                <w:lang w:eastAsia="en-NZ"/>
              </w:rPr>
              <w:t>Singleton</w:t>
            </w:r>
          </w:p>
        </w:tc>
        <w:tc>
          <w:tcPr>
            <w:tcW w:w="2353" w:type="dxa"/>
            <w:gridSpan w:val="2"/>
            <w:tcBorders>
              <w:top w:val="single" w:sz="4" w:space="0" w:color="auto"/>
              <w:bottom w:val="single" w:sz="4" w:space="0" w:color="A6A6A6" w:themeColor="background1" w:themeShade="A6"/>
            </w:tcBorders>
            <w:noWrap/>
            <w:hideMark/>
          </w:tcPr>
          <w:p w:rsidR="000D44A5" w:rsidRPr="0002287D" w:rsidRDefault="000D44A5" w:rsidP="00CE3A17">
            <w:pPr>
              <w:pStyle w:val="TableText"/>
              <w:keepNext/>
              <w:jc w:val="center"/>
              <w:rPr>
                <w:b/>
                <w:lang w:eastAsia="en-NZ"/>
              </w:rPr>
            </w:pPr>
            <w:r w:rsidRPr="0002287D">
              <w:rPr>
                <w:b/>
                <w:lang w:eastAsia="en-NZ"/>
              </w:rPr>
              <w:t>Twin</w:t>
            </w:r>
          </w:p>
        </w:tc>
        <w:tc>
          <w:tcPr>
            <w:tcW w:w="2383" w:type="dxa"/>
            <w:gridSpan w:val="2"/>
            <w:tcBorders>
              <w:top w:val="single" w:sz="4" w:space="0" w:color="auto"/>
              <w:bottom w:val="single" w:sz="4" w:space="0" w:color="A6A6A6" w:themeColor="background1" w:themeShade="A6"/>
            </w:tcBorders>
            <w:noWrap/>
            <w:hideMark/>
          </w:tcPr>
          <w:p w:rsidR="000D44A5" w:rsidRPr="0002287D" w:rsidRDefault="000D44A5" w:rsidP="00CE3A17">
            <w:pPr>
              <w:pStyle w:val="TableText"/>
              <w:keepNext/>
              <w:jc w:val="center"/>
              <w:rPr>
                <w:b/>
                <w:lang w:eastAsia="en-NZ"/>
              </w:rPr>
            </w:pPr>
            <w:r w:rsidRPr="0002287D">
              <w:rPr>
                <w:b/>
                <w:lang w:eastAsia="en-NZ"/>
              </w:rPr>
              <w:t>Multiple</w:t>
            </w:r>
          </w:p>
        </w:tc>
      </w:tr>
      <w:tr w:rsidR="000D44A5" w:rsidRPr="00AF16D8" w:rsidTr="00CE3A17">
        <w:trPr>
          <w:cantSplit/>
        </w:trPr>
        <w:tc>
          <w:tcPr>
            <w:tcW w:w="2268" w:type="dxa"/>
            <w:vMerge/>
            <w:tcBorders>
              <w:top w:val="single" w:sz="4" w:space="0" w:color="auto"/>
              <w:bottom w:val="single" w:sz="4" w:space="0" w:color="auto"/>
            </w:tcBorders>
            <w:noWrap/>
            <w:hideMark/>
          </w:tcPr>
          <w:p w:rsidR="000D44A5" w:rsidRPr="0002287D" w:rsidRDefault="000D44A5" w:rsidP="00CE3A17">
            <w:pPr>
              <w:pStyle w:val="TableText"/>
              <w:keepNext/>
              <w:rPr>
                <w:b/>
                <w:lang w:eastAsia="en-NZ"/>
              </w:rPr>
            </w:pPr>
          </w:p>
        </w:tc>
        <w:tc>
          <w:tcPr>
            <w:tcW w:w="1175" w:type="dxa"/>
            <w:tcBorders>
              <w:top w:val="single" w:sz="4" w:space="0" w:color="A6A6A6" w:themeColor="background1" w:themeShade="A6"/>
              <w:bottom w:val="single" w:sz="4" w:space="0" w:color="auto"/>
            </w:tcBorders>
            <w:noWrap/>
            <w:hideMark/>
          </w:tcPr>
          <w:p w:rsidR="000D44A5" w:rsidRPr="0002287D" w:rsidRDefault="000D44A5" w:rsidP="00CE3A17">
            <w:pPr>
              <w:pStyle w:val="TableText"/>
              <w:keepNext/>
              <w:jc w:val="center"/>
              <w:rPr>
                <w:b/>
                <w:lang w:eastAsia="en-NZ"/>
              </w:rPr>
            </w:pPr>
            <w:r w:rsidRPr="0002287D">
              <w:rPr>
                <w:b/>
                <w:lang w:eastAsia="en-NZ"/>
              </w:rPr>
              <w:t>Number</w:t>
            </w:r>
          </w:p>
        </w:tc>
        <w:tc>
          <w:tcPr>
            <w:tcW w:w="1177" w:type="dxa"/>
            <w:tcBorders>
              <w:top w:val="single" w:sz="4" w:space="0" w:color="A6A6A6" w:themeColor="background1" w:themeShade="A6"/>
              <w:bottom w:val="single" w:sz="4" w:space="0" w:color="auto"/>
            </w:tcBorders>
            <w:noWrap/>
            <w:hideMark/>
          </w:tcPr>
          <w:p w:rsidR="000D44A5" w:rsidRPr="0002287D" w:rsidRDefault="000D44A5" w:rsidP="00CE3A17">
            <w:pPr>
              <w:pStyle w:val="TableText"/>
              <w:keepNext/>
              <w:jc w:val="center"/>
              <w:rPr>
                <w:b/>
                <w:lang w:eastAsia="en-NZ"/>
              </w:rPr>
            </w:pPr>
            <w:r w:rsidRPr="0002287D">
              <w:rPr>
                <w:b/>
                <w:lang w:eastAsia="en-NZ"/>
              </w:rPr>
              <w:t>Percentage</w:t>
            </w:r>
          </w:p>
        </w:tc>
        <w:tc>
          <w:tcPr>
            <w:tcW w:w="1176" w:type="dxa"/>
            <w:tcBorders>
              <w:top w:val="single" w:sz="4" w:space="0" w:color="A6A6A6" w:themeColor="background1" w:themeShade="A6"/>
              <w:bottom w:val="single" w:sz="4" w:space="0" w:color="auto"/>
            </w:tcBorders>
            <w:noWrap/>
            <w:hideMark/>
          </w:tcPr>
          <w:p w:rsidR="000D44A5" w:rsidRPr="0002287D" w:rsidRDefault="000D44A5" w:rsidP="00CE3A17">
            <w:pPr>
              <w:pStyle w:val="TableText"/>
              <w:keepNext/>
              <w:jc w:val="center"/>
              <w:rPr>
                <w:b/>
                <w:lang w:eastAsia="en-NZ"/>
              </w:rPr>
            </w:pPr>
            <w:r w:rsidRPr="0002287D">
              <w:rPr>
                <w:b/>
                <w:lang w:eastAsia="en-NZ"/>
              </w:rPr>
              <w:t>Number</w:t>
            </w:r>
          </w:p>
        </w:tc>
        <w:tc>
          <w:tcPr>
            <w:tcW w:w="1177" w:type="dxa"/>
            <w:tcBorders>
              <w:top w:val="single" w:sz="4" w:space="0" w:color="A6A6A6" w:themeColor="background1" w:themeShade="A6"/>
              <w:bottom w:val="single" w:sz="4" w:space="0" w:color="auto"/>
            </w:tcBorders>
            <w:noWrap/>
            <w:hideMark/>
          </w:tcPr>
          <w:p w:rsidR="000D44A5" w:rsidRPr="0002287D" w:rsidRDefault="000D44A5" w:rsidP="00CE3A17">
            <w:pPr>
              <w:pStyle w:val="TableText"/>
              <w:keepNext/>
              <w:jc w:val="center"/>
              <w:rPr>
                <w:b/>
                <w:lang w:eastAsia="en-NZ"/>
              </w:rPr>
            </w:pPr>
            <w:r w:rsidRPr="0002287D">
              <w:rPr>
                <w:b/>
                <w:lang w:eastAsia="en-NZ"/>
              </w:rPr>
              <w:t>Percentage</w:t>
            </w:r>
          </w:p>
        </w:tc>
        <w:tc>
          <w:tcPr>
            <w:tcW w:w="1176" w:type="dxa"/>
            <w:tcBorders>
              <w:top w:val="single" w:sz="4" w:space="0" w:color="A6A6A6" w:themeColor="background1" w:themeShade="A6"/>
              <w:bottom w:val="single" w:sz="4" w:space="0" w:color="auto"/>
            </w:tcBorders>
            <w:noWrap/>
            <w:hideMark/>
          </w:tcPr>
          <w:p w:rsidR="000D44A5" w:rsidRPr="0002287D" w:rsidRDefault="000D44A5" w:rsidP="00CE3A17">
            <w:pPr>
              <w:pStyle w:val="TableText"/>
              <w:keepNext/>
              <w:jc w:val="center"/>
              <w:rPr>
                <w:b/>
                <w:lang w:eastAsia="en-NZ"/>
              </w:rPr>
            </w:pPr>
            <w:r w:rsidRPr="0002287D">
              <w:rPr>
                <w:b/>
                <w:lang w:eastAsia="en-NZ"/>
              </w:rPr>
              <w:t>Number</w:t>
            </w:r>
          </w:p>
        </w:tc>
        <w:tc>
          <w:tcPr>
            <w:tcW w:w="1207" w:type="dxa"/>
            <w:tcBorders>
              <w:top w:val="single" w:sz="4" w:space="0" w:color="A6A6A6" w:themeColor="background1" w:themeShade="A6"/>
              <w:bottom w:val="single" w:sz="4" w:space="0" w:color="auto"/>
            </w:tcBorders>
            <w:noWrap/>
            <w:hideMark/>
          </w:tcPr>
          <w:p w:rsidR="000D44A5" w:rsidRPr="0002287D" w:rsidRDefault="000D44A5" w:rsidP="00CE3A17">
            <w:pPr>
              <w:pStyle w:val="TableText"/>
              <w:keepNext/>
              <w:jc w:val="center"/>
              <w:rPr>
                <w:b/>
                <w:lang w:eastAsia="en-NZ"/>
              </w:rPr>
            </w:pPr>
            <w:r w:rsidRPr="0002287D">
              <w:rPr>
                <w:b/>
                <w:lang w:eastAsia="en-NZ"/>
              </w:rPr>
              <w:t>Percentage</w:t>
            </w:r>
          </w:p>
        </w:tc>
      </w:tr>
      <w:tr w:rsidR="000D44A5" w:rsidRPr="00AF16D8" w:rsidTr="00CE3A17">
        <w:trPr>
          <w:cantSplit/>
        </w:trPr>
        <w:tc>
          <w:tcPr>
            <w:tcW w:w="2268" w:type="dxa"/>
            <w:tcBorders>
              <w:top w:val="single" w:sz="4" w:space="0" w:color="auto"/>
              <w:bottom w:val="single" w:sz="4" w:space="0" w:color="A6A6A6" w:themeColor="background1" w:themeShade="A6"/>
            </w:tcBorders>
            <w:noWrap/>
            <w:hideMark/>
          </w:tcPr>
          <w:p w:rsidR="000D44A5" w:rsidRPr="0002287D" w:rsidRDefault="000D44A5" w:rsidP="00CE3A17">
            <w:pPr>
              <w:pStyle w:val="TableText"/>
              <w:keepNext/>
              <w:rPr>
                <w:lang w:eastAsia="en-NZ"/>
              </w:rPr>
            </w:pPr>
            <w:r w:rsidRPr="0002287D">
              <w:rPr>
                <w:lang w:eastAsia="en-NZ"/>
              </w:rPr>
              <w:t>Spontaneous vaginal</w:t>
            </w:r>
          </w:p>
        </w:tc>
        <w:tc>
          <w:tcPr>
            <w:tcW w:w="1175" w:type="dxa"/>
            <w:tcBorders>
              <w:top w:val="single" w:sz="4" w:space="0" w:color="auto"/>
              <w:bottom w:val="single" w:sz="4" w:space="0" w:color="A6A6A6" w:themeColor="background1" w:themeShade="A6"/>
            </w:tcBorders>
            <w:noWrap/>
            <w:hideMark/>
          </w:tcPr>
          <w:p w:rsidR="000D44A5" w:rsidRPr="0002287D" w:rsidRDefault="000D44A5" w:rsidP="00CE3A17">
            <w:pPr>
              <w:pStyle w:val="TableText"/>
              <w:keepNext/>
              <w:tabs>
                <w:tab w:val="decimal" w:pos="839"/>
              </w:tabs>
              <w:rPr>
                <w:lang w:eastAsia="en-NZ"/>
              </w:rPr>
            </w:pPr>
            <w:r w:rsidRPr="0002287D">
              <w:rPr>
                <w:lang w:eastAsia="en-NZ"/>
              </w:rPr>
              <w:t>37,651</w:t>
            </w:r>
          </w:p>
        </w:tc>
        <w:tc>
          <w:tcPr>
            <w:tcW w:w="1177" w:type="dxa"/>
            <w:tcBorders>
              <w:top w:val="single" w:sz="4" w:space="0" w:color="auto"/>
              <w:bottom w:val="single" w:sz="4" w:space="0" w:color="A6A6A6" w:themeColor="background1" w:themeShade="A6"/>
            </w:tcBorders>
            <w:noWrap/>
            <w:hideMark/>
          </w:tcPr>
          <w:p w:rsidR="000D44A5" w:rsidRPr="0002287D" w:rsidRDefault="000D44A5" w:rsidP="00CE3A17">
            <w:pPr>
              <w:pStyle w:val="TableText"/>
              <w:keepNext/>
              <w:tabs>
                <w:tab w:val="decimal" w:pos="551"/>
              </w:tabs>
              <w:rPr>
                <w:lang w:eastAsia="en-NZ"/>
              </w:rPr>
            </w:pPr>
            <w:r w:rsidRPr="0002287D">
              <w:rPr>
                <w:lang w:eastAsia="en-NZ"/>
              </w:rPr>
              <w:t>65.7</w:t>
            </w:r>
          </w:p>
        </w:tc>
        <w:tc>
          <w:tcPr>
            <w:tcW w:w="1176" w:type="dxa"/>
            <w:tcBorders>
              <w:top w:val="single" w:sz="4" w:space="0" w:color="auto"/>
              <w:bottom w:val="single" w:sz="4" w:space="0" w:color="A6A6A6" w:themeColor="background1" w:themeShade="A6"/>
            </w:tcBorders>
            <w:noWrap/>
            <w:hideMark/>
          </w:tcPr>
          <w:p w:rsidR="000D44A5" w:rsidRPr="0002287D" w:rsidRDefault="000D44A5" w:rsidP="00CE3A17">
            <w:pPr>
              <w:pStyle w:val="TableText"/>
              <w:keepNext/>
              <w:tabs>
                <w:tab w:val="decimal" w:pos="686"/>
              </w:tabs>
              <w:rPr>
                <w:lang w:eastAsia="en-NZ"/>
              </w:rPr>
            </w:pPr>
            <w:r w:rsidRPr="0002287D">
              <w:rPr>
                <w:lang w:eastAsia="en-NZ"/>
              </w:rPr>
              <w:t>197</w:t>
            </w:r>
          </w:p>
        </w:tc>
        <w:tc>
          <w:tcPr>
            <w:tcW w:w="1177" w:type="dxa"/>
            <w:tcBorders>
              <w:top w:val="single" w:sz="4" w:space="0" w:color="auto"/>
              <w:bottom w:val="single" w:sz="4" w:space="0" w:color="A6A6A6" w:themeColor="background1" w:themeShade="A6"/>
            </w:tcBorders>
            <w:noWrap/>
            <w:hideMark/>
          </w:tcPr>
          <w:p w:rsidR="000D44A5" w:rsidRPr="0002287D" w:rsidRDefault="000D44A5" w:rsidP="00CE3A17">
            <w:pPr>
              <w:pStyle w:val="TableText"/>
              <w:keepNext/>
              <w:tabs>
                <w:tab w:val="decimal" w:pos="535"/>
              </w:tabs>
              <w:rPr>
                <w:lang w:eastAsia="en-NZ"/>
              </w:rPr>
            </w:pPr>
            <w:r w:rsidRPr="0002287D">
              <w:rPr>
                <w:lang w:eastAsia="en-NZ"/>
              </w:rPr>
              <w:t>24.4</w:t>
            </w:r>
          </w:p>
        </w:tc>
        <w:tc>
          <w:tcPr>
            <w:tcW w:w="1176" w:type="dxa"/>
            <w:tcBorders>
              <w:top w:val="single" w:sz="4" w:space="0" w:color="auto"/>
              <w:bottom w:val="single" w:sz="4" w:space="0" w:color="A6A6A6" w:themeColor="background1" w:themeShade="A6"/>
            </w:tcBorders>
            <w:noWrap/>
            <w:hideMark/>
          </w:tcPr>
          <w:p w:rsidR="000D44A5" w:rsidRPr="0002287D" w:rsidRDefault="000D44A5" w:rsidP="00CE3A17">
            <w:pPr>
              <w:pStyle w:val="TableText"/>
              <w:keepNext/>
              <w:tabs>
                <w:tab w:val="decimal" w:pos="631"/>
              </w:tabs>
              <w:rPr>
                <w:lang w:eastAsia="en-NZ"/>
              </w:rPr>
            </w:pPr>
            <w:r w:rsidRPr="0002287D">
              <w:rPr>
                <w:lang w:eastAsia="en-NZ"/>
              </w:rPr>
              <w:t>0</w:t>
            </w:r>
          </w:p>
        </w:tc>
        <w:tc>
          <w:tcPr>
            <w:tcW w:w="1207" w:type="dxa"/>
            <w:tcBorders>
              <w:top w:val="single" w:sz="4" w:space="0" w:color="auto"/>
              <w:bottom w:val="single" w:sz="4" w:space="0" w:color="A6A6A6" w:themeColor="background1" w:themeShade="A6"/>
            </w:tcBorders>
            <w:noWrap/>
            <w:hideMark/>
          </w:tcPr>
          <w:p w:rsidR="000D44A5" w:rsidRPr="0002287D" w:rsidRDefault="000D44A5" w:rsidP="00CE3A17">
            <w:pPr>
              <w:pStyle w:val="TableText"/>
              <w:keepNext/>
              <w:tabs>
                <w:tab w:val="decimal" w:pos="584"/>
              </w:tabs>
              <w:rPr>
                <w:lang w:eastAsia="en-NZ"/>
              </w:rPr>
            </w:pPr>
            <w:r w:rsidRPr="0002287D">
              <w:rPr>
                <w:lang w:eastAsia="en-NZ"/>
              </w:rPr>
              <w:t>0.0</w:t>
            </w:r>
          </w:p>
        </w:tc>
      </w:tr>
      <w:tr w:rsidR="000D44A5" w:rsidRPr="00AF16D8" w:rsidTr="00CE3A17">
        <w:trPr>
          <w:cantSplit/>
        </w:trPr>
        <w:tc>
          <w:tcPr>
            <w:tcW w:w="2268"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rPr>
                <w:lang w:eastAsia="en-NZ"/>
              </w:rPr>
            </w:pPr>
            <w:r w:rsidRPr="0002287D">
              <w:rPr>
                <w:lang w:eastAsia="en-NZ"/>
              </w:rPr>
              <w:t>Assisted birth</w:t>
            </w:r>
          </w:p>
        </w:tc>
        <w:tc>
          <w:tcPr>
            <w:tcW w:w="1175"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839"/>
              </w:tabs>
              <w:rPr>
                <w:lang w:eastAsia="en-NZ"/>
              </w:rPr>
            </w:pPr>
            <w:r w:rsidRPr="0002287D">
              <w:rPr>
                <w:lang w:eastAsia="en-NZ"/>
              </w:rPr>
              <w:t>5</w:t>
            </w:r>
            <w:r w:rsidR="00CE3A17">
              <w:rPr>
                <w:lang w:eastAsia="en-NZ"/>
              </w:rPr>
              <w:t>,</w:t>
            </w:r>
            <w:r w:rsidRPr="0002287D">
              <w:rPr>
                <w:lang w:eastAsia="en-NZ"/>
              </w:rPr>
              <w:t>317</w:t>
            </w:r>
          </w:p>
        </w:tc>
        <w:tc>
          <w:tcPr>
            <w:tcW w:w="1177"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551"/>
              </w:tabs>
              <w:rPr>
                <w:lang w:eastAsia="en-NZ"/>
              </w:rPr>
            </w:pPr>
            <w:r w:rsidRPr="0002287D">
              <w:rPr>
                <w:lang w:eastAsia="en-NZ"/>
              </w:rPr>
              <w:t>9.3</w:t>
            </w:r>
          </w:p>
        </w:tc>
        <w:tc>
          <w:tcPr>
            <w:tcW w:w="1176"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686"/>
              </w:tabs>
              <w:rPr>
                <w:lang w:eastAsia="en-NZ"/>
              </w:rPr>
            </w:pPr>
            <w:r w:rsidRPr="0002287D">
              <w:rPr>
                <w:lang w:eastAsia="en-NZ"/>
              </w:rPr>
              <w:t>114</w:t>
            </w:r>
          </w:p>
        </w:tc>
        <w:tc>
          <w:tcPr>
            <w:tcW w:w="1177"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535"/>
              </w:tabs>
              <w:rPr>
                <w:lang w:eastAsia="en-NZ"/>
              </w:rPr>
            </w:pPr>
            <w:r w:rsidRPr="0002287D">
              <w:rPr>
                <w:lang w:eastAsia="en-NZ"/>
              </w:rPr>
              <w:t>14.1</w:t>
            </w:r>
          </w:p>
        </w:tc>
        <w:tc>
          <w:tcPr>
            <w:tcW w:w="1176"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631"/>
              </w:tabs>
              <w:rPr>
                <w:lang w:eastAsia="en-NZ"/>
              </w:rPr>
            </w:pPr>
            <w:r w:rsidRPr="0002287D">
              <w:rPr>
                <w:lang w:eastAsia="en-NZ"/>
              </w:rPr>
              <w:t>0</w:t>
            </w:r>
          </w:p>
        </w:tc>
        <w:tc>
          <w:tcPr>
            <w:tcW w:w="1207"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584"/>
              </w:tabs>
              <w:rPr>
                <w:lang w:eastAsia="en-NZ"/>
              </w:rPr>
            </w:pPr>
            <w:r w:rsidRPr="0002287D">
              <w:rPr>
                <w:lang w:eastAsia="en-NZ"/>
              </w:rPr>
              <w:t>0.0</w:t>
            </w:r>
          </w:p>
        </w:tc>
      </w:tr>
      <w:tr w:rsidR="000D44A5" w:rsidRPr="00AF16D8" w:rsidTr="00CE3A17">
        <w:trPr>
          <w:cantSplit/>
        </w:trPr>
        <w:tc>
          <w:tcPr>
            <w:tcW w:w="2268"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rPr>
                <w:lang w:eastAsia="en-NZ"/>
              </w:rPr>
            </w:pPr>
            <w:r w:rsidRPr="0002287D">
              <w:rPr>
                <w:lang w:eastAsia="en-NZ"/>
              </w:rPr>
              <w:t>Emergency caesarean</w:t>
            </w:r>
          </w:p>
        </w:tc>
        <w:tc>
          <w:tcPr>
            <w:tcW w:w="1175"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839"/>
              </w:tabs>
              <w:rPr>
                <w:lang w:eastAsia="en-NZ"/>
              </w:rPr>
            </w:pPr>
            <w:r w:rsidRPr="0002287D">
              <w:rPr>
                <w:lang w:eastAsia="en-NZ"/>
              </w:rPr>
              <w:t>7</w:t>
            </w:r>
            <w:r w:rsidR="00CE3A17">
              <w:rPr>
                <w:lang w:eastAsia="en-NZ"/>
              </w:rPr>
              <w:t>,</w:t>
            </w:r>
            <w:r w:rsidRPr="0002287D">
              <w:rPr>
                <w:lang w:eastAsia="en-NZ"/>
              </w:rPr>
              <w:t>769</w:t>
            </w:r>
          </w:p>
        </w:tc>
        <w:tc>
          <w:tcPr>
            <w:tcW w:w="1177"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551"/>
              </w:tabs>
              <w:rPr>
                <w:lang w:eastAsia="en-NZ"/>
              </w:rPr>
            </w:pPr>
            <w:r w:rsidRPr="0002287D">
              <w:rPr>
                <w:lang w:eastAsia="en-NZ"/>
              </w:rPr>
              <w:t>13.6</w:t>
            </w:r>
          </w:p>
        </w:tc>
        <w:tc>
          <w:tcPr>
            <w:tcW w:w="1176"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686"/>
              </w:tabs>
              <w:rPr>
                <w:lang w:eastAsia="en-NZ"/>
              </w:rPr>
            </w:pPr>
            <w:r w:rsidRPr="0002287D">
              <w:rPr>
                <w:lang w:eastAsia="en-NZ"/>
              </w:rPr>
              <w:t>212</w:t>
            </w:r>
          </w:p>
        </w:tc>
        <w:tc>
          <w:tcPr>
            <w:tcW w:w="1177"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535"/>
              </w:tabs>
              <w:rPr>
                <w:lang w:eastAsia="en-NZ"/>
              </w:rPr>
            </w:pPr>
            <w:r w:rsidRPr="0002287D">
              <w:rPr>
                <w:lang w:eastAsia="en-NZ"/>
              </w:rPr>
              <w:t>26.2</w:t>
            </w:r>
          </w:p>
        </w:tc>
        <w:tc>
          <w:tcPr>
            <w:tcW w:w="1176"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631"/>
              </w:tabs>
              <w:rPr>
                <w:lang w:eastAsia="en-NZ"/>
              </w:rPr>
            </w:pPr>
            <w:r w:rsidRPr="0002287D">
              <w:rPr>
                <w:lang w:eastAsia="en-NZ"/>
              </w:rPr>
              <w:t>5</w:t>
            </w:r>
          </w:p>
        </w:tc>
        <w:tc>
          <w:tcPr>
            <w:tcW w:w="1207"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584"/>
              </w:tabs>
              <w:rPr>
                <w:lang w:eastAsia="en-NZ"/>
              </w:rPr>
            </w:pPr>
            <w:r w:rsidRPr="0002287D">
              <w:rPr>
                <w:lang w:eastAsia="en-NZ"/>
              </w:rPr>
              <w:t>35.7</w:t>
            </w:r>
          </w:p>
        </w:tc>
      </w:tr>
      <w:tr w:rsidR="000D44A5" w:rsidRPr="00AF16D8" w:rsidTr="00CE3A17">
        <w:trPr>
          <w:cantSplit/>
        </w:trPr>
        <w:tc>
          <w:tcPr>
            <w:tcW w:w="2268"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rPr>
                <w:lang w:eastAsia="en-NZ"/>
              </w:rPr>
            </w:pPr>
            <w:r w:rsidRPr="0002287D">
              <w:rPr>
                <w:lang w:eastAsia="en-NZ"/>
              </w:rPr>
              <w:t>Elective caesarean</w:t>
            </w:r>
          </w:p>
        </w:tc>
        <w:tc>
          <w:tcPr>
            <w:tcW w:w="1175"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839"/>
              </w:tabs>
              <w:rPr>
                <w:lang w:eastAsia="en-NZ"/>
              </w:rPr>
            </w:pPr>
            <w:r w:rsidRPr="0002287D">
              <w:rPr>
                <w:lang w:eastAsia="en-NZ"/>
              </w:rPr>
              <w:t>6</w:t>
            </w:r>
            <w:r w:rsidR="00CE3A17">
              <w:rPr>
                <w:lang w:eastAsia="en-NZ"/>
              </w:rPr>
              <w:t>,</w:t>
            </w:r>
            <w:r w:rsidRPr="0002287D">
              <w:rPr>
                <w:lang w:eastAsia="en-NZ"/>
              </w:rPr>
              <w:t>578</w:t>
            </w:r>
          </w:p>
        </w:tc>
        <w:tc>
          <w:tcPr>
            <w:tcW w:w="1177"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551"/>
              </w:tabs>
              <w:rPr>
                <w:lang w:eastAsia="en-NZ"/>
              </w:rPr>
            </w:pPr>
            <w:r w:rsidRPr="0002287D">
              <w:rPr>
                <w:lang w:eastAsia="en-NZ"/>
              </w:rPr>
              <w:t>11.5</w:t>
            </w:r>
          </w:p>
        </w:tc>
        <w:tc>
          <w:tcPr>
            <w:tcW w:w="1176"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686"/>
              </w:tabs>
              <w:rPr>
                <w:lang w:eastAsia="en-NZ"/>
              </w:rPr>
            </w:pPr>
            <w:r w:rsidRPr="0002287D">
              <w:rPr>
                <w:lang w:eastAsia="en-NZ"/>
              </w:rPr>
              <w:t>286</w:t>
            </w:r>
          </w:p>
        </w:tc>
        <w:tc>
          <w:tcPr>
            <w:tcW w:w="1177"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535"/>
              </w:tabs>
              <w:rPr>
                <w:lang w:eastAsia="en-NZ"/>
              </w:rPr>
            </w:pPr>
            <w:r w:rsidRPr="0002287D">
              <w:rPr>
                <w:lang w:eastAsia="en-NZ"/>
              </w:rPr>
              <w:t>35.4</w:t>
            </w:r>
          </w:p>
        </w:tc>
        <w:tc>
          <w:tcPr>
            <w:tcW w:w="1176"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631"/>
              </w:tabs>
              <w:rPr>
                <w:lang w:eastAsia="en-NZ"/>
              </w:rPr>
            </w:pPr>
            <w:r w:rsidRPr="0002287D">
              <w:rPr>
                <w:lang w:eastAsia="en-NZ"/>
              </w:rPr>
              <w:t>9</w:t>
            </w:r>
          </w:p>
        </w:tc>
        <w:tc>
          <w:tcPr>
            <w:tcW w:w="1207" w:type="dxa"/>
            <w:tcBorders>
              <w:top w:val="single" w:sz="4" w:space="0" w:color="A6A6A6" w:themeColor="background1" w:themeShade="A6"/>
              <w:bottom w:val="single" w:sz="4" w:space="0" w:color="A6A6A6" w:themeColor="background1" w:themeShade="A6"/>
            </w:tcBorders>
            <w:noWrap/>
            <w:hideMark/>
          </w:tcPr>
          <w:p w:rsidR="000D44A5" w:rsidRPr="0002287D" w:rsidRDefault="000D44A5" w:rsidP="007B3A51">
            <w:pPr>
              <w:pStyle w:val="TableText"/>
              <w:tabs>
                <w:tab w:val="decimal" w:pos="584"/>
              </w:tabs>
              <w:rPr>
                <w:lang w:eastAsia="en-NZ"/>
              </w:rPr>
            </w:pPr>
            <w:r w:rsidRPr="0002287D">
              <w:rPr>
                <w:lang w:eastAsia="en-NZ"/>
              </w:rPr>
              <w:t>64.3</w:t>
            </w:r>
          </w:p>
        </w:tc>
      </w:tr>
      <w:tr w:rsidR="000D44A5" w:rsidRPr="00AF16D8" w:rsidTr="00CE3A17">
        <w:trPr>
          <w:cantSplit/>
        </w:trPr>
        <w:tc>
          <w:tcPr>
            <w:tcW w:w="2268" w:type="dxa"/>
            <w:tcBorders>
              <w:top w:val="single" w:sz="4" w:space="0" w:color="A6A6A6" w:themeColor="background1" w:themeShade="A6"/>
              <w:bottom w:val="single" w:sz="4" w:space="0" w:color="auto"/>
            </w:tcBorders>
            <w:noWrap/>
            <w:hideMark/>
          </w:tcPr>
          <w:p w:rsidR="000D44A5" w:rsidRPr="0002287D" w:rsidRDefault="000D44A5" w:rsidP="007B3A51">
            <w:pPr>
              <w:pStyle w:val="TableText"/>
              <w:rPr>
                <w:lang w:eastAsia="en-NZ"/>
              </w:rPr>
            </w:pPr>
            <w:r w:rsidRPr="0002287D">
              <w:rPr>
                <w:lang w:eastAsia="en-NZ"/>
              </w:rPr>
              <w:t>Unknown</w:t>
            </w:r>
          </w:p>
        </w:tc>
        <w:tc>
          <w:tcPr>
            <w:tcW w:w="1175" w:type="dxa"/>
            <w:tcBorders>
              <w:top w:val="single" w:sz="4" w:space="0" w:color="A6A6A6" w:themeColor="background1" w:themeShade="A6"/>
              <w:bottom w:val="single" w:sz="4" w:space="0" w:color="auto"/>
            </w:tcBorders>
            <w:noWrap/>
            <w:hideMark/>
          </w:tcPr>
          <w:p w:rsidR="000D44A5" w:rsidRPr="0002287D" w:rsidRDefault="000D44A5" w:rsidP="007B3A51">
            <w:pPr>
              <w:pStyle w:val="TableText"/>
              <w:tabs>
                <w:tab w:val="decimal" w:pos="839"/>
              </w:tabs>
              <w:rPr>
                <w:lang w:eastAsia="en-NZ"/>
              </w:rPr>
            </w:pPr>
            <w:r w:rsidRPr="0002287D">
              <w:rPr>
                <w:lang w:eastAsia="en-NZ"/>
              </w:rPr>
              <w:t>504</w:t>
            </w:r>
          </w:p>
        </w:tc>
        <w:tc>
          <w:tcPr>
            <w:tcW w:w="1177" w:type="dxa"/>
            <w:tcBorders>
              <w:top w:val="single" w:sz="4" w:space="0" w:color="A6A6A6" w:themeColor="background1" w:themeShade="A6"/>
              <w:bottom w:val="single" w:sz="4" w:space="0" w:color="auto"/>
            </w:tcBorders>
            <w:noWrap/>
            <w:hideMark/>
          </w:tcPr>
          <w:p w:rsidR="000D44A5" w:rsidRPr="0002287D" w:rsidRDefault="000D44A5" w:rsidP="007B3A51">
            <w:pPr>
              <w:pStyle w:val="TableText"/>
              <w:tabs>
                <w:tab w:val="decimal" w:pos="551"/>
              </w:tabs>
              <w:rPr>
                <w:lang w:eastAsia="en-NZ"/>
              </w:rPr>
            </w:pPr>
            <w:r w:rsidRPr="0002287D">
              <w:rPr>
                <w:lang w:eastAsia="en-NZ"/>
              </w:rPr>
              <w:t>–</w:t>
            </w:r>
          </w:p>
        </w:tc>
        <w:tc>
          <w:tcPr>
            <w:tcW w:w="1176" w:type="dxa"/>
            <w:tcBorders>
              <w:top w:val="single" w:sz="4" w:space="0" w:color="A6A6A6" w:themeColor="background1" w:themeShade="A6"/>
              <w:bottom w:val="single" w:sz="4" w:space="0" w:color="auto"/>
            </w:tcBorders>
            <w:noWrap/>
            <w:hideMark/>
          </w:tcPr>
          <w:p w:rsidR="000D44A5" w:rsidRPr="0002287D" w:rsidRDefault="000D44A5" w:rsidP="007B3A51">
            <w:pPr>
              <w:pStyle w:val="TableText"/>
              <w:tabs>
                <w:tab w:val="decimal" w:pos="686"/>
              </w:tabs>
              <w:rPr>
                <w:lang w:eastAsia="en-NZ"/>
              </w:rPr>
            </w:pPr>
            <w:r w:rsidRPr="0002287D">
              <w:rPr>
                <w:lang w:eastAsia="en-NZ"/>
              </w:rPr>
              <w:t>0</w:t>
            </w:r>
          </w:p>
        </w:tc>
        <w:tc>
          <w:tcPr>
            <w:tcW w:w="1177" w:type="dxa"/>
            <w:tcBorders>
              <w:top w:val="single" w:sz="4" w:space="0" w:color="A6A6A6" w:themeColor="background1" w:themeShade="A6"/>
              <w:bottom w:val="single" w:sz="4" w:space="0" w:color="auto"/>
            </w:tcBorders>
            <w:noWrap/>
            <w:hideMark/>
          </w:tcPr>
          <w:p w:rsidR="000D44A5" w:rsidRPr="0002287D" w:rsidRDefault="000D44A5" w:rsidP="007B3A51">
            <w:pPr>
              <w:pStyle w:val="TableText"/>
              <w:tabs>
                <w:tab w:val="decimal" w:pos="535"/>
              </w:tabs>
              <w:rPr>
                <w:lang w:eastAsia="en-NZ"/>
              </w:rPr>
            </w:pPr>
            <w:r w:rsidRPr="0002287D">
              <w:rPr>
                <w:lang w:eastAsia="en-NZ"/>
              </w:rPr>
              <w:t>–</w:t>
            </w:r>
          </w:p>
        </w:tc>
        <w:tc>
          <w:tcPr>
            <w:tcW w:w="1176" w:type="dxa"/>
            <w:tcBorders>
              <w:top w:val="single" w:sz="4" w:space="0" w:color="A6A6A6" w:themeColor="background1" w:themeShade="A6"/>
              <w:bottom w:val="single" w:sz="4" w:space="0" w:color="auto"/>
            </w:tcBorders>
            <w:noWrap/>
            <w:hideMark/>
          </w:tcPr>
          <w:p w:rsidR="000D44A5" w:rsidRPr="0002287D" w:rsidRDefault="000D44A5" w:rsidP="007B3A51">
            <w:pPr>
              <w:pStyle w:val="TableText"/>
              <w:tabs>
                <w:tab w:val="decimal" w:pos="631"/>
              </w:tabs>
              <w:rPr>
                <w:lang w:eastAsia="en-NZ"/>
              </w:rPr>
            </w:pPr>
            <w:r w:rsidRPr="0002287D">
              <w:rPr>
                <w:lang w:eastAsia="en-NZ"/>
              </w:rPr>
              <w:t>0</w:t>
            </w:r>
          </w:p>
        </w:tc>
        <w:tc>
          <w:tcPr>
            <w:tcW w:w="1207" w:type="dxa"/>
            <w:tcBorders>
              <w:top w:val="single" w:sz="4" w:space="0" w:color="A6A6A6" w:themeColor="background1" w:themeShade="A6"/>
              <w:bottom w:val="single" w:sz="4" w:space="0" w:color="auto"/>
            </w:tcBorders>
            <w:noWrap/>
            <w:hideMark/>
          </w:tcPr>
          <w:p w:rsidR="000D44A5" w:rsidRPr="0002287D" w:rsidRDefault="000D44A5" w:rsidP="007B3A51">
            <w:pPr>
              <w:pStyle w:val="TableText"/>
              <w:tabs>
                <w:tab w:val="decimal" w:pos="584"/>
              </w:tabs>
              <w:rPr>
                <w:lang w:eastAsia="en-NZ"/>
              </w:rPr>
            </w:pPr>
            <w:r w:rsidRPr="0002287D">
              <w:rPr>
                <w:lang w:eastAsia="en-NZ"/>
              </w:rPr>
              <w:t>–</w:t>
            </w:r>
          </w:p>
        </w:tc>
      </w:tr>
      <w:tr w:rsidR="000D44A5" w:rsidRPr="00AF16D8" w:rsidTr="00CE3A17">
        <w:trPr>
          <w:cantSplit/>
        </w:trPr>
        <w:tc>
          <w:tcPr>
            <w:tcW w:w="2268" w:type="dxa"/>
            <w:tcBorders>
              <w:top w:val="single" w:sz="4" w:space="0" w:color="auto"/>
              <w:bottom w:val="single" w:sz="4" w:space="0" w:color="auto"/>
            </w:tcBorders>
            <w:noWrap/>
            <w:hideMark/>
          </w:tcPr>
          <w:p w:rsidR="000D44A5" w:rsidRPr="0002287D" w:rsidRDefault="000D44A5" w:rsidP="007B3A51">
            <w:pPr>
              <w:pStyle w:val="TableText"/>
              <w:rPr>
                <w:b/>
                <w:bCs/>
                <w:lang w:eastAsia="en-NZ"/>
              </w:rPr>
            </w:pPr>
            <w:r w:rsidRPr="0002287D">
              <w:rPr>
                <w:b/>
                <w:bCs/>
                <w:lang w:eastAsia="en-NZ"/>
              </w:rPr>
              <w:t>Total</w:t>
            </w:r>
          </w:p>
        </w:tc>
        <w:tc>
          <w:tcPr>
            <w:tcW w:w="1175" w:type="dxa"/>
            <w:tcBorders>
              <w:top w:val="single" w:sz="4" w:space="0" w:color="auto"/>
              <w:bottom w:val="single" w:sz="4" w:space="0" w:color="auto"/>
            </w:tcBorders>
            <w:noWrap/>
            <w:hideMark/>
          </w:tcPr>
          <w:p w:rsidR="000D44A5" w:rsidRPr="0002287D" w:rsidRDefault="000D44A5" w:rsidP="007B3A51">
            <w:pPr>
              <w:pStyle w:val="TableText"/>
              <w:tabs>
                <w:tab w:val="decimal" w:pos="839"/>
              </w:tabs>
              <w:rPr>
                <w:b/>
                <w:bCs/>
                <w:lang w:eastAsia="en-NZ"/>
              </w:rPr>
            </w:pPr>
            <w:r w:rsidRPr="0002287D">
              <w:rPr>
                <w:b/>
                <w:bCs/>
                <w:lang w:eastAsia="en-NZ"/>
              </w:rPr>
              <w:t>57,819</w:t>
            </w:r>
          </w:p>
        </w:tc>
        <w:tc>
          <w:tcPr>
            <w:tcW w:w="1177" w:type="dxa"/>
            <w:tcBorders>
              <w:top w:val="single" w:sz="4" w:space="0" w:color="auto"/>
              <w:bottom w:val="single" w:sz="4" w:space="0" w:color="auto"/>
            </w:tcBorders>
            <w:noWrap/>
            <w:hideMark/>
          </w:tcPr>
          <w:p w:rsidR="000D44A5" w:rsidRPr="0002287D" w:rsidRDefault="000D44A5" w:rsidP="007B3A51">
            <w:pPr>
              <w:pStyle w:val="TableText"/>
              <w:tabs>
                <w:tab w:val="decimal" w:pos="551"/>
              </w:tabs>
              <w:rPr>
                <w:b/>
                <w:bCs/>
                <w:lang w:eastAsia="en-NZ"/>
              </w:rPr>
            </w:pPr>
            <w:r w:rsidRPr="0002287D">
              <w:rPr>
                <w:b/>
                <w:bCs/>
                <w:lang w:eastAsia="en-NZ"/>
              </w:rPr>
              <w:t>100.0</w:t>
            </w:r>
          </w:p>
        </w:tc>
        <w:tc>
          <w:tcPr>
            <w:tcW w:w="1176" w:type="dxa"/>
            <w:tcBorders>
              <w:top w:val="single" w:sz="4" w:space="0" w:color="auto"/>
              <w:bottom w:val="single" w:sz="4" w:space="0" w:color="auto"/>
            </w:tcBorders>
            <w:noWrap/>
            <w:hideMark/>
          </w:tcPr>
          <w:p w:rsidR="000D44A5" w:rsidRPr="0002287D" w:rsidRDefault="000D44A5" w:rsidP="007B3A51">
            <w:pPr>
              <w:pStyle w:val="TableText"/>
              <w:tabs>
                <w:tab w:val="decimal" w:pos="686"/>
              </w:tabs>
              <w:rPr>
                <w:b/>
                <w:bCs/>
                <w:lang w:eastAsia="en-NZ"/>
              </w:rPr>
            </w:pPr>
            <w:r w:rsidRPr="0002287D">
              <w:rPr>
                <w:b/>
                <w:bCs/>
                <w:lang w:eastAsia="en-NZ"/>
              </w:rPr>
              <w:t>809</w:t>
            </w:r>
          </w:p>
        </w:tc>
        <w:tc>
          <w:tcPr>
            <w:tcW w:w="1177" w:type="dxa"/>
            <w:tcBorders>
              <w:top w:val="single" w:sz="4" w:space="0" w:color="auto"/>
              <w:bottom w:val="single" w:sz="4" w:space="0" w:color="auto"/>
            </w:tcBorders>
            <w:noWrap/>
            <w:hideMark/>
          </w:tcPr>
          <w:p w:rsidR="000D44A5" w:rsidRPr="0002287D" w:rsidRDefault="000D44A5" w:rsidP="007B3A51">
            <w:pPr>
              <w:pStyle w:val="TableText"/>
              <w:tabs>
                <w:tab w:val="decimal" w:pos="535"/>
              </w:tabs>
              <w:rPr>
                <w:b/>
                <w:bCs/>
                <w:lang w:eastAsia="en-NZ"/>
              </w:rPr>
            </w:pPr>
            <w:r w:rsidRPr="0002287D">
              <w:rPr>
                <w:b/>
                <w:bCs/>
                <w:lang w:eastAsia="en-NZ"/>
              </w:rPr>
              <w:t>100.0</w:t>
            </w:r>
          </w:p>
        </w:tc>
        <w:tc>
          <w:tcPr>
            <w:tcW w:w="1176" w:type="dxa"/>
            <w:tcBorders>
              <w:top w:val="single" w:sz="4" w:space="0" w:color="auto"/>
              <w:bottom w:val="single" w:sz="4" w:space="0" w:color="auto"/>
            </w:tcBorders>
            <w:noWrap/>
            <w:hideMark/>
          </w:tcPr>
          <w:p w:rsidR="000D44A5" w:rsidRPr="0002287D" w:rsidRDefault="000D44A5" w:rsidP="007B3A51">
            <w:pPr>
              <w:pStyle w:val="TableText"/>
              <w:tabs>
                <w:tab w:val="decimal" w:pos="631"/>
              </w:tabs>
              <w:rPr>
                <w:b/>
                <w:bCs/>
                <w:lang w:eastAsia="en-NZ"/>
              </w:rPr>
            </w:pPr>
            <w:r w:rsidRPr="0002287D">
              <w:rPr>
                <w:b/>
                <w:bCs/>
                <w:lang w:eastAsia="en-NZ"/>
              </w:rPr>
              <w:t>14</w:t>
            </w:r>
          </w:p>
        </w:tc>
        <w:tc>
          <w:tcPr>
            <w:tcW w:w="1207" w:type="dxa"/>
            <w:tcBorders>
              <w:top w:val="single" w:sz="4" w:space="0" w:color="auto"/>
              <w:bottom w:val="single" w:sz="4" w:space="0" w:color="auto"/>
            </w:tcBorders>
            <w:noWrap/>
            <w:hideMark/>
          </w:tcPr>
          <w:p w:rsidR="000D44A5" w:rsidRPr="0002287D" w:rsidRDefault="000D44A5" w:rsidP="007B3A51">
            <w:pPr>
              <w:pStyle w:val="TableText"/>
              <w:tabs>
                <w:tab w:val="decimal" w:pos="584"/>
              </w:tabs>
              <w:rPr>
                <w:b/>
                <w:bCs/>
                <w:lang w:eastAsia="en-NZ"/>
              </w:rPr>
            </w:pPr>
            <w:r w:rsidRPr="0002287D">
              <w:rPr>
                <w:b/>
                <w:bCs/>
                <w:lang w:eastAsia="en-NZ"/>
              </w:rPr>
              <w:t>100.0</w:t>
            </w:r>
          </w:p>
        </w:tc>
      </w:tr>
    </w:tbl>
    <w:p w:rsidR="000D44A5" w:rsidRDefault="000D44A5" w:rsidP="00CE3A17">
      <w:pPr>
        <w:pStyle w:val="Source"/>
      </w:pPr>
      <w:r w:rsidRPr="00ED66C0">
        <w:t>Source: National Maternity Collection</w:t>
      </w:r>
    </w:p>
    <w:p w:rsidR="00CE3A17" w:rsidRPr="00CE3A17" w:rsidRDefault="00CE3A17" w:rsidP="00CE3A17"/>
    <w:p w:rsidR="000D44A5" w:rsidRPr="00A67AD1" w:rsidRDefault="000D44A5" w:rsidP="00CE3A17">
      <w:pPr>
        <w:pStyle w:val="Heading2"/>
      </w:pPr>
      <w:bookmarkStart w:id="476" w:name="_Toc431462732"/>
      <w:bookmarkStart w:id="477" w:name="_Toc479583270"/>
      <w:bookmarkStart w:id="478" w:name="_Toc485542638"/>
      <w:r w:rsidRPr="00A67AD1">
        <w:t>Place of birth</w:t>
      </w:r>
      <w:bookmarkEnd w:id="465"/>
      <w:bookmarkEnd w:id="466"/>
      <w:bookmarkEnd w:id="467"/>
      <w:bookmarkEnd w:id="468"/>
      <w:bookmarkEnd w:id="476"/>
      <w:bookmarkEnd w:id="477"/>
      <w:bookmarkEnd w:id="478"/>
    </w:p>
    <w:p w:rsidR="000D44A5" w:rsidRPr="00A67AD1" w:rsidRDefault="000D44A5" w:rsidP="00CE3A17">
      <w:pPr>
        <w:pStyle w:val="Box"/>
        <w:keepNext/>
      </w:pPr>
      <w:r w:rsidRPr="00A67AD1">
        <w:t>Women are entitled to choose where they give birth. This may include a secondary or tertiary hospital, a primary birthing unit or at home. Women are entitled to give birth at a facility with greater clinical capacity than their expected clinical need. Primary birthing units and home births are recommended for well, healthy women likely to experience normal birth (Birthplace in England Collaborative Group 2011; NICE 2014). Place of birth usually reflects the local configuration of facilities and LMC access agreements, in addition to clinical need and the woman</w:t>
      </w:r>
      <w:r w:rsidR="00CB6D20">
        <w:t>’</w:t>
      </w:r>
      <w:r w:rsidRPr="00A67AD1">
        <w:t>s preference.</w:t>
      </w:r>
    </w:p>
    <w:p w:rsidR="000D44A5" w:rsidRPr="00AF16D8" w:rsidRDefault="000D44A5" w:rsidP="00CE3A17">
      <w:pPr>
        <w:keepNext/>
        <w:rPr>
          <w:highlight w:val="yellow"/>
        </w:rPr>
      </w:pPr>
    </w:p>
    <w:p w:rsidR="000D44A5" w:rsidRPr="00EA4AC4" w:rsidRDefault="000D44A5" w:rsidP="00CE3A17">
      <w:pPr>
        <w:keepNext/>
      </w:pPr>
      <w:r w:rsidRPr="00EA4AC4">
        <w:t>The vast majority (96.3%) of women gave birth at a maternity facility in 2015: 9.9% of women gave birth at a primary facility, 40.4% at a secondary facility and 46.0% at a tertiary facility. A total of 2</w:t>
      </w:r>
      <w:r w:rsidR="009D02FA">
        <w:t>,</w:t>
      </w:r>
      <w:r w:rsidRPr="00EA4AC4">
        <w:t>151</w:t>
      </w:r>
      <w:r>
        <w:t xml:space="preserve"> women (3.7</w:t>
      </w:r>
      <w:r w:rsidRPr="00EA4AC4">
        <w:t>%) had a planned home birth (</w:t>
      </w:r>
      <w:r w:rsidRPr="00EA4AC4">
        <w:fldChar w:fldCharType="begin"/>
      </w:r>
      <w:r w:rsidRPr="00EA4AC4">
        <w:instrText xml:space="preserve"> REF _Ref428958677 \h  \* MERGEFORMAT </w:instrText>
      </w:r>
      <w:r w:rsidRPr="00EA4AC4">
        <w:fldChar w:fldCharType="separate"/>
      </w:r>
      <w:r w:rsidR="00071E85" w:rsidRPr="00EA4AC4">
        <w:t xml:space="preserve">Table </w:t>
      </w:r>
      <w:r w:rsidR="00071E85">
        <w:rPr>
          <w:noProof/>
        </w:rPr>
        <w:t>5</w:t>
      </w:r>
      <w:r w:rsidRPr="00EA4AC4">
        <w:fldChar w:fldCharType="end"/>
      </w:r>
      <w:r w:rsidRPr="00EA4AC4">
        <w:t>).</w:t>
      </w:r>
    </w:p>
    <w:p w:rsidR="000D44A5" w:rsidRPr="00AF16D8" w:rsidRDefault="000D44A5" w:rsidP="00CE3A17">
      <w:pPr>
        <w:keepNext/>
        <w:rPr>
          <w:highlight w:val="yellow"/>
        </w:rPr>
      </w:pPr>
    </w:p>
    <w:p w:rsidR="000D44A5" w:rsidRPr="00EA4AC4" w:rsidRDefault="000D44A5" w:rsidP="00CE3A17">
      <w:pPr>
        <w:pStyle w:val="Table"/>
      </w:pPr>
      <w:bookmarkStart w:id="479" w:name="_Ref428958677"/>
      <w:bookmarkStart w:id="480" w:name="_Toc405886991"/>
      <w:bookmarkStart w:id="481" w:name="_Toc412122481"/>
      <w:bookmarkStart w:id="482" w:name="_Toc428802812"/>
      <w:bookmarkStart w:id="483" w:name="_Toc433389742"/>
      <w:bookmarkStart w:id="484" w:name="_Toc479605819"/>
      <w:bookmarkStart w:id="485" w:name="_Toc485542657"/>
      <w:r w:rsidRPr="00EA4AC4">
        <w:t xml:space="preserve">Table </w:t>
      </w:r>
      <w:r w:rsidR="00071E85">
        <w:fldChar w:fldCharType="begin"/>
      </w:r>
      <w:r w:rsidR="00071E85">
        <w:instrText xml:space="preserve"> SEQ Table \* ARABIC </w:instrText>
      </w:r>
      <w:r w:rsidR="00071E85">
        <w:fldChar w:fldCharType="separate"/>
      </w:r>
      <w:r w:rsidR="00071E85">
        <w:rPr>
          <w:noProof/>
        </w:rPr>
        <w:t>5</w:t>
      </w:r>
      <w:r w:rsidR="00071E85">
        <w:rPr>
          <w:noProof/>
        </w:rPr>
        <w:fldChar w:fldCharType="end"/>
      </w:r>
      <w:bookmarkEnd w:id="479"/>
      <w:r w:rsidRPr="00EA4AC4">
        <w:rPr>
          <w:noProof/>
        </w:rPr>
        <w:t>:</w:t>
      </w:r>
      <w:r w:rsidRPr="00EA4AC4">
        <w:t xml:space="preserve"> Number and percentage of women giving birth, by place of birth, </w:t>
      </w:r>
      <w:bookmarkEnd w:id="480"/>
      <w:bookmarkEnd w:id="481"/>
      <w:bookmarkEnd w:id="482"/>
      <w:r w:rsidRPr="00EA4AC4">
        <w:t>201</w:t>
      </w:r>
      <w:bookmarkEnd w:id="483"/>
      <w:r w:rsidRPr="00EA4AC4">
        <w:t>5</w:t>
      </w:r>
      <w:bookmarkEnd w:id="484"/>
      <w:bookmarkEnd w:id="485"/>
    </w:p>
    <w:tbl>
      <w:tblPr>
        <w:tblStyle w:val="TableGrid"/>
        <w:tblW w:w="5607"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5: Number and percentage of women giving birth, by place of birth, 2014"/>
      </w:tblPr>
      <w:tblGrid>
        <w:gridCol w:w="2127"/>
        <w:gridCol w:w="1740"/>
        <w:gridCol w:w="1740"/>
      </w:tblGrid>
      <w:tr w:rsidR="000D44A5" w:rsidRPr="00EA4AC4" w:rsidTr="00CE3A17">
        <w:trPr>
          <w:cantSplit/>
          <w:tblHeader/>
        </w:trPr>
        <w:tc>
          <w:tcPr>
            <w:tcW w:w="2127" w:type="dxa"/>
            <w:tcBorders>
              <w:top w:val="single" w:sz="4" w:space="0" w:color="auto"/>
              <w:bottom w:val="single" w:sz="4" w:space="0" w:color="auto"/>
            </w:tcBorders>
            <w:shd w:val="clear" w:color="auto" w:fill="auto"/>
          </w:tcPr>
          <w:p w:rsidR="000D44A5" w:rsidRPr="00EA4AC4" w:rsidRDefault="000D44A5" w:rsidP="007B3A51">
            <w:pPr>
              <w:pStyle w:val="TableText"/>
              <w:rPr>
                <w:b/>
              </w:rPr>
            </w:pPr>
            <w:r w:rsidRPr="00EA4AC4">
              <w:rPr>
                <w:b/>
              </w:rPr>
              <w:t>Place of birth</w:t>
            </w:r>
          </w:p>
        </w:tc>
        <w:tc>
          <w:tcPr>
            <w:tcW w:w="1740" w:type="dxa"/>
            <w:tcBorders>
              <w:top w:val="single" w:sz="4" w:space="0" w:color="auto"/>
              <w:bottom w:val="single" w:sz="4" w:space="0" w:color="auto"/>
            </w:tcBorders>
            <w:shd w:val="clear" w:color="auto" w:fill="auto"/>
          </w:tcPr>
          <w:p w:rsidR="000D44A5" w:rsidRPr="00EA4AC4" w:rsidRDefault="000D44A5" w:rsidP="007B3A51">
            <w:pPr>
              <w:pStyle w:val="TableText"/>
              <w:jc w:val="center"/>
              <w:rPr>
                <w:b/>
              </w:rPr>
            </w:pPr>
            <w:r w:rsidRPr="00EA4AC4">
              <w:rPr>
                <w:b/>
              </w:rPr>
              <w:t>Number</w:t>
            </w:r>
          </w:p>
        </w:tc>
        <w:tc>
          <w:tcPr>
            <w:tcW w:w="1740" w:type="dxa"/>
            <w:tcBorders>
              <w:top w:val="single" w:sz="4" w:space="0" w:color="auto"/>
              <w:bottom w:val="single" w:sz="4" w:space="0" w:color="auto"/>
            </w:tcBorders>
            <w:shd w:val="clear" w:color="auto" w:fill="auto"/>
          </w:tcPr>
          <w:p w:rsidR="000D44A5" w:rsidRPr="00EA4AC4" w:rsidRDefault="000D44A5" w:rsidP="007B3A51">
            <w:pPr>
              <w:pStyle w:val="TableText"/>
              <w:jc w:val="center"/>
              <w:rPr>
                <w:b/>
              </w:rPr>
            </w:pPr>
            <w:r w:rsidRPr="00EA4AC4">
              <w:rPr>
                <w:b/>
              </w:rPr>
              <w:t>Percentage</w:t>
            </w:r>
          </w:p>
        </w:tc>
      </w:tr>
      <w:tr w:rsidR="000D44A5" w:rsidRPr="00EA4AC4" w:rsidTr="00CE3A17">
        <w:trPr>
          <w:cantSplit/>
        </w:trPr>
        <w:tc>
          <w:tcPr>
            <w:tcW w:w="2127" w:type="dxa"/>
            <w:tcBorders>
              <w:top w:val="single" w:sz="4" w:space="0" w:color="auto"/>
              <w:bottom w:val="single" w:sz="4" w:space="0" w:color="A6A6A6" w:themeColor="background1" w:themeShade="A6"/>
            </w:tcBorders>
            <w:shd w:val="clear" w:color="auto" w:fill="auto"/>
            <w:vAlign w:val="center"/>
          </w:tcPr>
          <w:p w:rsidR="000D44A5" w:rsidRPr="00EA4AC4" w:rsidRDefault="000D44A5" w:rsidP="007B3A51">
            <w:pPr>
              <w:pStyle w:val="TableText"/>
            </w:pPr>
            <w:r w:rsidRPr="00EA4AC4">
              <w:t>Home</w:t>
            </w:r>
          </w:p>
        </w:tc>
        <w:tc>
          <w:tcPr>
            <w:tcW w:w="1740" w:type="dxa"/>
            <w:tcBorders>
              <w:top w:val="single" w:sz="4" w:space="0" w:color="auto"/>
              <w:bottom w:val="single" w:sz="4" w:space="0" w:color="A6A6A6" w:themeColor="background1" w:themeShade="A6"/>
            </w:tcBorders>
            <w:shd w:val="clear" w:color="auto" w:fill="auto"/>
            <w:vAlign w:val="center"/>
          </w:tcPr>
          <w:p w:rsidR="000D44A5" w:rsidRPr="00EA4AC4" w:rsidRDefault="000D44A5" w:rsidP="00CE3A17">
            <w:pPr>
              <w:pStyle w:val="TableText"/>
              <w:tabs>
                <w:tab w:val="decimal" w:pos="1077"/>
              </w:tabs>
              <w:rPr>
                <w:rFonts w:cs="Arial"/>
                <w:color w:val="000000"/>
                <w:szCs w:val="18"/>
                <w:lang w:eastAsia="en-NZ"/>
              </w:rPr>
            </w:pPr>
            <w:r w:rsidRPr="00EA4AC4">
              <w:rPr>
                <w:rFonts w:cs="Arial"/>
                <w:color w:val="000000"/>
                <w:szCs w:val="18"/>
              </w:rPr>
              <w:t>2</w:t>
            </w:r>
            <w:r w:rsidR="00CE3A17">
              <w:rPr>
                <w:rFonts w:cs="Arial"/>
                <w:color w:val="000000"/>
                <w:szCs w:val="18"/>
              </w:rPr>
              <w:t>,</w:t>
            </w:r>
            <w:r w:rsidRPr="00EA4AC4">
              <w:rPr>
                <w:rFonts w:cs="Arial"/>
                <w:color w:val="000000"/>
                <w:szCs w:val="18"/>
              </w:rPr>
              <w:t>151</w:t>
            </w:r>
          </w:p>
        </w:tc>
        <w:tc>
          <w:tcPr>
            <w:tcW w:w="1740" w:type="dxa"/>
            <w:tcBorders>
              <w:top w:val="single" w:sz="4" w:space="0" w:color="auto"/>
              <w:bottom w:val="single" w:sz="4" w:space="0" w:color="A6A6A6" w:themeColor="background1" w:themeShade="A6"/>
            </w:tcBorders>
            <w:shd w:val="clear" w:color="auto" w:fill="auto"/>
            <w:vAlign w:val="center"/>
          </w:tcPr>
          <w:p w:rsidR="000D44A5" w:rsidRPr="00EA4AC4" w:rsidRDefault="000D44A5" w:rsidP="00CE3A17">
            <w:pPr>
              <w:pStyle w:val="TableText"/>
              <w:tabs>
                <w:tab w:val="decimal" w:pos="896"/>
              </w:tabs>
              <w:rPr>
                <w:rFonts w:cs="Arial"/>
                <w:color w:val="000000"/>
                <w:szCs w:val="18"/>
              </w:rPr>
            </w:pPr>
            <w:r w:rsidRPr="00EA4AC4">
              <w:rPr>
                <w:rFonts w:cs="Arial"/>
                <w:color w:val="000000"/>
                <w:szCs w:val="18"/>
              </w:rPr>
              <w:t>3.7</w:t>
            </w:r>
          </w:p>
        </w:tc>
      </w:tr>
      <w:tr w:rsidR="000D44A5" w:rsidRPr="00EA4AC4" w:rsidTr="00CE3A17">
        <w:trPr>
          <w:cantSplit/>
        </w:trPr>
        <w:tc>
          <w:tcPr>
            <w:tcW w:w="2127" w:type="dxa"/>
            <w:tcBorders>
              <w:top w:val="single" w:sz="4" w:space="0" w:color="A6A6A6" w:themeColor="background1" w:themeShade="A6"/>
              <w:bottom w:val="nil"/>
            </w:tcBorders>
            <w:shd w:val="clear" w:color="auto" w:fill="auto"/>
            <w:vAlign w:val="center"/>
          </w:tcPr>
          <w:p w:rsidR="000D44A5" w:rsidRPr="00EA4AC4" w:rsidRDefault="000D44A5" w:rsidP="007B3A51">
            <w:pPr>
              <w:pStyle w:val="TableText"/>
            </w:pPr>
            <w:r w:rsidRPr="00EA4AC4">
              <w:t>Maternity facility</w:t>
            </w:r>
          </w:p>
        </w:tc>
        <w:tc>
          <w:tcPr>
            <w:tcW w:w="1740" w:type="dxa"/>
            <w:tcBorders>
              <w:top w:val="single" w:sz="4" w:space="0" w:color="A6A6A6" w:themeColor="background1" w:themeShade="A6"/>
              <w:bottom w:val="nil"/>
            </w:tcBorders>
            <w:shd w:val="clear" w:color="auto" w:fill="auto"/>
            <w:vAlign w:val="center"/>
          </w:tcPr>
          <w:p w:rsidR="000D44A5" w:rsidRPr="00EA4AC4" w:rsidRDefault="000D44A5" w:rsidP="00CE3A17">
            <w:pPr>
              <w:pStyle w:val="TableText"/>
              <w:tabs>
                <w:tab w:val="decimal" w:pos="1077"/>
              </w:tabs>
              <w:rPr>
                <w:rFonts w:cs="Arial"/>
                <w:color w:val="000000"/>
                <w:szCs w:val="18"/>
              </w:rPr>
            </w:pPr>
            <w:r w:rsidRPr="00EA4AC4">
              <w:rPr>
                <w:rFonts w:cs="Arial"/>
                <w:color w:val="000000"/>
                <w:szCs w:val="18"/>
              </w:rPr>
              <w:t>56,154</w:t>
            </w:r>
          </w:p>
        </w:tc>
        <w:tc>
          <w:tcPr>
            <w:tcW w:w="1740" w:type="dxa"/>
            <w:tcBorders>
              <w:top w:val="single" w:sz="4" w:space="0" w:color="A6A6A6" w:themeColor="background1" w:themeShade="A6"/>
              <w:bottom w:val="nil"/>
            </w:tcBorders>
            <w:shd w:val="clear" w:color="auto" w:fill="auto"/>
            <w:vAlign w:val="center"/>
          </w:tcPr>
          <w:p w:rsidR="000D44A5" w:rsidRPr="00EA4AC4" w:rsidRDefault="000D44A5" w:rsidP="00CE3A17">
            <w:pPr>
              <w:pStyle w:val="TableText"/>
              <w:tabs>
                <w:tab w:val="decimal" w:pos="896"/>
              </w:tabs>
              <w:rPr>
                <w:rFonts w:cs="Arial"/>
                <w:color w:val="000000"/>
                <w:szCs w:val="18"/>
              </w:rPr>
            </w:pPr>
            <w:r w:rsidRPr="00EA4AC4">
              <w:rPr>
                <w:rFonts w:cs="Arial"/>
                <w:color w:val="000000"/>
                <w:szCs w:val="18"/>
              </w:rPr>
              <w:t>96.3</w:t>
            </w:r>
          </w:p>
        </w:tc>
      </w:tr>
      <w:tr w:rsidR="000D44A5" w:rsidRPr="00EA4AC4" w:rsidTr="00CE3A17">
        <w:trPr>
          <w:cantSplit/>
        </w:trPr>
        <w:tc>
          <w:tcPr>
            <w:tcW w:w="2127" w:type="dxa"/>
            <w:tcBorders>
              <w:top w:val="nil"/>
              <w:bottom w:val="nil"/>
            </w:tcBorders>
            <w:shd w:val="clear" w:color="auto" w:fill="auto"/>
            <w:vAlign w:val="center"/>
          </w:tcPr>
          <w:p w:rsidR="000D44A5" w:rsidRPr="00EA4AC4" w:rsidRDefault="000D44A5" w:rsidP="007B3A51">
            <w:pPr>
              <w:pStyle w:val="TableText"/>
              <w:spacing w:before="0"/>
              <w:ind w:left="284"/>
            </w:pPr>
            <w:r w:rsidRPr="00EA4AC4">
              <w:t>Primary</w:t>
            </w:r>
          </w:p>
        </w:tc>
        <w:tc>
          <w:tcPr>
            <w:tcW w:w="1740" w:type="dxa"/>
            <w:tcBorders>
              <w:top w:val="nil"/>
              <w:bottom w:val="nil"/>
            </w:tcBorders>
            <w:shd w:val="clear" w:color="auto" w:fill="auto"/>
            <w:vAlign w:val="center"/>
          </w:tcPr>
          <w:p w:rsidR="000D44A5" w:rsidRPr="00EA4AC4" w:rsidRDefault="000D44A5" w:rsidP="00CE3A17">
            <w:pPr>
              <w:pStyle w:val="TableText"/>
              <w:tabs>
                <w:tab w:val="decimal" w:pos="1077"/>
              </w:tabs>
              <w:spacing w:before="0"/>
              <w:rPr>
                <w:rFonts w:cs="Arial"/>
                <w:color w:val="000000"/>
                <w:szCs w:val="18"/>
              </w:rPr>
            </w:pPr>
            <w:r>
              <w:rPr>
                <w:rFonts w:cs="Arial"/>
                <w:color w:val="000000"/>
                <w:szCs w:val="18"/>
              </w:rPr>
              <w:t>5</w:t>
            </w:r>
            <w:r w:rsidR="00CE3A17">
              <w:rPr>
                <w:rFonts w:cs="Arial"/>
                <w:color w:val="000000"/>
                <w:szCs w:val="18"/>
              </w:rPr>
              <w:t>,</w:t>
            </w:r>
            <w:r w:rsidRPr="00EA4AC4">
              <w:rPr>
                <w:rFonts w:cs="Arial"/>
                <w:color w:val="000000"/>
                <w:szCs w:val="18"/>
              </w:rPr>
              <w:t>764</w:t>
            </w:r>
          </w:p>
        </w:tc>
        <w:tc>
          <w:tcPr>
            <w:tcW w:w="1740" w:type="dxa"/>
            <w:tcBorders>
              <w:top w:val="nil"/>
              <w:bottom w:val="nil"/>
            </w:tcBorders>
            <w:shd w:val="clear" w:color="auto" w:fill="auto"/>
            <w:vAlign w:val="center"/>
          </w:tcPr>
          <w:p w:rsidR="000D44A5" w:rsidRPr="00EA4AC4" w:rsidRDefault="000D44A5" w:rsidP="00CE3A17">
            <w:pPr>
              <w:pStyle w:val="TableText"/>
              <w:tabs>
                <w:tab w:val="decimal" w:pos="896"/>
              </w:tabs>
              <w:spacing w:before="0"/>
              <w:rPr>
                <w:rFonts w:cs="Arial"/>
                <w:color w:val="000000"/>
                <w:szCs w:val="18"/>
              </w:rPr>
            </w:pPr>
            <w:r w:rsidRPr="00EA4AC4">
              <w:rPr>
                <w:rFonts w:cs="Arial"/>
                <w:color w:val="000000"/>
                <w:szCs w:val="18"/>
              </w:rPr>
              <w:t>9.9</w:t>
            </w:r>
          </w:p>
        </w:tc>
      </w:tr>
      <w:tr w:rsidR="000D44A5" w:rsidRPr="00EA4AC4" w:rsidTr="00CE3A17">
        <w:trPr>
          <w:cantSplit/>
        </w:trPr>
        <w:tc>
          <w:tcPr>
            <w:tcW w:w="2127" w:type="dxa"/>
            <w:tcBorders>
              <w:top w:val="nil"/>
              <w:bottom w:val="nil"/>
            </w:tcBorders>
            <w:shd w:val="clear" w:color="auto" w:fill="auto"/>
            <w:vAlign w:val="center"/>
          </w:tcPr>
          <w:p w:rsidR="000D44A5" w:rsidRPr="00EA4AC4" w:rsidRDefault="000D44A5" w:rsidP="007B3A51">
            <w:pPr>
              <w:pStyle w:val="TableText"/>
              <w:spacing w:before="0"/>
              <w:ind w:left="284"/>
            </w:pPr>
            <w:r w:rsidRPr="00EA4AC4">
              <w:t>Secondary</w:t>
            </w:r>
          </w:p>
        </w:tc>
        <w:tc>
          <w:tcPr>
            <w:tcW w:w="1740" w:type="dxa"/>
            <w:tcBorders>
              <w:top w:val="nil"/>
              <w:bottom w:val="nil"/>
            </w:tcBorders>
            <w:shd w:val="clear" w:color="auto" w:fill="auto"/>
            <w:vAlign w:val="center"/>
          </w:tcPr>
          <w:p w:rsidR="000D44A5" w:rsidRPr="00EA4AC4" w:rsidRDefault="000D44A5" w:rsidP="00CE3A17">
            <w:pPr>
              <w:pStyle w:val="TableText"/>
              <w:tabs>
                <w:tab w:val="decimal" w:pos="1077"/>
              </w:tabs>
              <w:spacing w:before="0"/>
              <w:rPr>
                <w:rFonts w:cs="Arial"/>
                <w:color w:val="000000"/>
                <w:szCs w:val="18"/>
              </w:rPr>
            </w:pPr>
            <w:r w:rsidRPr="00EA4AC4">
              <w:rPr>
                <w:rFonts w:cs="Arial"/>
                <w:color w:val="000000"/>
                <w:szCs w:val="18"/>
              </w:rPr>
              <w:t>23,566</w:t>
            </w:r>
          </w:p>
        </w:tc>
        <w:tc>
          <w:tcPr>
            <w:tcW w:w="1740" w:type="dxa"/>
            <w:tcBorders>
              <w:top w:val="nil"/>
              <w:bottom w:val="nil"/>
            </w:tcBorders>
            <w:shd w:val="clear" w:color="auto" w:fill="auto"/>
            <w:vAlign w:val="center"/>
          </w:tcPr>
          <w:p w:rsidR="000D44A5" w:rsidRPr="00EA4AC4" w:rsidRDefault="000D44A5" w:rsidP="00CE3A17">
            <w:pPr>
              <w:pStyle w:val="TableText"/>
              <w:tabs>
                <w:tab w:val="decimal" w:pos="896"/>
              </w:tabs>
              <w:spacing w:before="0"/>
              <w:rPr>
                <w:rFonts w:cs="Arial"/>
                <w:color w:val="000000"/>
                <w:szCs w:val="18"/>
              </w:rPr>
            </w:pPr>
            <w:r w:rsidRPr="00EA4AC4">
              <w:rPr>
                <w:rFonts w:cs="Arial"/>
                <w:color w:val="000000"/>
                <w:szCs w:val="18"/>
              </w:rPr>
              <w:t>40.4</w:t>
            </w:r>
          </w:p>
        </w:tc>
      </w:tr>
      <w:tr w:rsidR="000D44A5" w:rsidRPr="00EA4AC4" w:rsidTr="00CE3A17">
        <w:trPr>
          <w:cantSplit/>
        </w:trPr>
        <w:tc>
          <w:tcPr>
            <w:tcW w:w="2127" w:type="dxa"/>
            <w:tcBorders>
              <w:top w:val="nil"/>
              <w:bottom w:val="single" w:sz="4" w:space="0" w:color="A6A6A6" w:themeColor="background1" w:themeShade="A6"/>
            </w:tcBorders>
            <w:shd w:val="clear" w:color="auto" w:fill="auto"/>
            <w:vAlign w:val="center"/>
          </w:tcPr>
          <w:p w:rsidR="000D44A5" w:rsidRPr="00EA4AC4" w:rsidRDefault="000D44A5" w:rsidP="007B3A51">
            <w:pPr>
              <w:pStyle w:val="TableText"/>
              <w:spacing w:before="0"/>
              <w:ind w:left="284"/>
            </w:pPr>
            <w:r w:rsidRPr="00EA4AC4">
              <w:t>Tertiary</w:t>
            </w:r>
          </w:p>
        </w:tc>
        <w:tc>
          <w:tcPr>
            <w:tcW w:w="1740" w:type="dxa"/>
            <w:tcBorders>
              <w:top w:val="nil"/>
              <w:bottom w:val="single" w:sz="4" w:space="0" w:color="A6A6A6" w:themeColor="background1" w:themeShade="A6"/>
            </w:tcBorders>
            <w:shd w:val="clear" w:color="auto" w:fill="auto"/>
            <w:vAlign w:val="center"/>
          </w:tcPr>
          <w:p w:rsidR="000D44A5" w:rsidRPr="00EA4AC4" w:rsidRDefault="000D44A5" w:rsidP="00CE3A17">
            <w:pPr>
              <w:pStyle w:val="TableText"/>
              <w:tabs>
                <w:tab w:val="decimal" w:pos="1077"/>
              </w:tabs>
              <w:spacing w:before="0"/>
              <w:rPr>
                <w:rFonts w:cs="Arial"/>
                <w:color w:val="000000"/>
                <w:szCs w:val="18"/>
              </w:rPr>
            </w:pPr>
            <w:r w:rsidRPr="00EA4AC4">
              <w:rPr>
                <w:rFonts w:cs="Arial"/>
                <w:color w:val="000000"/>
                <w:szCs w:val="18"/>
              </w:rPr>
              <w:t>26,824</w:t>
            </w:r>
          </w:p>
        </w:tc>
        <w:tc>
          <w:tcPr>
            <w:tcW w:w="1740" w:type="dxa"/>
            <w:tcBorders>
              <w:top w:val="nil"/>
              <w:bottom w:val="single" w:sz="4" w:space="0" w:color="A6A6A6" w:themeColor="background1" w:themeShade="A6"/>
            </w:tcBorders>
            <w:shd w:val="clear" w:color="auto" w:fill="auto"/>
            <w:vAlign w:val="center"/>
          </w:tcPr>
          <w:p w:rsidR="000D44A5" w:rsidRPr="00EA4AC4" w:rsidRDefault="000D44A5" w:rsidP="00CE3A17">
            <w:pPr>
              <w:pStyle w:val="TableText"/>
              <w:tabs>
                <w:tab w:val="decimal" w:pos="896"/>
              </w:tabs>
              <w:spacing w:before="0"/>
              <w:rPr>
                <w:rFonts w:cs="Arial"/>
                <w:color w:val="000000"/>
                <w:szCs w:val="18"/>
              </w:rPr>
            </w:pPr>
            <w:r w:rsidRPr="00EA4AC4">
              <w:rPr>
                <w:rFonts w:cs="Arial"/>
                <w:color w:val="000000"/>
                <w:szCs w:val="18"/>
              </w:rPr>
              <w:t>46.0</w:t>
            </w:r>
          </w:p>
        </w:tc>
      </w:tr>
      <w:tr w:rsidR="000D44A5" w:rsidRPr="00EA4AC4" w:rsidTr="00CE3A17">
        <w:trPr>
          <w:cantSplit/>
        </w:trPr>
        <w:tc>
          <w:tcPr>
            <w:tcW w:w="2127" w:type="dxa"/>
            <w:tcBorders>
              <w:top w:val="single" w:sz="4" w:space="0" w:color="A6A6A6" w:themeColor="background1" w:themeShade="A6"/>
              <w:bottom w:val="single" w:sz="4" w:space="0" w:color="auto"/>
            </w:tcBorders>
            <w:shd w:val="clear" w:color="auto" w:fill="auto"/>
            <w:vAlign w:val="center"/>
          </w:tcPr>
          <w:p w:rsidR="000D44A5" w:rsidRPr="00EA4AC4" w:rsidRDefault="000D44A5" w:rsidP="007B3A51">
            <w:pPr>
              <w:pStyle w:val="TableText"/>
            </w:pPr>
            <w:r w:rsidRPr="00EA4AC4">
              <w:t>Unknown</w:t>
            </w:r>
          </w:p>
        </w:tc>
        <w:tc>
          <w:tcPr>
            <w:tcW w:w="1740" w:type="dxa"/>
            <w:tcBorders>
              <w:top w:val="single" w:sz="4" w:space="0" w:color="A6A6A6" w:themeColor="background1" w:themeShade="A6"/>
              <w:bottom w:val="single" w:sz="4" w:space="0" w:color="auto"/>
            </w:tcBorders>
            <w:shd w:val="clear" w:color="auto" w:fill="auto"/>
            <w:vAlign w:val="center"/>
          </w:tcPr>
          <w:p w:rsidR="000D44A5" w:rsidRPr="00EA4AC4" w:rsidRDefault="000D44A5" w:rsidP="00CE3A17">
            <w:pPr>
              <w:pStyle w:val="TableText"/>
              <w:tabs>
                <w:tab w:val="decimal" w:pos="1077"/>
              </w:tabs>
              <w:rPr>
                <w:rFonts w:cs="Arial"/>
                <w:color w:val="000000"/>
                <w:szCs w:val="18"/>
              </w:rPr>
            </w:pPr>
            <w:r w:rsidRPr="00EA4AC4">
              <w:rPr>
                <w:rFonts w:cs="Arial"/>
                <w:color w:val="000000"/>
                <w:szCs w:val="18"/>
              </w:rPr>
              <w:t>652</w:t>
            </w:r>
          </w:p>
        </w:tc>
        <w:tc>
          <w:tcPr>
            <w:tcW w:w="1740" w:type="dxa"/>
            <w:tcBorders>
              <w:top w:val="single" w:sz="4" w:space="0" w:color="A6A6A6" w:themeColor="background1" w:themeShade="A6"/>
              <w:bottom w:val="single" w:sz="4" w:space="0" w:color="auto"/>
            </w:tcBorders>
            <w:shd w:val="clear" w:color="auto" w:fill="auto"/>
            <w:vAlign w:val="center"/>
          </w:tcPr>
          <w:p w:rsidR="000D44A5" w:rsidRPr="00EA4AC4" w:rsidRDefault="000D44A5" w:rsidP="00CE3A17">
            <w:pPr>
              <w:pStyle w:val="TableText"/>
              <w:tabs>
                <w:tab w:val="decimal" w:pos="896"/>
              </w:tabs>
              <w:rPr>
                <w:rFonts w:cs="Arial"/>
                <w:color w:val="000000"/>
                <w:szCs w:val="18"/>
              </w:rPr>
            </w:pPr>
            <w:r w:rsidRPr="00EA4AC4">
              <w:rPr>
                <w:rFonts w:cs="Arial"/>
                <w:color w:val="000000"/>
                <w:szCs w:val="18"/>
              </w:rPr>
              <w:t>–</w:t>
            </w:r>
          </w:p>
        </w:tc>
      </w:tr>
      <w:tr w:rsidR="000D44A5" w:rsidRPr="00AF16D8" w:rsidTr="00CE3A17">
        <w:trPr>
          <w:cantSplit/>
        </w:trPr>
        <w:tc>
          <w:tcPr>
            <w:tcW w:w="2127" w:type="dxa"/>
            <w:tcBorders>
              <w:top w:val="single" w:sz="4" w:space="0" w:color="auto"/>
              <w:bottom w:val="single" w:sz="4" w:space="0" w:color="auto"/>
            </w:tcBorders>
            <w:shd w:val="clear" w:color="auto" w:fill="auto"/>
          </w:tcPr>
          <w:p w:rsidR="000D44A5" w:rsidRPr="00EA4AC4" w:rsidRDefault="000D44A5" w:rsidP="007B3A51">
            <w:pPr>
              <w:pStyle w:val="TableText"/>
              <w:rPr>
                <w:b/>
              </w:rPr>
            </w:pPr>
            <w:r w:rsidRPr="00EA4AC4">
              <w:rPr>
                <w:b/>
              </w:rPr>
              <w:t>Total</w:t>
            </w:r>
          </w:p>
        </w:tc>
        <w:tc>
          <w:tcPr>
            <w:tcW w:w="1740" w:type="dxa"/>
            <w:tcBorders>
              <w:top w:val="single" w:sz="4" w:space="0" w:color="auto"/>
              <w:bottom w:val="single" w:sz="4" w:space="0" w:color="auto"/>
            </w:tcBorders>
            <w:shd w:val="clear" w:color="auto" w:fill="auto"/>
            <w:vAlign w:val="bottom"/>
          </w:tcPr>
          <w:p w:rsidR="000D44A5" w:rsidRPr="00EA4AC4" w:rsidRDefault="000D44A5" w:rsidP="00CE3A17">
            <w:pPr>
              <w:pStyle w:val="TableText"/>
              <w:tabs>
                <w:tab w:val="decimal" w:pos="1077"/>
              </w:tabs>
              <w:rPr>
                <w:rFonts w:cs="Arial"/>
                <w:b/>
                <w:bCs/>
                <w:color w:val="000000"/>
                <w:szCs w:val="18"/>
              </w:rPr>
            </w:pPr>
            <w:r w:rsidRPr="00EA4AC4">
              <w:rPr>
                <w:rFonts w:cs="Arial"/>
                <w:b/>
                <w:bCs/>
                <w:color w:val="000000"/>
                <w:szCs w:val="18"/>
              </w:rPr>
              <w:t>58,957</w:t>
            </w:r>
          </w:p>
        </w:tc>
        <w:tc>
          <w:tcPr>
            <w:tcW w:w="1740" w:type="dxa"/>
            <w:tcBorders>
              <w:top w:val="single" w:sz="4" w:space="0" w:color="auto"/>
              <w:bottom w:val="single" w:sz="4" w:space="0" w:color="auto"/>
            </w:tcBorders>
            <w:shd w:val="clear" w:color="auto" w:fill="auto"/>
            <w:vAlign w:val="bottom"/>
          </w:tcPr>
          <w:p w:rsidR="000D44A5" w:rsidRPr="00EA4AC4" w:rsidRDefault="000D44A5" w:rsidP="00CE3A17">
            <w:pPr>
              <w:pStyle w:val="TableText"/>
              <w:tabs>
                <w:tab w:val="decimal" w:pos="896"/>
              </w:tabs>
              <w:rPr>
                <w:rFonts w:cs="Arial"/>
                <w:b/>
                <w:bCs/>
                <w:color w:val="000000"/>
                <w:szCs w:val="18"/>
              </w:rPr>
            </w:pPr>
            <w:r w:rsidRPr="00EA4AC4">
              <w:rPr>
                <w:rFonts w:cs="Arial"/>
                <w:b/>
                <w:bCs/>
                <w:color w:val="000000"/>
                <w:szCs w:val="18"/>
              </w:rPr>
              <w:t>100.0</w:t>
            </w:r>
          </w:p>
        </w:tc>
      </w:tr>
    </w:tbl>
    <w:p w:rsidR="000D44A5" w:rsidRPr="003F30AE" w:rsidRDefault="000D44A5" w:rsidP="00CE3A17">
      <w:pPr>
        <w:pStyle w:val="Source"/>
      </w:pPr>
      <w:r w:rsidRPr="003F30AE">
        <w:t>Source: National Maternity Collection</w:t>
      </w:r>
    </w:p>
    <w:p w:rsidR="000D44A5" w:rsidRDefault="000D44A5" w:rsidP="00CE3A17"/>
    <w:p w:rsidR="000D44A5" w:rsidRPr="00EA4AC4" w:rsidRDefault="000D44A5" w:rsidP="00CE3A17">
      <w:r w:rsidRPr="00EA4AC4">
        <w:t>The proportion of women giving birth at a tertiary facility generally increased between 2006 and 2</w:t>
      </w:r>
      <w:r>
        <w:t>015, from 41.4</w:t>
      </w:r>
      <w:r w:rsidRPr="00EA4AC4">
        <w:t xml:space="preserve"> % to 46.0%. There was a corresponding decrease in the proportion of women giving birth at a primary facility, from 15.1% to 9.9%. The proportion of births at home and at secondary facilities remained stable during this time (</w:t>
      </w:r>
      <w:r w:rsidRPr="00EA4AC4">
        <w:fldChar w:fldCharType="begin"/>
      </w:r>
      <w:r w:rsidRPr="00EA4AC4">
        <w:instrText xml:space="preserve"> REF _Ref428958734 \h  \* MERGEFORMAT </w:instrText>
      </w:r>
      <w:r w:rsidRPr="00EA4AC4">
        <w:fldChar w:fldCharType="separate"/>
      </w:r>
      <w:r w:rsidR="00071E85" w:rsidRPr="00EA4AC4">
        <w:t>Figure </w:t>
      </w:r>
      <w:r w:rsidR="00071E85">
        <w:t>45</w:t>
      </w:r>
      <w:r w:rsidRPr="00EA4AC4">
        <w:fldChar w:fldCharType="end"/>
      </w:r>
      <w:r w:rsidRPr="00EA4AC4">
        <w:t>).</w:t>
      </w:r>
    </w:p>
    <w:p w:rsidR="000D44A5" w:rsidRPr="00EA4AC4" w:rsidRDefault="000D44A5" w:rsidP="00CE3A17"/>
    <w:p w:rsidR="000D44A5" w:rsidRPr="00EA4AC4" w:rsidRDefault="000D44A5" w:rsidP="00CE3A17">
      <w:pPr>
        <w:pStyle w:val="Figure"/>
      </w:pPr>
      <w:bookmarkStart w:id="486" w:name="_Ref428958734"/>
      <w:bookmarkStart w:id="487" w:name="_Toc405886969"/>
      <w:bookmarkStart w:id="488" w:name="_Toc412122459"/>
      <w:bookmarkStart w:id="489" w:name="_Toc428799344"/>
      <w:bookmarkStart w:id="490" w:name="_Toc433389803"/>
      <w:bookmarkStart w:id="491" w:name="_Toc485114376"/>
      <w:bookmarkStart w:id="492" w:name="_Toc485542712"/>
      <w:r w:rsidRPr="00EA4AC4">
        <w:lastRenderedPageBreak/>
        <w:t>Figure </w:t>
      </w:r>
      <w:r w:rsidR="00071E85">
        <w:fldChar w:fldCharType="begin"/>
      </w:r>
      <w:r w:rsidR="00071E85">
        <w:instrText xml:space="preserve"> SEQ Figure \* ARABIC </w:instrText>
      </w:r>
      <w:r w:rsidR="00071E85">
        <w:fldChar w:fldCharType="separate"/>
      </w:r>
      <w:r w:rsidR="00071E85">
        <w:rPr>
          <w:noProof/>
        </w:rPr>
        <w:t>45</w:t>
      </w:r>
      <w:r w:rsidR="00071E85">
        <w:rPr>
          <w:noProof/>
        </w:rPr>
        <w:fldChar w:fldCharType="end"/>
      </w:r>
      <w:bookmarkEnd w:id="486"/>
      <w:r w:rsidRPr="00EA4AC4">
        <w:t>: Percentage of women giving birth, by place of birth, 2006–201</w:t>
      </w:r>
      <w:bookmarkEnd w:id="487"/>
      <w:bookmarkEnd w:id="488"/>
      <w:bookmarkEnd w:id="489"/>
      <w:bookmarkEnd w:id="490"/>
      <w:r w:rsidRPr="00EA4AC4">
        <w:t>5</w:t>
      </w:r>
      <w:bookmarkEnd w:id="491"/>
      <w:bookmarkEnd w:id="492"/>
    </w:p>
    <w:p w:rsidR="000D44A5" w:rsidRPr="00EA4AC4" w:rsidRDefault="000D44A5" w:rsidP="000D44A5">
      <w:r w:rsidRPr="00EA4AC4">
        <w:rPr>
          <w:noProof/>
          <w:lang w:eastAsia="en-NZ"/>
        </w:rPr>
        <w:drawing>
          <wp:inline distT="0" distB="0" distL="0" distR="0" wp14:anchorId="0CE6F2A9" wp14:editId="12F7F691">
            <wp:extent cx="4505498" cy="2208498"/>
            <wp:effectExtent l="0" t="0" r="0" b="1905"/>
            <wp:docPr id="21" name="Picture 21" title="Figure 45: Percentage of women giving birth, by place of birth,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9">
                      <a:extLst>
                        <a:ext uri="{28A0092B-C50C-407E-A947-70E740481C1C}">
                          <a14:useLocalDpi xmlns:a14="http://schemas.microsoft.com/office/drawing/2010/main" val="0"/>
                        </a:ext>
                      </a:extLst>
                    </a:blip>
                    <a:srcRect l="1773" t="2208" r="2128"/>
                    <a:stretch/>
                  </pic:blipFill>
                  <pic:spPr bwMode="auto">
                    <a:xfrm>
                      <a:off x="0" y="0"/>
                      <a:ext cx="4526991" cy="2219033"/>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EA4AC4" w:rsidRDefault="000D44A5" w:rsidP="00CE3A17">
      <w:pPr>
        <w:pStyle w:val="Note"/>
      </w:pPr>
      <w:r w:rsidRPr="00EA4AC4">
        <w:t>Note: The denominator used to calculate percentages is the number of women giving birth, excluding women without a place of birth recorded.</w:t>
      </w:r>
    </w:p>
    <w:p w:rsidR="000D44A5" w:rsidRDefault="000D44A5" w:rsidP="00CE3A17">
      <w:pPr>
        <w:pStyle w:val="Source"/>
      </w:pPr>
      <w:r>
        <w:t>Source: National Maternity Collection</w:t>
      </w:r>
    </w:p>
    <w:p w:rsidR="000D44A5" w:rsidRPr="00AF16D8" w:rsidRDefault="000D44A5" w:rsidP="00CE3A17">
      <w:pPr>
        <w:rPr>
          <w:highlight w:val="yellow"/>
        </w:rPr>
      </w:pPr>
    </w:p>
    <w:p w:rsidR="000D44A5" w:rsidRPr="00AF16D8" w:rsidRDefault="000D44A5" w:rsidP="00CE3A17">
      <w:pPr>
        <w:rPr>
          <w:highlight w:val="yellow"/>
        </w:rPr>
      </w:pPr>
      <w:r w:rsidRPr="002D1E21">
        <w:t xml:space="preserve">The proportion of women giving birth by place of birth </w:t>
      </w:r>
      <w:r>
        <w:t xml:space="preserve">varied </w:t>
      </w:r>
      <w:r w:rsidRPr="002D1E21">
        <w:t>across the DHB regions (</w:t>
      </w:r>
      <w:r w:rsidRPr="002D1E21">
        <w:fldChar w:fldCharType="begin"/>
      </w:r>
      <w:r w:rsidRPr="002D1E21">
        <w:instrText xml:space="preserve"> REF _Ref428958694 \h  \* MERGEFORMAT </w:instrText>
      </w:r>
      <w:r w:rsidRPr="002D1E21">
        <w:fldChar w:fldCharType="separate"/>
      </w:r>
      <w:r w:rsidR="00071E85" w:rsidRPr="002D1E21">
        <w:t xml:space="preserve">Table </w:t>
      </w:r>
      <w:r w:rsidR="00071E85">
        <w:rPr>
          <w:noProof/>
        </w:rPr>
        <w:t>6</w:t>
      </w:r>
      <w:r w:rsidRPr="002D1E21">
        <w:fldChar w:fldCharType="end"/>
      </w:r>
      <w:r w:rsidRPr="002D1E21">
        <w:t xml:space="preserve">). Women residing in </w:t>
      </w:r>
      <w:r w:rsidRPr="00C06561">
        <w:t>West Coast DHB region had the highest proportion of home births (14.2% compared with 3.7% nationally). At least 90% of women residing in 12 of the 20 DHBs gave birth at a maternity facility within their DHB of residence.</w:t>
      </w:r>
    </w:p>
    <w:p w:rsidR="000D44A5" w:rsidRPr="00AF16D8" w:rsidRDefault="000D44A5" w:rsidP="00CE3A17">
      <w:pPr>
        <w:rPr>
          <w:highlight w:val="yellow"/>
        </w:rPr>
      </w:pPr>
      <w:bookmarkStart w:id="493" w:name="_Ref401847705"/>
      <w:bookmarkStart w:id="494" w:name="_Toc405886992"/>
      <w:bookmarkStart w:id="495" w:name="_Toc412122482"/>
    </w:p>
    <w:p w:rsidR="000D44A5" w:rsidRPr="002D1E21" w:rsidRDefault="000D44A5" w:rsidP="00CE3A17">
      <w:pPr>
        <w:pStyle w:val="Table"/>
      </w:pPr>
      <w:bookmarkStart w:id="496" w:name="_Ref428958694"/>
      <w:bookmarkStart w:id="497" w:name="_Toc428802813"/>
      <w:bookmarkStart w:id="498" w:name="_Toc433389743"/>
      <w:bookmarkStart w:id="499" w:name="_Toc479605820"/>
      <w:bookmarkStart w:id="500" w:name="_Toc485542658"/>
      <w:bookmarkEnd w:id="493"/>
      <w:r w:rsidRPr="002D1E21">
        <w:t xml:space="preserve">Table </w:t>
      </w:r>
      <w:r w:rsidR="00071E85">
        <w:fldChar w:fldCharType="begin"/>
      </w:r>
      <w:r w:rsidR="00071E85">
        <w:instrText xml:space="preserve"> SEQ Table \* ARABIC </w:instrText>
      </w:r>
      <w:r w:rsidR="00071E85">
        <w:fldChar w:fldCharType="separate"/>
      </w:r>
      <w:r w:rsidR="00071E85">
        <w:rPr>
          <w:noProof/>
        </w:rPr>
        <w:t>6</w:t>
      </w:r>
      <w:r w:rsidR="00071E85">
        <w:rPr>
          <w:noProof/>
        </w:rPr>
        <w:fldChar w:fldCharType="end"/>
      </w:r>
      <w:bookmarkEnd w:id="496"/>
      <w:r w:rsidRPr="002D1E21">
        <w:rPr>
          <w:noProof/>
        </w:rPr>
        <w:t>:</w:t>
      </w:r>
      <w:r w:rsidRPr="002D1E21">
        <w:t xml:space="preserve"> Number and percentage of women giving birth, by DHB of residence and place of birth, </w:t>
      </w:r>
      <w:bookmarkEnd w:id="494"/>
      <w:bookmarkEnd w:id="495"/>
      <w:bookmarkEnd w:id="497"/>
      <w:r w:rsidRPr="002D1E21">
        <w:t>201</w:t>
      </w:r>
      <w:bookmarkEnd w:id="498"/>
      <w:r w:rsidRPr="002D1E21">
        <w:t>5</w:t>
      </w:r>
      <w:bookmarkEnd w:id="499"/>
      <w:bookmarkEnd w:id="500"/>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6: Number and percentage of women giving birth, by DHB of residence and place of birth, 2014"/>
      </w:tblPr>
      <w:tblGrid>
        <w:gridCol w:w="1784"/>
        <w:gridCol w:w="826"/>
        <w:gridCol w:w="826"/>
        <w:gridCol w:w="927"/>
        <w:gridCol w:w="928"/>
        <w:gridCol w:w="928"/>
        <w:gridCol w:w="928"/>
        <w:gridCol w:w="1104"/>
        <w:gridCol w:w="1105"/>
      </w:tblGrid>
      <w:tr w:rsidR="000D44A5" w:rsidRPr="00AF16D8" w:rsidTr="004C03D8">
        <w:trPr>
          <w:cantSplit/>
          <w:tblHeader/>
        </w:trPr>
        <w:tc>
          <w:tcPr>
            <w:tcW w:w="1784" w:type="dxa"/>
            <w:vMerge w:val="restart"/>
          </w:tcPr>
          <w:p w:rsidR="000D44A5" w:rsidRPr="002D1E21" w:rsidRDefault="000D44A5" w:rsidP="00CE3A17">
            <w:pPr>
              <w:pStyle w:val="TableText"/>
              <w:rPr>
                <w:b/>
              </w:rPr>
            </w:pPr>
            <w:r w:rsidRPr="002D1E21">
              <w:rPr>
                <w:b/>
              </w:rPr>
              <w:t>DHB of residence</w:t>
            </w:r>
          </w:p>
        </w:tc>
        <w:tc>
          <w:tcPr>
            <w:tcW w:w="1652" w:type="dxa"/>
            <w:gridSpan w:val="2"/>
            <w:vMerge w:val="restart"/>
          </w:tcPr>
          <w:p w:rsidR="000D44A5" w:rsidRPr="002D1E21" w:rsidRDefault="000D44A5" w:rsidP="00CE3A17">
            <w:pPr>
              <w:pStyle w:val="TableText"/>
              <w:jc w:val="center"/>
              <w:rPr>
                <w:b/>
              </w:rPr>
            </w:pPr>
            <w:r w:rsidRPr="002D1E21">
              <w:rPr>
                <w:b/>
              </w:rPr>
              <w:t>Home birth</w:t>
            </w:r>
          </w:p>
        </w:tc>
        <w:tc>
          <w:tcPr>
            <w:tcW w:w="3711" w:type="dxa"/>
            <w:gridSpan w:val="4"/>
            <w:tcBorders>
              <w:bottom w:val="single" w:sz="4" w:space="0" w:color="A6A6A6" w:themeColor="background1" w:themeShade="A6"/>
            </w:tcBorders>
          </w:tcPr>
          <w:p w:rsidR="000D44A5" w:rsidRPr="00AF16D8" w:rsidRDefault="000D44A5" w:rsidP="00CE3A17">
            <w:pPr>
              <w:pStyle w:val="TableText"/>
              <w:jc w:val="center"/>
              <w:rPr>
                <w:b/>
                <w:highlight w:val="yellow"/>
              </w:rPr>
            </w:pPr>
            <w:r w:rsidRPr="00C15688">
              <w:rPr>
                <w:b/>
              </w:rPr>
              <w:t>Maternity facility</w:t>
            </w:r>
          </w:p>
        </w:tc>
        <w:tc>
          <w:tcPr>
            <w:tcW w:w="1104" w:type="dxa"/>
            <w:vMerge w:val="restart"/>
          </w:tcPr>
          <w:p w:rsidR="000D44A5" w:rsidRPr="003008F1" w:rsidRDefault="000D44A5" w:rsidP="00CE3A17">
            <w:pPr>
              <w:pStyle w:val="TableText"/>
              <w:jc w:val="center"/>
              <w:rPr>
                <w:b/>
              </w:rPr>
            </w:pPr>
            <w:r w:rsidRPr="003008F1">
              <w:rPr>
                <w:b/>
              </w:rPr>
              <w:t>Unknown</w:t>
            </w:r>
          </w:p>
        </w:tc>
        <w:tc>
          <w:tcPr>
            <w:tcW w:w="1105" w:type="dxa"/>
            <w:vMerge w:val="restart"/>
          </w:tcPr>
          <w:p w:rsidR="000D44A5" w:rsidRPr="003008F1" w:rsidRDefault="000D44A5" w:rsidP="00CE3A17">
            <w:pPr>
              <w:pStyle w:val="TableText"/>
              <w:jc w:val="center"/>
              <w:rPr>
                <w:b/>
              </w:rPr>
            </w:pPr>
            <w:r w:rsidRPr="003008F1">
              <w:rPr>
                <w:b/>
              </w:rPr>
              <w:t>Total</w:t>
            </w:r>
          </w:p>
        </w:tc>
      </w:tr>
      <w:tr w:rsidR="000D44A5" w:rsidRPr="00AF16D8" w:rsidTr="004C03D8">
        <w:trPr>
          <w:cantSplit/>
          <w:tblHeader/>
        </w:trPr>
        <w:tc>
          <w:tcPr>
            <w:tcW w:w="1784" w:type="dxa"/>
            <w:vMerge/>
          </w:tcPr>
          <w:p w:rsidR="000D44A5" w:rsidRPr="002D1E21" w:rsidRDefault="000D44A5" w:rsidP="007B3A51">
            <w:pPr>
              <w:pStyle w:val="TableText"/>
              <w:rPr>
                <w:b/>
              </w:rPr>
            </w:pPr>
          </w:p>
        </w:tc>
        <w:tc>
          <w:tcPr>
            <w:tcW w:w="1652" w:type="dxa"/>
            <w:gridSpan w:val="2"/>
            <w:vMerge/>
            <w:tcBorders>
              <w:bottom w:val="single" w:sz="4" w:space="0" w:color="A6A6A6" w:themeColor="background1" w:themeShade="A6"/>
            </w:tcBorders>
          </w:tcPr>
          <w:p w:rsidR="000D44A5" w:rsidRPr="002D1E21" w:rsidRDefault="000D44A5" w:rsidP="007B3A51">
            <w:pPr>
              <w:pStyle w:val="TableText"/>
              <w:jc w:val="center"/>
              <w:rPr>
                <w:b/>
              </w:rPr>
            </w:pPr>
          </w:p>
        </w:tc>
        <w:tc>
          <w:tcPr>
            <w:tcW w:w="1855" w:type="dxa"/>
            <w:gridSpan w:val="2"/>
            <w:tcBorders>
              <w:top w:val="single" w:sz="4" w:space="0" w:color="A6A6A6" w:themeColor="background1" w:themeShade="A6"/>
              <w:bottom w:val="single" w:sz="4" w:space="0" w:color="A6A6A6" w:themeColor="background1" w:themeShade="A6"/>
            </w:tcBorders>
          </w:tcPr>
          <w:p w:rsidR="000D44A5" w:rsidRPr="00AF16D8" w:rsidRDefault="000D44A5" w:rsidP="00CE3A17">
            <w:pPr>
              <w:pStyle w:val="TableText"/>
              <w:jc w:val="center"/>
              <w:rPr>
                <w:b/>
                <w:highlight w:val="yellow"/>
              </w:rPr>
            </w:pPr>
            <w:r w:rsidRPr="00C15688">
              <w:rPr>
                <w:b/>
              </w:rPr>
              <w:t>In DHB</w:t>
            </w:r>
            <w:r w:rsidRPr="00C15688">
              <w:rPr>
                <w:b/>
                <w:vertAlign w:val="superscript"/>
              </w:rPr>
              <w:t>1</w:t>
            </w:r>
          </w:p>
        </w:tc>
        <w:tc>
          <w:tcPr>
            <w:tcW w:w="1856" w:type="dxa"/>
            <w:gridSpan w:val="2"/>
            <w:tcBorders>
              <w:top w:val="single" w:sz="4" w:space="0" w:color="A6A6A6" w:themeColor="background1" w:themeShade="A6"/>
              <w:bottom w:val="single" w:sz="4" w:space="0" w:color="A6A6A6" w:themeColor="background1" w:themeShade="A6"/>
            </w:tcBorders>
          </w:tcPr>
          <w:p w:rsidR="000D44A5" w:rsidRPr="00AF16D8" w:rsidRDefault="000D44A5" w:rsidP="00CE3A17">
            <w:pPr>
              <w:pStyle w:val="TableText"/>
              <w:jc w:val="center"/>
              <w:rPr>
                <w:b/>
                <w:highlight w:val="yellow"/>
              </w:rPr>
            </w:pPr>
            <w:r w:rsidRPr="00081E0D">
              <w:rPr>
                <w:b/>
              </w:rPr>
              <w:t>Outside DHB</w:t>
            </w:r>
            <w:r w:rsidRPr="00081E0D">
              <w:rPr>
                <w:b/>
                <w:vertAlign w:val="superscript"/>
              </w:rPr>
              <w:t>2</w:t>
            </w:r>
          </w:p>
        </w:tc>
        <w:tc>
          <w:tcPr>
            <w:tcW w:w="1104" w:type="dxa"/>
            <w:vMerge/>
            <w:tcBorders>
              <w:bottom w:val="single" w:sz="4" w:space="0" w:color="A6A6A6" w:themeColor="background1" w:themeShade="A6"/>
            </w:tcBorders>
          </w:tcPr>
          <w:p w:rsidR="000D44A5" w:rsidRPr="003008F1" w:rsidRDefault="000D44A5" w:rsidP="007B3A51">
            <w:pPr>
              <w:pStyle w:val="TableText"/>
              <w:jc w:val="center"/>
              <w:rPr>
                <w:b/>
              </w:rPr>
            </w:pPr>
          </w:p>
        </w:tc>
        <w:tc>
          <w:tcPr>
            <w:tcW w:w="1105" w:type="dxa"/>
            <w:vMerge/>
            <w:tcBorders>
              <w:bottom w:val="single" w:sz="4" w:space="0" w:color="A6A6A6" w:themeColor="background1" w:themeShade="A6"/>
            </w:tcBorders>
          </w:tcPr>
          <w:p w:rsidR="000D44A5" w:rsidRPr="003008F1" w:rsidRDefault="000D44A5" w:rsidP="007B3A51">
            <w:pPr>
              <w:pStyle w:val="TableText"/>
              <w:jc w:val="center"/>
              <w:rPr>
                <w:b/>
              </w:rPr>
            </w:pPr>
          </w:p>
        </w:tc>
      </w:tr>
      <w:tr w:rsidR="000D44A5" w:rsidRPr="00AF16D8" w:rsidTr="004C03D8">
        <w:trPr>
          <w:cantSplit/>
          <w:tblHeader/>
        </w:trPr>
        <w:tc>
          <w:tcPr>
            <w:tcW w:w="1784" w:type="dxa"/>
            <w:vMerge/>
            <w:tcBorders>
              <w:bottom w:val="single" w:sz="4" w:space="0" w:color="auto"/>
            </w:tcBorders>
          </w:tcPr>
          <w:p w:rsidR="000D44A5" w:rsidRPr="002D1E21" w:rsidRDefault="000D44A5" w:rsidP="007B3A51">
            <w:pPr>
              <w:pStyle w:val="TableText"/>
              <w:rPr>
                <w:b/>
              </w:rPr>
            </w:pPr>
          </w:p>
        </w:tc>
        <w:tc>
          <w:tcPr>
            <w:tcW w:w="826" w:type="dxa"/>
            <w:tcBorders>
              <w:top w:val="single" w:sz="4" w:space="0" w:color="A6A6A6" w:themeColor="background1" w:themeShade="A6"/>
              <w:bottom w:val="single" w:sz="4" w:space="0" w:color="auto"/>
            </w:tcBorders>
            <w:vAlign w:val="center"/>
          </w:tcPr>
          <w:p w:rsidR="000D44A5" w:rsidRPr="002D1E21" w:rsidRDefault="000D44A5" w:rsidP="00CE3A17">
            <w:pPr>
              <w:pStyle w:val="TableText"/>
              <w:jc w:val="center"/>
              <w:rPr>
                <w:b/>
              </w:rPr>
            </w:pPr>
            <w:r w:rsidRPr="002D1E21">
              <w:rPr>
                <w:b/>
              </w:rPr>
              <w:t>No.</w:t>
            </w:r>
          </w:p>
        </w:tc>
        <w:tc>
          <w:tcPr>
            <w:tcW w:w="826" w:type="dxa"/>
            <w:tcBorders>
              <w:top w:val="single" w:sz="4" w:space="0" w:color="A6A6A6" w:themeColor="background1" w:themeShade="A6"/>
              <w:bottom w:val="single" w:sz="4" w:space="0" w:color="auto"/>
            </w:tcBorders>
            <w:vAlign w:val="center"/>
          </w:tcPr>
          <w:p w:rsidR="000D44A5" w:rsidRPr="002D1E21" w:rsidRDefault="000D44A5" w:rsidP="00CE3A17">
            <w:pPr>
              <w:pStyle w:val="TableText"/>
              <w:jc w:val="center"/>
              <w:rPr>
                <w:b/>
              </w:rPr>
            </w:pPr>
            <w:r w:rsidRPr="002D1E21">
              <w:rPr>
                <w:b/>
              </w:rPr>
              <w:t>%</w:t>
            </w:r>
            <w:r w:rsidRPr="002D1E21">
              <w:rPr>
                <w:b/>
                <w:vertAlign w:val="superscript"/>
              </w:rPr>
              <w:t>3</w:t>
            </w:r>
          </w:p>
        </w:tc>
        <w:tc>
          <w:tcPr>
            <w:tcW w:w="927" w:type="dxa"/>
            <w:tcBorders>
              <w:top w:val="single" w:sz="4" w:space="0" w:color="A6A6A6" w:themeColor="background1" w:themeShade="A6"/>
              <w:bottom w:val="single" w:sz="4" w:space="0" w:color="auto"/>
            </w:tcBorders>
            <w:vAlign w:val="center"/>
          </w:tcPr>
          <w:p w:rsidR="000D44A5" w:rsidRPr="00C15688" w:rsidRDefault="000D44A5" w:rsidP="00CE3A17">
            <w:pPr>
              <w:pStyle w:val="TableText"/>
              <w:jc w:val="center"/>
              <w:rPr>
                <w:b/>
              </w:rPr>
            </w:pPr>
            <w:r w:rsidRPr="00C15688">
              <w:rPr>
                <w:b/>
              </w:rPr>
              <w:t>No.</w:t>
            </w:r>
          </w:p>
        </w:tc>
        <w:tc>
          <w:tcPr>
            <w:tcW w:w="928" w:type="dxa"/>
            <w:tcBorders>
              <w:top w:val="single" w:sz="4" w:space="0" w:color="A6A6A6" w:themeColor="background1" w:themeShade="A6"/>
              <w:bottom w:val="single" w:sz="4" w:space="0" w:color="auto"/>
            </w:tcBorders>
            <w:vAlign w:val="center"/>
          </w:tcPr>
          <w:p w:rsidR="000D44A5" w:rsidRPr="00C52BE5" w:rsidRDefault="000D44A5" w:rsidP="00CE3A17">
            <w:pPr>
              <w:pStyle w:val="TableText"/>
              <w:jc w:val="center"/>
              <w:rPr>
                <w:b/>
              </w:rPr>
            </w:pPr>
            <w:r w:rsidRPr="00C52BE5">
              <w:rPr>
                <w:b/>
              </w:rPr>
              <w:t>%</w:t>
            </w:r>
            <w:r w:rsidRPr="00C52BE5">
              <w:rPr>
                <w:b/>
                <w:vertAlign w:val="superscript"/>
              </w:rPr>
              <w:t>3</w:t>
            </w:r>
          </w:p>
        </w:tc>
        <w:tc>
          <w:tcPr>
            <w:tcW w:w="928" w:type="dxa"/>
            <w:tcBorders>
              <w:top w:val="single" w:sz="4" w:space="0" w:color="A6A6A6" w:themeColor="background1" w:themeShade="A6"/>
              <w:bottom w:val="single" w:sz="4" w:space="0" w:color="auto"/>
            </w:tcBorders>
            <w:vAlign w:val="center"/>
          </w:tcPr>
          <w:p w:rsidR="000D44A5" w:rsidRPr="00081E0D" w:rsidRDefault="000D44A5" w:rsidP="00CE3A17">
            <w:pPr>
              <w:pStyle w:val="TableText"/>
              <w:jc w:val="center"/>
              <w:rPr>
                <w:b/>
              </w:rPr>
            </w:pPr>
            <w:r w:rsidRPr="00081E0D">
              <w:rPr>
                <w:b/>
              </w:rPr>
              <w:t>No.</w:t>
            </w:r>
          </w:p>
        </w:tc>
        <w:tc>
          <w:tcPr>
            <w:tcW w:w="928" w:type="dxa"/>
            <w:tcBorders>
              <w:top w:val="single" w:sz="4" w:space="0" w:color="A6A6A6" w:themeColor="background1" w:themeShade="A6"/>
              <w:bottom w:val="single" w:sz="4" w:space="0" w:color="auto"/>
            </w:tcBorders>
            <w:vAlign w:val="center"/>
          </w:tcPr>
          <w:p w:rsidR="000D44A5" w:rsidRPr="00C06561" w:rsidRDefault="000D44A5" w:rsidP="00CE3A17">
            <w:pPr>
              <w:pStyle w:val="TableText"/>
              <w:jc w:val="center"/>
              <w:rPr>
                <w:b/>
              </w:rPr>
            </w:pPr>
            <w:r w:rsidRPr="00C06561">
              <w:rPr>
                <w:b/>
              </w:rPr>
              <w:t>%</w:t>
            </w:r>
            <w:r w:rsidRPr="00C06561">
              <w:rPr>
                <w:b/>
                <w:vertAlign w:val="superscript"/>
              </w:rPr>
              <w:t>3</w:t>
            </w:r>
          </w:p>
        </w:tc>
        <w:tc>
          <w:tcPr>
            <w:tcW w:w="1104" w:type="dxa"/>
            <w:tcBorders>
              <w:top w:val="single" w:sz="4" w:space="0" w:color="A6A6A6" w:themeColor="background1" w:themeShade="A6"/>
              <w:bottom w:val="single" w:sz="4" w:space="0" w:color="auto"/>
            </w:tcBorders>
            <w:vAlign w:val="center"/>
          </w:tcPr>
          <w:p w:rsidR="000D44A5" w:rsidRPr="003008F1" w:rsidRDefault="000D44A5" w:rsidP="00CE3A17">
            <w:pPr>
              <w:pStyle w:val="TableText"/>
              <w:jc w:val="center"/>
              <w:rPr>
                <w:b/>
              </w:rPr>
            </w:pPr>
            <w:r w:rsidRPr="003008F1">
              <w:rPr>
                <w:b/>
              </w:rPr>
              <w:t>No.</w:t>
            </w:r>
          </w:p>
        </w:tc>
        <w:tc>
          <w:tcPr>
            <w:tcW w:w="1105" w:type="dxa"/>
            <w:tcBorders>
              <w:top w:val="single" w:sz="4" w:space="0" w:color="A6A6A6" w:themeColor="background1" w:themeShade="A6"/>
              <w:bottom w:val="single" w:sz="4" w:space="0" w:color="auto"/>
            </w:tcBorders>
            <w:vAlign w:val="center"/>
          </w:tcPr>
          <w:p w:rsidR="000D44A5" w:rsidRPr="003008F1" w:rsidRDefault="000D44A5" w:rsidP="00CE3A17">
            <w:pPr>
              <w:pStyle w:val="TableText"/>
              <w:jc w:val="center"/>
              <w:rPr>
                <w:b/>
              </w:rPr>
            </w:pPr>
            <w:r w:rsidRPr="003008F1">
              <w:rPr>
                <w:b/>
              </w:rPr>
              <w:t>No.</w:t>
            </w:r>
          </w:p>
        </w:tc>
      </w:tr>
      <w:tr w:rsidR="000D44A5" w:rsidRPr="00AF16D8" w:rsidTr="004C03D8">
        <w:trPr>
          <w:cantSplit/>
        </w:trPr>
        <w:tc>
          <w:tcPr>
            <w:tcW w:w="1784" w:type="dxa"/>
            <w:tcBorders>
              <w:top w:val="single" w:sz="4" w:space="0" w:color="auto"/>
              <w:bottom w:val="single" w:sz="4" w:space="0" w:color="A6A6A6" w:themeColor="background1" w:themeShade="A6"/>
            </w:tcBorders>
          </w:tcPr>
          <w:p w:rsidR="000D44A5" w:rsidRPr="002D1E21" w:rsidRDefault="000D44A5" w:rsidP="007B3A51">
            <w:pPr>
              <w:pStyle w:val="TableText"/>
            </w:pPr>
            <w:r w:rsidRPr="002D1E21">
              <w:t>Northland</w:t>
            </w:r>
          </w:p>
        </w:tc>
        <w:tc>
          <w:tcPr>
            <w:tcW w:w="826" w:type="dxa"/>
            <w:tcBorders>
              <w:top w:val="single" w:sz="4" w:space="0" w:color="auto"/>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lang w:eastAsia="en-NZ"/>
              </w:rPr>
            </w:pPr>
            <w:r w:rsidRPr="002D1E21">
              <w:rPr>
                <w:rFonts w:cs="Arial"/>
                <w:color w:val="000000"/>
                <w:szCs w:val="18"/>
              </w:rPr>
              <w:t>187</w:t>
            </w:r>
          </w:p>
        </w:tc>
        <w:tc>
          <w:tcPr>
            <w:tcW w:w="826" w:type="dxa"/>
            <w:tcBorders>
              <w:top w:val="single" w:sz="4" w:space="0" w:color="auto"/>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8.8</w:t>
            </w:r>
          </w:p>
        </w:tc>
        <w:tc>
          <w:tcPr>
            <w:tcW w:w="927" w:type="dxa"/>
            <w:tcBorders>
              <w:top w:val="single" w:sz="4" w:space="0" w:color="auto"/>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1</w:t>
            </w:r>
            <w:r w:rsidR="004C03D8">
              <w:rPr>
                <w:rFonts w:cs="Arial"/>
                <w:color w:val="000000"/>
                <w:szCs w:val="18"/>
              </w:rPr>
              <w:t>,</w:t>
            </w:r>
            <w:r w:rsidRPr="00C15688">
              <w:rPr>
                <w:rFonts w:cs="Arial"/>
                <w:color w:val="000000"/>
                <w:szCs w:val="18"/>
              </w:rPr>
              <w:t>822</w:t>
            </w:r>
          </w:p>
        </w:tc>
        <w:tc>
          <w:tcPr>
            <w:tcW w:w="928" w:type="dxa"/>
            <w:tcBorders>
              <w:top w:val="single" w:sz="4" w:space="0" w:color="auto"/>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86.1</w:t>
            </w:r>
          </w:p>
        </w:tc>
        <w:tc>
          <w:tcPr>
            <w:tcW w:w="928" w:type="dxa"/>
            <w:tcBorders>
              <w:top w:val="single" w:sz="4" w:space="0" w:color="auto"/>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106</w:t>
            </w:r>
          </w:p>
        </w:tc>
        <w:tc>
          <w:tcPr>
            <w:tcW w:w="928" w:type="dxa"/>
            <w:tcBorders>
              <w:top w:val="single" w:sz="4" w:space="0" w:color="auto"/>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5.0</w:t>
            </w:r>
          </w:p>
        </w:tc>
        <w:tc>
          <w:tcPr>
            <w:tcW w:w="1104" w:type="dxa"/>
            <w:tcBorders>
              <w:top w:val="single" w:sz="4" w:space="0" w:color="auto"/>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19</w:t>
            </w:r>
          </w:p>
        </w:tc>
        <w:tc>
          <w:tcPr>
            <w:tcW w:w="1105" w:type="dxa"/>
            <w:tcBorders>
              <w:top w:val="single" w:sz="4" w:space="0" w:color="auto"/>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2</w:t>
            </w:r>
            <w:r w:rsidR="004C03D8">
              <w:rPr>
                <w:rFonts w:cs="Arial"/>
                <w:color w:val="000000"/>
                <w:szCs w:val="18"/>
              </w:rPr>
              <w:t>,</w:t>
            </w:r>
            <w:r w:rsidRPr="003008F1">
              <w:rPr>
                <w:rFonts w:cs="Arial"/>
                <w:color w:val="000000"/>
                <w:szCs w:val="18"/>
              </w:rPr>
              <w:t>134</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Waitemata</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230</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3.1</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6</w:t>
            </w:r>
            <w:r w:rsidR="004C03D8">
              <w:rPr>
                <w:rFonts w:cs="Arial"/>
                <w:color w:val="000000"/>
                <w:szCs w:val="18"/>
              </w:rPr>
              <w:t>,</w:t>
            </w:r>
            <w:r w:rsidRPr="00C15688">
              <w:rPr>
                <w:rFonts w:cs="Arial"/>
                <w:color w:val="000000"/>
                <w:szCs w:val="18"/>
              </w:rPr>
              <w:t>214</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82.7</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1</w:t>
            </w:r>
            <w:r w:rsidR="004C03D8">
              <w:rPr>
                <w:rFonts w:cs="Arial"/>
                <w:color w:val="000000"/>
                <w:szCs w:val="18"/>
              </w:rPr>
              <w:t>,</w:t>
            </w:r>
            <w:r>
              <w:rPr>
                <w:rFonts w:cs="Arial"/>
                <w:color w:val="000000"/>
                <w:szCs w:val="18"/>
              </w:rPr>
              <w:t>071</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14.3</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42</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7</w:t>
            </w:r>
            <w:r w:rsidR="004C03D8">
              <w:rPr>
                <w:rFonts w:cs="Arial"/>
                <w:color w:val="000000"/>
                <w:szCs w:val="18"/>
              </w:rPr>
              <w:t>,</w:t>
            </w:r>
            <w:r w:rsidRPr="003008F1">
              <w:rPr>
                <w:rFonts w:cs="Arial"/>
                <w:color w:val="000000"/>
                <w:szCs w:val="18"/>
              </w:rPr>
              <w:t>557</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Auckland</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122</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2.1</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4</w:t>
            </w:r>
            <w:r w:rsidR="004C03D8">
              <w:rPr>
                <w:rFonts w:cs="Arial"/>
                <w:color w:val="000000"/>
                <w:szCs w:val="18"/>
              </w:rPr>
              <w:t>,</w:t>
            </w:r>
            <w:r w:rsidRPr="00C15688">
              <w:rPr>
                <w:rFonts w:cs="Arial"/>
                <w:color w:val="000000"/>
                <w:szCs w:val="18"/>
              </w:rPr>
              <w:t>789</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81.7</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949</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16.2</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42</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5</w:t>
            </w:r>
            <w:r w:rsidR="004C03D8">
              <w:rPr>
                <w:rFonts w:cs="Arial"/>
                <w:color w:val="000000"/>
                <w:szCs w:val="18"/>
              </w:rPr>
              <w:t>,</w:t>
            </w:r>
            <w:r w:rsidRPr="003008F1">
              <w:rPr>
                <w:rFonts w:cs="Arial"/>
                <w:color w:val="000000"/>
                <w:szCs w:val="18"/>
              </w:rPr>
              <w:t>902</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Counties Manukau</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122</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1.5</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6</w:t>
            </w:r>
            <w:r w:rsidR="004C03D8">
              <w:rPr>
                <w:rFonts w:cs="Arial"/>
                <w:color w:val="000000"/>
                <w:szCs w:val="18"/>
              </w:rPr>
              <w:t>,</w:t>
            </w:r>
            <w:r w:rsidRPr="00C15688">
              <w:rPr>
                <w:rFonts w:cs="Arial"/>
                <w:color w:val="000000"/>
                <w:szCs w:val="18"/>
              </w:rPr>
              <w:t>690</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82.5</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1</w:t>
            </w:r>
            <w:r w:rsidR="004C03D8">
              <w:rPr>
                <w:rFonts w:cs="Arial"/>
                <w:color w:val="000000"/>
                <w:szCs w:val="18"/>
              </w:rPr>
              <w:t>,</w:t>
            </w:r>
            <w:r>
              <w:rPr>
                <w:rFonts w:cs="Arial"/>
                <w:color w:val="000000"/>
                <w:szCs w:val="18"/>
              </w:rPr>
              <w:t>299</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16.0</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95</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8</w:t>
            </w:r>
            <w:r w:rsidR="004C03D8">
              <w:rPr>
                <w:rFonts w:cs="Arial"/>
                <w:color w:val="000000"/>
                <w:szCs w:val="18"/>
              </w:rPr>
              <w:t>,</w:t>
            </w:r>
            <w:r w:rsidRPr="003008F1">
              <w:rPr>
                <w:rFonts w:cs="Arial"/>
                <w:color w:val="000000"/>
                <w:szCs w:val="18"/>
              </w:rPr>
              <w:t>206</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Waikato</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201</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3.9</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4</w:t>
            </w:r>
            <w:r w:rsidR="004C03D8">
              <w:rPr>
                <w:rFonts w:cs="Arial"/>
                <w:color w:val="000000"/>
                <w:szCs w:val="18"/>
              </w:rPr>
              <w:t>,</w:t>
            </w:r>
            <w:r w:rsidRPr="00C15688">
              <w:rPr>
                <w:rFonts w:cs="Arial"/>
                <w:color w:val="000000"/>
                <w:szCs w:val="18"/>
              </w:rPr>
              <w:t>842</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92.8</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172</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3.3</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71</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5</w:t>
            </w:r>
            <w:r w:rsidR="004C03D8">
              <w:rPr>
                <w:rFonts w:cs="Arial"/>
                <w:color w:val="000000"/>
                <w:szCs w:val="18"/>
              </w:rPr>
              <w:t>,</w:t>
            </w:r>
            <w:r w:rsidRPr="003008F1">
              <w:rPr>
                <w:rFonts w:cs="Arial"/>
                <w:color w:val="000000"/>
                <w:szCs w:val="18"/>
              </w:rPr>
              <w:t>286</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Lakes</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42</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2.8</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1</w:t>
            </w:r>
            <w:r w:rsidR="004C03D8">
              <w:rPr>
                <w:rFonts w:cs="Arial"/>
                <w:color w:val="000000"/>
                <w:szCs w:val="18"/>
              </w:rPr>
              <w:t>,</w:t>
            </w:r>
            <w:r w:rsidRPr="00C15688">
              <w:rPr>
                <w:rFonts w:cs="Arial"/>
                <w:color w:val="000000"/>
                <w:szCs w:val="18"/>
              </w:rPr>
              <w:t>363</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91.4</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86</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5.8</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16</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1</w:t>
            </w:r>
            <w:r w:rsidR="004C03D8">
              <w:rPr>
                <w:rFonts w:cs="Arial"/>
                <w:color w:val="000000"/>
                <w:szCs w:val="18"/>
              </w:rPr>
              <w:t>,</w:t>
            </w:r>
            <w:r w:rsidRPr="003008F1">
              <w:rPr>
                <w:rFonts w:cs="Arial"/>
                <w:color w:val="000000"/>
                <w:szCs w:val="18"/>
              </w:rPr>
              <w:t>507</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Bay of Plenty</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125</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4.5</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2</w:t>
            </w:r>
            <w:r w:rsidR="004C03D8">
              <w:rPr>
                <w:rFonts w:cs="Arial"/>
                <w:color w:val="000000"/>
                <w:szCs w:val="18"/>
              </w:rPr>
              <w:t>,</w:t>
            </w:r>
            <w:r w:rsidRPr="00C15688">
              <w:rPr>
                <w:rFonts w:cs="Arial"/>
                <w:color w:val="000000"/>
                <w:szCs w:val="18"/>
              </w:rPr>
              <w:t>519</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91.5</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110</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4.0</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36</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2</w:t>
            </w:r>
            <w:r w:rsidR="004C03D8">
              <w:rPr>
                <w:rFonts w:cs="Arial"/>
                <w:color w:val="000000"/>
                <w:szCs w:val="18"/>
              </w:rPr>
              <w:t>,</w:t>
            </w:r>
            <w:r w:rsidRPr="003008F1">
              <w:rPr>
                <w:rFonts w:cs="Arial"/>
                <w:color w:val="000000"/>
                <w:szCs w:val="18"/>
              </w:rPr>
              <w:t>790</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Tairāwhiti</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30</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4.1</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683</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93.2</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20</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Pr>
                <w:rFonts w:cs="Arial"/>
                <w:color w:val="000000"/>
                <w:szCs w:val="18"/>
              </w:rPr>
              <w:t>2.7</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9</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742</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Hawke</w:t>
            </w:r>
            <w:r w:rsidR="00CB6D20">
              <w:t>’</w:t>
            </w:r>
            <w:r w:rsidRPr="002D1E21">
              <w:t>s Bay</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84</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4.3</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1</w:t>
            </w:r>
            <w:r w:rsidR="004C03D8">
              <w:rPr>
                <w:rFonts w:cs="Arial"/>
                <w:color w:val="000000"/>
                <w:szCs w:val="18"/>
              </w:rPr>
              <w:t>,</w:t>
            </w:r>
            <w:r w:rsidRPr="00C15688">
              <w:rPr>
                <w:rFonts w:cs="Arial"/>
                <w:color w:val="000000"/>
                <w:szCs w:val="18"/>
              </w:rPr>
              <w:t>840</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93.8</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37</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1.9</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40</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2</w:t>
            </w:r>
            <w:r w:rsidR="004C03D8">
              <w:rPr>
                <w:rFonts w:cs="Arial"/>
                <w:color w:val="000000"/>
                <w:szCs w:val="18"/>
              </w:rPr>
              <w:t>,</w:t>
            </w:r>
            <w:r w:rsidRPr="003008F1">
              <w:rPr>
                <w:rFonts w:cs="Arial"/>
                <w:color w:val="000000"/>
                <w:szCs w:val="18"/>
              </w:rPr>
              <w:t>001</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Taranaki</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58</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3.9</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1</w:t>
            </w:r>
            <w:r w:rsidR="004C03D8">
              <w:rPr>
                <w:rFonts w:cs="Arial"/>
                <w:color w:val="000000"/>
                <w:szCs w:val="18"/>
              </w:rPr>
              <w:t>,</w:t>
            </w:r>
            <w:r w:rsidRPr="00C15688">
              <w:rPr>
                <w:rFonts w:cs="Arial"/>
                <w:color w:val="000000"/>
                <w:szCs w:val="18"/>
              </w:rPr>
              <w:t>412</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93.8</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36</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2.4</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8</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1</w:t>
            </w:r>
            <w:r w:rsidR="004C03D8">
              <w:rPr>
                <w:rFonts w:cs="Arial"/>
                <w:color w:val="000000"/>
                <w:szCs w:val="18"/>
              </w:rPr>
              <w:t>,</w:t>
            </w:r>
            <w:r w:rsidRPr="003008F1">
              <w:rPr>
                <w:rFonts w:cs="Arial"/>
                <w:color w:val="000000"/>
                <w:szCs w:val="18"/>
              </w:rPr>
              <w:t>514</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MidCentral</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81</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3.9</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1</w:t>
            </w:r>
            <w:r w:rsidR="004C03D8">
              <w:rPr>
                <w:rFonts w:cs="Arial"/>
                <w:color w:val="000000"/>
                <w:szCs w:val="18"/>
              </w:rPr>
              <w:t>,</w:t>
            </w:r>
            <w:r w:rsidRPr="00C15688">
              <w:rPr>
                <w:rFonts w:cs="Arial"/>
                <w:color w:val="000000"/>
                <w:szCs w:val="18"/>
              </w:rPr>
              <w:t>921</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91.7</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93</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4.4</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15</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2</w:t>
            </w:r>
            <w:r w:rsidR="004C03D8">
              <w:rPr>
                <w:rFonts w:cs="Arial"/>
                <w:color w:val="000000"/>
                <w:szCs w:val="18"/>
              </w:rPr>
              <w:t>,</w:t>
            </w:r>
            <w:r w:rsidRPr="003008F1">
              <w:rPr>
                <w:rFonts w:cs="Arial"/>
                <w:color w:val="000000"/>
                <w:szCs w:val="18"/>
              </w:rPr>
              <w:t>110</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Whanganui</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35</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4.3</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690</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84.9</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88</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10.8</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3</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816</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Capital &amp; Coast</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114</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3.2</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3</w:t>
            </w:r>
            <w:r w:rsidR="004C03D8">
              <w:rPr>
                <w:rFonts w:cs="Arial"/>
                <w:color w:val="000000"/>
                <w:szCs w:val="18"/>
              </w:rPr>
              <w:t>,</w:t>
            </w:r>
            <w:r w:rsidRPr="00C15688">
              <w:rPr>
                <w:rFonts w:cs="Arial"/>
                <w:color w:val="000000"/>
                <w:szCs w:val="18"/>
              </w:rPr>
              <w:t>314</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94.3</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85</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2.4</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20</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3</w:t>
            </w:r>
            <w:r w:rsidR="004C03D8">
              <w:rPr>
                <w:rFonts w:cs="Arial"/>
                <w:color w:val="000000"/>
                <w:szCs w:val="18"/>
              </w:rPr>
              <w:t>,</w:t>
            </w:r>
            <w:r w:rsidRPr="003008F1">
              <w:rPr>
                <w:rFonts w:cs="Arial"/>
                <w:color w:val="000000"/>
                <w:szCs w:val="18"/>
              </w:rPr>
              <w:t>533</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Hutt Valley</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60</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3.1</w:t>
            </w:r>
          </w:p>
        </w:tc>
        <w:tc>
          <w:tcPr>
            <w:tcW w:w="927" w:type="dxa"/>
            <w:tcBorders>
              <w:top w:val="single" w:sz="4" w:space="0" w:color="A6A6A6" w:themeColor="background1" w:themeShade="A6"/>
              <w:bottom w:val="single" w:sz="4" w:space="0" w:color="A6A6A6" w:themeColor="background1" w:themeShade="A6"/>
            </w:tcBorders>
          </w:tcPr>
          <w:p w:rsidR="000D44A5" w:rsidRPr="00C15688" w:rsidRDefault="000D44A5" w:rsidP="00CE3A17">
            <w:pPr>
              <w:pStyle w:val="TableText"/>
              <w:tabs>
                <w:tab w:val="decimal" w:pos="618"/>
              </w:tabs>
              <w:rPr>
                <w:rFonts w:cs="Arial"/>
                <w:color w:val="000000"/>
                <w:szCs w:val="18"/>
              </w:rPr>
            </w:pPr>
            <w:r w:rsidRPr="00C15688">
              <w:rPr>
                <w:rFonts w:cs="Arial"/>
                <w:color w:val="000000"/>
                <w:szCs w:val="18"/>
              </w:rPr>
              <w:t>1</w:t>
            </w:r>
            <w:r w:rsidR="004C03D8">
              <w:rPr>
                <w:rFonts w:cs="Arial"/>
                <w:color w:val="000000"/>
                <w:szCs w:val="18"/>
              </w:rPr>
              <w:t>,</w:t>
            </w:r>
            <w:r w:rsidRPr="00C15688">
              <w:rPr>
                <w:rFonts w:cs="Arial"/>
                <w:color w:val="000000"/>
                <w:szCs w:val="18"/>
              </w:rPr>
              <w:t>753</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89.4</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148</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7.5</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4</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1</w:t>
            </w:r>
            <w:r w:rsidR="004C03D8">
              <w:rPr>
                <w:rFonts w:cs="Arial"/>
                <w:color w:val="000000"/>
                <w:szCs w:val="18"/>
              </w:rPr>
              <w:t>,</w:t>
            </w:r>
            <w:r w:rsidRPr="003008F1">
              <w:rPr>
                <w:rFonts w:cs="Arial"/>
                <w:color w:val="000000"/>
                <w:szCs w:val="18"/>
              </w:rPr>
              <w:t>965</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Wairarapa</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25</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5.4</w:t>
            </w:r>
          </w:p>
        </w:tc>
        <w:tc>
          <w:tcPr>
            <w:tcW w:w="927" w:type="dxa"/>
            <w:tcBorders>
              <w:top w:val="single" w:sz="4" w:space="0" w:color="A6A6A6" w:themeColor="background1" w:themeShade="A6"/>
              <w:bottom w:val="single" w:sz="4" w:space="0" w:color="A6A6A6" w:themeColor="background1" w:themeShade="A6"/>
            </w:tcBorders>
          </w:tcPr>
          <w:p w:rsidR="000D44A5" w:rsidRPr="00C52BE5" w:rsidRDefault="000D44A5" w:rsidP="00CE3A17">
            <w:pPr>
              <w:pStyle w:val="TableText"/>
              <w:tabs>
                <w:tab w:val="decimal" w:pos="618"/>
              </w:tabs>
              <w:rPr>
                <w:rFonts w:cs="Arial"/>
                <w:color w:val="000000"/>
                <w:szCs w:val="18"/>
              </w:rPr>
            </w:pPr>
            <w:r w:rsidRPr="00C52BE5">
              <w:rPr>
                <w:rFonts w:cs="Arial"/>
                <w:color w:val="000000"/>
                <w:szCs w:val="18"/>
              </w:rPr>
              <w:t>398</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86.7</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36</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7.8</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3</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462</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Nelson Marlborough</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72</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5.1</w:t>
            </w:r>
          </w:p>
        </w:tc>
        <w:tc>
          <w:tcPr>
            <w:tcW w:w="927" w:type="dxa"/>
            <w:tcBorders>
              <w:top w:val="single" w:sz="4" w:space="0" w:color="A6A6A6" w:themeColor="background1" w:themeShade="A6"/>
              <w:bottom w:val="single" w:sz="4" w:space="0" w:color="A6A6A6" w:themeColor="background1" w:themeShade="A6"/>
            </w:tcBorders>
          </w:tcPr>
          <w:p w:rsidR="000D44A5" w:rsidRPr="00C52BE5" w:rsidRDefault="000D44A5" w:rsidP="00CE3A17">
            <w:pPr>
              <w:pStyle w:val="TableText"/>
              <w:tabs>
                <w:tab w:val="decimal" w:pos="618"/>
              </w:tabs>
              <w:rPr>
                <w:rFonts w:cs="Arial"/>
                <w:color w:val="000000"/>
                <w:szCs w:val="18"/>
              </w:rPr>
            </w:pPr>
            <w:r w:rsidRPr="00C52BE5">
              <w:rPr>
                <w:rFonts w:cs="Arial"/>
                <w:color w:val="000000"/>
                <w:szCs w:val="18"/>
              </w:rPr>
              <w:t>1</w:t>
            </w:r>
            <w:r w:rsidR="004C03D8">
              <w:rPr>
                <w:rFonts w:cs="Arial"/>
                <w:color w:val="000000"/>
                <w:szCs w:val="18"/>
              </w:rPr>
              <w:t>,</w:t>
            </w:r>
            <w:r w:rsidRPr="00C52BE5">
              <w:rPr>
                <w:rFonts w:cs="Arial"/>
                <w:color w:val="000000"/>
                <w:szCs w:val="18"/>
              </w:rPr>
              <w:t>304</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92.6</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32</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2.3</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9</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1</w:t>
            </w:r>
            <w:r w:rsidR="004C03D8">
              <w:rPr>
                <w:rFonts w:cs="Arial"/>
                <w:color w:val="000000"/>
                <w:szCs w:val="18"/>
              </w:rPr>
              <w:t>,</w:t>
            </w:r>
            <w:r w:rsidRPr="003008F1">
              <w:rPr>
                <w:rFonts w:cs="Arial"/>
                <w:color w:val="000000"/>
                <w:szCs w:val="18"/>
              </w:rPr>
              <w:t>417</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West Coast</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51</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14.2</w:t>
            </w:r>
          </w:p>
        </w:tc>
        <w:tc>
          <w:tcPr>
            <w:tcW w:w="927" w:type="dxa"/>
            <w:tcBorders>
              <w:top w:val="single" w:sz="4" w:space="0" w:color="A6A6A6" w:themeColor="background1" w:themeShade="A6"/>
              <w:bottom w:val="single" w:sz="4" w:space="0" w:color="A6A6A6" w:themeColor="background1" w:themeShade="A6"/>
            </w:tcBorders>
          </w:tcPr>
          <w:p w:rsidR="000D44A5" w:rsidRPr="00C52BE5" w:rsidRDefault="000D44A5" w:rsidP="00CE3A17">
            <w:pPr>
              <w:pStyle w:val="TableText"/>
              <w:tabs>
                <w:tab w:val="decimal" w:pos="618"/>
              </w:tabs>
              <w:rPr>
                <w:rFonts w:cs="Arial"/>
                <w:color w:val="000000"/>
                <w:szCs w:val="18"/>
              </w:rPr>
            </w:pPr>
            <w:r w:rsidRPr="00C52BE5">
              <w:rPr>
                <w:rFonts w:cs="Arial"/>
                <w:color w:val="000000"/>
                <w:szCs w:val="18"/>
              </w:rPr>
              <w:t>247</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69.0</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60</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16.8</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1</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359</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Canterbury</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241</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3.9</w:t>
            </w:r>
          </w:p>
        </w:tc>
        <w:tc>
          <w:tcPr>
            <w:tcW w:w="927" w:type="dxa"/>
            <w:tcBorders>
              <w:top w:val="single" w:sz="4" w:space="0" w:color="A6A6A6" w:themeColor="background1" w:themeShade="A6"/>
              <w:bottom w:val="single" w:sz="4" w:space="0" w:color="A6A6A6" w:themeColor="background1" w:themeShade="A6"/>
            </w:tcBorders>
          </w:tcPr>
          <w:p w:rsidR="000D44A5" w:rsidRPr="00C52BE5" w:rsidRDefault="000D44A5" w:rsidP="00CE3A17">
            <w:pPr>
              <w:pStyle w:val="TableText"/>
              <w:tabs>
                <w:tab w:val="decimal" w:pos="618"/>
              </w:tabs>
              <w:rPr>
                <w:rFonts w:cs="Arial"/>
                <w:color w:val="000000"/>
                <w:szCs w:val="18"/>
              </w:rPr>
            </w:pPr>
            <w:r w:rsidRPr="00C52BE5">
              <w:rPr>
                <w:rFonts w:cs="Arial"/>
                <w:color w:val="000000"/>
                <w:szCs w:val="18"/>
              </w:rPr>
              <w:t>5</w:t>
            </w:r>
            <w:r w:rsidR="004C03D8">
              <w:rPr>
                <w:rFonts w:cs="Arial"/>
                <w:color w:val="000000"/>
                <w:szCs w:val="18"/>
              </w:rPr>
              <w:t>,</w:t>
            </w:r>
            <w:r w:rsidRPr="00C52BE5">
              <w:rPr>
                <w:rFonts w:cs="Arial"/>
                <w:color w:val="000000"/>
                <w:szCs w:val="18"/>
              </w:rPr>
              <w:t>905</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95.5</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37</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0.6</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23</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6</w:t>
            </w:r>
            <w:r w:rsidR="004C03D8">
              <w:rPr>
                <w:rFonts w:cs="Arial"/>
                <w:color w:val="000000"/>
                <w:szCs w:val="18"/>
              </w:rPr>
              <w:t>,</w:t>
            </w:r>
            <w:r w:rsidRPr="003008F1">
              <w:rPr>
                <w:rFonts w:cs="Arial"/>
                <w:color w:val="000000"/>
                <w:szCs w:val="18"/>
              </w:rPr>
              <w:t>206</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t>South Canterbury</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23</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3.5</w:t>
            </w:r>
          </w:p>
        </w:tc>
        <w:tc>
          <w:tcPr>
            <w:tcW w:w="927" w:type="dxa"/>
            <w:tcBorders>
              <w:top w:val="single" w:sz="4" w:space="0" w:color="A6A6A6" w:themeColor="background1" w:themeShade="A6"/>
              <w:bottom w:val="single" w:sz="4" w:space="0" w:color="A6A6A6" w:themeColor="background1" w:themeShade="A6"/>
            </w:tcBorders>
          </w:tcPr>
          <w:p w:rsidR="000D44A5" w:rsidRPr="00C52BE5" w:rsidRDefault="000D44A5" w:rsidP="00CE3A17">
            <w:pPr>
              <w:pStyle w:val="TableText"/>
              <w:tabs>
                <w:tab w:val="decimal" w:pos="618"/>
              </w:tabs>
              <w:rPr>
                <w:rFonts w:cs="Arial"/>
                <w:color w:val="000000"/>
                <w:szCs w:val="18"/>
              </w:rPr>
            </w:pPr>
            <w:r w:rsidRPr="00C52BE5">
              <w:rPr>
                <w:rFonts w:cs="Arial"/>
                <w:color w:val="000000"/>
                <w:szCs w:val="18"/>
              </w:rPr>
              <w:t>590</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89.9</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43</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6.6</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3</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659</w:t>
            </w:r>
          </w:p>
        </w:tc>
      </w:tr>
      <w:tr w:rsidR="000D44A5" w:rsidRPr="00AF16D8" w:rsidTr="004C03D8">
        <w:trPr>
          <w:cantSplit/>
        </w:trPr>
        <w:tc>
          <w:tcPr>
            <w:tcW w:w="1784" w:type="dxa"/>
            <w:tcBorders>
              <w:top w:val="single" w:sz="4" w:space="0" w:color="A6A6A6" w:themeColor="background1" w:themeShade="A6"/>
              <w:bottom w:val="single" w:sz="4" w:space="0" w:color="A6A6A6" w:themeColor="background1" w:themeShade="A6"/>
            </w:tcBorders>
          </w:tcPr>
          <w:p w:rsidR="000D44A5" w:rsidRPr="002D1E21" w:rsidRDefault="000D44A5" w:rsidP="007B3A51">
            <w:pPr>
              <w:pStyle w:val="TableText"/>
            </w:pPr>
            <w:r w:rsidRPr="002D1E21">
              <w:lastRenderedPageBreak/>
              <w:t>Southern</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510"/>
              </w:tabs>
              <w:rPr>
                <w:rFonts w:cs="Arial"/>
                <w:color w:val="000000"/>
                <w:szCs w:val="18"/>
              </w:rPr>
            </w:pPr>
            <w:r w:rsidRPr="002D1E21">
              <w:rPr>
                <w:rFonts w:cs="Arial"/>
                <w:color w:val="000000"/>
                <w:szCs w:val="18"/>
              </w:rPr>
              <w:t>135</w:t>
            </w:r>
          </w:p>
        </w:tc>
        <w:tc>
          <w:tcPr>
            <w:tcW w:w="826" w:type="dxa"/>
            <w:tcBorders>
              <w:top w:val="single" w:sz="4" w:space="0" w:color="A6A6A6" w:themeColor="background1" w:themeShade="A6"/>
              <w:bottom w:val="single" w:sz="4" w:space="0" w:color="A6A6A6" w:themeColor="background1" w:themeShade="A6"/>
            </w:tcBorders>
          </w:tcPr>
          <w:p w:rsidR="000D44A5" w:rsidRPr="002D1E21" w:rsidRDefault="000D44A5" w:rsidP="00CE3A17">
            <w:pPr>
              <w:pStyle w:val="TableText"/>
              <w:tabs>
                <w:tab w:val="decimal" w:pos="370"/>
              </w:tabs>
              <w:rPr>
                <w:rFonts w:cs="Arial"/>
                <w:color w:val="000000"/>
                <w:szCs w:val="18"/>
              </w:rPr>
            </w:pPr>
            <w:r w:rsidRPr="002D1E21">
              <w:rPr>
                <w:rFonts w:cs="Arial"/>
                <w:color w:val="000000"/>
                <w:szCs w:val="18"/>
              </w:rPr>
              <w:t>4.0</w:t>
            </w:r>
          </w:p>
        </w:tc>
        <w:tc>
          <w:tcPr>
            <w:tcW w:w="927" w:type="dxa"/>
            <w:tcBorders>
              <w:top w:val="single" w:sz="4" w:space="0" w:color="A6A6A6" w:themeColor="background1" w:themeShade="A6"/>
              <w:bottom w:val="single" w:sz="4" w:space="0" w:color="A6A6A6" w:themeColor="background1" w:themeShade="A6"/>
            </w:tcBorders>
          </w:tcPr>
          <w:p w:rsidR="000D44A5" w:rsidRPr="00C52BE5" w:rsidRDefault="000D44A5" w:rsidP="00CE3A17">
            <w:pPr>
              <w:pStyle w:val="TableText"/>
              <w:tabs>
                <w:tab w:val="decimal" w:pos="618"/>
              </w:tabs>
              <w:rPr>
                <w:rFonts w:cs="Arial"/>
                <w:color w:val="000000"/>
                <w:szCs w:val="18"/>
              </w:rPr>
            </w:pPr>
            <w:r w:rsidRPr="00C52BE5">
              <w:rPr>
                <w:rFonts w:cs="Arial"/>
                <w:color w:val="000000"/>
                <w:szCs w:val="18"/>
              </w:rPr>
              <w:t>3</w:t>
            </w:r>
            <w:r w:rsidR="004C03D8">
              <w:rPr>
                <w:rFonts w:cs="Arial"/>
                <w:color w:val="000000"/>
                <w:szCs w:val="18"/>
              </w:rPr>
              <w:t>,</w:t>
            </w:r>
            <w:r w:rsidRPr="00C52BE5">
              <w:rPr>
                <w:rFonts w:cs="Arial"/>
                <w:color w:val="000000"/>
                <w:szCs w:val="18"/>
              </w:rPr>
              <w:t>233</w:t>
            </w:r>
          </w:p>
        </w:tc>
        <w:tc>
          <w:tcPr>
            <w:tcW w:w="928" w:type="dxa"/>
            <w:tcBorders>
              <w:top w:val="single" w:sz="4" w:space="0" w:color="A6A6A6" w:themeColor="background1" w:themeShade="A6"/>
              <w:bottom w:val="single" w:sz="4" w:space="0" w:color="A6A6A6" w:themeColor="background1" w:themeShade="A6"/>
            </w:tcBorders>
          </w:tcPr>
          <w:p w:rsidR="000D44A5" w:rsidRPr="00C52BE5" w:rsidRDefault="000D44A5" w:rsidP="004C03D8">
            <w:pPr>
              <w:pStyle w:val="TableText"/>
              <w:jc w:val="center"/>
              <w:rPr>
                <w:rFonts w:cs="Arial"/>
                <w:color w:val="000000"/>
                <w:szCs w:val="18"/>
              </w:rPr>
            </w:pPr>
            <w:r w:rsidRPr="00C52BE5">
              <w:rPr>
                <w:rFonts w:cs="Arial"/>
                <w:color w:val="000000"/>
                <w:szCs w:val="18"/>
              </w:rPr>
              <w:t>95.4</w:t>
            </w:r>
          </w:p>
        </w:tc>
        <w:tc>
          <w:tcPr>
            <w:tcW w:w="928" w:type="dxa"/>
            <w:tcBorders>
              <w:top w:val="single" w:sz="4" w:space="0" w:color="A6A6A6" w:themeColor="background1" w:themeShade="A6"/>
              <w:bottom w:val="single" w:sz="4" w:space="0" w:color="A6A6A6" w:themeColor="background1" w:themeShade="A6"/>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22</w:t>
            </w:r>
          </w:p>
        </w:tc>
        <w:tc>
          <w:tcPr>
            <w:tcW w:w="928" w:type="dxa"/>
            <w:tcBorders>
              <w:top w:val="single" w:sz="4" w:space="0" w:color="A6A6A6" w:themeColor="background1" w:themeShade="A6"/>
              <w:bottom w:val="single" w:sz="4" w:space="0" w:color="A6A6A6" w:themeColor="background1" w:themeShade="A6"/>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0.6</w:t>
            </w:r>
          </w:p>
        </w:tc>
        <w:tc>
          <w:tcPr>
            <w:tcW w:w="1104"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24</w:t>
            </w:r>
          </w:p>
        </w:tc>
        <w:tc>
          <w:tcPr>
            <w:tcW w:w="1105" w:type="dxa"/>
            <w:tcBorders>
              <w:top w:val="single" w:sz="4" w:space="0" w:color="A6A6A6" w:themeColor="background1" w:themeShade="A6"/>
              <w:bottom w:val="single" w:sz="4" w:space="0" w:color="A6A6A6" w:themeColor="background1" w:themeShade="A6"/>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3</w:t>
            </w:r>
            <w:r w:rsidR="004C03D8">
              <w:rPr>
                <w:rFonts w:cs="Arial"/>
                <w:color w:val="000000"/>
                <w:szCs w:val="18"/>
              </w:rPr>
              <w:t>,</w:t>
            </w:r>
            <w:r w:rsidRPr="003008F1">
              <w:rPr>
                <w:rFonts w:cs="Arial"/>
                <w:color w:val="000000"/>
                <w:szCs w:val="18"/>
              </w:rPr>
              <w:t>414</w:t>
            </w:r>
          </w:p>
        </w:tc>
      </w:tr>
      <w:tr w:rsidR="000D44A5" w:rsidRPr="00AF16D8" w:rsidTr="004C03D8">
        <w:trPr>
          <w:cantSplit/>
        </w:trPr>
        <w:tc>
          <w:tcPr>
            <w:tcW w:w="1784" w:type="dxa"/>
            <w:tcBorders>
              <w:top w:val="single" w:sz="4" w:space="0" w:color="A6A6A6" w:themeColor="background1" w:themeShade="A6"/>
              <w:bottom w:val="single" w:sz="4" w:space="0" w:color="auto"/>
            </w:tcBorders>
          </w:tcPr>
          <w:p w:rsidR="000D44A5" w:rsidRPr="00D86DE5" w:rsidRDefault="000D44A5" w:rsidP="007B3A51">
            <w:pPr>
              <w:pStyle w:val="TableText"/>
            </w:pPr>
            <w:r w:rsidRPr="00D86DE5">
              <w:t>Unknown</w:t>
            </w:r>
          </w:p>
        </w:tc>
        <w:tc>
          <w:tcPr>
            <w:tcW w:w="826" w:type="dxa"/>
            <w:tcBorders>
              <w:top w:val="single" w:sz="4" w:space="0" w:color="A6A6A6" w:themeColor="background1" w:themeShade="A6"/>
              <w:bottom w:val="single" w:sz="4" w:space="0" w:color="auto"/>
            </w:tcBorders>
          </w:tcPr>
          <w:p w:rsidR="000D44A5" w:rsidRPr="00D86DE5" w:rsidRDefault="000D44A5" w:rsidP="00CE3A17">
            <w:pPr>
              <w:pStyle w:val="TableText"/>
              <w:tabs>
                <w:tab w:val="decimal" w:pos="510"/>
              </w:tabs>
              <w:rPr>
                <w:rFonts w:cs="Arial"/>
                <w:color w:val="000000"/>
                <w:szCs w:val="18"/>
              </w:rPr>
            </w:pPr>
            <w:r w:rsidRPr="00D86DE5">
              <w:rPr>
                <w:rFonts w:cs="Arial"/>
                <w:color w:val="000000"/>
                <w:szCs w:val="18"/>
              </w:rPr>
              <w:t>113</w:t>
            </w:r>
          </w:p>
        </w:tc>
        <w:tc>
          <w:tcPr>
            <w:tcW w:w="826" w:type="dxa"/>
            <w:tcBorders>
              <w:top w:val="single" w:sz="4" w:space="0" w:color="A6A6A6" w:themeColor="background1" w:themeShade="A6"/>
              <w:bottom w:val="single" w:sz="4" w:space="0" w:color="auto"/>
            </w:tcBorders>
          </w:tcPr>
          <w:p w:rsidR="000D44A5" w:rsidRPr="00812942" w:rsidRDefault="000D44A5" w:rsidP="00CE3A17">
            <w:pPr>
              <w:pStyle w:val="TableText"/>
              <w:tabs>
                <w:tab w:val="decimal" w:pos="370"/>
              </w:tabs>
              <w:rPr>
                <w:rFonts w:cs="Arial"/>
                <w:color w:val="000000"/>
                <w:szCs w:val="18"/>
              </w:rPr>
            </w:pPr>
            <w:r w:rsidRPr="00812942">
              <w:rPr>
                <w:rFonts w:cs="Arial"/>
                <w:color w:val="000000"/>
                <w:szCs w:val="18"/>
              </w:rPr>
              <w:t>–</w:t>
            </w:r>
          </w:p>
        </w:tc>
        <w:tc>
          <w:tcPr>
            <w:tcW w:w="927" w:type="dxa"/>
            <w:tcBorders>
              <w:top w:val="single" w:sz="4" w:space="0" w:color="A6A6A6" w:themeColor="background1" w:themeShade="A6"/>
              <w:bottom w:val="single" w:sz="4" w:space="0" w:color="auto"/>
            </w:tcBorders>
          </w:tcPr>
          <w:p w:rsidR="000D44A5" w:rsidRPr="00C52BE5" w:rsidRDefault="000D44A5" w:rsidP="00CE3A17">
            <w:pPr>
              <w:pStyle w:val="TableText"/>
              <w:tabs>
                <w:tab w:val="decimal" w:pos="618"/>
              </w:tabs>
              <w:rPr>
                <w:rFonts w:cs="Arial"/>
                <w:color w:val="000000"/>
                <w:szCs w:val="18"/>
              </w:rPr>
            </w:pPr>
            <w:r w:rsidRPr="00C52BE5">
              <w:rPr>
                <w:rFonts w:cs="Arial"/>
                <w:color w:val="000000"/>
                <w:szCs w:val="18"/>
              </w:rPr>
              <w:t>0</w:t>
            </w:r>
          </w:p>
        </w:tc>
        <w:tc>
          <w:tcPr>
            <w:tcW w:w="928" w:type="dxa"/>
            <w:tcBorders>
              <w:top w:val="single" w:sz="4" w:space="0" w:color="A6A6A6" w:themeColor="background1" w:themeShade="A6"/>
              <w:bottom w:val="single" w:sz="4" w:space="0" w:color="auto"/>
            </w:tcBorders>
          </w:tcPr>
          <w:p w:rsidR="000D44A5" w:rsidRPr="00C52BE5" w:rsidRDefault="000D44A5" w:rsidP="004C03D8">
            <w:pPr>
              <w:pStyle w:val="TableText"/>
              <w:jc w:val="center"/>
              <w:rPr>
                <w:rFonts w:cs="Arial"/>
                <w:color w:val="000000"/>
                <w:szCs w:val="18"/>
              </w:rPr>
            </w:pPr>
            <w:r w:rsidRPr="00C52BE5">
              <w:rPr>
                <w:rFonts w:cs="Arial"/>
                <w:color w:val="000000"/>
                <w:szCs w:val="18"/>
              </w:rPr>
              <w:t>–</w:t>
            </w:r>
          </w:p>
        </w:tc>
        <w:tc>
          <w:tcPr>
            <w:tcW w:w="928" w:type="dxa"/>
            <w:tcBorders>
              <w:top w:val="single" w:sz="4" w:space="0" w:color="A6A6A6" w:themeColor="background1" w:themeShade="A6"/>
              <w:bottom w:val="single" w:sz="4" w:space="0" w:color="auto"/>
            </w:tcBorders>
          </w:tcPr>
          <w:p w:rsidR="000D44A5" w:rsidRPr="00081E0D" w:rsidRDefault="000D44A5" w:rsidP="004C03D8">
            <w:pPr>
              <w:pStyle w:val="TableText"/>
              <w:tabs>
                <w:tab w:val="decimal" w:pos="606"/>
              </w:tabs>
              <w:rPr>
                <w:rFonts w:cs="Arial"/>
                <w:color w:val="000000"/>
                <w:szCs w:val="18"/>
              </w:rPr>
            </w:pPr>
            <w:r>
              <w:rPr>
                <w:rFonts w:cs="Arial"/>
                <w:color w:val="000000"/>
                <w:szCs w:val="18"/>
              </w:rPr>
              <w:t>95</w:t>
            </w:r>
          </w:p>
        </w:tc>
        <w:tc>
          <w:tcPr>
            <w:tcW w:w="928" w:type="dxa"/>
            <w:tcBorders>
              <w:top w:val="single" w:sz="4" w:space="0" w:color="A6A6A6" w:themeColor="background1" w:themeShade="A6"/>
              <w:bottom w:val="single" w:sz="4" w:space="0" w:color="auto"/>
            </w:tcBorders>
          </w:tcPr>
          <w:p w:rsidR="000D44A5" w:rsidRPr="00C06561" w:rsidRDefault="000D44A5" w:rsidP="004C03D8">
            <w:pPr>
              <w:pStyle w:val="TableText"/>
              <w:tabs>
                <w:tab w:val="decimal" w:pos="475"/>
              </w:tabs>
              <w:rPr>
                <w:rFonts w:cs="Arial"/>
                <w:color w:val="000000"/>
                <w:szCs w:val="18"/>
              </w:rPr>
            </w:pPr>
            <w:r w:rsidRPr="00C06561">
              <w:rPr>
                <w:rFonts w:cs="Arial"/>
                <w:color w:val="000000"/>
                <w:szCs w:val="18"/>
              </w:rPr>
              <w:t>–</w:t>
            </w:r>
          </w:p>
        </w:tc>
        <w:tc>
          <w:tcPr>
            <w:tcW w:w="1104" w:type="dxa"/>
            <w:tcBorders>
              <w:top w:val="single" w:sz="4" w:space="0" w:color="A6A6A6" w:themeColor="background1" w:themeShade="A6"/>
              <w:bottom w:val="single" w:sz="4" w:space="0" w:color="auto"/>
            </w:tcBorders>
          </w:tcPr>
          <w:p w:rsidR="000D44A5" w:rsidRPr="003008F1" w:rsidRDefault="000D44A5" w:rsidP="004C03D8">
            <w:pPr>
              <w:pStyle w:val="TableText"/>
              <w:tabs>
                <w:tab w:val="decimal" w:pos="649"/>
              </w:tabs>
              <w:rPr>
                <w:rFonts w:cs="Arial"/>
                <w:color w:val="000000"/>
                <w:szCs w:val="18"/>
              </w:rPr>
            </w:pPr>
            <w:r w:rsidRPr="003008F1">
              <w:rPr>
                <w:rFonts w:cs="Arial"/>
                <w:color w:val="000000"/>
                <w:szCs w:val="18"/>
              </w:rPr>
              <w:t>169</w:t>
            </w:r>
          </w:p>
        </w:tc>
        <w:tc>
          <w:tcPr>
            <w:tcW w:w="1105" w:type="dxa"/>
            <w:tcBorders>
              <w:top w:val="single" w:sz="4" w:space="0" w:color="A6A6A6" w:themeColor="background1" w:themeShade="A6"/>
              <w:bottom w:val="single" w:sz="4" w:space="0" w:color="auto"/>
            </w:tcBorders>
          </w:tcPr>
          <w:p w:rsidR="000D44A5" w:rsidRPr="003008F1" w:rsidRDefault="000D44A5" w:rsidP="004C03D8">
            <w:pPr>
              <w:pStyle w:val="TableText"/>
              <w:tabs>
                <w:tab w:val="decimal" w:pos="764"/>
              </w:tabs>
              <w:rPr>
                <w:rFonts w:cs="Arial"/>
                <w:color w:val="000000"/>
                <w:szCs w:val="18"/>
              </w:rPr>
            </w:pPr>
            <w:r w:rsidRPr="003008F1">
              <w:rPr>
                <w:rFonts w:cs="Arial"/>
                <w:color w:val="000000"/>
                <w:szCs w:val="18"/>
              </w:rPr>
              <w:t>377</w:t>
            </w:r>
          </w:p>
        </w:tc>
      </w:tr>
      <w:tr w:rsidR="000D44A5" w:rsidRPr="00AF16D8" w:rsidTr="004C03D8">
        <w:trPr>
          <w:cantSplit/>
        </w:trPr>
        <w:tc>
          <w:tcPr>
            <w:tcW w:w="1784" w:type="dxa"/>
            <w:tcBorders>
              <w:top w:val="single" w:sz="4" w:space="0" w:color="auto"/>
              <w:bottom w:val="single" w:sz="4" w:space="0" w:color="auto"/>
            </w:tcBorders>
          </w:tcPr>
          <w:p w:rsidR="000D44A5" w:rsidRPr="00D86DE5" w:rsidRDefault="000D44A5" w:rsidP="007B3A51">
            <w:pPr>
              <w:pStyle w:val="TableText"/>
              <w:rPr>
                <w:b/>
              </w:rPr>
            </w:pPr>
            <w:r w:rsidRPr="00D86DE5">
              <w:rPr>
                <w:b/>
              </w:rPr>
              <w:t>Total</w:t>
            </w:r>
          </w:p>
        </w:tc>
        <w:tc>
          <w:tcPr>
            <w:tcW w:w="826" w:type="dxa"/>
            <w:tcBorders>
              <w:top w:val="single" w:sz="4" w:space="0" w:color="auto"/>
              <w:bottom w:val="single" w:sz="4" w:space="0" w:color="auto"/>
            </w:tcBorders>
          </w:tcPr>
          <w:p w:rsidR="000D44A5" w:rsidRPr="00D86DE5" w:rsidRDefault="000D44A5" w:rsidP="00CE3A17">
            <w:pPr>
              <w:pStyle w:val="TableText"/>
              <w:tabs>
                <w:tab w:val="decimal" w:pos="510"/>
              </w:tabs>
              <w:rPr>
                <w:rFonts w:cs="Arial"/>
                <w:b/>
                <w:color w:val="000000"/>
                <w:szCs w:val="18"/>
              </w:rPr>
            </w:pPr>
            <w:r w:rsidRPr="00D86DE5">
              <w:rPr>
                <w:rFonts w:cs="Arial"/>
                <w:b/>
                <w:color w:val="000000"/>
                <w:szCs w:val="18"/>
              </w:rPr>
              <w:t>2</w:t>
            </w:r>
            <w:r w:rsidR="004C03D8">
              <w:rPr>
                <w:rFonts w:cs="Arial"/>
                <w:b/>
                <w:color w:val="000000"/>
                <w:szCs w:val="18"/>
              </w:rPr>
              <w:t>,</w:t>
            </w:r>
            <w:r w:rsidRPr="00D86DE5">
              <w:rPr>
                <w:rFonts w:cs="Arial"/>
                <w:b/>
                <w:color w:val="000000"/>
                <w:szCs w:val="18"/>
              </w:rPr>
              <w:t>151</w:t>
            </w:r>
          </w:p>
        </w:tc>
        <w:tc>
          <w:tcPr>
            <w:tcW w:w="826" w:type="dxa"/>
            <w:tcBorders>
              <w:top w:val="single" w:sz="4" w:space="0" w:color="auto"/>
              <w:bottom w:val="single" w:sz="4" w:space="0" w:color="auto"/>
            </w:tcBorders>
          </w:tcPr>
          <w:p w:rsidR="000D44A5" w:rsidRPr="00812942" w:rsidRDefault="000D44A5" w:rsidP="00CE3A17">
            <w:pPr>
              <w:pStyle w:val="TableText"/>
              <w:tabs>
                <w:tab w:val="decimal" w:pos="370"/>
              </w:tabs>
              <w:rPr>
                <w:rFonts w:cs="Arial"/>
                <w:b/>
                <w:color w:val="000000"/>
                <w:szCs w:val="18"/>
              </w:rPr>
            </w:pPr>
            <w:r w:rsidRPr="00812942">
              <w:rPr>
                <w:rFonts w:cs="Arial"/>
                <w:b/>
                <w:color w:val="000000"/>
                <w:szCs w:val="18"/>
              </w:rPr>
              <w:t>3.7</w:t>
            </w:r>
          </w:p>
        </w:tc>
        <w:tc>
          <w:tcPr>
            <w:tcW w:w="927" w:type="dxa"/>
            <w:tcBorders>
              <w:top w:val="single" w:sz="4" w:space="0" w:color="auto"/>
              <w:bottom w:val="single" w:sz="4" w:space="0" w:color="auto"/>
            </w:tcBorders>
          </w:tcPr>
          <w:p w:rsidR="000D44A5" w:rsidRPr="00C52BE5" w:rsidRDefault="000D44A5" w:rsidP="00CE3A17">
            <w:pPr>
              <w:pStyle w:val="TableText"/>
              <w:tabs>
                <w:tab w:val="decimal" w:pos="618"/>
              </w:tabs>
              <w:rPr>
                <w:rFonts w:cs="Arial"/>
                <w:b/>
                <w:color w:val="000000"/>
                <w:szCs w:val="18"/>
              </w:rPr>
            </w:pPr>
            <w:r w:rsidRPr="00C52BE5">
              <w:rPr>
                <w:rFonts w:cs="Arial"/>
                <w:b/>
                <w:color w:val="000000"/>
                <w:szCs w:val="18"/>
              </w:rPr>
              <w:t>51,529</w:t>
            </w:r>
          </w:p>
        </w:tc>
        <w:tc>
          <w:tcPr>
            <w:tcW w:w="928" w:type="dxa"/>
            <w:tcBorders>
              <w:top w:val="single" w:sz="4" w:space="0" w:color="auto"/>
              <w:bottom w:val="single" w:sz="4" w:space="0" w:color="auto"/>
            </w:tcBorders>
          </w:tcPr>
          <w:p w:rsidR="000D44A5" w:rsidRPr="00C52BE5" w:rsidRDefault="000D44A5" w:rsidP="004C03D8">
            <w:pPr>
              <w:pStyle w:val="TableText"/>
              <w:jc w:val="center"/>
              <w:rPr>
                <w:rFonts w:cs="Arial"/>
                <w:b/>
                <w:color w:val="000000"/>
                <w:szCs w:val="18"/>
              </w:rPr>
            </w:pPr>
            <w:r w:rsidRPr="00C52BE5">
              <w:rPr>
                <w:rFonts w:cs="Arial"/>
                <w:b/>
                <w:color w:val="000000"/>
                <w:szCs w:val="18"/>
              </w:rPr>
              <w:t>88.4</w:t>
            </w:r>
          </w:p>
        </w:tc>
        <w:tc>
          <w:tcPr>
            <w:tcW w:w="928" w:type="dxa"/>
            <w:tcBorders>
              <w:top w:val="single" w:sz="4" w:space="0" w:color="auto"/>
              <w:bottom w:val="single" w:sz="4" w:space="0" w:color="auto"/>
            </w:tcBorders>
          </w:tcPr>
          <w:p w:rsidR="000D44A5" w:rsidRPr="00081E0D" w:rsidRDefault="000D44A5" w:rsidP="004C03D8">
            <w:pPr>
              <w:pStyle w:val="TableText"/>
              <w:tabs>
                <w:tab w:val="decimal" w:pos="606"/>
              </w:tabs>
              <w:rPr>
                <w:rFonts w:cs="Arial"/>
                <w:b/>
                <w:color w:val="000000"/>
                <w:szCs w:val="18"/>
              </w:rPr>
            </w:pPr>
            <w:r>
              <w:rPr>
                <w:rFonts w:cs="Arial"/>
                <w:b/>
                <w:color w:val="000000"/>
                <w:szCs w:val="18"/>
              </w:rPr>
              <w:t>4</w:t>
            </w:r>
            <w:r w:rsidR="004C03D8">
              <w:rPr>
                <w:rFonts w:cs="Arial"/>
                <w:b/>
                <w:color w:val="000000"/>
                <w:szCs w:val="18"/>
              </w:rPr>
              <w:t>,</w:t>
            </w:r>
            <w:r>
              <w:rPr>
                <w:rFonts w:cs="Arial"/>
                <w:b/>
                <w:color w:val="000000"/>
                <w:szCs w:val="18"/>
              </w:rPr>
              <w:t>625</w:t>
            </w:r>
          </w:p>
        </w:tc>
        <w:tc>
          <w:tcPr>
            <w:tcW w:w="928" w:type="dxa"/>
            <w:tcBorders>
              <w:top w:val="single" w:sz="4" w:space="0" w:color="auto"/>
              <w:bottom w:val="single" w:sz="4" w:space="0" w:color="auto"/>
            </w:tcBorders>
          </w:tcPr>
          <w:p w:rsidR="000D44A5" w:rsidRPr="00C06561" w:rsidRDefault="000D44A5" w:rsidP="004C03D8">
            <w:pPr>
              <w:pStyle w:val="TableText"/>
              <w:tabs>
                <w:tab w:val="decimal" w:pos="475"/>
              </w:tabs>
              <w:rPr>
                <w:rFonts w:cs="Arial"/>
                <w:b/>
                <w:color w:val="000000"/>
                <w:szCs w:val="18"/>
              </w:rPr>
            </w:pPr>
            <w:r w:rsidRPr="00C06561">
              <w:rPr>
                <w:rFonts w:cs="Arial"/>
                <w:b/>
                <w:color w:val="000000"/>
                <w:szCs w:val="18"/>
              </w:rPr>
              <w:t>7.9</w:t>
            </w:r>
          </w:p>
        </w:tc>
        <w:tc>
          <w:tcPr>
            <w:tcW w:w="1104" w:type="dxa"/>
            <w:tcBorders>
              <w:top w:val="single" w:sz="4" w:space="0" w:color="auto"/>
              <w:bottom w:val="single" w:sz="4" w:space="0" w:color="auto"/>
            </w:tcBorders>
          </w:tcPr>
          <w:p w:rsidR="000D44A5" w:rsidRPr="003008F1" w:rsidRDefault="000D44A5" w:rsidP="004C03D8">
            <w:pPr>
              <w:pStyle w:val="TableText"/>
              <w:tabs>
                <w:tab w:val="decimal" w:pos="649"/>
              </w:tabs>
              <w:rPr>
                <w:rFonts w:cs="Arial"/>
                <w:b/>
                <w:color w:val="000000"/>
                <w:szCs w:val="18"/>
              </w:rPr>
            </w:pPr>
            <w:r w:rsidRPr="003008F1">
              <w:rPr>
                <w:rFonts w:cs="Arial"/>
                <w:b/>
                <w:color w:val="000000"/>
                <w:szCs w:val="18"/>
              </w:rPr>
              <w:t>652</w:t>
            </w:r>
          </w:p>
        </w:tc>
        <w:tc>
          <w:tcPr>
            <w:tcW w:w="1105" w:type="dxa"/>
            <w:tcBorders>
              <w:top w:val="single" w:sz="4" w:space="0" w:color="auto"/>
              <w:bottom w:val="single" w:sz="4" w:space="0" w:color="auto"/>
            </w:tcBorders>
          </w:tcPr>
          <w:p w:rsidR="000D44A5" w:rsidRPr="003008F1" w:rsidRDefault="000D44A5" w:rsidP="004C03D8">
            <w:pPr>
              <w:pStyle w:val="TableText"/>
              <w:tabs>
                <w:tab w:val="decimal" w:pos="764"/>
              </w:tabs>
              <w:rPr>
                <w:rFonts w:cs="Arial"/>
                <w:b/>
                <w:color w:val="000000"/>
                <w:szCs w:val="18"/>
              </w:rPr>
            </w:pPr>
            <w:r w:rsidRPr="003008F1">
              <w:rPr>
                <w:rFonts w:cs="Arial"/>
                <w:b/>
                <w:color w:val="000000"/>
                <w:szCs w:val="18"/>
              </w:rPr>
              <w:t>58,957</w:t>
            </w:r>
          </w:p>
        </w:tc>
      </w:tr>
    </w:tbl>
    <w:p w:rsidR="000D44A5" w:rsidRPr="00D86DE5" w:rsidRDefault="000D44A5" w:rsidP="004C03D8">
      <w:pPr>
        <w:pStyle w:val="Note"/>
        <w:ind w:left="284" w:hanging="284"/>
      </w:pPr>
      <w:r w:rsidRPr="00D86DE5">
        <w:t>1</w:t>
      </w:r>
      <w:r w:rsidRPr="00D86DE5">
        <w:tab/>
        <w:t>Women giving birth at a facility located within the DHB of residence.</w:t>
      </w:r>
    </w:p>
    <w:p w:rsidR="000D44A5" w:rsidRPr="00D86DE5" w:rsidRDefault="000D44A5" w:rsidP="004C03D8">
      <w:pPr>
        <w:pStyle w:val="Note"/>
        <w:ind w:left="284" w:hanging="284"/>
      </w:pPr>
      <w:r w:rsidRPr="00D86DE5">
        <w:t>2</w:t>
      </w:r>
      <w:r w:rsidRPr="00D86DE5">
        <w:tab/>
        <w:t>Women giving birth at a facility located outside the DHB of residence.</w:t>
      </w:r>
    </w:p>
    <w:p w:rsidR="000D44A5" w:rsidRDefault="000D44A5" w:rsidP="004C03D8">
      <w:pPr>
        <w:pStyle w:val="Note"/>
        <w:ind w:left="284" w:hanging="284"/>
      </w:pPr>
      <w:r w:rsidRPr="00D86DE5">
        <w:t>3</w:t>
      </w:r>
      <w:r w:rsidRPr="00D86DE5">
        <w:tab/>
        <w:t>The denominator used for calculating the percentage excludes women with unknown place of birth (652 women).</w:t>
      </w:r>
    </w:p>
    <w:p w:rsidR="000D44A5" w:rsidRDefault="000D44A5" w:rsidP="004C03D8">
      <w:pPr>
        <w:pStyle w:val="Source"/>
      </w:pPr>
      <w:r>
        <w:t>Source: National Maternity Collection</w:t>
      </w:r>
    </w:p>
    <w:p w:rsidR="000D44A5" w:rsidRPr="003F30AE" w:rsidRDefault="000D44A5" w:rsidP="004C03D8">
      <w:pPr>
        <w:rPr>
          <w:highlight w:val="yellow"/>
        </w:rPr>
      </w:pPr>
    </w:p>
    <w:p w:rsidR="000D44A5" w:rsidRPr="00D86DE5" w:rsidRDefault="000D44A5" w:rsidP="004C03D8">
      <w:pPr>
        <w:pStyle w:val="Heading3"/>
      </w:pPr>
      <w:r w:rsidRPr="00D86DE5">
        <w:t>Maternity facilities</w:t>
      </w:r>
    </w:p>
    <w:p w:rsidR="000D44A5" w:rsidRPr="00D86DE5" w:rsidRDefault="000D44A5" w:rsidP="004C03D8">
      <w:pPr>
        <w:pStyle w:val="Box"/>
        <w:keepNext/>
      </w:pPr>
      <w:r w:rsidRPr="00D86DE5">
        <w:t>A maternity facility is a place that women attend, or are resident in, for the primary purpose of receiving maternity care, usually during labour and birth. It may be classed as primary, secondary or tertiary depending on the availability of specialist services (Ministry of Health 2012). This section describes women giving birth at a maternity facility.</w:t>
      </w:r>
    </w:p>
    <w:p w:rsidR="000D44A5" w:rsidRPr="00D86DE5" w:rsidRDefault="000D44A5" w:rsidP="004C03D8">
      <w:pPr>
        <w:pStyle w:val="Box"/>
        <w:keepLines/>
      </w:pPr>
      <w:r w:rsidRPr="00D86DE5">
        <w:rPr>
          <w:b/>
        </w:rPr>
        <w:t>Primary facility</w:t>
      </w:r>
      <w:r w:rsidRPr="00D86DE5">
        <w:t xml:space="preserve"> refers to a maternity unit that provides care for women expected to experience normal birth with care provision from midwives. It is usually community-based and specifically for women assessed as being at low risk of complications for labour and birth care. Access to specialist secondary maternity services and care will require transfer to a secondary/tertiary facility. Primary facilities do not provide epidural analgesia or operative birth services. Birthing units are considered to be primary facilities.</w:t>
      </w:r>
    </w:p>
    <w:p w:rsidR="000D44A5" w:rsidRPr="00D86DE5" w:rsidRDefault="000D44A5" w:rsidP="004C03D8">
      <w:pPr>
        <w:pStyle w:val="Box"/>
      </w:pPr>
      <w:r w:rsidRPr="00D86DE5">
        <w:rPr>
          <w:b/>
        </w:rPr>
        <w:t>Secondary facility</w:t>
      </w:r>
      <w:r w:rsidRPr="00D86DE5">
        <w:t xml:space="preserve"> refers to a hospital that can provide care for normal births, complicated pregnancies and births including operative births and caesarean sections plus specialist adjunct services including anaesthetics and paediatrics. As a minimum, secondary facilities include an obstetrician rostered on site during working hours and on call after hours, with access to support from an anaesthetist, paediatrician, radiological, laboratory and neonatal services.</w:t>
      </w:r>
    </w:p>
    <w:p w:rsidR="000D44A5" w:rsidRPr="00D86DE5" w:rsidRDefault="000D44A5" w:rsidP="004C03D8">
      <w:pPr>
        <w:pStyle w:val="Box"/>
      </w:pPr>
      <w:r w:rsidRPr="00D86DE5">
        <w:rPr>
          <w:b/>
        </w:rPr>
        <w:t>Tertiary facility</w:t>
      </w:r>
      <w:r w:rsidRPr="00D86DE5">
        <w:t xml:space="preserve"> refers to a hospital that can provide care for women with high-risk, complex pregnancies by specialised multidisciplinary teams. Tertiary maternity care includes an obstetric specialist or registrar immediately available on site 24 hours a day. Tertiary maternity care includes an on-site, level 3, neonatal service.</w:t>
      </w:r>
    </w:p>
    <w:p w:rsidR="000D44A5" w:rsidRPr="00D86DE5" w:rsidRDefault="000D44A5" w:rsidP="004C03D8">
      <w:pPr>
        <w:pStyle w:val="Box"/>
      </w:pPr>
      <w:r w:rsidRPr="00D86DE5">
        <w:t xml:space="preserve">See </w:t>
      </w:r>
      <w:r w:rsidR="00CB6D20">
        <w:t>‘</w:t>
      </w:r>
      <w:r w:rsidRPr="00D86DE5">
        <w:t>Appendix 5: Catchment areas</w:t>
      </w:r>
      <w:r w:rsidR="00CB6D20">
        <w:t>’</w:t>
      </w:r>
      <w:r w:rsidRPr="00D86DE5">
        <w:t xml:space="preserve"> for a list of available facilities by DHB region.</w:t>
      </w:r>
    </w:p>
    <w:p w:rsidR="000D44A5" w:rsidRPr="00D86DE5" w:rsidRDefault="000D44A5" w:rsidP="004C03D8"/>
    <w:p w:rsidR="000D44A5" w:rsidRPr="00D86DE5" w:rsidRDefault="000D44A5" w:rsidP="004C03D8">
      <w:r w:rsidRPr="00D86DE5">
        <w:t xml:space="preserve">Overall, women were more likely to give birth at a secondary or tertiary facility than at a primary facility in New Zealand in 2015. </w:t>
      </w:r>
      <w:r w:rsidRPr="00D86DE5">
        <w:fldChar w:fldCharType="begin"/>
      </w:r>
      <w:r w:rsidRPr="00D86DE5">
        <w:instrText xml:space="preserve"> REF _Ref428958765 \h  \* MERGEFORMAT </w:instrText>
      </w:r>
      <w:r w:rsidRPr="00D86DE5">
        <w:fldChar w:fldCharType="separate"/>
      </w:r>
      <w:r w:rsidR="00071E85" w:rsidRPr="00540134">
        <w:t xml:space="preserve">Figure </w:t>
      </w:r>
      <w:r w:rsidR="00071E85">
        <w:rPr>
          <w:noProof/>
        </w:rPr>
        <w:t>46</w:t>
      </w:r>
      <w:r w:rsidRPr="00D86DE5">
        <w:fldChar w:fldCharType="end"/>
      </w:r>
      <w:r w:rsidRPr="00D86DE5">
        <w:t xml:space="preserve"> presents the distribution of women giving birth at a maternity facility, by type of facility and demographic group.</w:t>
      </w:r>
    </w:p>
    <w:p w:rsidR="000D44A5" w:rsidRPr="00AF16D8" w:rsidRDefault="000D44A5" w:rsidP="004C03D8">
      <w:pPr>
        <w:rPr>
          <w:highlight w:val="yellow"/>
        </w:rPr>
      </w:pPr>
    </w:p>
    <w:p w:rsidR="000D44A5" w:rsidRPr="00AF16D8" w:rsidRDefault="000D44A5" w:rsidP="004C03D8">
      <w:pPr>
        <w:rPr>
          <w:highlight w:val="yellow"/>
        </w:rPr>
      </w:pPr>
      <w:r w:rsidRPr="00D86DE5">
        <w:t>Births in a primary facility were more common among younger wome</w:t>
      </w:r>
      <w:r>
        <w:t>n: 13.9</w:t>
      </w:r>
      <w:r w:rsidRPr="00D86DE5">
        <w:t>% of women aged 20–24 years gave birth at a primary facility compared with 4.</w:t>
      </w:r>
      <w:r>
        <w:t>4</w:t>
      </w:r>
      <w:r w:rsidRPr="00D86DE5">
        <w:t>% of women aged 40 years and over</w:t>
      </w:r>
      <w:r w:rsidRPr="003D21B7">
        <w:t>. The proportion of Māori women giving birth at a primary facility was double the pro</w:t>
      </w:r>
      <w:r>
        <w:t>portion of non-Māori women (16.0</w:t>
      </w:r>
      <w:r w:rsidRPr="003D21B7">
        <w:t xml:space="preserve">% </w:t>
      </w:r>
      <w:r>
        <w:t>of Māori women compared with 8.4</w:t>
      </w:r>
      <w:r w:rsidRPr="003D21B7">
        <w:t>% of non-Māori women). Use</w:t>
      </w:r>
      <w:r w:rsidRPr="00D86DE5">
        <w:t xml:space="preserve"> of primary facilities was less common among women in the least deprived neighbourhoods (7.6% of women in quintile 1 compared with 12.0% of women in quintile 5).</w:t>
      </w:r>
    </w:p>
    <w:p w:rsidR="000D44A5" w:rsidRPr="00AF16D8" w:rsidRDefault="000D44A5" w:rsidP="004C03D8">
      <w:pPr>
        <w:rPr>
          <w:highlight w:val="yellow"/>
        </w:rPr>
      </w:pPr>
    </w:p>
    <w:p w:rsidR="000D44A5" w:rsidRPr="00D86DE5" w:rsidRDefault="000D44A5" w:rsidP="004C03D8">
      <w:r w:rsidRPr="00D86DE5">
        <w:lastRenderedPageBreak/>
        <w:t>There was less variation in the percentage of women giving birth at a secondary facility across the standard demographic groups, ranging from 24.6% (among Pacific women) to 50.8% (among Māori women).</w:t>
      </w:r>
    </w:p>
    <w:p w:rsidR="000D44A5" w:rsidRPr="00AF16D8" w:rsidRDefault="000D44A5" w:rsidP="004C03D8">
      <w:pPr>
        <w:rPr>
          <w:highlight w:val="yellow"/>
        </w:rPr>
      </w:pPr>
    </w:p>
    <w:p w:rsidR="000D44A5" w:rsidRPr="00D86DE5" w:rsidRDefault="000D44A5" w:rsidP="004C03D8">
      <w:r w:rsidRPr="00D86DE5">
        <w:t>Tertiary maternity facilities were more commonly used by:</w:t>
      </w:r>
    </w:p>
    <w:p w:rsidR="000D44A5" w:rsidRPr="00D86DE5" w:rsidRDefault="000D44A5" w:rsidP="004C03D8">
      <w:pPr>
        <w:pStyle w:val="Bullet"/>
      </w:pPr>
      <w:r w:rsidRPr="00D86DE5">
        <w:t>older women (56.4% of women aged 40 years and over compared with 39.8% of women aged under 20 years)</w:t>
      </w:r>
    </w:p>
    <w:p w:rsidR="000D44A5" w:rsidRPr="00D86DE5" w:rsidRDefault="000D44A5" w:rsidP="004C03D8">
      <w:pPr>
        <w:pStyle w:val="Bullet"/>
      </w:pPr>
      <w:r w:rsidRPr="00D86DE5">
        <w:t>Pacific and Indian women (68.6% of Pacific women and 63.2% of Indian women compared with 33.2% of Māori women)</w:t>
      </w:r>
    </w:p>
    <w:p w:rsidR="000D44A5" w:rsidRPr="00540134" w:rsidRDefault="000D44A5" w:rsidP="004C03D8">
      <w:pPr>
        <w:pStyle w:val="Bullet"/>
      </w:pPr>
      <w:r w:rsidRPr="00540134">
        <w:t>women in the least deprived neighbourhoods (56.2% of women in quintile 1 compared with 47.7% of women in quintile 5).</w:t>
      </w:r>
    </w:p>
    <w:p w:rsidR="000D44A5" w:rsidRPr="00AF16D8" w:rsidRDefault="000D44A5" w:rsidP="004C03D8">
      <w:pPr>
        <w:rPr>
          <w:highlight w:val="yellow"/>
        </w:rPr>
      </w:pPr>
      <w:bookmarkStart w:id="501" w:name="_Ref401933036"/>
      <w:bookmarkStart w:id="502" w:name="_Toc405886970"/>
      <w:bookmarkStart w:id="503" w:name="_Toc412122460"/>
    </w:p>
    <w:p w:rsidR="000D44A5" w:rsidRPr="00540134" w:rsidRDefault="000D44A5" w:rsidP="004C03D8">
      <w:pPr>
        <w:pStyle w:val="Figure"/>
      </w:pPr>
      <w:bookmarkStart w:id="504" w:name="_Ref428958765"/>
      <w:bookmarkStart w:id="505" w:name="_Toc428799345"/>
      <w:bookmarkStart w:id="506" w:name="_Toc433389804"/>
      <w:bookmarkStart w:id="507" w:name="_Toc485114377"/>
      <w:bookmarkStart w:id="508" w:name="_Toc485542713"/>
      <w:bookmarkEnd w:id="501"/>
      <w:r w:rsidRPr="00540134">
        <w:t xml:space="preserve">Figure </w:t>
      </w:r>
      <w:r w:rsidR="00071E85">
        <w:fldChar w:fldCharType="begin"/>
      </w:r>
      <w:r w:rsidR="00071E85">
        <w:instrText xml:space="preserve"> SEQ Figure \* ARABIC </w:instrText>
      </w:r>
      <w:r w:rsidR="00071E85">
        <w:fldChar w:fldCharType="separate"/>
      </w:r>
      <w:r w:rsidR="00071E85">
        <w:rPr>
          <w:noProof/>
        </w:rPr>
        <w:t>46</w:t>
      </w:r>
      <w:r w:rsidR="00071E85">
        <w:rPr>
          <w:noProof/>
        </w:rPr>
        <w:fldChar w:fldCharType="end"/>
      </w:r>
      <w:bookmarkEnd w:id="504"/>
      <w:r w:rsidRPr="00540134">
        <w:rPr>
          <w:noProof/>
        </w:rPr>
        <w:t>:</w:t>
      </w:r>
      <w:r w:rsidRPr="00540134">
        <w:t xml:space="preserve"> Distribution of women giving birth at a maternity facility, by type of facility, age group, ethnic group and neighbourhood deprivation quintile, </w:t>
      </w:r>
      <w:bookmarkEnd w:id="502"/>
      <w:bookmarkEnd w:id="503"/>
      <w:bookmarkEnd w:id="505"/>
      <w:r w:rsidRPr="00540134">
        <w:t>201</w:t>
      </w:r>
      <w:bookmarkEnd w:id="506"/>
      <w:r w:rsidRPr="00540134">
        <w:t>5</w:t>
      </w:r>
      <w:bookmarkEnd w:id="507"/>
      <w:bookmarkEnd w:id="508"/>
    </w:p>
    <w:p w:rsidR="000D44A5" w:rsidRPr="00AF16D8" w:rsidRDefault="000D44A5" w:rsidP="000D44A5">
      <w:pPr>
        <w:rPr>
          <w:highlight w:val="yellow"/>
        </w:rPr>
      </w:pPr>
      <w:r w:rsidRPr="00A45718">
        <w:rPr>
          <w:noProof/>
          <w:lang w:eastAsia="en-NZ"/>
        </w:rPr>
        <w:drawing>
          <wp:inline distT="0" distB="0" distL="0" distR="0" wp14:anchorId="2888822C" wp14:editId="17F6A7DB">
            <wp:extent cx="5187141" cy="3782291"/>
            <wp:effectExtent l="0" t="0" r="0" b="8890"/>
            <wp:docPr id="11" name="Picture 11" title="Figure 46: Distribution of women giving birth at a maternity facility, by type of facilit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l="1864" r="1207"/>
                    <a:stretch/>
                  </pic:blipFill>
                  <pic:spPr bwMode="auto">
                    <a:xfrm>
                      <a:off x="0" y="0"/>
                      <a:ext cx="5197290" cy="3789691"/>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540134" w:rsidRDefault="000D44A5" w:rsidP="004C03D8">
      <w:pPr>
        <w:pStyle w:val="Note"/>
      </w:pPr>
      <w:r w:rsidRPr="00540134">
        <w:t>Note: The denominator used for calculating percentages is the number of women giving birth at a maternity facility for each demographic group.</w:t>
      </w:r>
    </w:p>
    <w:p w:rsidR="000D44A5" w:rsidRDefault="000D44A5" w:rsidP="004C03D8">
      <w:pPr>
        <w:pStyle w:val="Source"/>
      </w:pPr>
      <w:r>
        <w:t>Source: National Maternity Collection</w:t>
      </w:r>
    </w:p>
    <w:p w:rsidR="000D44A5" w:rsidRPr="00AF16D8" w:rsidRDefault="000D44A5" w:rsidP="004C03D8">
      <w:pPr>
        <w:rPr>
          <w:highlight w:val="yellow"/>
        </w:rPr>
      </w:pPr>
      <w:bookmarkStart w:id="509" w:name="_Ref402338937"/>
    </w:p>
    <w:p w:rsidR="000D44A5" w:rsidRPr="00540134" w:rsidRDefault="000D44A5" w:rsidP="004C03D8">
      <w:r w:rsidRPr="00540134">
        <w:t>The distribution of women giving birth at a maternity facility by type of facility used varied throughout the country (</w:t>
      </w:r>
      <w:r w:rsidRPr="00540134">
        <w:fldChar w:fldCharType="begin"/>
      </w:r>
      <w:r w:rsidRPr="00540134">
        <w:instrText xml:space="preserve"> REF _Ref428958788 \h  \* MERGEFORMAT </w:instrText>
      </w:r>
      <w:r w:rsidRPr="00540134">
        <w:fldChar w:fldCharType="separate"/>
      </w:r>
      <w:r w:rsidR="00071E85" w:rsidRPr="00540134">
        <w:t xml:space="preserve">Figure </w:t>
      </w:r>
      <w:r w:rsidR="00071E85">
        <w:rPr>
          <w:noProof/>
        </w:rPr>
        <w:t>47</w:t>
      </w:r>
      <w:r w:rsidRPr="00540134">
        <w:fldChar w:fldCharType="end"/>
      </w:r>
      <w:r w:rsidRPr="00540134">
        <w:t xml:space="preserve">). This variation primarily reflects the availability of maternity facilities in a DHB region: three DHB regions do not have any primary facilities (Hutt Valley, Wairarapa and South Canterbury DHBs) and six have a tertiary facility within the </w:t>
      </w:r>
      <w:r>
        <w:t xml:space="preserve">DHB </w:t>
      </w:r>
      <w:r w:rsidRPr="00540134">
        <w:t>region: Auckland, Counties Manukau, Waikato, Capital &amp; Coast, Canterbury and Southern.</w:t>
      </w:r>
    </w:p>
    <w:p w:rsidR="000D44A5" w:rsidRPr="00AF16D8" w:rsidRDefault="000D44A5" w:rsidP="004C03D8">
      <w:pPr>
        <w:rPr>
          <w:highlight w:val="yellow"/>
        </w:rPr>
      </w:pPr>
    </w:p>
    <w:p w:rsidR="000D44A5" w:rsidRPr="00AF16D8" w:rsidRDefault="000D44A5" w:rsidP="004C03D8">
      <w:pPr>
        <w:rPr>
          <w:highlight w:val="yellow"/>
        </w:rPr>
      </w:pPr>
      <w:r w:rsidRPr="00540134">
        <w:t>Among women giving birth at a maternity facility:</w:t>
      </w:r>
    </w:p>
    <w:p w:rsidR="000D44A5" w:rsidRPr="00F66BB5" w:rsidRDefault="000D44A5" w:rsidP="004C03D8">
      <w:pPr>
        <w:pStyle w:val="Bullet"/>
      </w:pPr>
      <w:r w:rsidRPr="00F66BB5">
        <w:t>In 2 of the 17 DHB regions with at least one primary facility, at least 20% of women gave birth at a primary facility: Waikato (28.9%) and Northland (21.6%).</w:t>
      </w:r>
    </w:p>
    <w:p w:rsidR="000D44A5" w:rsidRPr="00F264C8" w:rsidRDefault="000D44A5" w:rsidP="004C03D8">
      <w:pPr>
        <w:pStyle w:val="Bullet"/>
      </w:pPr>
      <w:r w:rsidRPr="00F264C8">
        <w:lastRenderedPageBreak/>
        <w:t>In 8 of the 15 DHB regions with at least one secondary facility, at least 90% of women gave birth at a secondary facility, the highest proportions being in Hawke</w:t>
      </w:r>
      <w:r w:rsidR="00CB6D20">
        <w:t>’</w:t>
      </w:r>
      <w:r w:rsidRPr="00F264C8">
        <w:t>s Bay (96.9%) and Wairarapa (94.9%).</w:t>
      </w:r>
    </w:p>
    <w:p w:rsidR="000D44A5" w:rsidRPr="00F264C8" w:rsidRDefault="000D44A5" w:rsidP="004C03D8">
      <w:pPr>
        <w:pStyle w:val="Bullet"/>
      </w:pPr>
      <w:r w:rsidRPr="00F264C8">
        <w:t>In 4 of the 6 DHB regions with a tertiary facility, over 80% of women gave birth at a tertiary facility: Capital &amp; Coast (88.8%), Counties Manukau (88.1%), Auckland (86.9%) and Canterbury (85.6%). Waikato</w:t>
      </w:r>
      <w:r>
        <w:t xml:space="preserve"> and Southern DHB regions had </w:t>
      </w:r>
      <w:r w:rsidRPr="00F264C8">
        <w:t>smaller proportion</w:t>
      </w:r>
      <w:r>
        <w:t>s</w:t>
      </w:r>
      <w:r w:rsidRPr="00F264C8">
        <w:t xml:space="preserve"> of women giving birth at a tertiary facility (69.6% and 50.9%, respectively).</w:t>
      </w:r>
    </w:p>
    <w:p w:rsidR="000D44A5" w:rsidRPr="00AF16D8" w:rsidRDefault="000D44A5" w:rsidP="004C03D8">
      <w:pPr>
        <w:rPr>
          <w:highlight w:val="yellow"/>
        </w:rPr>
      </w:pPr>
    </w:p>
    <w:p w:rsidR="000D44A5" w:rsidRPr="00540134" w:rsidRDefault="000D44A5" w:rsidP="004C03D8">
      <w:pPr>
        <w:pStyle w:val="Figure"/>
      </w:pPr>
      <w:bookmarkStart w:id="510" w:name="_Ref428958788"/>
      <w:bookmarkStart w:id="511" w:name="_Toc405886971"/>
      <w:bookmarkStart w:id="512" w:name="_Toc412122461"/>
      <w:bookmarkStart w:id="513" w:name="_Toc428799346"/>
      <w:bookmarkStart w:id="514" w:name="_Toc433389805"/>
      <w:bookmarkStart w:id="515" w:name="_Toc485114378"/>
      <w:bookmarkStart w:id="516" w:name="_Toc485542714"/>
      <w:bookmarkEnd w:id="509"/>
      <w:r w:rsidRPr="00540134">
        <w:t xml:space="preserve">Figure </w:t>
      </w:r>
      <w:r w:rsidR="00071E85">
        <w:fldChar w:fldCharType="begin"/>
      </w:r>
      <w:r w:rsidR="00071E85">
        <w:instrText xml:space="preserve"> SEQ Figure \* ARABIC </w:instrText>
      </w:r>
      <w:r w:rsidR="00071E85">
        <w:fldChar w:fldCharType="separate"/>
      </w:r>
      <w:r w:rsidR="00071E85">
        <w:rPr>
          <w:noProof/>
        </w:rPr>
        <w:t>47</w:t>
      </w:r>
      <w:r w:rsidR="00071E85">
        <w:rPr>
          <w:noProof/>
        </w:rPr>
        <w:fldChar w:fldCharType="end"/>
      </w:r>
      <w:bookmarkEnd w:id="510"/>
      <w:r w:rsidRPr="00540134">
        <w:rPr>
          <w:noProof/>
        </w:rPr>
        <w:t>:</w:t>
      </w:r>
      <w:r w:rsidRPr="00540134">
        <w:t xml:space="preserve"> Distribution of women giving birth at a maternity facility, by type of facility and DHB of residence, </w:t>
      </w:r>
      <w:bookmarkEnd w:id="511"/>
      <w:bookmarkEnd w:id="512"/>
      <w:bookmarkEnd w:id="513"/>
      <w:r w:rsidRPr="00540134">
        <w:t>201</w:t>
      </w:r>
      <w:bookmarkEnd w:id="514"/>
      <w:r w:rsidRPr="00540134">
        <w:t>5</w:t>
      </w:r>
      <w:bookmarkEnd w:id="515"/>
      <w:bookmarkEnd w:id="516"/>
    </w:p>
    <w:p w:rsidR="000D44A5" w:rsidRPr="00AF16D8" w:rsidRDefault="000D44A5" w:rsidP="000D44A5">
      <w:pPr>
        <w:rPr>
          <w:highlight w:val="yellow"/>
        </w:rPr>
      </w:pPr>
      <w:r w:rsidRPr="00740CD5">
        <w:rPr>
          <w:noProof/>
          <w:lang w:eastAsia="en-NZ"/>
        </w:rPr>
        <w:drawing>
          <wp:inline distT="0" distB="0" distL="0" distR="0" wp14:anchorId="26652D82" wp14:editId="128FA00F">
            <wp:extent cx="5029200" cy="3915295"/>
            <wp:effectExtent l="0" t="0" r="0" b="9525"/>
            <wp:docPr id="22" name="Picture 22" title="Figure 47: Distribution of women giving birth at a maternity facility, by type of facility and DHB of reside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extLst>
                        <a:ext uri="{28A0092B-C50C-407E-A947-70E740481C1C}">
                          <a14:useLocalDpi xmlns:a14="http://schemas.microsoft.com/office/drawing/2010/main" val="0"/>
                        </a:ext>
                      </a:extLst>
                    </a:blip>
                    <a:srcRect l="2418" b="1408"/>
                    <a:stretch/>
                  </pic:blipFill>
                  <pic:spPr bwMode="auto">
                    <a:xfrm>
                      <a:off x="0" y="0"/>
                      <a:ext cx="5043925" cy="3926759"/>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540134" w:rsidRDefault="000D44A5" w:rsidP="004C03D8">
      <w:pPr>
        <w:pStyle w:val="Note"/>
      </w:pPr>
      <w:r w:rsidRPr="00540134">
        <w:t>Note: The denominator used for calculating percentages is the number of women residing in each DHB region who gave birth at a maternity facility</w:t>
      </w:r>
      <w:r>
        <w:t>, including facilities outside their DHB region</w:t>
      </w:r>
      <w:r w:rsidRPr="00540134">
        <w:t>.</w:t>
      </w:r>
    </w:p>
    <w:p w:rsidR="000D44A5" w:rsidRDefault="000D44A5" w:rsidP="004C03D8">
      <w:pPr>
        <w:pStyle w:val="Source"/>
      </w:pPr>
      <w:r>
        <w:t>Source: National Maternity Collection</w:t>
      </w:r>
    </w:p>
    <w:p w:rsidR="000D44A5" w:rsidRPr="00AF16D8" w:rsidRDefault="000D44A5" w:rsidP="004C03D8">
      <w:pPr>
        <w:rPr>
          <w:highlight w:val="yellow"/>
        </w:rPr>
      </w:pPr>
    </w:p>
    <w:p w:rsidR="000D44A5" w:rsidRPr="00540134" w:rsidRDefault="000D44A5" w:rsidP="004C03D8">
      <w:pPr>
        <w:pStyle w:val="Heading3"/>
      </w:pPr>
      <w:r w:rsidRPr="00540134">
        <w:t>Home births</w:t>
      </w:r>
    </w:p>
    <w:p w:rsidR="000D44A5" w:rsidRPr="00540134" w:rsidRDefault="000D44A5" w:rsidP="004C03D8">
      <w:pPr>
        <w:pStyle w:val="Box"/>
      </w:pPr>
      <w:r w:rsidRPr="00540134">
        <w:rPr>
          <w:b/>
        </w:rPr>
        <w:t>Intended home birth</w:t>
      </w:r>
      <w:r w:rsidRPr="00540134">
        <w:t xml:space="preserve"> refers to a birth for which there is a documented plan to give birth at home and the management of the labour commences at home.</w:t>
      </w:r>
    </w:p>
    <w:p w:rsidR="000D44A5" w:rsidRPr="00540134" w:rsidRDefault="000D44A5" w:rsidP="004C03D8">
      <w:pPr>
        <w:pStyle w:val="Box"/>
      </w:pPr>
      <w:r w:rsidRPr="00540134">
        <w:rPr>
          <w:b/>
        </w:rPr>
        <w:t xml:space="preserve">Home birth </w:t>
      </w:r>
      <w:r w:rsidRPr="00540134">
        <w:t>refers to</w:t>
      </w:r>
      <w:r w:rsidRPr="00540134">
        <w:rPr>
          <w:b/>
        </w:rPr>
        <w:t xml:space="preserve"> </w:t>
      </w:r>
      <w:r w:rsidRPr="00540134">
        <w:t>a</w:t>
      </w:r>
      <w:r>
        <w:t>n intended home</w:t>
      </w:r>
      <w:r w:rsidRPr="00540134">
        <w:t xml:space="preserve"> birth that took place in a person</w:t>
      </w:r>
      <w:r w:rsidR="00CB6D20">
        <w:t>’</w:t>
      </w:r>
      <w:r w:rsidRPr="00540134">
        <w:t>s home and not in a maternity facility or birthing unit.</w:t>
      </w:r>
    </w:p>
    <w:p w:rsidR="000D44A5" w:rsidRPr="00AF16D8" w:rsidRDefault="000D44A5" w:rsidP="004C03D8">
      <w:pPr>
        <w:rPr>
          <w:highlight w:val="yellow"/>
        </w:rPr>
      </w:pPr>
    </w:p>
    <w:p w:rsidR="000D44A5" w:rsidRPr="009D2163" w:rsidRDefault="000D44A5" w:rsidP="004C03D8">
      <w:r w:rsidRPr="000C3EA6">
        <w:t>In 2015, 2</w:t>
      </w:r>
      <w:r w:rsidR="004C03D8">
        <w:t>,</w:t>
      </w:r>
      <w:r w:rsidRPr="000C3EA6">
        <w:t>416 women (4.1%) intended to give birth at home. Of these, 2</w:t>
      </w:r>
      <w:r w:rsidR="004C03D8">
        <w:t>,</w:t>
      </w:r>
      <w:r w:rsidRPr="000C3EA6">
        <w:t>151 women (3.7%) actually gave birth at home.</w:t>
      </w:r>
    </w:p>
    <w:p w:rsidR="000D44A5" w:rsidRPr="00AF16D8" w:rsidRDefault="000D44A5" w:rsidP="004C03D8">
      <w:pPr>
        <w:rPr>
          <w:highlight w:val="yellow"/>
        </w:rPr>
      </w:pPr>
    </w:p>
    <w:p w:rsidR="000D44A5" w:rsidRPr="009D2163" w:rsidRDefault="000D44A5" w:rsidP="004C03D8">
      <w:r w:rsidRPr="009D2163">
        <w:t xml:space="preserve">The proportion of home births varied across </w:t>
      </w:r>
      <w:r>
        <w:t xml:space="preserve">the </w:t>
      </w:r>
      <w:r w:rsidRPr="009D2163">
        <w:t>age groups, ethnic groups and neighbourhood deprivation quintile (</w:t>
      </w:r>
      <w:r w:rsidRPr="009D2163">
        <w:fldChar w:fldCharType="begin"/>
      </w:r>
      <w:r w:rsidRPr="009D2163">
        <w:instrText xml:space="preserve"> REF _Ref428958815 \h  \* MERGEFORMAT </w:instrText>
      </w:r>
      <w:r w:rsidRPr="009D2163">
        <w:fldChar w:fldCharType="separate"/>
      </w:r>
      <w:r w:rsidR="00071E85" w:rsidRPr="00EC7BA2">
        <w:t xml:space="preserve">Figure </w:t>
      </w:r>
      <w:r w:rsidR="00071E85">
        <w:rPr>
          <w:noProof/>
        </w:rPr>
        <w:t>48</w:t>
      </w:r>
      <w:r w:rsidRPr="009D2163">
        <w:fldChar w:fldCharType="end"/>
      </w:r>
      <w:r w:rsidRPr="009D2163">
        <w:t>).</w:t>
      </w:r>
    </w:p>
    <w:p w:rsidR="000D44A5" w:rsidRPr="009D2163" w:rsidRDefault="000D44A5" w:rsidP="004C03D8"/>
    <w:p w:rsidR="000D44A5" w:rsidRPr="00EC7BA2" w:rsidRDefault="000D44A5" w:rsidP="004C03D8">
      <w:r w:rsidRPr="00EC7BA2">
        <w:t>Home births were more common among:</w:t>
      </w:r>
    </w:p>
    <w:p w:rsidR="000D44A5" w:rsidRPr="00EC7BA2" w:rsidRDefault="000D44A5" w:rsidP="004C03D8">
      <w:pPr>
        <w:pStyle w:val="Bullet"/>
      </w:pPr>
      <w:r w:rsidRPr="00EC7BA2">
        <w:lastRenderedPageBreak/>
        <w:t>older women (</w:t>
      </w:r>
      <w:r>
        <w:t>around</w:t>
      </w:r>
      <w:r w:rsidRPr="00EC7BA2">
        <w:t xml:space="preserve"> 4% for all age groups 25 years and older)</w:t>
      </w:r>
    </w:p>
    <w:p w:rsidR="000D44A5" w:rsidRPr="00EC7BA2" w:rsidRDefault="000D44A5" w:rsidP="004C03D8">
      <w:pPr>
        <w:pStyle w:val="Bullet"/>
      </w:pPr>
      <w:r w:rsidRPr="00EC7BA2">
        <w:t>women in the Māori and European or Other ethnic groups (4.5% of Māori women and 4.4% of women in the European or Other ethnic group).</w:t>
      </w:r>
    </w:p>
    <w:p w:rsidR="000D44A5" w:rsidRPr="00AF16D8" w:rsidRDefault="000D44A5" w:rsidP="004C03D8">
      <w:pPr>
        <w:rPr>
          <w:highlight w:val="yellow"/>
        </w:rPr>
      </w:pPr>
    </w:p>
    <w:p w:rsidR="000D44A5" w:rsidRDefault="000D44A5" w:rsidP="004C03D8">
      <w:r w:rsidRPr="00EC7BA2">
        <w:t>The proportion of women who had a home birth was less varied across neighbourhood deprivation quintiles,</w:t>
      </w:r>
      <w:r>
        <w:t xml:space="preserve"> but was noticeably lower for women in the most deprived areas (2.9% for women in quintile 5).</w:t>
      </w:r>
    </w:p>
    <w:p w:rsidR="004C03D8" w:rsidRPr="00EC7BA2" w:rsidRDefault="004C03D8" w:rsidP="004C03D8"/>
    <w:p w:rsidR="000D44A5" w:rsidRPr="00EC7BA2" w:rsidRDefault="000D44A5" w:rsidP="004C03D8">
      <w:pPr>
        <w:pStyle w:val="Figure"/>
      </w:pPr>
      <w:bookmarkStart w:id="517" w:name="_Ref428958815"/>
      <w:bookmarkStart w:id="518" w:name="_Toc405886972"/>
      <w:bookmarkStart w:id="519" w:name="_Toc412122462"/>
      <w:bookmarkStart w:id="520" w:name="_Toc428799347"/>
      <w:bookmarkStart w:id="521" w:name="_Toc433389806"/>
      <w:bookmarkStart w:id="522" w:name="_Toc485114379"/>
      <w:bookmarkStart w:id="523" w:name="_Toc485542715"/>
      <w:r w:rsidRPr="00EC7BA2">
        <w:t xml:space="preserve">Figure </w:t>
      </w:r>
      <w:r w:rsidR="00071E85">
        <w:fldChar w:fldCharType="begin"/>
      </w:r>
      <w:r w:rsidR="00071E85">
        <w:instrText xml:space="preserve"> SEQ Figure \* ARABIC </w:instrText>
      </w:r>
      <w:r w:rsidR="00071E85">
        <w:fldChar w:fldCharType="separate"/>
      </w:r>
      <w:r w:rsidR="00071E85">
        <w:rPr>
          <w:noProof/>
        </w:rPr>
        <w:t>48</w:t>
      </w:r>
      <w:r w:rsidR="00071E85">
        <w:rPr>
          <w:noProof/>
        </w:rPr>
        <w:fldChar w:fldCharType="end"/>
      </w:r>
      <w:bookmarkEnd w:id="517"/>
      <w:r w:rsidRPr="00EC7BA2">
        <w:rPr>
          <w:noProof/>
        </w:rPr>
        <w:t>:</w:t>
      </w:r>
      <w:r w:rsidRPr="00EC7BA2">
        <w:t xml:space="preserve"> Percentage of women giving birth at home, by age group, ethnic group and neighbourhood deprivation quintile, </w:t>
      </w:r>
      <w:bookmarkEnd w:id="518"/>
      <w:bookmarkEnd w:id="519"/>
      <w:bookmarkEnd w:id="520"/>
      <w:r w:rsidRPr="00EC7BA2">
        <w:t>201</w:t>
      </w:r>
      <w:bookmarkEnd w:id="521"/>
      <w:r w:rsidRPr="00EC7BA2">
        <w:t>5</w:t>
      </w:r>
      <w:bookmarkEnd w:id="522"/>
      <w:bookmarkEnd w:id="523"/>
    </w:p>
    <w:p w:rsidR="000D44A5" w:rsidRPr="00AF16D8" w:rsidRDefault="000D44A5" w:rsidP="000D44A5">
      <w:pPr>
        <w:rPr>
          <w:highlight w:val="yellow"/>
        </w:rPr>
      </w:pPr>
      <w:r w:rsidRPr="000C3EA6">
        <w:rPr>
          <w:noProof/>
          <w:lang w:eastAsia="en-NZ"/>
        </w:rPr>
        <w:drawing>
          <wp:inline distT="0" distB="0" distL="0" distR="0" wp14:anchorId="444C15D5" wp14:editId="35EE750E">
            <wp:extent cx="4846320" cy="2959331"/>
            <wp:effectExtent l="0" t="0" r="0" b="0"/>
            <wp:docPr id="12" name="Picture 12" title="Figure 48: Percentage of women giving birth at home, by age group, ethnic group and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a:extLst>
                        <a:ext uri="{28A0092B-C50C-407E-A947-70E740481C1C}">
                          <a14:useLocalDpi xmlns:a14="http://schemas.microsoft.com/office/drawing/2010/main" val="0"/>
                        </a:ext>
                      </a:extLst>
                    </a:blip>
                    <a:srcRect l="1685" t="1603" b="3130"/>
                    <a:stretch/>
                  </pic:blipFill>
                  <pic:spPr bwMode="auto">
                    <a:xfrm>
                      <a:off x="0" y="0"/>
                      <a:ext cx="4868272" cy="2972736"/>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EC7BA2" w:rsidRDefault="000D44A5" w:rsidP="004C03D8">
      <w:pPr>
        <w:pStyle w:val="Note"/>
      </w:pPr>
      <w:r w:rsidRPr="00EC7BA2">
        <w:t>Note: The denominator used to calculate percentages is the number of women giving birth for that demographic group, excluding those without a place of birth recorded.</w:t>
      </w:r>
    </w:p>
    <w:p w:rsidR="000D44A5" w:rsidRDefault="000D44A5" w:rsidP="004C03D8">
      <w:pPr>
        <w:pStyle w:val="Source"/>
      </w:pPr>
      <w:r>
        <w:t>Source: National Maternity Collection</w:t>
      </w:r>
    </w:p>
    <w:p w:rsidR="000D44A5" w:rsidRPr="00AF16D8" w:rsidRDefault="000D44A5" w:rsidP="004C03D8">
      <w:pPr>
        <w:rPr>
          <w:highlight w:val="yellow"/>
        </w:rPr>
      </w:pPr>
    </w:p>
    <w:p w:rsidR="000D44A5" w:rsidRPr="000C3EA6" w:rsidRDefault="000D44A5" w:rsidP="004C03D8">
      <w:r w:rsidRPr="00EC7BA2">
        <w:t>The percentage of home births did not vary</w:t>
      </w:r>
      <w:r>
        <w:t xml:space="preserve"> significantly</w:t>
      </w:r>
      <w:r w:rsidRPr="00EC7BA2">
        <w:t xml:space="preserve"> between 2011 and 2015 for most DHB regions (</w:t>
      </w:r>
      <w:r w:rsidRPr="00EC7BA2">
        <w:fldChar w:fldCharType="begin"/>
      </w:r>
      <w:r w:rsidRPr="00EC7BA2">
        <w:instrText xml:space="preserve"> REF _Ref428958829 \h  \* MERGEFORMAT </w:instrText>
      </w:r>
      <w:r w:rsidRPr="00EC7BA2">
        <w:fldChar w:fldCharType="separate"/>
      </w:r>
      <w:r w:rsidR="00071E85" w:rsidRPr="000C3EA6">
        <w:t>Figure </w:t>
      </w:r>
      <w:r w:rsidR="00071E85">
        <w:t>49</w:t>
      </w:r>
      <w:r w:rsidRPr="00EC7BA2">
        <w:fldChar w:fldCharType="end"/>
      </w:r>
      <w:r w:rsidRPr="00EC7BA2">
        <w:t xml:space="preserve">). </w:t>
      </w:r>
      <w:r w:rsidRPr="0016116D">
        <w:t xml:space="preserve">The most notable changes over this time </w:t>
      </w:r>
      <w:bookmarkStart w:id="524" w:name="_Ref405302197"/>
      <w:bookmarkStart w:id="525" w:name="_Toc405886973"/>
      <w:bookmarkStart w:id="526" w:name="_Toc412122463"/>
      <w:r w:rsidRPr="0016116D">
        <w:t>w</w:t>
      </w:r>
      <w:r>
        <w:t>ere</w:t>
      </w:r>
      <w:r w:rsidRPr="0016116D">
        <w:t xml:space="preserve"> increase</w:t>
      </w:r>
      <w:r>
        <w:t>s</w:t>
      </w:r>
      <w:r w:rsidRPr="0016116D">
        <w:t xml:space="preserve"> in women giving birth at home in Hawke</w:t>
      </w:r>
      <w:r w:rsidR="00CB6D20">
        <w:t>’</w:t>
      </w:r>
      <w:r w:rsidRPr="0016116D">
        <w:t>s Bay (from 2.5% to 4.3%)</w:t>
      </w:r>
      <w:r>
        <w:t xml:space="preserve"> and Northland (from 6.6% to 8.8%) DHB regions.</w:t>
      </w:r>
    </w:p>
    <w:p w:rsidR="000D44A5" w:rsidRPr="000C3EA6" w:rsidRDefault="000D44A5" w:rsidP="004C03D8"/>
    <w:p w:rsidR="000D44A5" w:rsidRPr="000C3EA6" w:rsidRDefault="000D44A5" w:rsidP="004C03D8">
      <w:pPr>
        <w:pStyle w:val="Figure"/>
      </w:pPr>
      <w:bookmarkStart w:id="527" w:name="_Ref428958829"/>
      <w:bookmarkStart w:id="528" w:name="_Toc428799348"/>
      <w:bookmarkStart w:id="529" w:name="_Toc433389807"/>
      <w:bookmarkStart w:id="530" w:name="_Toc485114380"/>
      <w:bookmarkStart w:id="531" w:name="_Toc485542716"/>
      <w:bookmarkEnd w:id="524"/>
      <w:r w:rsidRPr="000C3EA6">
        <w:lastRenderedPageBreak/>
        <w:t>Figure </w:t>
      </w:r>
      <w:r w:rsidR="00071E85">
        <w:fldChar w:fldCharType="begin"/>
      </w:r>
      <w:r w:rsidR="00071E85">
        <w:instrText xml:space="preserve"> SEQ Figure \* ARABIC </w:instrText>
      </w:r>
      <w:r w:rsidR="00071E85">
        <w:fldChar w:fldCharType="separate"/>
      </w:r>
      <w:r w:rsidR="00071E85">
        <w:rPr>
          <w:noProof/>
        </w:rPr>
        <w:t>49</w:t>
      </w:r>
      <w:r w:rsidR="00071E85">
        <w:rPr>
          <w:noProof/>
        </w:rPr>
        <w:fldChar w:fldCharType="end"/>
      </w:r>
      <w:bookmarkEnd w:id="527"/>
      <w:r w:rsidRPr="000C3EA6">
        <w:rPr>
          <w:noProof/>
        </w:rPr>
        <w:t>:</w:t>
      </w:r>
      <w:r w:rsidRPr="000C3EA6">
        <w:t xml:space="preserve"> Percentage of women giving birth at home, by DHB of residence, 2011 and 201</w:t>
      </w:r>
      <w:bookmarkEnd w:id="525"/>
      <w:bookmarkEnd w:id="526"/>
      <w:bookmarkEnd w:id="528"/>
      <w:bookmarkEnd w:id="529"/>
      <w:r w:rsidRPr="000C3EA6">
        <w:t>5</w:t>
      </w:r>
      <w:bookmarkEnd w:id="530"/>
      <w:bookmarkEnd w:id="531"/>
    </w:p>
    <w:p w:rsidR="000D44A5" w:rsidRPr="00AF16D8" w:rsidRDefault="000D44A5" w:rsidP="000D44A5">
      <w:pPr>
        <w:rPr>
          <w:highlight w:val="yellow"/>
        </w:rPr>
      </w:pPr>
      <w:r w:rsidRPr="000C3EA6">
        <w:rPr>
          <w:noProof/>
          <w:lang w:eastAsia="en-NZ"/>
        </w:rPr>
        <w:drawing>
          <wp:inline distT="0" distB="0" distL="0" distR="0" wp14:anchorId="6334571A" wp14:editId="69FE5D81">
            <wp:extent cx="4905955" cy="3300477"/>
            <wp:effectExtent l="0" t="0" r="9525" b="0"/>
            <wp:docPr id="15" name="Picture 15" title="Figure 49: Percentage of women giving birth at home,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gYear_HomeBirth.jpg"/>
                    <pic:cNvPicPr/>
                  </pic:nvPicPr>
                  <pic:blipFill>
                    <a:blip r:embed="rId73">
                      <a:extLst>
                        <a:ext uri="{28A0092B-C50C-407E-A947-70E740481C1C}">
                          <a14:useLocalDpi xmlns:a14="http://schemas.microsoft.com/office/drawing/2010/main" val="0"/>
                        </a:ext>
                      </a:extLst>
                    </a:blip>
                    <a:stretch>
                      <a:fillRect/>
                    </a:stretch>
                  </pic:blipFill>
                  <pic:spPr>
                    <a:xfrm>
                      <a:off x="0" y="0"/>
                      <a:ext cx="4918055" cy="3308618"/>
                    </a:xfrm>
                    <a:prstGeom prst="rect">
                      <a:avLst/>
                    </a:prstGeom>
                  </pic:spPr>
                </pic:pic>
              </a:graphicData>
            </a:graphic>
          </wp:inline>
        </w:drawing>
      </w:r>
    </w:p>
    <w:p w:rsidR="000D44A5" w:rsidRPr="000C3EA6" w:rsidRDefault="000D44A5" w:rsidP="004C03D8">
      <w:pPr>
        <w:pStyle w:val="Note"/>
      </w:pPr>
      <w:r w:rsidRPr="000C3EA6">
        <w:t>Note: The denominator used to calculate percentages is the number of women giving birth residing in each DHB region, excluding those without a place of birth recorded.</w:t>
      </w:r>
    </w:p>
    <w:p w:rsidR="000D44A5" w:rsidRDefault="000D44A5" w:rsidP="004C03D8">
      <w:pPr>
        <w:pStyle w:val="Source"/>
      </w:pPr>
      <w:r>
        <w:t>Source: National Maternity Collection</w:t>
      </w:r>
    </w:p>
    <w:p w:rsidR="004C03D8" w:rsidRPr="004C03D8" w:rsidRDefault="004C03D8" w:rsidP="004C03D8"/>
    <w:p w:rsidR="000D44A5" w:rsidRPr="0016116D" w:rsidRDefault="000D44A5" w:rsidP="004C03D8">
      <w:pPr>
        <w:pStyle w:val="Heading1"/>
      </w:pPr>
      <w:bookmarkStart w:id="532" w:name="_Toc405887015"/>
      <w:bookmarkStart w:id="533" w:name="_Ref409532103"/>
      <w:bookmarkStart w:id="534" w:name="_Toc412122409"/>
      <w:bookmarkStart w:id="535" w:name="_Toc431462733"/>
      <w:bookmarkStart w:id="536" w:name="_Toc479583271"/>
      <w:bookmarkStart w:id="537" w:name="_Toc485542639"/>
      <w:r w:rsidRPr="0016116D">
        <w:lastRenderedPageBreak/>
        <w:t>Babies</w:t>
      </w:r>
      <w:bookmarkEnd w:id="532"/>
      <w:bookmarkEnd w:id="533"/>
      <w:bookmarkEnd w:id="534"/>
      <w:bookmarkEnd w:id="535"/>
      <w:bookmarkEnd w:id="536"/>
      <w:bookmarkEnd w:id="537"/>
    </w:p>
    <w:p w:rsidR="000D44A5" w:rsidRPr="007B4F8C" w:rsidRDefault="000D44A5" w:rsidP="007B4F8C">
      <w:r w:rsidRPr="004A6402">
        <w:t>This chapter describes the demographic profile of live-born babies in New Zealand, their birthweight and gestation, and the care provided in the postnatal period. It contains these sections: Sex, maternal age, ethnicity and deprivation; Birthweight; Gestation; Breastfeeding; and Care after birth.</w:t>
      </w:r>
    </w:p>
    <w:p w:rsidR="000D44A5" w:rsidRPr="00AF16D8" w:rsidRDefault="000D44A5" w:rsidP="007B4F8C">
      <w:pPr>
        <w:rPr>
          <w:highlight w:val="yellow"/>
        </w:rPr>
      </w:pPr>
    </w:p>
    <w:p w:rsidR="000D44A5" w:rsidRPr="00C21528" w:rsidRDefault="000D44A5" w:rsidP="007B4F8C">
      <w:r w:rsidRPr="00C21528">
        <w:t>There were 59,308 live-born babies recorded in the National Maternity Collection in 2015, a slight decrease from the 59,510 babies recorded in 2014.</w:t>
      </w:r>
    </w:p>
    <w:p w:rsidR="000D44A5" w:rsidRPr="00AF16D8" w:rsidRDefault="000D44A5" w:rsidP="007B4F8C">
      <w:pPr>
        <w:rPr>
          <w:highlight w:val="yellow"/>
        </w:rPr>
      </w:pPr>
    </w:p>
    <w:p w:rsidR="000D44A5" w:rsidRPr="00C21528" w:rsidRDefault="000D44A5" w:rsidP="007B4F8C">
      <w:pPr>
        <w:pStyle w:val="Heading2"/>
      </w:pPr>
      <w:bookmarkStart w:id="538" w:name="_Ref405542281"/>
      <w:bookmarkStart w:id="539" w:name="_Toc405887016"/>
      <w:bookmarkStart w:id="540" w:name="_Toc412122410"/>
      <w:bookmarkStart w:id="541" w:name="_Toc431462734"/>
      <w:bookmarkStart w:id="542" w:name="_Toc479583272"/>
      <w:bookmarkStart w:id="543" w:name="_Toc485542640"/>
      <w:r w:rsidRPr="00C21528">
        <w:t>Sex, maternal age, ethnicity and deprivation</w:t>
      </w:r>
      <w:bookmarkEnd w:id="538"/>
      <w:bookmarkEnd w:id="539"/>
      <w:bookmarkEnd w:id="540"/>
      <w:bookmarkEnd w:id="541"/>
      <w:bookmarkEnd w:id="542"/>
      <w:bookmarkEnd w:id="543"/>
    </w:p>
    <w:p w:rsidR="000D44A5" w:rsidRPr="00C21528" w:rsidRDefault="000D44A5" w:rsidP="007B4F8C">
      <w:r w:rsidRPr="00C21528">
        <w:t>There were more male babies (51.3%) than female babies (48.7%) born in 2015. Figure 49 presents the distribution of live-born babies in 2015.</w:t>
      </w:r>
    </w:p>
    <w:p w:rsidR="000D44A5" w:rsidRPr="00C21528" w:rsidRDefault="000D44A5" w:rsidP="007B4F8C"/>
    <w:p w:rsidR="000D44A5" w:rsidRPr="00C21528" w:rsidRDefault="000D44A5" w:rsidP="007B4F8C">
      <w:r w:rsidRPr="00C21528">
        <w:t>The vast majority of babies were born to women aged between 20 and 39 years (91.1%). Over one-quarter of babies in 2015 were Māori (2</w:t>
      </w:r>
      <w:r>
        <w:t>6.9</w:t>
      </w:r>
      <w:r w:rsidRPr="00C21528">
        <w:t>%). Non-Māori babies were predominantly in the European or Other ethnic group (47.</w:t>
      </w:r>
      <w:r>
        <w:t>0</w:t>
      </w:r>
      <w:r w:rsidRPr="00C21528">
        <w:t>%). Half of live-born babies were from the more deprived neighbourhoods (22.</w:t>
      </w:r>
      <w:r>
        <w:t>8</w:t>
      </w:r>
      <w:r w:rsidRPr="00C21528">
        <w:t>% in quintile 4 and 3</w:t>
      </w:r>
      <w:r>
        <w:t>0.0</w:t>
      </w:r>
      <w:r w:rsidRPr="00C21528">
        <w:t>% in quintile 5).</w:t>
      </w:r>
    </w:p>
    <w:p w:rsidR="000D44A5" w:rsidRPr="00AF16D8" w:rsidRDefault="000D44A5" w:rsidP="007B4F8C">
      <w:pPr>
        <w:rPr>
          <w:highlight w:val="yellow"/>
        </w:rPr>
      </w:pPr>
    </w:p>
    <w:p w:rsidR="000D44A5" w:rsidRPr="00C21528" w:rsidRDefault="000D44A5" w:rsidP="007B4F8C">
      <w:pPr>
        <w:pStyle w:val="Figure"/>
      </w:pPr>
      <w:bookmarkStart w:id="544" w:name="_Ref428958846"/>
      <w:bookmarkStart w:id="545" w:name="_Toc405886974"/>
      <w:bookmarkStart w:id="546" w:name="_Toc412122464"/>
      <w:bookmarkStart w:id="547" w:name="_Toc428799349"/>
      <w:bookmarkStart w:id="548" w:name="_Toc433389808"/>
      <w:bookmarkStart w:id="549" w:name="_Toc485114381"/>
      <w:bookmarkStart w:id="550" w:name="_Toc485542717"/>
      <w:r w:rsidRPr="00C21528">
        <w:t xml:space="preserve">Figure </w:t>
      </w:r>
      <w:r w:rsidR="00071E85">
        <w:fldChar w:fldCharType="begin"/>
      </w:r>
      <w:r w:rsidR="00071E85">
        <w:instrText xml:space="preserve"> SEQ Figure \* ARABIC </w:instrText>
      </w:r>
      <w:r w:rsidR="00071E85">
        <w:fldChar w:fldCharType="separate"/>
      </w:r>
      <w:r w:rsidR="00071E85">
        <w:rPr>
          <w:noProof/>
        </w:rPr>
        <w:t>50</w:t>
      </w:r>
      <w:r w:rsidR="00071E85">
        <w:rPr>
          <w:noProof/>
        </w:rPr>
        <w:fldChar w:fldCharType="end"/>
      </w:r>
      <w:bookmarkEnd w:id="544"/>
      <w:r w:rsidRPr="00C21528">
        <w:rPr>
          <w:noProof/>
        </w:rPr>
        <w:t>:</w:t>
      </w:r>
      <w:r w:rsidRPr="00C21528">
        <w:t xml:space="preserve"> Percentage of babies, by sex, maternal age group, baby ethnic group and baby neighbourhood deprivation quintile, </w:t>
      </w:r>
      <w:bookmarkEnd w:id="545"/>
      <w:bookmarkEnd w:id="546"/>
      <w:r w:rsidRPr="00C21528">
        <w:t>201</w:t>
      </w:r>
      <w:bookmarkEnd w:id="547"/>
      <w:bookmarkEnd w:id="548"/>
      <w:r w:rsidRPr="00C21528">
        <w:t>5</w:t>
      </w:r>
      <w:bookmarkEnd w:id="549"/>
      <w:bookmarkEnd w:id="550"/>
    </w:p>
    <w:p w:rsidR="000D44A5" w:rsidRPr="00AF16D8" w:rsidRDefault="000D44A5" w:rsidP="000D44A5">
      <w:pPr>
        <w:rPr>
          <w:highlight w:val="yellow"/>
        </w:rPr>
      </w:pPr>
      <w:r>
        <w:rPr>
          <w:noProof/>
          <w:lang w:eastAsia="en-NZ"/>
        </w:rPr>
        <w:drawing>
          <wp:inline distT="0" distB="0" distL="0" distR="0" wp14:anchorId="5E560EA1" wp14:editId="267C1E7E">
            <wp:extent cx="4885261" cy="3574472"/>
            <wp:effectExtent l="0" t="0" r="0" b="6985"/>
            <wp:docPr id="7" name="Picture 7" title="Figure 50: Percentage of babies, by sex, maternal age group, baby ethnic group and baby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360" b="1134"/>
                    <a:stretch/>
                  </pic:blipFill>
                  <pic:spPr bwMode="auto">
                    <a:xfrm>
                      <a:off x="0" y="0"/>
                      <a:ext cx="4898818" cy="3584392"/>
                    </a:xfrm>
                    <a:prstGeom prst="rect">
                      <a:avLst/>
                    </a:prstGeom>
                    <a:ln>
                      <a:noFill/>
                    </a:ln>
                    <a:extLst>
                      <a:ext uri="{53640926-AAD7-44D8-BBD7-CCE9431645EC}">
                        <a14:shadowObscured xmlns:a14="http://schemas.microsoft.com/office/drawing/2010/main"/>
                      </a:ext>
                    </a:extLst>
                  </pic:spPr>
                </pic:pic>
              </a:graphicData>
            </a:graphic>
          </wp:inline>
        </w:drawing>
      </w:r>
    </w:p>
    <w:p w:rsidR="00CB6D20" w:rsidRDefault="000D44A5" w:rsidP="007B4F8C">
      <w:pPr>
        <w:pStyle w:val="Note"/>
      </w:pPr>
      <w:r w:rsidRPr="00C21528">
        <w:t>Note</w:t>
      </w:r>
      <w:r>
        <w:t>s</w:t>
      </w:r>
      <w:r w:rsidRPr="00C21528">
        <w:t>:</w:t>
      </w:r>
    </w:p>
    <w:p w:rsidR="00CB6D20" w:rsidRDefault="000D44A5" w:rsidP="007B4F8C">
      <w:pPr>
        <w:pStyle w:val="Note"/>
      </w:pPr>
      <w:r w:rsidRPr="00C21528">
        <w:t>The denominator used for calculating percentages is the total number of babies where the information for that variable was available.</w:t>
      </w:r>
    </w:p>
    <w:p w:rsidR="000D44A5" w:rsidRPr="00C21528" w:rsidRDefault="000D44A5" w:rsidP="007B4F8C">
      <w:pPr>
        <w:pStyle w:val="Note"/>
      </w:pPr>
      <w:r>
        <w:t>The number on each bar is the number of babies in that group.</w:t>
      </w:r>
    </w:p>
    <w:p w:rsidR="000D44A5" w:rsidRDefault="000D44A5" w:rsidP="007B4F8C">
      <w:pPr>
        <w:pStyle w:val="Source"/>
      </w:pPr>
      <w:r>
        <w:t>Source: National Maternity Collection</w:t>
      </w:r>
    </w:p>
    <w:p w:rsidR="007B4F8C" w:rsidRPr="007B4F8C" w:rsidRDefault="007B4F8C" w:rsidP="007B4F8C"/>
    <w:p w:rsidR="000D44A5" w:rsidRPr="00C21528" w:rsidRDefault="000D44A5" w:rsidP="007B4F8C">
      <w:pPr>
        <w:pStyle w:val="Heading2"/>
      </w:pPr>
      <w:bookmarkStart w:id="551" w:name="_Ref405542282"/>
      <w:bookmarkStart w:id="552" w:name="_Toc405887017"/>
      <w:bookmarkStart w:id="553" w:name="_Toc412122411"/>
      <w:bookmarkStart w:id="554" w:name="_Toc431462735"/>
      <w:bookmarkStart w:id="555" w:name="_Toc479583273"/>
      <w:bookmarkStart w:id="556" w:name="_Toc485542641"/>
      <w:r w:rsidRPr="00C21528">
        <w:lastRenderedPageBreak/>
        <w:t>Birthweight</w:t>
      </w:r>
      <w:bookmarkEnd w:id="551"/>
      <w:bookmarkEnd w:id="552"/>
      <w:bookmarkEnd w:id="553"/>
      <w:bookmarkEnd w:id="554"/>
      <w:bookmarkEnd w:id="555"/>
      <w:bookmarkEnd w:id="556"/>
    </w:p>
    <w:p w:rsidR="000D44A5" w:rsidRPr="00C21528" w:rsidRDefault="000D44A5" w:rsidP="007B4F8C">
      <w:pPr>
        <w:pStyle w:val="Box"/>
      </w:pPr>
      <w:r w:rsidRPr="00C21528">
        <w:t>Birthweight is the first weight of the fetus or baby obtained after birth, preferably measured within the first hour of life before significant postnatal weight loss has occurred (WHO 1975).</w:t>
      </w:r>
    </w:p>
    <w:p w:rsidR="000D44A5" w:rsidRPr="00C21528" w:rsidRDefault="000D44A5" w:rsidP="007B4F8C">
      <w:pPr>
        <w:pStyle w:val="Box"/>
      </w:pPr>
      <w:r w:rsidRPr="00C21528">
        <w:rPr>
          <w:b/>
        </w:rPr>
        <w:t xml:space="preserve">Low birthweight </w:t>
      </w:r>
      <w:r w:rsidRPr="00C21528">
        <w:t>refers to a birthweight of less than 2.5</w:t>
      </w:r>
      <w:r w:rsidR="007B4F8C">
        <w:t> </w:t>
      </w:r>
      <w:r w:rsidRPr="00C21528">
        <w:t>kg (at any gestation).</w:t>
      </w:r>
    </w:p>
    <w:p w:rsidR="000D44A5" w:rsidRPr="00C21528" w:rsidRDefault="000D44A5" w:rsidP="007B4F8C">
      <w:pPr>
        <w:pStyle w:val="Box"/>
      </w:pPr>
      <w:r w:rsidRPr="00C21528">
        <w:t>Prematurity, multiple pregnancy and restricted fetal (intra-uterine) growth are possible contributors to a baby</w:t>
      </w:r>
      <w:r w:rsidR="00CB6D20">
        <w:t>’</w:t>
      </w:r>
      <w:r w:rsidRPr="00C21528">
        <w:t>s low weight at birth. Low birthweight is associated with increased risk of fetal and neonatal mortality and morbidity, as well as inhibited growth and cognitive development (WHO and UNICEF 2004).</w:t>
      </w:r>
    </w:p>
    <w:p w:rsidR="000D44A5" w:rsidRPr="00C21528" w:rsidRDefault="000D44A5" w:rsidP="007B4F8C">
      <w:pPr>
        <w:pStyle w:val="Box"/>
      </w:pPr>
      <w:r w:rsidRPr="00C21528">
        <w:rPr>
          <w:b/>
        </w:rPr>
        <w:t xml:space="preserve">Normal birthweight </w:t>
      </w:r>
      <w:r w:rsidRPr="00C21528">
        <w:t>refers to a birthweight between 2.5</w:t>
      </w:r>
      <w:r w:rsidR="007B4F8C">
        <w:t> </w:t>
      </w:r>
      <w:r w:rsidRPr="00C21528">
        <w:t>kg and 4.4</w:t>
      </w:r>
      <w:r w:rsidR="007B4F8C">
        <w:t> </w:t>
      </w:r>
      <w:r w:rsidRPr="00C21528">
        <w:t>kg.</w:t>
      </w:r>
    </w:p>
    <w:p w:rsidR="000D44A5" w:rsidRPr="00C21528" w:rsidRDefault="000D44A5" w:rsidP="007B4F8C">
      <w:pPr>
        <w:pStyle w:val="Box"/>
      </w:pPr>
      <w:r w:rsidRPr="00C21528">
        <w:rPr>
          <w:b/>
        </w:rPr>
        <w:t>High birthweight</w:t>
      </w:r>
      <w:r w:rsidRPr="00C21528">
        <w:t xml:space="preserve"> refers to a birthweight of 4.5</w:t>
      </w:r>
      <w:r w:rsidR="007B4F8C">
        <w:t> </w:t>
      </w:r>
      <w:r w:rsidRPr="00C21528">
        <w:t>kg or more.</w:t>
      </w:r>
    </w:p>
    <w:p w:rsidR="000D44A5" w:rsidRPr="00AF16D8" w:rsidRDefault="000D44A5" w:rsidP="007B4F8C">
      <w:pPr>
        <w:rPr>
          <w:highlight w:val="yellow"/>
        </w:rPr>
      </w:pPr>
    </w:p>
    <w:p w:rsidR="000D44A5" w:rsidRPr="00AF16D8" w:rsidRDefault="000D44A5" w:rsidP="007B4F8C">
      <w:pPr>
        <w:rPr>
          <w:highlight w:val="yellow"/>
        </w:rPr>
      </w:pPr>
      <w:r w:rsidRPr="00C21528">
        <w:t>In 2015, the majority of live-born babies (91.8%) were within the normal weight range at birth (2.5–4.4 kg). A further 5.9% of babies were born with a low birthweight (&lt;2.5 kg) and 2.2% were born with a high birthweight (≥4.5 kg).</w:t>
      </w:r>
      <w:r w:rsidRPr="007B4F8C">
        <w:rPr>
          <w:rStyle w:val="FootnoteReference"/>
        </w:rPr>
        <w:footnoteReference w:id="14"/>
      </w:r>
      <w:r w:rsidRPr="00C21528">
        <w:t xml:space="preserve"> The average birthweight of babies born in 2015 was similar to previous years, at 3.41 kg. Male babies, on average, were heavier than female babies (3.46 kg and 3.36 kg, respectively).</w:t>
      </w:r>
    </w:p>
    <w:p w:rsidR="000D44A5" w:rsidRPr="00AF16D8" w:rsidRDefault="000D44A5" w:rsidP="007B4F8C">
      <w:pPr>
        <w:rPr>
          <w:highlight w:val="yellow"/>
        </w:rPr>
      </w:pPr>
    </w:p>
    <w:p w:rsidR="000D44A5" w:rsidRPr="006455BB" w:rsidRDefault="000D44A5" w:rsidP="007B4F8C">
      <w:r w:rsidRPr="006455BB">
        <w:t>Average birthweight varied slightly by maternal age, the baby</w:t>
      </w:r>
      <w:r w:rsidR="00CB6D20">
        <w:t>’</w:t>
      </w:r>
      <w:r w:rsidRPr="006455BB">
        <w:t>s ethnicity and neighbourhood deprivation (</w:t>
      </w:r>
      <w:r w:rsidRPr="006455BB">
        <w:fldChar w:fldCharType="begin"/>
      </w:r>
      <w:r w:rsidRPr="006455BB">
        <w:instrText xml:space="preserve"> REF _Ref429050806 \h  \* MERGEFORMAT </w:instrText>
      </w:r>
      <w:r w:rsidRPr="006455BB">
        <w:fldChar w:fldCharType="separate"/>
      </w:r>
      <w:r w:rsidR="00071E85" w:rsidRPr="00077CD5">
        <w:t xml:space="preserve">Figure </w:t>
      </w:r>
      <w:r w:rsidR="00071E85">
        <w:rPr>
          <w:noProof/>
        </w:rPr>
        <w:t>51</w:t>
      </w:r>
      <w:r w:rsidRPr="006455BB">
        <w:fldChar w:fldCharType="end"/>
      </w:r>
      <w:r w:rsidRPr="006455BB">
        <w:t>).</w:t>
      </w:r>
    </w:p>
    <w:p w:rsidR="000D44A5" w:rsidRPr="00AF16D8" w:rsidRDefault="000D44A5" w:rsidP="007B4F8C">
      <w:pPr>
        <w:rPr>
          <w:highlight w:val="yellow"/>
        </w:rPr>
      </w:pPr>
    </w:p>
    <w:p w:rsidR="000D44A5" w:rsidRPr="00077CD5" w:rsidRDefault="000D44A5" w:rsidP="007B4F8C">
      <w:r w:rsidRPr="00077CD5">
        <w:t>Babies of women aged under 20 years and aged 40 years and over had a slightly lower average birthweight (3.34 kg for babies of both age groups) compared with babies of women aged 20–39 years (average birthweight ranged from 3.41 kg to 3.43 kg).</w:t>
      </w:r>
    </w:p>
    <w:p w:rsidR="000D44A5" w:rsidRPr="00AF16D8" w:rsidRDefault="000D44A5" w:rsidP="007B4F8C">
      <w:pPr>
        <w:rPr>
          <w:highlight w:val="yellow"/>
        </w:rPr>
      </w:pPr>
    </w:p>
    <w:p w:rsidR="000D44A5" w:rsidRPr="00077CD5" w:rsidRDefault="000D44A5" w:rsidP="007B4F8C">
      <w:r w:rsidRPr="00077CD5">
        <w:t>Across the ethnic groups, Indian babies had the lowest average birthweight (3.13 kg), and Pacific babies the highest (3.51 kg). The average birthweight of babies for each ethnic group remained fairly constant between 2006 and 2015.</w:t>
      </w:r>
    </w:p>
    <w:p w:rsidR="000D44A5" w:rsidRPr="00AF16D8" w:rsidRDefault="000D44A5" w:rsidP="007B4F8C">
      <w:pPr>
        <w:rPr>
          <w:highlight w:val="yellow"/>
        </w:rPr>
      </w:pPr>
    </w:p>
    <w:p w:rsidR="000D44A5" w:rsidRPr="00077CD5" w:rsidRDefault="000D44A5" w:rsidP="007B4F8C">
      <w:r w:rsidRPr="00077CD5">
        <w:t>Babies in the least deprived neighbourhoods had a higher birthweight on average compared to those in the most deprived neighbourhoods (3.43 kg for babies in quintile 1 compared with 3.40 kg for babies in quintile 5).</w:t>
      </w:r>
    </w:p>
    <w:p w:rsidR="000D44A5" w:rsidRPr="00AF16D8" w:rsidRDefault="000D44A5" w:rsidP="007B4F8C">
      <w:pPr>
        <w:rPr>
          <w:highlight w:val="yellow"/>
        </w:rPr>
      </w:pPr>
    </w:p>
    <w:p w:rsidR="000D44A5" w:rsidRPr="00077CD5" w:rsidRDefault="000D44A5" w:rsidP="007B4F8C">
      <w:pPr>
        <w:pStyle w:val="Figure"/>
      </w:pPr>
      <w:bookmarkStart w:id="557" w:name="_Ref429050806"/>
      <w:bookmarkStart w:id="558" w:name="_Toc400706159"/>
      <w:bookmarkStart w:id="559" w:name="_Toc405886975"/>
      <w:bookmarkStart w:id="560" w:name="_Toc412122465"/>
      <w:bookmarkStart w:id="561" w:name="_Toc428799350"/>
      <w:bookmarkStart w:id="562" w:name="_Toc433389809"/>
      <w:bookmarkStart w:id="563" w:name="_Toc485114382"/>
      <w:bookmarkStart w:id="564" w:name="_Toc485542718"/>
      <w:r w:rsidRPr="00077CD5">
        <w:lastRenderedPageBreak/>
        <w:t xml:space="preserve">Figure </w:t>
      </w:r>
      <w:r w:rsidR="00071E85">
        <w:fldChar w:fldCharType="begin"/>
      </w:r>
      <w:r w:rsidR="00071E85">
        <w:instrText xml:space="preserve"> SEQ Figure \* ARABIC </w:instrText>
      </w:r>
      <w:r w:rsidR="00071E85">
        <w:fldChar w:fldCharType="separate"/>
      </w:r>
      <w:r w:rsidR="00071E85">
        <w:rPr>
          <w:noProof/>
        </w:rPr>
        <w:t>51</w:t>
      </w:r>
      <w:r w:rsidR="00071E85">
        <w:rPr>
          <w:noProof/>
        </w:rPr>
        <w:fldChar w:fldCharType="end"/>
      </w:r>
      <w:bookmarkEnd w:id="557"/>
      <w:r w:rsidRPr="00077CD5">
        <w:rPr>
          <w:noProof/>
        </w:rPr>
        <w:t>:</w:t>
      </w:r>
      <w:r w:rsidRPr="00077CD5">
        <w:t xml:space="preserve"> Average birthweight, by maternal age group, baby ethnic group and baby neighbourhood deprivation quintile, </w:t>
      </w:r>
      <w:bookmarkEnd w:id="558"/>
      <w:bookmarkEnd w:id="559"/>
      <w:bookmarkEnd w:id="560"/>
      <w:r w:rsidRPr="00077CD5">
        <w:t>201</w:t>
      </w:r>
      <w:bookmarkEnd w:id="561"/>
      <w:bookmarkEnd w:id="562"/>
      <w:r w:rsidRPr="00077CD5">
        <w:t>5</w:t>
      </w:r>
      <w:bookmarkEnd w:id="563"/>
      <w:bookmarkEnd w:id="564"/>
    </w:p>
    <w:p w:rsidR="000D44A5" w:rsidRPr="00077CD5" w:rsidRDefault="000D44A5" w:rsidP="000D44A5">
      <w:r>
        <w:rPr>
          <w:noProof/>
          <w:lang w:eastAsia="en-NZ"/>
        </w:rPr>
        <w:drawing>
          <wp:inline distT="0" distB="0" distL="0" distR="0" wp14:anchorId="3FE47EC6" wp14:editId="3BE055F6">
            <wp:extent cx="5104015" cy="2975957"/>
            <wp:effectExtent l="0" t="0" r="1905" b="0"/>
            <wp:docPr id="24" name="Picture 24" title="Figure 51: Average birthweight, by maternal age group, baby ethnic group and baby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a:extLst>
                        <a:ext uri="{28A0092B-C50C-407E-A947-70E740481C1C}">
                          <a14:useLocalDpi xmlns:a14="http://schemas.microsoft.com/office/drawing/2010/main" val="0"/>
                        </a:ext>
                      </a:extLst>
                    </a:blip>
                    <a:srcRect l="3607" t="1603" b="2594"/>
                    <a:stretch/>
                  </pic:blipFill>
                  <pic:spPr bwMode="auto">
                    <a:xfrm>
                      <a:off x="0" y="0"/>
                      <a:ext cx="5129078" cy="2990570"/>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077CD5" w:rsidRDefault="000D44A5" w:rsidP="007B4F8C">
      <w:pPr>
        <w:pStyle w:val="Note"/>
      </w:pPr>
      <w:r w:rsidRPr="00077CD5">
        <w:t>Note: The average birthweight is calculated based on the number of live-born babies, excluding those with unknown birthweight.</w:t>
      </w:r>
    </w:p>
    <w:p w:rsidR="000D44A5" w:rsidRDefault="000D44A5" w:rsidP="007B4F8C">
      <w:pPr>
        <w:pStyle w:val="Source"/>
      </w:pPr>
      <w:r>
        <w:t>Source: National Maternity Collection</w:t>
      </w:r>
    </w:p>
    <w:p w:rsidR="000D44A5" w:rsidRPr="00AF16D8" w:rsidRDefault="000D44A5" w:rsidP="007B4F8C">
      <w:pPr>
        <w:rPr>
          <w:highlight w:val="yellow"/>
        </w:rPr>
      </w:pPr>
    </w:p>
    <w:p w:rsidR="000D44A5" w:rsidRPr="00077CD5" w:rsidRDefault="000D44A5" w:rsidP="007B4F8C">
      <w:pPr>
        <w:pStyle w:val="Heading3"/>
      </w:pPr>
      <w:r w:rsidRPr="00077CD5">
        <w:t>Babies with low birthweight</w:t>
      </w:r>
    </w:p>
    <w:p w:rsidR="00CB6D20" w:rsidRDefault="000D44A5" w:rsidP="007B4F8C">
      <w:r w:rsidRPr="00077CD5">
        <w:t>There were 3</w:t>
      </w:r>
      <w:r w:rsidR="007B4F8C">
        <w:t>,</w:t>
      </w:r>
      <w:r w:rsidRPr="00077CD5">
        <w:t xml:space="preserve">358 babies (5.9%) born in 2015 with a low </w:t>
      </w:r>
      <w:r w:rsidRPr="003B3B73">
        <w:t>birthweight.</w:t>
      </w:r>
      <w:r w:rsidRPr="007B4F8C">
        <w:rPr>
          <w:rStyle w:val="FootnoteReference"/>
        </w:rPr>
        <w:footnoteReference w:id="15"/>
      </w:r>
      <w:r w:rsidRPr="003B3B73">
        <w:t xml:space="preserve"> Babies of low birthweight accounted for 5.9%–6.2% of all babies born each year from 2006 to 2015.</w:t>
      </w:r>
    </w:p>
    <w:p w:rsidR="000D44A5" w:rsidRPr="00077CD5" w:rsidRDefault="000D44A5" w:rsidP="007B4F8C"/>
    <w:p w:rsidR="000D44A5" w:rsidRPr="00077CD5" w:rsidRDefault="000D44A5" w:rsidP="007B4F8C">
      <w:r w:rsidRPr="00077CD5">
        <w:t xml:space="preserve">A higher proportion of female babies were born with a low birthweight (6.3%) compared with male babies (5.6%) in 2015. </w:t>
      </w:r>
      <w:r w:rsidRPr="00077CD5">
        <w:fldChar w:fldCharType="begin"/>
      </w:r>
      <w:r w:rsidRPr="00077CD5">
        <w:instrText xml:space="preserve"> REF _Ref428959117 \h  \* MERGEFORMAT </w:instrText>
      </w:r>
      <w:r w:rsidRPr="00077CD5">
        <w:fldChar w:fldCharType="separate"/>
      </w:r>
      <w:r w:rsidR="00071E85" w:rsidRPr="002058B7">
        <w:t xml:space="preserve">Figure </w:t>
      </w:r>
      <w:r w:rsidR="00071E85">
        <w:rPr>
          <w:noProof/>
        </w:rPr>
        <w:t>52</w:t>
      </w:r>
      <w:r w:rsidRPr="00077CD5">
        <w:fldChar w:fldCharType="end"/>
      </w:r>
      <w:r w:rsidRPr="00077CD5">
        <w:t xml:space="preserve"> shows the percentage of low-birthweight babies for each ethnic group, maternal age group and deprivation quintile.</w:t>
      </w:r>
    </w:p>
    <w:p w:rsidR="000D44A5" w:rsidRPr="00077CD5" w:rsidRDefault="000D44A5" w:rsidP="007B4F8C"/>
    <w:p w:rsidR="000D44A5" w:rsidRPr="00077CD5" w:rsidRDefault="000D44A5" w:rsidP="007B4F8C">
      <w:r w:rsidRPr="00077CD5">
        <w:t>Low birthweight was more common among:</w:t>
      </w:r>
    </w:p>
    <w:p w:rsidR="000D44A5" w:rsidRPr="00077CD5" w:rsidRDefault="000D44A5" w:rsidP="007B4F8C">
      <w:pPr>
        <w:pStyle w:val="Bullet"/>
      </w:pPr>
      <w:r w:rsidRPr="00077CD5">
        <w:t xml:space="preserve">babies born to women in the 40 years and over and </w:t>
      </w:r>
      <w:r>
        <w:t>under</w:t>
      </w:r>
      <w:r w:rsidRPr="00077CD5">
        <w:t xml:space="preserve"> 20 years age groups (8.5% and 7.0%, respectively)</w:t>
      </w:r>
    </w:p>
    <w:p w:rsidR="000D44A5" w:rsidRPr="00077CD5" w:rsidRDefault="000D44A5" w:rsidP="007B4F8C">
      <w:pPr>
        <w:pStyle w:val="Bullet"/>
      </w:pPr>
      <w:r w:rsidRPr="00077CD5">
        <w:t>Indian and Māori babies (9.6% and 6.7%, respectively)</w:t>
      </w:r>
    </w:p>
    <w:p w:rsidR="000D44A5" w:rsidRPr="00077CD5" w:rsidRDefault="000D44A5" w:rsidP="007B4F8C">
      <w:pPr>
        <w:pStyle w:val="Bullet"/>
      </w:pPr>
      <w:r w:rsidRPr="00077CD5">
        <w:t>babies in the more deprived neighbourhoods (6.4% of babies residing in quintile 5).</w:t>
      </w:r>
    </w:p>
    <w:p w:rsidR="000D44A5" w:rsidRPr="00AF16D8" w:rsidRDefault="000D44A5" w:rsidP="007B4F8C">
      <w:pPr>
        <w:rPr>
          <w:highlight w:val="yellow"/>
        </w:rPr>
      </w:pPr>
    </w:p>
    <w:p w:rsidR="000D44A5" w:rsidRPr="00AF16D8" w:rsidRDefault="000D44A5" w:rsidP="007B4F8C">
      <w:pPr>
        <w:rPr>
          <w:highlight w:val="yellow"/>
        </w:rPr>
      </w:pPr>
      <w:r w:rsidRPr="002062CA">
        <w:t>The proportion of low-birthweight babies varied across the country in 2015, from a low of 3.5% in Wairarapa DHB region to a high of 7.4% in MidCentral DHB region (</w:t>
      </w:r>
      <w:r w:rsidRPr="002062CA">
        <w:fldChar w:fldCharType="begin"/>
      </w:r>
      <w:r w:rsidRPr="002062CA">
        <w:instrText xml:space="preserve"> REF _Ref428959128 \h  \* MERGEFORMAT </w:instrText>
      </w:r>
      <w:r w:rsidRPr="002062CA">
        <w:fldChar w:fldCharType="separate"/>
      </w:r>
      <w:r w:rsidR="00071E85" w:rsidRPr="002062CA">
        <w:t xml:space="preserve">Figure </w:t>
      </w:r>
      <w:r w:rsidR="00071E85">
        <w:rPr>
          <w:noProof/>
        </w:rPr>
        <w:t>53</w:t>
      </w:r>
      <w:r w:rsidRPr="002062CA">
        <w:fldChar w:fldCharType="end"/>
      </w:r>
      <w:r w:rsidRPr="002062CA">
        <w:t xml:space="preserve">). There was a significant decrease in the proportion of babies born with low birthweight in Tairāwhiti DHB region, from 8.3% in 2011 to 3.8% in 2015. Other DHB regions showed fluctuations in the proportion of low-birthweight </w:t>
      </w:r>
      <w:r>
        <w:t>babies over the same time</w:t>
      </w:r>
      <w:r w:rsidRPr="002062CA">
        <w:t>. These percentages have been calculated based on small numbers, and should be interpreted with caution.</w:t>
      </w:r>
    </w:p>
    <w:p w:rsidR="000D44A5" w:rsidRPr="00AF16D8" w:rsidRDefault="000D44A5" w:rsidP="007B4F8C">
      <w:pPr>
        <w:rPr>
          <w:highlight w:val="yellow"/>
        </w:rPr>
      </w:pPr>
    </w:p>
    <w:p w:rsidR="000D44A5" w:rsidRPr="002058B7" w:rsidRDefault="000D44A5" w:rsidP="007B4F8C">
      <w:pPr>
        <w:pStyle w:val="Figure"/>
      </w:pPr>
      <w:bookmarkStart w:id="565" w:name="_Ref428959117"/>
      <w:bookmarkStart w:id="566" w:name="_Toc400706160"/>
      <w:bookmarkStart w:id="567" w:name="_Toc405886976"/>
      <w:bookmarkStart w:id="568" w:name="_Toc412122466"/>
      <w:bookmarkStart w:id="569" w:name="_Toc428799351"/>
      <w:bookmarkStart w:id="570" w:name="_Toc433389810"/>
      <w:bookmarkStart w:id="571" w:name="_Toc485114383"/>
      <w:bookmarkStart w:id="572" w:name="_Toc485542719"/>
      <w:r w:rsidRPr="002058B7">
        <w:lastRenderedPageBreak/>
        <w:t xml:space="preserve">Figure </w:t>
      </w:r>
      <w:r w:rsidR="00071E85">
        <w:fldChar w:fldCharType="begin"/>
      </w:r>
      <w:r w:rsidR="00071E85">
        <w:instrText xml:space="preserve"> SEQ Figure \* ARABIC </w:instrText>
      </w:r>
      <w:r w:rsidR="00071E85">
        <w:fldChar w:fldCharType="separate"/>
      </w:r>
      <w:r w:rsidR="00071E85">
        <w:rPr>
          <w:noProof/>
        </w:rPr>
        <w:t>52</w:t>
      </w:r>
      <w:r w:rsidR="00071E85">
        <w:rPr>
          <w:noProof/>
        </w:rPr>
        <w:fldChar w:fldCharType="end"/>
      </w:r>
      <w:bookmarkEnd w:id="565"/>
      <w:r w:rsidRPr="002058B7">
        <w:rPr>
          <w:noProof/>
        </w:rPr>
        <w:t>:</w:t>
      </w:r>
      <w:r w:rsidRPr="002058B7">
        <w:t xml:space="preserve"> Percentage of babies born with a low birthweight, by maternal age group, baby ethnic group and baby neighbourhood deprivation quintile, </w:t>
      </w:r>
      <w:bookmarkEnd w:id="566"/>
      <w:bookmarkEnd w:id="567"/>
      <w:bookmarkEnd w:id="568"/>
      <w:r w:rsidRPr="002058B7">
        <w:t>201</w:t>
      </w:r>
      <w:bookmarkEnd w:id="569"/>
      <w:bookmarkEnd w:id="570"/>
      <w:r w:rsidRPr="002058B7">
        <w:t>5</w:t>
      </w:r>
      <w:bookmarkEnd w:id="571"/>
      <w:bookmarkEnd w:id="572"/>
    </w:p>
    <w:p w:rsidR="000D44A5" w:rsidRPr="00AF16D8" w:rsidRDefault="000D44A5" w:rsidP="000D44A5">
      <w:pPr>
        <w:rPr>
          <w:highlight w:val="yellow"/>
        </w:rPr>
      </w:pPr>
      <w:r w:rsidRPr="002062CA">
        <w:rPr>
          <w:noProof/>
          <w:lang w:eastAsia="en-NZ"/>
        </w:rPr>
        <w:drawing>
          <wp:inline distT="0" distB="0" distL="0" distR="0" wp14:anchorId="284E84A7" wp14:editId="6743BCAD">
            <wp:extent cx="5245330" cy="3100648"/>
            <wp:effectExtent l="0" t="0" r="0" b="5080"/>
            <wp:docPr id="27" name="Picture 27" title="Figure 52: Percentage of babies born with a low birthweight, by maternal age group, baby ethnic group and baby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6">
                      <a:extLst>
                        <a:ext uri="{28A0092B-C50C-407E-A947-70E740481C1C}">
                          <a14:useLocalDpi xmlns:a14="http://schemas.microsoft.com/office/drawing/2010/main" val="0"/>
                        </a:ext>
                      </a:extLst>
                    </a:blip>
                    <a:srcRect l="1560" t="1526" b="3559"/>
                    <a:stretch/>
                  </pic:blipFill>
                  <pic:spPr bwMode="auto">
                    <a:xfrm>
                      <a:off x="0" y="0"/>
                      <a:ext cx="5256405" cy="3107195"/>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2058B7" w:rsidRDefault="000D44A5" w:rsidP="007B4F8C">
      <w:pPr>
        <w:pStyle w:val="Note"/>
      </w:pPr>
      <w:r w:rsidRPr="002058B7">
        <w:t>Note: The denominator used for calculating percentages is number of live-born babies, excluding those with unknown birthweight.</w:t>
      </w:r>
    </w:p>
    <w:p w:rsidR="000D44A5" w:rsidRDefault="000D44A5" w:rsidP="007B4F8C">
      <w:pPr>
        <w:pStyle w:val="Source"/>
      </w:pPr>
      <w:r>
        <w:t>Source: National Maternity Collection</w:t>
      </w:r>
    </w:p>
    <w:p w:rsidR="000D44A5" w:rsidRPr="00AF16D8" w:rsidRDefault="000D44A5" w:rsidP="007B4F8C">
      <w:pPr>
        <w:rPr>
          <w:highlight w:val="yellow"/>
        </w:rPr>
      </w:pPr>
      <w:bookmarkStart w:id="573" w:name="_Ref400697960"/>
      <w:bookmarkStart w:id="574" w:name="_Toc400706161"/>
      <w:bookmarkStart w:id="575" w:name="_Toc405886977"/>
      <w:bookmarkStart w:id="576" w:name="_Toc412122467"/>
    </w:p>
    <w:p w:rsidR="000D44A5" w:rsidRPr="002062CA" w:rsidRDefault="000D44A5" w:rsidP="0044522B">
      <w:pPr>
        <w:pStyle w:val="Figure"/>
      </w:pPr>
      <w:bookmarkStart w:id="577" w:name="_Ref428959128"/>
      <w:bookmarkStart w:id="578" w:name="_Toc428799352"/>
      <w:bookmarkStart w:id="579" w:name="_Toc433389811"/>
      <w:bookmarkStart w:id="580" w:name="_Toc485114384"/>
      <w:bookmarkStart w:id="581" w:name="_Toc485542720"/>
      <w:bookmarkEnd w:id="573"/>
      <w:r w:rsidRPr="002062CA">
        <w:t xml:space="preserve">Figure </w:t>
      </w:r>
      <w:r w:rsidR="00071E85">
        <w:fldChar w:fldCharType="begin"/>
      </w:r>
      <w:r w:rsidR="00071E85">
        <w:instrText xml:space="preserve"> SEQ Figure \* ARABIC </w:instrText>
      </w:r>
      <w:r w:rsidR="00071E85">
        <w:fldChar w:fldCharType="separate"/>
      </w:r>
      <w:r w:rsidR="00071E85">
        <w:rPr>
          <w:noProof/>
        </w:rPr>
        <w:t>53</w:t>
      </w:r>
      <w:r w:rsidR="00071E85">
        <w:rPr>
          <w:noProof/>
        </w:rPr>
        <w:fldChar w:fldCharType="end"/>
      </w:r>
      <w:bookmarkEnd w:id="577"/>
      <w:r w:rsidRPr="002062CA">
        <w:rPr>
          <w:noProof/>
        </w:rPr>
        <w:t>:</w:t>
      </w:r>
      <w:r w:rsidRPr="002062CA">
        <w:t xml:space="preserve"> Percentage of babies born with a low birthweight, by DHB of residence</w:t>
      </w:r>
      <w:bookmarkEnd w:id="574"/>
      <w:bookmarkEnd w:id="575"/>
      <w:r w:rsidRPr="002062CA">
        <w:t>, 2011 and 201</w:t>
      </w:r>
      <w:bookmarkEnd w:id="576"/>
      <w:bookmarkEnd w:id="578"/>
      <w:bookmarkEnd w:id="579"/>
      <w:r w:rsidRPr="002062CA">
        <w:t>5</w:t>
      </w:r>
      <w:bookmarkEnd w:id="580"/>
      <w:bookmarkEnd w:id="581"/>
    </w:p>
    <w:p w:rsidR="000D44A5" w:rsidRPr="002062CA" w:rsidRDefault="000D44A5" w:rsidP="000D44A5">
      <w:r w:rsidRPr="002062CA">
        <w:rPr>
          <w:noProof/>
          <w:lang w:eastAsia="en-NZ"/>
        </w:rPr>
        <w:drawing>
          <wp:inline distT="0" distB="0" distL="0" distR="0" wp14:anchorId="2CAA3A07" wp14:editId="1980D7B7">
            <wp:extent cx="5220000" cy="3511751"/>
            <wp:effectExtent l="0" t="0" r="0" b="0"/>
            <wp:docPr id="45" name="Picture 45" title="Figure 53: Percentage of babies born with a low birthweight,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byYear_LowBW.jpg"/>
                    <pic:cNvPicPr/>
                  </pic:nvPicPr>
                  <pic:blipFill>
                    <a:blip r:embed="rId77">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2062CA" w:rsidRDefault="000D44A5" w:rsidP="0044522B">
      <w:pPr>
        <w:pStyle w:val="Note"/>
      </w:pPr>
      <w:r w:rsidRPr="002062CA">
        <w:t>Note: The denominator used to calculate percentages is the number of live-born babies for each DHB region, excluding those with unknown birthweight.</w:t>
      </w:r>
    </w:p>
    <w:p w:rsidR="000D44A5" w:rsidRDefault="000D44A5" w:rsidP="0044522B">
      <w:pPr>
        <w:pStyle w:val="Source"/>
      </w:pPr>
      <w:r>
        <w:t>Source: National Maternity Collection</w:t>
      </w:r>
    </w:p>
    <w:p w:rsidR="000D44A5" w:rsidRPr="00AF16D8" w:rsidRDefault="000D44A5" w:rsidP="0044522B">
      <w:pPr>
        <w:rPr>
          <w:highlight w:val="yellow"/>
        </w:rPr>
      </w:pPr>
    </w:p>
    <w:p w:rsidR="000D44A5" w:rsidRPr="002058B7" w:rsidRDefault="000D44A5" w:rsidP="0044522B">
      <w:pPr>
        <w:pStyle w:val="Heading2"/>
      </w:pPr>
      <w:bookmarkStart w:id="582" w:name="_Ref410124242"/>
      <w:bookmarkStart w:id="583" w:name="_Toc412122412"/>
      <w:bookmarkStart w:id="584" w:name="_Toc431462736"/>
      <w:bookmarkStart w:id="585" w:name="_Toc479583274"/>
      <w:bookmarkStart w:id="586" w:name="_Toc485542642"/>
      <w:r w:rsidRPr="002058B7">
        <w:lastRenderedPageBreak/>
        <w:t>Gestation</w:t>
      </w:r>
      <w:bookmarkEnd w:id="582"/>
      <w:bookmarkEnd w:id="583"/>
      <w:bookmarkEnd w:id="584"/>
      <w:bookmarkEnd w:id="585"/>
      <w:bookmarkEnd w:id="586"/>
    </w:p>
    <w:p w:rsidR="00CB6D20" w:rsidRDefault="000D44A5" w:rsidP="0044522B">
      <w:pPr>
        <w:pStyle w:val="Box"/>
      </w:pPr>
      <w:r w:rsidRPr="002058B7">
        <w:t>Gestation is the duration of pregnancy measured from the first day of the last normal menstrual period to the delivery date, expressed in completed weeks (WHO 1975).</w:t>
      </w:r>
    </w:p>
    <w:p w:rsidR="000D44A5" w:rsidRPr="002058B7" w:rsidRDefault="000D44A5" w:rsidP="0044522B">
      <w:pPr>
        <w:pStyle w:val="Box"/>
      </w:pPr>
      <w:r w:rsidRPr="002058B7">
        <w:t>Gestational age may also be derived from clinical assessment during pregnancy, or from an examination of the baby after birth.</w:t>
      </w:r>
    </w:p>
    <w:p w:rsidR="000D44A5" w:rsidRPr="002058B7" w:rsidRDefault="000D44A5" w:rsidP="0044522B">
      <w:pPr>
        <w:pStyle w:val="Box"/>
      </w:pPr>
      <w:r w:rsidRPr="002058B7">
        <w:rPr>
          <w:b/>
        </w:rPr>
        <w:t>Preterm</w:t>
      </w:r>
      <w:r w:rsidRPr="002058B7">
        <w:t xml:space="preserve"> refers to</w:t>
      </w:r>
      <w:r>
        <w:t xml:space="preserve"> babies born under 37 </w:t>
      </w:r>
      <w:r w:rsidRPr="002058B7">
        <w:t xml:space="preserve">weeks </w:t>
      </w:r>
      <w:r>
        <w:t xml:space="preserve">of </w:t>
      </w:r>
      <w:r w:rsidRPr="002058B7">
        <w:t>gestation.</w:t>
      </w:r>
    </w:p>
    <w:p w:rsidR="000D44A5" w:rsidRPr="002058B7" w:rsidRDefault="000D44A5" w:rsidP="0044522B">
      <w:pPr>
        <w:pStyle w:val="Box"/>
      </w:pPr>
      <w:r w:rsidRPr="002058B7">
        <w:rPr>
          <w:b/>
        </w:rPr>
        <w:t xml:space="preserve">Term </w:t>
      </w:r>
      <w:r w:rsidRPr="002058B7">
        <w:t>refers to babies born between 37</w:t>
      </w:r>
      <w:r>
        <w:t>.0</w:t>
      </w:r>
      <w:r w:rsidRPr="002058B7">
        <w:t xml:space="preserve"> and 41</w:t>
      </w:r>
      <w:r>
        <w:t>.6</w:t>
      </w:r>
      <w:r w:rsidRPr="002058B7">
        <w:t xml:space="preserve"> weeks</w:t>
      </w:r>
      <w:r>
        <w:t xml:space="preserve"> of</w:t>
      </w:r>
      <w:r w:rsidRPr="002058B7">
        <w:t xml:space="preserve"> gestation. However, the section on term babies with low birthweight includes babies born at over 41 weeks</w:t>
      </w:r>
      <w:r>
        <w:t xml:space="preserve"> of</w:t>
      </w:r>
      <w:r w:rsidRPr="002058B7">
        <w:t xml:space="preserve"> gestation with a low birthweight.</w:t>
      </w:r>
    </w:p>
    <w:p w:rsidR="000D44A5" w:rsidRPr="002058B7" w:rsidRDefault="000D44A5" w:rsidP="0044522B"/>
    <w:p w:rsidR="000D44A5" w:rsidRPr="002058B7" w:rsidRDefault="000D44A5" w:rsidP="0044522B">
      <w:r w:rsidRPr="002058B7">
        <w:t>Of the 59,200 babies born in 2015 with known gestation, 90.7% were born</w:t>
      </w:r>
      <w:r>
        <w:t xml:space="preserve"> at between 37 and 41</w:t>
      </w:r>
      <w:r w:rsidR="0044522B">
        <w:t> </w:t>
      </w:r>
      <w:r w:rsidRPr="002058B7">
        <w:t>weeks of ges</w:t>
      </w:r>
      <w:r>
        <w:t>tation, a generally</w:t>
      </w:r>
      <w:r w:rsidRPr="002058B7">
        <w:t xml:space="preserve"> increas</w:t>
      </w:r>
      <w:r>
        <w:t>ing trend</w:t>
      </w:r>
      <w:r w:rsidRPr="002058B7">
        <w:t xml:space="preserve"> from 89.8% in 2006.</w:t>
      </w:r>
    </w:p>
    <w:p w:rsidR="000D44A5" w:rsidRPr="00050D5C" w:rsidRDefault="000D44A5" w:rsidP="0044522B"/>
    <w:p w:rsidR="000D44A5" w:rsidRPr="00AF16D8" w:rsidRDefault="000D44A5" w:rsidP="0044522B">
      <w:pPr>
        <w:rPr>
          <w:highlight w:val="yellow"/>
        </w:rPr>
      </w:pPr>
      <w:r w:rsidRPr="00050D5C">
        <w:t xml:space="preserve">Between 2006 and 2015 the proportion of babies born at 37, 38 and 39 weeks showed a </w:t>
      </w:r>
      <w:r w:rsidRPr="00F26D5B">
        <w:t>statistically significant increase, while the proportion of babies born at 40, 41 and 42+ weeks showed a statistically significant decrease</w:t>
      </w:r>
      <w:r w:rsidRPr="00050D5C">
        <w:t xml:space="preserve"> (</w:t>
      </w:r>
      <w:r w:rsidRPr="00050D5C">
        <w:fldChar w:fldCharType="begin"/>
      </w:r>
      <w:r w:rsidRPr="00050D5C">
        <w:instrText xml:space="preserve"> REF _Ref428959158 \h  \* MERGEFORMAT </w:instrText>
      </w:r>
      <w:r w:rsidRPr="00050D5C">
        <w:fldChar w:fldCharType="separate"/>
      </w:r>
      <w:r w:rsidR="00071E85" w:rsidRPr="00050D5C">
        <w:t xml:space="preserve">Figure </w:t>
      </w:r>
      <w:r w:rsidR="00071E85">
        <w:rPr>
          <w:noProof/>
        </w:rPr>
        <w:t>54</w:t>
      </w:r>
      <w:r w:rsidRPr="00050D5C">
        <w:fldChar w:fldCharType="end"/>
      </w:r>
      <w:r w:rsidRPr="00050D5C">
        <w:t>). This corresponds with the change in annual median gestation from 40 weeks in 2006 and 2007 to 39 weeks from 2008 onwards.</w:t>
      </w:r>
    </w:p>
    <w:p w:rsidR="000D44A5" w:rsidRPr="00AF16D8" w:rsidRDefault="000D44A5" w:rsidP="0044522B">
      <w:pPr>
        <w:rPr>
          <w:highlight w:val="yellow"/>
        </w:rPr>
      </w:pPr>
      <w:bookmarkStart w:id="587" w:name="_Ref405385327"/>
      <w:bookmarkStart w:id="588" w:name="_Toc405886978"/>
      <w:bookmarkStart w:id="589" w:name="_Toc412122468"/>
    </w:p>
    <w:p w:rsidR="000D44A5" w:rsidRPr="00050D5C" w:rsidRDefault="000D44A5" w:rsidP="0044522B">
      <w:pPr>
        <w:pStyle w:val="Figure"/>
      </w:pPr>
      <w:bookmarkStart w:id="590" w:name="_Ref428959158"/>
      <w:bookmarkStart w:id="591" w:name="_Toc428799353"/>
      <w:bookmarkStart w:id="592" w:name="_Toc433389812"/>
      <w:bookmarkStart w:id="593" w:name="_Toc485114385"/>
      <w:bookmarkStart w:id="594" w:name="_Toc485542721"/>
      <w:bookmarkEnd w:id="587"/>
      <w:r w:rsidRPr="00050D5C">
        <w:t xml:space="preserve">Figure </w:t>
      </w:r>
      <w:r w:rsidR="00071E85">
        <w:fldChar w:fldCharType="begin"/>
      </w:r>
      <w:r w:rsidR="00071E85">
        <w:instrText xml:space="preserve"> SEQ Figure \* </w:instrText>
      </w:r>
      <w:r w:rsidR="00071E85">
        <w:instrText xml:space="preserve">ARABIC </w:instrText>
      </w:r>
      <w:r w:rsidR="00071E85">
        <w:fldChar w:fldCharType="separate"/>
      </w:r>
      <w:r w:rsidR="00071E85">
        <w:rPr>
          <w:noProof/>
        </w:rPr>
        <w:t>54</w:t>
      </w:r>
      <w:r w:rsidR="00071E85">
        <w:rPr>
          <w:noProof/>
        </w:rPr>
        <w:fldChar w:fldCharType="end"/>
      </w:r>
      <w:bookmarkEnd w:id="590"/>
      <w:r w:rsidRPr="00050D5C">
        <w:rPr>
          <w:noProof/>
        </w:rPr>
        <w:t>:</w:t>
      </w:r>
      <w:r w:rsidRPr="00050D5C">
        <w:t xml:space="preserve"> Percentage of babies, by gestation</w:t>
      </w:r>
      <w:bookmarkEnd w:id="588"/>
      <w:r w:rsidRPr="00050D5C">
        <w:t xml:space="preserve"> in weeks, </w:t>
      </w:r>
      <w:bookmarkEnd w:id="589"/>
      <w:r w:rsidRPr="00050D5C">
        <w:t>2006–201</w:t>
      </w:r>
      <w:bookmarkEnd w:id="591"/>
      <w:bookmarkEnd w:id="592"/>
      <w:r w:rsidRPr="00050D5C">
        <w:t>5</w:t>
      </w:r>
      <w:bookmarkEnd w:id="593"/>
      <w:bookmarkEnd w:id="594"/>
    </w:p>
    <w:p w:rsidR="000D44A5" w:rsidRPr="00050D5C" w:rsidRDefault="000D44A5" w:rsidP="000D44A5">
      <w:r w:rsidRPr="00050D5C">
        <w:rPr>
          <w:noProof/>
          <w:lang w:eastAsia="en-NZ"/>
        </w:rPr>
        <w:drawing>
          <wp:inline distT="0" distB="0" distL="0" distR="0" wp14:anchorId="7EE051A8" wp14:editId="7EA9937D">
            <wp:extent cx="4912822" cy="2676698"/>
            <wp:effectExtent l="0" t="0" r="2540" b="0"/>
            <wp:docPr id="31" name="Picture 31" title="Figure 54: Percentage of babies, by gestation in weeks, 200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8">
                      <a:extLst>
                        <a:ext uri="{28A0092B-C50C-407E-A947-70E740481C1C}">
                          <a14:useLocalDpi xmlns:a14="http://schemas.microsoft.com/office/drawing/2010/main" val="0"/>
                        </a:ext>
                      </a:extLst>
                    </a:blip>
                    <a:srcRect l="1336" t="2374" b="2047"/>
                    <a:stretch/>
                  </pic:blipFill>
                  <pic:spPr bwMode="auto">
                    <a:xfrm>
                      <a:off x="0" y="0"/>
                      <a:ext cx="4931028" cy="2686617"/>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050D5C" w:rsidRDefault="000D44A5" w:rsidP="00194C0F">
      <w:pPr>
        <w:pStyle w:val="Note"/>
      </w:pPr>
      <w:r w:rsidRPr="00050D5C">
        <w:t>Note: The denominator used to calculate percentages is the total number of live-born babies, excluding those with unknown gestation.</w:t>
      </w:r>
    </w:p>
    <w:p w:rsidR="000D44A5" w:rsidRDefault="000D44A5" w:rsidP="00194C0F">
      <w:pPr>
        <w:pStyle w:val="Source"/>
      </w:pPr>
      <w:r>
        <w:t>Source: National Maternity Collection</w:t>
      </w:r>
    </w:p>
    <w:p w:rsidR="000D44A5" w:rsidRPr="00AF16D8" w:rsidRDefault="000D44A5" w:rsidP="00194C0F">
      <w:pPr>
        <w:rPr>
          <w:highlight w:val="yellow"/>
        </w:rPr>
      </w:pPr>
    </w:p>
    <w:p w:rsidR="000D44A5" w:rsidRPr="00050D5C" w:rsidRDefault="000D44A5" w:rsidP="00194C0F">
      <w:pPr>
        <w:pStyle w:val="Heading3"/>
      </w:pPr>
      <w:r w:rsidRPr="00050D5C">
        <w:t>Preterm babies</w:t>
      </w:r>
    </w:p>
    <w:p w:rsidR="000D44A5" w:rsidRPr="00AF16D8" w:rsidRDefault="000D44A5" w:rsidP="00194C0F">
      <w:pPr>
        <w:keepNext/>
        <w:rPr>
          <w:highlight w:val="yellow"/>
        </w:rPr>
      </w:pPr>
      <w:r w:rsidRPr="00050D5C">
        <w:t xml:space="preserve">In 2015, </w:t>
      </w:r>
      <w:r w:rsidR="00480E9F">
        <w:t xml:space="preserve">a total of </w:t>
      </w:r>
      <w:r w:rsidRPr="00050D5C">
        <w:t>4</w:t>
      </w:r>
      <w:r w:rsidR="00480E9F">
        <w:t>,</w:t>
      </w:r>
      <w:r>
        <w:t>329</w:t>
      </w:r>
      <w:r w:rsidRPr="00050D5C">
        <w:t xml:space="preserve"> (7.3%) of babies were born </w:t>
      </w:r>
      <w:r w:rsidRPr="00E57F5B">
        <w:t>preterm: 712 (1.2%) were born at under 32 weeks</w:t>
      </w:r>
      <w:r w:rsidR="00CB6D20">
        <w:t>’</w:t>
      </w:r>
      <w:r w:rsidRPr="00E57F5B">
        <w:t xml:space="preserve"> gestation and 3617 (6.1%) were born at 32–36 weeks</w:t>
      </w:r>
      <w:r w:rsidR="00CB6D20">
        <w:t>’</w:t>
      </w:r>
      <w:r w:rsidRPr="00E57F5B">
        <w:t xml:space="preserve"> gestation.</w:t>
      </w:r>
      <w:r w:rsidRPr="00194C0F">
        <w:rPr>
          <w:rStyle w:val="FootnoteReference"/>
        </w:rPr>
        <w:footnoteReference w:id="16"/>
      </w:r>
      <w:r w:rsidRPr="00E57F5B">
        <w:t xml:space="preserve"> The proportion</w:t>
      </w:r>
      <w:r>
        <w:t xml:space="preserve"> of preterm babies showed little</w:t>
      </w:r>
      <w:r w:rsidRPr="00E57F5B">
        <w:t xml:space="preserve"> variation between 2006 and 2015: babies born at under 32 weeks</w:t>
      </w:r>
      <w:r w:rsidR="00CB6D20">
        <w:t>’</w:t>
      </w:r>
      <w:r w:rsidRPr="00E57F5B">
        <w:t xml:space="preserve"> </w:t>
      </w:r>
      <w:r w:rsidRPr="00E57F5B">
        <w:lastRenderedPageBreak/>
        <w:t>gestation ranged from 1.2% to 1.3% of all births, and babies born at 32–36 weeks</w:t>
      </w:r>
      <w:r w:rsidR="00CB6D20">
        <w:t>’</w:t>
      </w:r>
      <w:r w:rsidRPr="00E57F5B">
        <w:t xml:space="preserve"> gestation ranged from 5.9% to 6.3% of all births.</w:t>
      </w:r>
    </w:p>
    <w:p w:rsidR="000D44A5" w:rsidRPr="00AF16D8" w:rsidRDefault="000D44A5" w:rsidP="00194C0F">
      <w:pPr>
        <w:rPr>
          <w:highlight w:val="yellow"/>
        </w:rPr>
      </w:pPr>
    </w:p>
    <w:p w:rsidR="000D44A5" w:rsidRPr="00E57F5B" w:rsidRDefault="000D44A5" w:rsidP="00194C0F">
      <w:r w:rsidRPr="00E57F5B">
        <w:t>The proportion of babies born preterm varied across the demographic groups with no obvious trends (</w:t>
      </w:r>
      <w:r w:rsidRPr="00E57F5B">
        <w:fldChar w:fldCharType="begin"/>
      </w:r>
      <w:r w:rsidRPr="00E57F5B">
        <w:instrText xml:space="preserve"> REF _Ref428959179 \h  \* MERGEFORMAT </w:instrText>
      </w:r>
      <w:r w:rsidRPr="00E57F5B">
        <w:fldChar w:fldCharType="separate"/>
      </w:r>
      <w:r w:rsidR="00071E85" w:rsidRPr="00E57F5B">
        <w:t xml:space="preserve">Figure </w:t>
      </w:r>
      <w:r w:rsidR="00071E85">
        <w:rPr>
          <w:noProof/>
        </w:rPr>
        <w:t>55</w:t>
      </w:r>
      <w:r w:rsidRPr="00E57F5B">
        <w:fldChar w:fldCharType="end"/>
      </w:r>
      <w:r w:rsidRPr="00E57F5B">
        <w:t>) except a higher proportion of preterm babies born to older women (10.7% of babies born to women in the 40 years and over age group).</w:t>
      </w:r>
    </w:p>
    <w:p w:rsidR="000D44A5" w:rsidRPr="00E57F5B" w:rsidRDefault="000D44A5" w:rsidP="00194C0F"/>
    <w:p w:rsidR="000D44A5" w:rsidRPr="00E57F5B" w:rsidRDefault="000D44A5" w:rsidP="00194C0F">
      <w:pPr>
        <w:pStyle w:val="Figure"/>
      </w:pPr>
      <w:bookmarkStart w:id="595" w:name="_Ref428959179"/>
      <w:bookmarkStart w:id="596" w:name="_Toc405886979"/>
      <w:bookmarkStart w:id="597" w:name="_Toc412122469"/>
      <w:bookmarkStart w:id="598" w:name="_Toc428799354"/>
      <w:bookmarkStart w:id="599" w:name="_Toc433389813"/>
      <w:bookmarkStart w:id="600" w:name="_Toc485114386"/>
      <w:bookmarkStart w:id="601" w:name="_Toc485542722"/>
      <w:r w:rsidRPr="00E57F5B">
        <w:t xml:space="preserve">Figure </w:t>
      </w:r>
      <w:r w:rsidR="00071E85">
        <w:fldChar w:fldCharType="begin"/>
      </w:r>
      <w:r w:rsidR="00071E85">
        <w:instrText xml:space="preserve"> SEQ Figure \* ARABIC </w:instrText>
      </w:r>
      <w:r w:rsidR="00071E85">
        <w:fldChar w:fldCharType="separate"/>
      </w:r>
      <w:r w:rsidR="00071E85">
        <w:rPr>
          <w:noProof/>
        </w:rPr>
        <w:t>55</w:t>
      </w:r>
      <w:r w:rsidR="00071E85">
        <w:rPr>
          <w:noProof/>
        </w:rPr>
        <w:fldChar w:fldCharType="end"/>
      </w:r>
      <w:bookmarkEnd w:id="595"/>
      <w:r w:rsidRPr="00E57F5B">
        <w:rPr>
          <w:noProof/>
        </w:rPr>
        <w:t>:</w:t>
      </w:r>
      <w:r w:rsidRPr="00E57F5B">
        <w:t xml:space="preserve"> Percentage of babies born preterm, by maternal age group, baby ethnic group and baby neighbourhood deprivation quintile, </w:t>
      </w:r>
      <w:bookmarkEnd w:id="596"/>
      <w:bookmarkEnd w:id="597"/>
      <w:r w:rsidRPr="00E57F5B">
        <w:t>201</w:t>
      </w:r>
      <w:bookmarkEnd w:id="598"/>
      <w:bookmarkEnd w:id="599"/>
      <w:r w:rsidRPr="00E57F5B">
        <w:t>5</w:t>
      </w:r>
      <w:bookmarkEnd w:id="600"/>
      <w:bookmarkEnd w:id="601"/>
    </w:p>
    <w:p w:rsidR="000D44A5" w:rsidRPr="00AF16D8" w:rsidRDefault="000D44A5" w:rsidP="000D44A5">
      <w:pPr>
        <w:rPr>
          <w:highlight w:val="yellow"/>
        </w:rPr>
      </w:pPr>
      <w:r w:rsidRPr="00944AE7">
        <w:rPr>
          <w:noProof/>
          <w:lang w:eastAsia="en-NZ"/>
        </w:rPr>
        <w:drawing>
          <wp:inline distT="0" distB="0" distL="0" distR="0" wp14:anchorId="182777E3" wp14:editId="3D2EF4F7">
            <wp:extent cx="5045221" cy="3009207"/>
            <wp:effectExtent l="0" t="0" r="3175" b="1270"/>
            <wp:docPr id="30" name="Picture 30" title="Figure 55: Percentage of babies born preterm, by maternal age group, baby ethnic group and baby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9">
                      <a:extLst>
                        <a:ext uri="{28A0092B-C50C-407E-A947-70E740481C1C}">
                          <a14:useLocalDpi xmlns:a14="http://schemas.microsoft.com/office/drawing/2010/main" val="0"/>
                        </a:ext>
                      </a:extLst>
                    </a:blip>
                    <a:srcRect l="1301" t="1592" b="2387"/>
                    <a:stretch/>
                  </pic:blipFill>
                  <pic:spPr bwMode="auto">
                    <a:xfrm>
                      <a:off x="0" y="0"/>
                      <a:ext cx="5058676" cy="3017232"/>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E57F5B" w:rsidRDefault="000D44A5" w:rsidP="00194C0F">
      <w:pPr>
        <w:pStyle w:val="Note"/>
      </w:pPr>
      <w:r w:rsidRPr="00E57F5B">
        <w:t>Note: The denominator used to calculate percentages is the total number of live-born babies, excluding those with unknown gestation.</w:t>
      </w:r>
    </w:p>
    <w:p w:rsidR="000D44A5" w:rsidRDefault="000D44A5" w:rsidP="00194C0F">
      <w:pPr>
        <w:pStyle w:val="Source"/>
      </w:pPr>
      <w:r>
        <w:t>Source: National Maternity Collection</w:t>
      </w:r>
    </w:p>
    <w:p w:rsidR="000D44A5" w:rsidRPr="00AF16D8" w:rsidRDefault="000D44A5" w:rsidP="00194C0F">
      <w:pPr>
        <w:rPr>
          <w:highlight w:val="yellow"/>
        </w:rPr>
      </w:pPr>
    </w:p>
    <w:p w:rsidR="000D44A5" w:rsidRPr="00D96506" w:rsidRDefault="000D44A5" w:rsidP="00194C0F">
      <w:r w:rsidRPr="00D96506">
        <w:t>The proportion of babies born preterm varied across the 20 DHB regions, with the highest proportion in MidCentral DHB region (9.2%) and the lowest in Tairāwhiti DHB region (5.6%). Between 2011 and 2015 the proportion of preterm babies in all DHB regions</w:t>
      </w:r>
      <w:r>
        <w:t xml:space="preserve"> fluctuated</w:t>
      </w:r>
      <w:r w:rsidRPr="00D96506">
        <w:t xml:space="preserve"> (</w:t>
      </w:r>
      <w:r w:rsidRPr="00D96506">
        <w:fldChar w:fldCharType="begin"/>
      </w:r>
      <w:r w:rsidRPr="00D96506">
        <w:instrText xml:space="preserve"> REF _Ref429046603 \h  \* MERGEFORMAT </w:instrText>
      </w:r>
      <w:r w:rsidRPr="00D96506">
        <w:fldChar w:fldCharType="separate"/>
      </w:r>
      <w:r w:rsidR="00071E85" w:rsidRPr="00944AE7">
        <w:t xml:space="preserve">Figure </w:t>
      </w:r>
      <w:r w:rsidR="00071E85">
        <w:rPr>
          <w:noProof/>
        </w:rPr>
        <w:t>56</w:t>
      </w:r>
      <w:r w:rsidRPr="00D96506">
        <w:fldChar w:fldCharType="end"/>
      </w:r>
      <w:r w:rsidRPr="00D96506">
        <w:t>).</w:t>
      </w:r>
    </w:p>
    <w:p w:rsidR="000D44A5" w:rsidRPr="00AF16D8" w:rsidRDefault="000D44A5" w:rsidP="00194C0F">
      <w:pPr>
        <w:rPr>
          <w:highlight w:val="yellow"/>
        </w:rPr>
      </w:pPr>
    </w:p>
    <w:p w:rsidR="000D44A5" w:rsidRPr="0054453A" w:rsidRDefault="000D44A5" w:rsidP="00194C0F">
      <w:r>
        <w:t>In 2015, 44.6</w:t>
      </w:r>
      <w:r w:rsidRPr="0054453A">
        <w:t>% (1</w:t>
      </w:r>
      <w:r w:rsidR="00480E9F">
        <w:t>,</w:t>
      </w:r>
      <w:r w:rsidRPr="0054453A">
        <w:t>8</w:t>
      </w:r>
      <w:r>
        <w:t>95</w:t>
      </w:r>
      <w:r w:rsidRPr="0054453A">
        <w:t>) of preterm babies were born by caesarean section</w:t>
      </w:r>
      <w:r>
        <w:t>.</w:t>
      </w:r>
      <w:r w:rsidRPr="0054453A">
        <w:t xml:space="preserve"> </w:t>
      </w:r>
      <w:r>
        <w:t xml:space="preserve">The majority of preterm babies </w:t>
      </w:r>
      <w:r w:rsidRPr="0054453A">
        <w:t>were born by emergency caesarean section (1</w:t>
      </w:r>
      <w:r w:rsidR="00194C0F">
        <w:t>,</w:t>
      </w:r>
      <w:r w:rsidRPr="0054453A">
        <w:t>209 by emergency caesarean compared with 686 by elective caesarean section). This compares with 2</w:t>
      </w:r>
      <w:r>
        <w:t>4.7</w:t>
      </w:r>
      <w:r w:rsidRPr="0054453A">
        <w:t>% of babies born at term by caesarean section.</w:t>
      </w:r>
    </w:p>
    <w:p w:rsidR="000D44A5" w:rsidRPr="00AF16D8" w:rsidRDefault="000D44A5" w:rsidP="00194C0F">
      <w:pPr>
        <w:rPr>
          <w:highlight w:val="yellow"/>
        </w:rPr>
      </w:pPr>
    </w:p>
    <w:p w:rsidR="000D44A5" w:rsidRPr="00AF16D8" w:rsidRDefault="000D44A5" w:rsidP="00194C0F">
      <w:pPr>
        <w:rPr>
          <w:highlight w:val="yellow"/>
        </w:rPr>
      </w:pPr>
      <w:r w:rsidRPr="004F7398">
        <w:t xml:space="preserve">Over half of babies born preterm had a low birthweight. </w:t>
      </w:r>
      <w:r w:rsidRPr="0054453A">
        <w:t>Almost 95% of babies born at under 32</w:t>
      </w:r>
      <w:r w:rsidR="00194C0F">
        <w:t> </w:t>
      </w:r>
      <w:r w:rsidRPr="0054453A">
        <w:t>weeks</w:t>
      </w:r>
      <w:r w:rsidR="00CB6D20">
        <w:t>’</w:t>
      </w:r>
      <w:r w:rsidRPr="0054453A">
        <w:t xml:space="preserve"> gestation and almost half of babies born at 32—36 weeks</w:t>
      </w:r>
      <w:r w:rsidR="00CB6D20">
        <w:t>’</w:t>
      </w:r>
      <w:r w:rsidRPr="0054453A">
        <w:t xml:space="preserve"> gestation had a low birthweight.</w:t>
      </w:r>
    </w:p>
    <w:p w:rsidR="000D44A5" w:rsidRPr="00AF16D8" w:rsidRDefault="000D44A5" w:rsidP="00194C0F">
      <w:pPr>
        <w:rPr>
          <w:highlight w:val="yellow"/>
        </w:rPr>
      </w:pPr>
    </w:p>
    <w:p w:rsidR="000D44A5" w:rsidRPr="00944AE7" w:rsidRDefault="000D44A5" w:rsidP="00194C0F">
      <w:pPr>
        <w:pStyle w:val="Figure"/>
      </w:pPr>
      <w:bookmarkStart w:id="602" w:name="_Ref429046603"/>
      <w:bookmarkStart w:id="603" w:name="_Toc405886980"/>
      <w:bookmarkStart w:id="604" w:name="_Toc412122470"/>
      <w:bookmarkStart w:id="605" w:name="_Toc428799355"/>
      <w:bookmarkStart w:id="606" w:name="_Toc433389814"/>
      <w:bookmarkStart w:id="607" w:name="_Toc485114387"/>
      <w:bookmarkStart w:id="608" w:name="_Toc485542723"/>
      <w:r w:rsidRPr="00944AE7">
        <w:lastRenderedPageBreak/>
        <w:t xml:space="preserve">Figure </w:t>
      </w:r>
      <w:r w:rsidR="00071E85">
        <w:fldChar w:fldCharType="begin"/>
      </w:r>
      <w:r w:rsidR="00071E85">
        <w:instrText xml:space="preserve"> SEQ Figure \* ARABIC </w:instrText>
      </w:r>
      <w:r w:rsidR="00071E85">
        <w:fldChar w:fldCharType="separate"/>
      </w:r>
      <w:r w:rsidR="00071E85">
        <w:rPr>
          <w:noProof/>
        </w:rPr>
        <w:t>56</w:t>
      </w:r>
      <w:r w:rsidR="00071E85">
        <w:rPr>
          <w:noProof/>
        </w:rPr>
        <w:fldChar w:fldCharType="end"/>
      </w:r>
      <w:bookmarkEnd w:id="602"/>
      <w:r w:rsidRPr="00944AE7">
        <w:rPr>
          <w:noProof/>
        </w:rPr>
        <w:t>:</w:t>
      </w:r>
      <w:r w:rsidRPr="00944AE7">
        <w:t xml:space="preserve"> Percentage of babies born preterm, by DHB of residence</w:t>
      </w:r>
      <w:bookmarkEnd w:id="603"/>
      <w:r w:rsidRPr="00944AE7">
        <w:t>, 2011 and 201</w:t>
      </w:r>
      <w:bookmarkEnd w:id="604"/>
      <w:bookmarkEnd w:id="605"/>
      <w:bookmarkEnd w:id="606"/>
      <w:r w:rsidRPr="00944AE7">
        <w:t>5</w:t>
      </w:r>
      <w:bookmarkEnd w:id="607"/>
      <w:bookmarkEnd w:id="608"/>
    </w:p>
    <w:p w:rsidR="000D44A5" w:rsidRPr="00944AE7" w:rsidRDefault="000D44A5" w:rsidP="000D44A5">
      <w:r w:rsidRPr="00944AE7">
        <w:rPr>
          <w:noProof/>
          <w:lang w:eastAsia="en-NZ"/>
        </w:rPr>
        <w:drawing>
          <wp:inline distT="0" distB="0" distL="0" distR="0" wp14:anchorId="35812954" wp14:editId="371B4E16">
            <wp:extent cx="5220000" cy="3511751"/>
            <wp:effectExtent l="0" t="0" r="0" b="0"/>
            <wp:docPr id="44" name="Picture 44" title="Figure 56: Percentage of babies born preterm,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byYear_Preterm.jpg"/>
                    <pic:cNvPicPr/>
                  </pic:nvPicPr>
                  <pic:blipFill>
                    <a:blip r:embed="rId80">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944AE7" w:rsidRDefault="000D44A5" w:rsidP="00194C0F">
      <w:pPr>
        <w:pStyle w:val="Note"/>
      </w:pPr>
      <w:r w:rsidRPr="00944AE7">
        <w:t>Note: The denominator used to calculate percentages is the total number of live-born babies for each DHB region, excluding those with unknown gestation.</w:t>
      </w:r>
    </w:p>
    <w:p w:rsidR="000D44A5" w:rsidRDefault="000D44A5" w:rsidP="00194C0F">
      <w:pPr>
        <w:pStyle w:val="Source"/>
      </w:pPr>
      <w:r>
        <w:t>Source: National Maternity Collection</w:t>
      </w:r>
    </w:p>
    <w:p w:rsidR="000D44A5" w:rsidRPr="00AF16D8" w:rsidRDefault="000D44A5" w:rsidP="00194C0F">
      <w:pPr>
        <w:rPr>
          <w:highlight w:val="yellow"/>
        </w:rPr>
      </w:pPr>
    </w:p>
    <w:p w:rsidR="000D44A5" w:rsidRPr="004F7398" w:rsidRDefault="000D44A5" w:rsidP="00194C0F">
      <w:pPr>
        <w:pStyle w:val="Heading3"/>
      </w:pPr>
      <w:r w:rsidRPr="004F7398">
        <w:t>Term babies with low birthweight</w:t>
      </w:r>
    </w:p>
    <w:p w:rsidR="000D44A5" w:rsidRPr="004F7398" w:rsidRDefault="000D44A5" w:rsidP="00194C0F">
      <w:r w:rsidRPr="004F7398">
        <w:t xml:space="preserve">In 2015, </w:t>
      </w:r>
      <w:r w:rsidR="00480E9F">
        <w:t xml:space="preserve">a total of </w:t>
      </w:r>
      <w:r>
        <w:t>1</w:t>
      </w:r>
      <w:r w:rsidR="00194C0F">
        <w:t>,</w:t>
      </w:r>
      <w:r>
        <w:t>005</w:t>
      </w:r>
      <w:r w:rsidRPr="004F7398">
        <w:t xml:space="preserve"> (1.9%) term babies were born with a low birthweight.</w:t>
      </w:r>
      <w:r w:rsidRPr="00194C0F">
        <w:rPr>
          <w:rStyle w:val="FootnoteReference"/>
        </w:rPr>
        <w:footnoteReference w:id="17"/>
      </w:r>
      <w:r w:rsidRPr="004F7398">
        <w:t xml:space="preserve"> Between 2006 and 2015, 1.8%–2.0% of babies born at term each year had a low birthweight.</w:t>
      </w:r>
    </w:p>
    <w:p w:rsidR="000D44A5" w:rsidRPr="00AF16D8" w:rsidRDefault="000D44A5" w:rsidP="00194C0F">
      <w:pPr>
        <w:rPr>
          <w:highlight w:val="yellow"/>
        </w:rPr>
      </w:pPr>
    </w:p>
    <w:p w:rsidR="000D44A5" w:rsidRPr="004F7398" w:rsidRDefault="000D44A5" w:rsidP="00194C0F">
      <w:r w:rsidRPr="004F7398">
        <w:t>A larger proportion of female babies than male babies were born at term with a low birthweight (2.3% of female babies compared with 1.6% of male babies).</w:t>
      </w:r>
    </w:p>
    <w:p w:rsidR="000D44A5" w:rsidRPr="004F7398" w:rsidRDefault="000D44A5" w:rsidP="00194C0F"/>
    <w:p w:rsidR="000D44A5" w:rsidRPr="00AF16D8" w:rsidRDefault="000D44A5" w:rsidP="00194C0F">
      <w:pPr>
        <w:rPr>
          <w:highlight w:val="yellow"/>
        </w:rPr>
      </w:pPr>
      <w:r w:rsidRPr="004F7398">
        <w:t>Across the demographic groups, the highest proportion of babies born at term with a low birthweight was among Indian babies (5.0%). Term babies from the most deprived neighbourhoods had a higher proportion of having a low birthweight than those from the least deprived neighbourhoods (2.3% of those in quintile 5 compared to 1.2% of those in quintile 1) (</w:t>
      </w:r>
      <w:r w:rsidRPr="004F7398">
        <w:fldChar w:fldCharType="begin"/>
      </w:r>
      <w:r w:rsidRPr="004F7398">
        <w:instrText xml:space="preserve"> REF _Ref429046636 \h  \* MERGEFORMAT </w:instrText>
      </w:r>
      <w:r w:rsidRPr="004F7398">
        <w:fldChar w:fldCharType="separate"/>
      </w:r>
      <w:r w:rsidR="00071E85" w:rsidRPr="004F7398">
        <w:t xml:space="preserve">Figure </w:t>
      </w:r>
      <w:r w:rsidR="00071E85">
        <w:rPr>
          <w:noProof/>
        </w:rPr>
        <w:t>57</w:t>
      </w:r>
      <w:r w:rsidRPr="004F7398">
        <w:fldChar w:fldCharType="end"/>
      </w:r>
      <w:r w:rsidRPr="004F7398">
        <w:t>).</w:t>
      </w:r>
    </w:p>
    <w:p w:rsidR="000D44A5" w:rsidRPr="00AF16D8" w:rsidRDefault="000D44A5" w:rsidP="00194C0F">
      <w:pPr>
        <w:rPr>
          <w:highlight w:val="yellow"/>
        </w:rPr>
      </w:pPr>
      <w:bookmarkStart w:id="609" w:name="_Ref400718296"/>
      <w:bookmarkStart w:id="610" w:name="_Toc405886981"/>
      <w:bookmarkStart w:id="611" w:name="_Toc412122471"/>
    </w:p>
    <w:p w:rsidR="000D44A5" w:rsidRPr="00AF16D8" w:rsidRDefault="000D44A5" w:rsidP="00194C0F">
      <w:pPr>
        <w:rPr>
          <w:highlight w:val="yellow"/>
        </w:rPr>
      </w:pPr>
      <w:r w:rsidRPr="003B6B58">
        <w:t>Whanganui DHB region had the highest proportion of term babies born with a low birthweight (3.5%) followed by Northland, Auckland and Hawke</w:t>
      </w:r>
      <w:r w:rsidR="00CB6D20">
        <w:t>’</w:t>
      </w:r>
      <w:r w:rsidRPr="003B6B58">
        <w:t xml:space="preserve">s Bay DHB regions (2.4% of babies in all three DHB regions). In comparison, only 0.8% of term babies in Wairarapa DHB region had a low birthweight. Between 2011 and 2015 the proportion of term babies born with a low birthweight fluctuated slightly for each DHB. Small but significant decreases were seen in Tairāwhiti and South Canterbury DHB regions </w:t>
      </w:r>
      <w:r>
        <w:t xml:space="preserve">over this </w:t>
      </w:r>
      <w:r w:rsidRPr="003B6B58">
        <w:t>period (</w:t>
      </w:r>
      <w:r w:rsidRPr="003B6B58">
        <w:fldChar w:fldCharType="begin"/>
      </w:r>
      <w:r w:rsidRPr="003B6B58">
        <w:instrText xml:space="preserve"> REF _Ref429046653 \h  \* MERGEFORMAT </w:instrText>
      </w:r>
      <w:r w:rsidRPr="003B6B58">
        <w:fldChar w:fldCharType="separate"/>
      </w:r>
      <w:r w:rsidR="00071E85" w:rsidRPr="00295563">
        <w:t xml:space="preserve">Figure </w:t>
      </w:r>
      <w:r w:rsidR="00071E85">
        <w:rPr>
          <w:noProof/>
        </w:rPr>
        <w:t>58</w:t>
      </w:r>
      <w:r w:rsidRPr="003B6B58">
        <w:fldChar w:fldCharType="end"/>
      </w:r>
      <w:r w:rsidRPr="003B6B58">
        <w:t xml:space="preserve">). Note that </w:t>
      </w:r>
      <w:r>
        <w:t xml:space="preserve">some of these </w:t>
      </w:r>
      <w:r w:rsidRPr="003B6B58">
        <w:t>proportions are based on small numbers</w:t>
      </w:r>
      <w:r>
        <w:t xml:space="preserve"> and should be interpreted accordingly</w:t>
      </w:r>
      <w:r w:rsidRPr="003B6B58">
        <w:t>.</w:t>
      </w:r>
    </w:p>
    <w:p w:rsidR="000D44A5" w:rsidRPr="00AF16D8" w:rsidRDefault="000D44A5" w:rsidP="00194C0F">
      <w:pPr>
        <w:rPr>
          <w:highlight w:val="yellow"/>
        </w:rPr>
      </w:pPr>
    </w:p>
    <w:p w:rsidR="000D44A5" w:rsidRPr="004F7398" w:rsidRDefault="000D44A5" w:rsidP="00194C0F">
      <w:pPr>
        <w:pStyle w:val="Figure"/>
      </w:pPr>
      <w:bookmarkStart w:id="612" w:name="_Ref429046636"/>
      <w:bookmarkStart w:id="613" w:name="_Toc428799356"/>
      <w:bookmarkStart w:id="614" w:name="_Toc433389815"/>
      <w:bookmarkStart w:id="615" w:name="_Toc485114388"/>
      <w:bookmarkStart w:id="616" w:name="_Toc485542724"/>
      <w:bookmarkEnd w:id="609"/>
      <w:r w:rsidRPr="004F7398">
        <w:lastRenderedPageBreak/>
        <w:t xml:space="preserve">Figure </w:t>
      </w:r>
      <w:r w:rsidR="00071E85">
        <w:fldChar w:fldCharType="begin"/>
      </w:r>
      <w:r w:rsidR="00071E85">
        <w:instrText xml:space="preserve"> SEQ Figure \* ARABIC </w:instrText>
      </w:r>
      <w:r w:rsidR="00071E85">
        <w:fldChar w:fldCharType="separate"/>
      </w:r>
      <w:r w:rsidR="00071E85">
        <w:rPr>
          <w:noProof/>
        </w:rPr>
        <w:t>57</w:t>
      </w:r>
      <w:r w:rsidR="00071E85">
        <w:rPr>
          <w:noProof/>
        </w:rPr>
        <w:fldChar w:fldCharType="end"/>
      </w:r>
      <w:bookmarkEnd w:id="612"/>
      <w:r w:rsidRPr="004F7398">
        <w:rPr>
          <w:noProof/>
        </w:rPr>
        <w:t>:</w:t>
      </w:r>
      <w:r w:rsidRPr="004F7398">
        <w:t xml:space="preserve"> Percentage of babies born at term with a low birthweight, by maternal age group, baby ethnic group and baby neighbourhood deprivation quintile, </w:t>
      </w:r>
      <w:bookmarkEnd w:id="610"/>
      <w:bookmarkEnd w:id="611"/>
      <w:r w:rsidRPr="004F7398">
        <w:t>201</w:t>
      </w:r>
      <w:bookmarkEnd w:id="613"/>
      <w:bookmarkEnd w:id="614"/>
      <w:r w:rsidRPr="004F7398">
        <w:t>5</w:t>
      </w:r>
      <w:bookmarkEnd w:id="615"/>
      <w:bookmarkEnd w:id="616"/>
    </w:p>
    <w:p w:rsidR="000D44A5" w:rsidRPr="00295563" w:rsidRDefault="000D44A5" w:rsidP="000D44A5">
      <w:r w:rsidRPr="00295563">
        <w:rPr>
          <w:noProof/>
          <w:lang w:eastAsia="en-NZ"/>
        </w:rPr>
        <w:drawing>
          <wp:inline distT="0" distB="0" distL="0" distR="0" wp14:anchorId="09632B42" wp14:editId="3C7F3C39">
            <wp:extent cx="5195454" cy="3100648"/>
            <wp:effectExtent l="0" t="0" r="5715" b="5080"/>
            <wp:docPr id="33" name="Picture 33" title="Figure 57: Percentage of babies born at term with a low birthweight, by maternal age group, baby ethnic group and baby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1">
                      <a:extLst>
                        <a:ext uri="{28A0092B-C50C-407E-A947-70E740481C1C}">
                          <a14:useLocalDpi xmlns:a14="http://schemas.microsoft.com/office/drawing/2010/main" val="0"/>
                        </a:ext>
                      </a:extLst>
                    </a:blip>
                    <a:srcRect l="1730" t="1538" b="2801"/>
                    <a:stretch/>
                  </pic:blipFill>
                  <pic:spPr bwMode="auto">
                    <a:xfrm>
                      <a:off x="0" y="0"/>
                      <a:ext cx="5206944" cy="3107505"/>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295563" w:rsidRDefault="000D44A5" w:rsidP="00194C0F">
      <w:pPr>
        <w:pStyle w:val="Note"/>
      </w:pPr>
      <w:r w:rsidRPr="00295563">
        <w:t>Note: The denominator used to calculate percentages is the number of live-born babies born at gestation of 37 weeks or more for each demographic group, excluding those with unknown birthweight.</w:t>
      </w:r>
    </w:p>
    <w:p w:rsidR="000D44A5" w:rsidRDefault="000D44A5" w:rsidP="00194C0F">
      <w:pPr>
        <w:pStyle w:val="Source"/>
      </w:pPr>
      <w:r>
        <w:t>Source: National Maternity Collection</w:t>
      </w:r>
    </w:p>
    <w:p w:rsidR="000D44A5" w:rsidRPr="00295563" w:rsidRDefault="000D44A5" w:rsidP="00194C0F"/>
    <w:p w:rsidR="000D44A5" w:rsidRPr="00295563" w:rsidRDefault="000D44A5" w:rsidP="00194C0F">
      <w:pPr>
        <w:pStyle w:val="Figure"/>
      </w:pPr>
      <w:bookmarkStart w:id="617" w:name="_Ref429046653"/>
      <w:bookmarkStart w:id="618" w:name="_Toc405886982"/>
      <w:bookmarkStart w:id="619" w:name="_Toc412122472"/>
      <w:bookmarkStart w:id="620" w:name="_Toc428799357"/>
      <w:bookmarkStart w:id="621" w:name="_Toc433389816"/>
      <w:bookmarkStart w:id="622" w:name="_Toc485114389"/>
      <w:bookmarkStart w:id="623" w:name="_Toc485542725"/>
      <w:r w:rsidRPr="00295563">
        <w:t xml:space="preserve">Figure </w:t>
      </w:r>
      <w:r w:rsidR="00071E85">
        <w:fldChar w:fldCharType="begin"/>
      </w:r>
      <w:r w:rsidR="00071E85">
        <w:instrText xml:space="preserve"> SEQ Figure \* ARABIC </w:instrText>
      </w:r>
      <w:r w:rsidR="00071E85">
        <w:fldChar w:fldCharType="separate"/>
      </w:r>
      <w:r w:rsidR="00071E85">
        <w:rPr>
          <w:noProof/>
        </w:rPr>
        <w:t>58</w:t>
      </w:r>
      <w:r w:rsidR="00071E85">
        <w:rPr>
          <w:noProof/>
        </w:rPr>
        <w:fldChar w:fldCharType="end"/>
      </w:r>
      <w:bookmarkEnd w:id="617"/>
      <w:r w:rsidRPr="00295563">
        <w:rPr>
          <w:noProof/>
        </w:rPr>
        <w:t>:</w:t>
      </w:r>
      <w:r w:rsidRPr="00295563">
        <w:t xml:space="preserve"> Percentage of babies born at term with a low birthweight, by DHB of residence</w:t>
      </w:r>
      <w:bookmarkEnd w:id="618"/>
      <w:r w:rsidRPr="00295563">
        <w:t>, 2011 and 201</w:t>
      </w:r>
      <w:bookmarkEnd w:id="619"/>
      <w:bookmarkEnd w:id="620"/>
      <w:bookmarkEnd w:id="621"/>
      <w:r w:rsidRPr="00295563">
        <w:t>5</w:t>
      </w:r>
      <w:bookmarkEnd w:id="622"/>
      <w:bookmarkEnd w:id="623"/>
    </w:p>
    <w:p w:rsidR="000D44A5" w:rsidRPr="00295563" w:rsidRDefault="000D44A5" w:rsidP="000D44A5">
      <w:r w:rsidRPr="00295563">
        <w:rPr>
          <w:noProof/>
          <w:lang w:eastAsia="en-NZ"/>
        </w:rPr>
        <w:drawing>
          <wp:inline distT="0" distB="0" distL="0" distR="0" wp14:anchorId="783627DA" wp14:editId="50A3CB88">
            <wp:extent cx="5220000" cy="3511751"/>
            <wp:effectExtent l="0" t="0" r="0" b="0"/>
            <wp:docPr id="41" name="Picture 41" title="Figure 58: Percentage of babies born at term with a low birthweight,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abyYear_TermLowBW.jpg"/>
                    <pic:cNvPicPr/>
                  </pic:nvPicPr>
                  <pic:blipFill>
                    <a:blip r:embed="rId82">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295563" w:rsidRDefault="000D44A5" w:rsidP="00194C0F">
      <w:pPr>
        <w:pStyle w:val="Note"/>
      </w:pPr>
      <w:r w:rsidRPr="00295563">
        <w:t>Note: The denominator used to calculate percentages is the number of live-born babies born at gestation of 37 weeks or more for each DHB region, excluding those with unknown birthweight.</w:t>
      </w:r>
    </w:p>
    <w:p w:rsidR="000D44A5" w:rsidRDefault="000D44A5" w:rsidP="00194C0F">
      <w:pPr>
        <w:pStyle w:val="Source"/>
      </w:pPr>
      <w:r>
        <w:t>Source: National Maternity Collection</w:t>
      </w:r>
    </w:p>
    <w:p w:rsidR="000D44A5" w:rsidRPr="00AF16D8" w:rsidRDefault="000D44A5" w:rsidP="00194C0F">
      <w:pPr>
        <w:rPr>
          <w:highlight w:val="yellow"/>
        </w:rPr>
      </w:pPr>
    </w:p>
    <w:p w:rsidR="000D44A5" w:rsidRPr="004F7398" w:rsidRDefault="000D44A5" w:rsidP="00194C0F">
      <w:pPr>
        <w:pStyle w:val="Heading2"/>
      </w:pPr>
      <w:bookmarkStart w:id="624" w:name="_Ref405542283"/>
      <w:bookmarkStart w:id="625" w:name="_Toc405887018"/>
      <w:bookmarkStart w:id="626" w:name="_Toc412122413"/>
      <w:bookmarkStart w:id="627" w:name="_Toc431462737"/>
      <w:bookmarkStart w:id="628" w:name="_Toc479583275"/>
      <w:bookmarkStart w:id="629" w:name="_Toc485542643"/>
      <w:r w:rsidRPr="004F7398">
        <w:lastRenderedPageBreak/>
        <w:t>Breastfeeding</w:t>
      </w:r>
      <w:bookmarkEnd w:id="624"/>
      <w:bookmarkEnd w:id="625"/>
      <w:bookmarkEnd w:id="626"/>
      <w:bookmarkEnd w:id="627"/>
      <w:bookmarkEnd w:id="628"/>
      <w:bookmarkEnd w:id="629"/>
    </w:p>
    <w:p w:rsidR="000D44A5" w:rsidRPr="004F7398" w:rsidRDefault="000D44A5" w:rsidP="00194C0F">
      <w:pPr>
        <w:pStyle w:val="Box"/>
      </w:pPr>
      <w:r w:rsidRPr="004F7398">
        <w:t>Breast milk is seen as the perfect food for an infant as it contributes positively to infant and also maternal health. The Ministry of Health uses the following standard breastfeeding definitions for New Zealand (Ministry of Health 2002).</w:t>
      </w:r>
    </w:p>
    <w:p w:rsidR="000D44A5" w:rsidRPr="004F7398" w:rsidRDefault="000D44A5" w:rsidP="00194C0F">
      <w:pPr>
        <w:pStyle w:val="Box"/>
      </w:pPr>
      <w:r w:rsidRPr="004F7398">
        <w:rPr>
          <w:b/>
        </w:rPr>
        <w:t xml:space="preserve">Exclusive: </w:t>
      </w:r>
      <w:r w:rsidRPr="004F7398">
        <w:t>the infant who has never, to the mother</w:t>
      </w:r>
      <w:r w:rsidR="00CB6D20">
        <w:t>’</w:t>
      </w:r>
      <w:r w:rsidRPr="004F7398">
        <w:t>s knowledge, had any water, formula or other liquid or solid food. Only breast milk (from the breast or expressed) and prescribed medicines (defined in the Medicines Act 1981) have been given to the baby from birth.</w:t>
      </w:r>
    </w:p>
    <w:p w:rsidR="000D44A5" w:rsidRPr="004F7398" w:rsidRDefault="000D44A5" w:rsidP="00194C0F">
      <w:pPr>
        <w:pStyle w:val="Box"/>
      </w:pPr>
      <w:r w:rsidRPr="004F7398">
        <w:rPr>
          <w:b/>
        </w:rPr>
        <w:t>Fully:</w:t>
      </w:r>
      <w:r w:rsidRPr="004F7398">
        <w:t xml:space="preserve"> the infant has taken breast milk only, and no other liquids or solids except a minimal amount of water or prescribed medicines, in the past 48 hours.</w:t>
      </w:r>
    </w:p>
    <w:p w:rsidR="000D44A5" w:rsidRPr="004F7398" w:rsidRDefault="000D44A5" w:rsidP="00194C0F">
      <w:pPr>
        <w:pStyle w:val="Box"/>
      </w:pPr>
      <w:r w:rsidRPr="004F7398">
        <w:rPr>
          <w:b/>
        </w:rPr>
        <w:t xml:space="preserve">Partial: </w:t>
      </w:r>
      <w:r w:rsidRPr="004F7398">
        <w:t>the infant has taken some breast milk and some infant formula or other solid food in the past 48 hours.</w:t>
      </w:r>
    </w:p>
    <w:p w:rsidR="000D44A5" w:rsidRPr="004F7398" w:rsidRDefault="000D44A5" w:rsidP="00194C0F">
      <w:pPr>
        <w:pStyle w:val="Box"/>
      </w:pPr>
      <w:r w:rsidRPr="004F7398">
        <w:rPr>
          <w:b/>
        </w:rPr>
        <w:t>Artificial:</w:t>
      </w:r>
      <w:r w:rsidRPr="004F7398">
        <w:t xml:space="preserve"> the infant has had no breast milk but has had alternative liquid such as infant formula, with or without solid food in the past 48 hours.</w:t>
      </w:r>
    </w:p>
    <w:p w:rsidR="000D44A5" w:rsidRPr="004F7398" w:rsidRDefault="000D44A5" w:rsidP="00194C0F">
      <w:pPr>
        <w:pStyle w:val="Box"/>
      </w:pPr>
      <w:r w:rsidRPr="004F7398">
        <w:t>The data presented regarding breastfeeding is primarily sourced from LMC claim forms, with additional data from some DHB primary maternity services. It is therefore only available for babies of women registered with an LMC or with a DHB primary maternity service (approximately 95% of women giving birth).</w:t>
      </w:r>
    </w:p>
    <w:p w:rsidR="000D44A5" w:rsidRPr="00AF16D8" w:rsidRDefault="000D44A5" w:rsidP="00194C0F">
      <w:pPr>
        <w:rPr>
          <w:highlight w:val="yellow"/>
        </w:rPr>
      </w:pPr>
    </w:p>
    <w:p w:rsidR="000D44A5" w:rsidRPr="00AF16D8" w:rsidRDefault="000D44A5" w:rsidP="00194C0F">
      <w:pPr>
        <w:rPr>
          <w:highlight w:val="yellow"/>
        </w:rPr>
      </w:pPr>
      <w:r w:rsidRPr="003B55E7">
        <w:t xml:space="preserve">Of babies with known breastfeeding status in 2015, the majority were breastfed, either exclusively (69.3%), fully (9.1%) or partially (14.6%) at two weeks after birth. </w:t>
      </w:r>
      <w:r>
        <w:t xml:space="preserve">Between 2006 and </w:t>
      </w:r>
      <w:r w:rsidRPr="003B55E7">
        <w:t xml:space="preserve">2015 the proportion of partially breastfed babies increased slightly from 12.2% to 14.6%, while the proportion of babies exclusively or fully breastfed at two weeks after birth remained relatively stable. During the same period there was an increase in </w:t>
      </w:r>
      <w:r>
        <w:t xml:space="preserve">the percentage of </w:t>
      </w:r>
      <w:r w:rsidRPr="003B55E7">
        <w:t>babies</w:t>
      </w:r>
      <w:r>
        <w:t xml:space="preserve"> receiving at least some breast milk,</w:t>
      </w:r>
      <w:r w:rsidRPr="003B55E7">
        <w:t xml:space="preserve"> from 90.3% to 93.0% (</w:t>
      </w:r>
      <w:r w:rsidRPr="003B55E7">
        <w:fldChar w:fldCharType="begin"/>
      </w:r>
      <w:r w:rsidRPr="003B55E7">
        <w:instrText xml:space="preserve"> REF _Ref429052713 \h  \* MERGEFORMAT </w:instrText>
      </w:r>
      <w:r w:rsidRPr="003B55E7">
        <w:fldChar w:fldCharType="separate"/>
      </w:r>
      <w:r w:rsidR="00071E85" w:rsidRPr="003B55E7">
        <w:t xml:space="preserve">Figure </w:t>
      </w:r>
      <w:r w:rsidR="00071E85">
        <w:rPr>
          <w:noProof/>
        </w:rPr>
        <w:t>59</w:t>
      </w:r>
      <w:r w:rsidRPr="003B55E7">
        <w:fldChar w:fldCharType="end"/>
      </w:r>
      <w:r w:rsidRPr="003B55E7">
        <w:t>).</w:t>
      </w:r>
    </w:p>
    <w:p w:rsidR="000D44A5" w:rsidRPr="00AF16D8" w:rsidRDefault="000D44A5" w:rsidP="00194C0F">
      <w:pPr>
        <w:rPr>
          <w:highlight w:val="yellow"/>
        </w:rPr>
      </w:pPr>
    </w:p>
    <w:p w:rsidR="000D44A5" w:rsidRPr="003B55E7" w:rsidRDefault="000D44A5" w:rsidP="00194C0F">
      <w:pPr>
        <w:pStyle w:val="Figure"/>
      </w:pPr>
      <w:bookmarkStart w:id="630" w:name="_Ref429052713"/>
      <w:bookmarkStart w:id="631" w:name="_Toc433389817"/>
      <w:bookmarkStart w:id="632" w:name="_Toc485114390"/>
      <w:bookmarkStart w:id="633" w:name="_Toc485542726"/>
      <w:r w:rsidRPr="003B55E7">
        <w:t xml:space="preserve">Figure </w:t>
      </w:r>
      <w:r w:rsidR="00071E85">
        <w:fldChar w:fldCharType="begin"/>
      </w:r>
      <w:r w:rsidR="00071E85">
        <w:instrText xml:space="preserve"> SEQ Figure \* ARABIC </w:instrText>
      </w:r>
      <w:r w:rsidR="00071E85">
        <w:fldChar w:fldCharType="separate"/>
      </w:r>
      <w:r w:rsidR="00071E85">
        <w:rPr>
          <w:noProof/>
        </w:rPr>
        <w:t>59</w:t>
      </w:r>
      <w:r w:rsidR="00071E85">
        <w:rPr>
          <w:noProof/>
        </w:rPr>
        <w:fldChar w:fldCharType="end"/>
      </w:r>
      <w:bookmarkEnd w:id="630"/>
      <w:r w:rsidRPr="003B55E7">
        <w:t>: Percentage of babies, by breastfeeding status at two weeks after birth,</w:t>
      </w:r>
      <w:r w:rsidRPr="003B55E7">
        <w:br/>
        <w:t>200</w:t>
      </w:r>
      <w:r>
        <w:t>8</w:t>
      </w:r>
      <w:r w:rsidRPr="003B55E7">
        <w:t>–201</w:t>
      </w:r>
      <w:bookmarkEnd w:id="631"/>
      <w:r w:rsidRPr="003B55E7">
        <w:t>5</w:t>
      </w:r>
      <w:bookmarkEnd w:id="632"/>
      <w:bookmarkEnd w:id="633"/>
    </w:p>
    <w:p w:rsidR="000D44A5" w:rsidRPr="00AF16D8" w:rsidRDefault="000D44A5" w:rsidP="000D44A5">
      <w:pPr>
        <w:rPr>
          <w:highlight w:val="yellow"/>
        </w:rPr>
      </w:pPr>
      <w:r w:rsidRPr="00825493">
        <w:rPr>
          <w:noProof/>
          <w:lang w:eastAsia="en-NZ"/>
        </w:rPr>
        <w:drawing>
          <wp:inline distT="0" distB="0" distL="0" distR="0" wp14:anchorId="015D6716" wp14:editId="774863F2">
            <wp:extent cx="4497186" cy="2234942"/>
            <wp:effectExtent l="0" t="0" r="0" b="0"/>
            <wp:docPr id="50" name="Picture 50" title="Figure 59: Percentage of babies, by breastfeeding status at two weeks after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3">
                      <a:extLst>
                        <a:ext uri="{28A0092B-C50C-407E-A947-70E740481C1C}">
                          <a14:useLocalDpi xmlns:a14="http://schemas.microsoft.com/office/drawing/2010/main" val="0"/>
                        </a:ext>
                      </a:extLst>
                    </a:blip>
                    <a:srcRect l="1795" t="2511"/>
                    <a:stretch/>
                  </pic:blipFill>
                  <pic:spPr bwMode="auto">
                    <a:xfrm>
                      <a:off x="0" y="0"/>
                      <a:ext cx="4495907" cy="2234306"/>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3B55E7" w:rsidRDefault="000D44A5" w:rsidP="00194C0F">
      <w:pPr>
        <w:pStyle w:val="Note"/>
      </w:pPr>
      <w:r w:rsidRPr="003B55E7">
        <w:t>Notes:</w:t>
      </w:r>
    </w:p>
    <w:p w:rsidR="000D44A5" w:rsidRPr="003B55E7" w:rsidRDefault="000D44A5" w:rsidP="00194C0F">
      <w:pPr>
        <w:pStyle w:val="Note"/>
      </w:pPr>
      <w:r w:rsidRPr="003B55E7">
        <w:t>The denominator used to calculate the percentage is the number of babies, excluding those with unknown breastfeeding status at two weeks after birth.</w:t>
      </w:r>
    </w:p>
    <w:p w:rsidR="000D44A5" w:rsidRPr="003B55E7" w:rsidRDefault="000D44A5" w:rsidP="00194C0F">
      <w:pPr>
        <w:pStyle w:val="Note"/>
      </w:pPr>
      <w:r w:rsidRPr="003B55E7">
        <w:t>Breastfeeding status is only available for babies of women registered with an LMC or a DHB primary maternity service</w:t>
      </w:r>
      <w:r>
        <w:t xml:space="preserve"> (approximately 92% of babies in 2015).</w:t>
      </w:r>
    </w:p>
    <w:p w:rsidR="000D44A5" w:rsidRDefault="000D44A5" w:rsidP="00194C0F">
      <w:pPr>
        <w:pStyle w:val="Source"/>
      </w:pPr>
      <w:r>
        <w:t>Source: National Maternity Collection</w:t>
      </w:r>
    </w:p>
    <w:p w:rsidR="000D44A5" w:rsidRPr="00AF16D8" w:rsidRDefault="000D44A5" w:rsidP="00194C0F">
      <w:pPr>
        <w:rPr>
          <w:highlight w:val="yellow"/>
        </w:rPr>
      </w:pPr>
    </w:p>
    <w:p w:rsidR="000D44A5" w:rsidRPr="003B55E7" w:rsidRDefault="000D44A5" w:rsidP="00194C0F">
      <w:r w:rsidRPr="003B55E7">
        <w:lastRenderedPageBreak/>
        <w:t xml:space="preserve">Approximately 80% of babies born to women aged 25–39 years were exclusively or fully breastfed at two weeks after birth. Babies born to women aged </w:t>
      </w:r>
      <w:r>
        <w:t>under</w:t>
      </w:r>
      <w:r w:rsidRPr="003B55E7">
        <w:t xml:space="preserve"> 20 years were less likely to be breastfed at two weeks after birth: 68.6% were exclusively or fully breastfed, 16.7%</w:t>
      </w:r>
      <w:r>
        <w:t xml:space="preserve"> </w:t>
      </w:r>
      <w:r w:rsidRPr="003B55E7">
        <w:t>were partially breastfed and 14.6%</w:t>
      </w:r>
      <w:r>
        <w:t xml:space="preserve"> </w:t>
      </w:r>
      <w:r w:rsidRPr="003B55E7">
        <w:t>were fed artificially.</w:t>
      </w:r>
    </w:p>
    <w:p w:rsidR="000D44A5" w:rsidRPr="003B55E7" w:rsidRDefault="000D44A5" w:rsidP="00194C0F"/>
    <w:p w:rsidR="00CB6D20" w:rsidRDefault="000D44A5" w:rsidP="00194C0F">
      <w:r w:rsidRPr="003B55E7">
        <w:t xml:space="preserve">The proportion of babies receiving breast milk was lowest for Māori: 76.0% of babies were being exclusively or fully breasted at two weeks after birth, and a further 13.1% were being partially breastfed. </w:t>
      </w:r>
      <w:bookmarkStart w:id="634" w:name="_Toc324870052"/>
      <w:bookmarkStart w:id="635" w:name="_Ref325019048"/>
      <w:r w:rsidRPr="003B55E7">
        <w:t>Babies in the European or Other ethnic group had the highest proportion of being exclusively or fully breastfed (81.9%).</w:t>
      </w:r>
      <w:r>
        <w:t xml:space="preserve"> Indian and Asian (excl</w:t>
      </w:r>
      <w:r w:rsidR="007E161A">
        <w:t>uding</w:t>
      </w:r>
      <w:r>
        <w:t xml:space="preserve"> Indian) babies were most likely to receive at least some breast milk (98.0% and 97.4% of babies, respectively).</w:t>
      </w:r>
    </w:p>
    <w:bookmarkEnd w:id="634"/>
    <w:bookmarkEnd w:id="635"/>
    <w:p w:rsidR="000D44A5" w:rsidRPr="003B55E7" w:rsidRDefault="000D44A5" w:rsidP="00194C0F"/>
    <w:p w:rsidR="000D44A5" w:rsidRPr="003B55E7" w:rsidRDefault="000D44A5" w:rsidP="00194C0F">
      <w:r w:rsidRPr="003B55E7">
        <w:t>Breastfeeding was more common for babies from less deprived neighbourhoods than for babies from more deprived neighbourhoods (95.2% of babies in quintile 1 compared with 90.1% of babies in quintile 5).</w:t>
      </w:r>
    </w:p>
    <w:p w:rsidR="000D44A5" w:rsidRPr="00AF16D8" w:rsidRDefault="000D44A5" w:rsidP="00194C0F">
      <w:pPr>
        <w:rPr>
          <w:highlight w:val="yellow"/>
        </w:rPr>
      </w:pPr>
    </w:p>
    <w:p w:rsidR="000D44A5" w:rsidRPr="003B55E7" w:rsidRDefault="000D44A5" w:rsidP="00194C0F">
      <w:r w:rsidRPr="0021121A">
        <w:t>Figure </w:t>
      </w:r>
      <w:r w:rsidR="0021121A" w:rsidRPr="0021121A">
        <w:t>6</w:t>
      </w:r>
      <w:r w:rsidR="0021121A">
        <w:t>0</w:t>
      </w:r>
      <w:r w:rsidRPr="003B55E7">
        <w:t xml:space="preserve"> presents the distribution of breastfed babies by maternal age, ethnic group and deprivation quintile.</w:t>
      </w:r>
    </w:p>
    <w:p w:rsidR="000D44A5" w:rsidRPr="00AF16D8" w:rsidRDefault="000D44A5" w:rsidP="00194C0F">
      <w:pPr>
        <w:rPr>
          <w:highlight w:val="yellow"/>
        </w:rPr>
      </w:pPr>
    </w:p>
    <w:p w:rsidR="000D44A5" w:rsidRPr="0077280F" w:rsidRDefault="000D44A5" w:rsidP="000D44A5">
      <w:pPr>
        <w:pStyle w:val="Figure"/>
      </w:pPr>
      <w:bookmarkStart w:id="636" w:name="_Ref429046545"/>
      <w:bookmarkStart w:id="637" w:name="_Toc400706162"/>
      <w:bookmarkStart w:id="638" w:name="_Toc405886983"/>
      <w:bookmarkStart w:id="639" w:name="_Toc412122473"/>
      <w:bookmarkStart w:id="640" w:name="_Toc428799358"/>
      <w:bookmarkStart w:id="641" w:name="_Toc433389818"/>
      <w:bookmarkStart w:id="642" w:name="_Toc485114391"/>
      <w:bookmarkStart w:id="643" w:name="_Toc485542727"/>
      <w:r w:rsidRPr="0077280F">
        <w:t xml:space="preserve">Figure </w:t>
      </w:r>
      <w:r w:rsidR="00071E85">
        <w:fldChar w:fldCharType="begin"/>
      </w:r>
      <w:r w:rsidR="00071E85">
        <w:instrText xml:space="preserve"> SEQ Figure \* ARABIC </w:instrText>
      </w:r>
      <w:r w:rsidR="00071E85">
        <w:fldChar w:fldCharType="separate"/>
      </w:r>
      <w:r w:rsidR="00071E85">
        <w:rPr>
          <w:noProof/>
        </w:rPr>
        <w:t>60</w:t>
      </w:r>
      <w:r w:rsidR="00071E85">
        <w:rPr>
          <w:noProof/>
        </w:rPr>
        <w:fldChar w:fldCharType="end"/>
      </w:r>
      <w:bookmarkEnd w:id="636"/>
      <w:r w:rsidRPr="0077280F">
        <w:rPr>
          <w:noProof/>
        </w:rPr>
        <w:t>:</w:t>
      </w:r>
      <w:r w:rsidRPr="0077280F">
        <w:t xml:space="preserve"> Percentage of breastfed babies at two weeks after birth, by maternal age group, baby ethnic group and baby neighbourhood deprivation quintile, </w:t>
      </w:r>
      <w:bookmarkEnd w:id="637"/>
      <w:bookmarkEnd w:id="638"/>
      <w:bookmarkEnd w:id="639"/>
      <w:r w:rsidRPr="0077280F">
        <w:t>201</w:t>
      </w:r>
      <w:bookmarkEnd w:id="640"/>
      <w:bookmarkEnd w:id="641"/>
      <w:r w:rsidRPr="0077280F">
        <w:t>5</w:t>
      </w:r>
      <w:bookmarkEnd w:id="642"/>
      <w:bookmarkEnd w:id="643"/>
    </w:p>
    <w:p w:rsidR="000D44A5" w:rsidRPr="0077280F" w:rsidRDefault="000D44A5" w:rsidP="000D44A5">
      <w:r>
        <w:rPr>
          <w:noProof/>
          <w:lang w:eastAsia="en-NZ"/>
        </w:rPr>
        <w:drawing>
          <wp:inline distT="0" distB="0" distL="0" distR="0" wp14:anchorId="2F2F3A85" wp14:editId="41E4CC12">
            <wp:extent cx="5010571" cy="3325091"/>
            <wp:effectExtent l="0" t="0" r="0" b="8890"/>
            <wp:docPr id="37" name="Picture 37" title="Figure 60: Percentage of breastfed babies at two weeks after birth, by maternal age group, baby ethnic group and baby neighbourhood deprivation quint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4">
                      <a:extLst>
                        <a:ext uri="{28A0092B-C50C-407E-A947-70E740481C1C}">
                          <a14:useLocalDpi xmlns:a14="http://schemas.microsoft.com/office/drawing/2010/main" val="0"/>
                        </a:ext>
                      </a:extLst>
                    </a:blip>
                    <a:srcRect l="1472" t="1899" b="3088"/>
                    <a:stretch/>
                  </pic:blipFill>
                  <pic:spPr bwMode="auto">
                    <a:xfrm>
                      <a:off x="0" y="0"/>
                      <a:ext cx="5021981" cy="3332663"/>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77280F" w:rsidRDefault="000D44A5" w:rsidP="001D4CCC">
      <w:pPr>
        <w:pStyle w:val="Note"/>
      </w:pPr>
      <w:bookmarkStart w:id="644" w:name="_Toc400706163"/>
      <w:r w:rsidRPr="0077280F">
        <w:t>Notes:</w:t>
      </w:r>
    </w:p>
    <w:p w:rsidR="000D44A5" w:rsidRPr="0077280F" w:rsidRDefault="000D44A5" w:rsidP="001D4CCC">
      <w:pPr>
        <w:pStyle w:val="Note"/>
      </w:pPr>
      <w:r w:rsidRPr="0077280F">
        <w:t>The denominator used to calculate the percentage is the number of babies</w:t>
      </w:r>
      <w:r>
        <w:t xml:space="preserve"> for that demographic group</w:t>
      </w:r>
      <w:r w:rsidRPr="0077280F">
        <w:t>, excluding those with unknown breastfeeding status at two weeks after birth.</w:t>
      </w:r>
    </w:p>
    <w:p w:rsidR="000D44A5" w:rsidRPr="0077280F" w:rsidRDefault="000D44A5" w:rsidP="001D4CCC">
      <w:pPr>
        <w:pStyle w:val="Note"/>
      </w:pPr>
      <w:r w:rsidRPr="0077280F">
        <w:t>Breastfeeding status is only available for babies of women registered with an LMC or a DHB primary maternity service</w:t>
      </w:r>
      <w:r>
        <w:t xml:space="preserve"> (approximately 92% of babies in 2015)</w:t>
      </w:r>
      <w:r w:rsidRPr="0077280F">
        <w:t>.</w:t>
      </w:r>
    </w:p>
    <w:p w:rsidR="000D44A5" w:rsidRDefault="000D44A5" w:rsidP="001D4CCC">
      <w:pPr>
        <w:pStyle w:val="Source"/>
      </w:pPr>
      <w:r>
        <w:t>Source: National Maternity Collection</w:t>
      </w:r>
    </w:p>
    <w:p w:rsidR="001D4CCC" w:rsidRPr="001D4CCC" w:rsidRDefault="001D4CCC" w:rsidP="001D4CCC"/>
    <w:p w:rsidR="000D44A5" w:rsidRPr="005662FC" w:rsidRDefault="000D44A5" w:rsidP="001D4CCC">
      <w:bookmarkStart w:id="645" w:name="_Toc405886984"/>
      <w:bookmarkStart w:id="646" w:name="_Toc412122474"/>
      <w:bookmarkStart w:id="647" w:name="_Toc428799359"/>
      <w:r w:rsidRPr="005662FC">
        <w:t>In 2015, babies in Tairāwhiti DHB region had the highest proportion of being breastfed exclusively or fully (85.0%), while MidCentral DHB region had the lowest proportion (73.9%).</w:t>
      </w:r>
    </w:p>
    <w:p w:rsidR="000D44A5" w:rsidRPr="00AF16D8" w:rsidRDefault="000D44A5" w:rsidP="001D4CCC">
      <w:pPr>
        <w:rPr>
          <w:highlight w:val="yellow"/>
        </w:rPr>
      </w:pPr>
    </w:p>
    <w:p w:rsidR="000D44A5" w:rsidRPr="00AF16D8" w:rsidRDefault="000D44A5" w:rsidP="001D4CCC">
      <w:pPr>
        <w:keepLines/>
        <w:rPr>
          <w:highlight w:val="yellow"/>
        </w:rPr>
      </w:pPr>
      <w:r w:rsidRPr="00900D9D">
        <w:lastRenderedPageBreak/>
        <w:t xml:space="preserve">From 2011 and 2015 the proportion of babies exclusively or fully breastfed at two weeks after birth decreased in most DHB regions. This decrease was significant for babies in Wairarapa (from 82.8% </w:t>
      </w:r>
      <w:r w:rsidRPr="00B66394">
        <w:t xml:space="preserve">to 74.6%), Lakes (from 84.9% to 78.5%), </w:t>
      </w:r>
      <w:r>
        <w:t>Taranaki</w:t>
      </w:r>
      <w:r w:rsidRPr="00B66394">
        <w:t xml:space="preserve"> (from </w:t>
      </w:r>
      <w:r>
        <w:t>80.4</w:t>
      </w:r>
      <w:r w:rsidRPr="00B66394">
        <w:t xml:space="preserve">% to </w:t>
      </w:r>
      <w:r>
        <w:t>76.4</w:t>
      </w:r>
      <w:r w:rsidRPr="00B66394">
        <w:t>%)</w:t>
      </w:r>
      <w:r>
        <w:t xml:space="preserve">, Auckland (from 83.2% to 79.7%), </w:t>
      </w:r>
      <w:r w:rsidRPr="00B66394">
        <w:t xml:space="preserve">Counties Manukau (from 76.5% to 74.4%) </w:t>
      </w:r>
      <w:r>
        <w:t xml:space="preserve">and Waikato (from 81.0% to 79.0%) </w:t>
      </w:r>
      <w:r w:rsidRPr="00B66394">
        <w:t>DHB regions. There was a significant increase in the proportion of babies exclusively or fully breastfed in Northland DHB region (from 68.6% to 82.7%) (</w:t>
      </w:r>
      <w:r w:rsidRPr="00B66394">
        <w:fldChar w:fldCharType="begin"/>
      </w:r>
      <w:r w:rsidRPr="00B66394">
        <w:instrText xml:space="preserve"> REF _Ref429046539 \h  \* MERGEFORMAT </w:instrText>
      </w:r>
      <w:r w:rsidRPr="00B66394">
        <w:fldChar w:fldCharType="separate"/>
      </w:r>
      <w:r w:rsidR="00071E85" w:rsidRPr="000110D6">
        <w:t xml:space="preserve">Figure </w:t>
      </w:r>
      <w:r w:rsidR="00071E85">
        <w:rPr>
          <w:noProof/>
        </w:rPr>
        <w:t>61</w:t>
      </w:r>
      <w:r w:rsidRPr="00B66394">
        <w:fldChar w:fldCharType="end"/>
      </w:r>
      <w:r w:rsidRPr="00B66394">
        <w:t>).</w:t>
      </w:r>
    </w:p>
    <w:p w:rsidR="000D44A5" w:rsidRPr="00AF16D8" w:rsidRDefault="000D44A5" w:rsidP="001D4CCC">
      <w:pPr>
        <w:rPr>
          <w:highlight w:val="yellow"/>
        </w:rPr>
      </w:pPr>
    </w:p>
    <w:p w:rsidR="000D44A5" w:rsidRPr="000110D6" w:rsidRDefault="000D44A5" w:rsidP="001D4CCC">
      <w:pPr>
        <w:pStyle w:val="Figure"/>
      </w:pPr>
      <w:bookmarkStart w:id="648" w:name="_Ref429046539"/>
      <w:bookmarkStart w:id="649" w:name="_Toc433389819"/>
      <w:bookmarkStart w:id="650" w:name="_Toc485114392"/>
      <w:bookmarkStart w:id="651" w:name="_Toc485542728"/>
      <w:r w:rsidRPr="000110D6">
        <w:t xml:space="preserve">Figure </w:t>
      </w:r>
      <w:r w:rsidR="00071E85">
        <w:fldChar w:fldCharType="begin"/>
      </w:r>
      <w:r w:rsidR="00071E85">
        <w:instrText xml:space="preserve"> SEQ Figure \* ARAB</w:instrText>
      </w:r>
      <w:r w:rsidR="00071E85">
        <w:instrText xml:space="preserve">IC </w:instrText>
      </w:r>
      <w:r w:rsidR="00071E85">
        <w:fldChar w:fldCharType="separate"/>
      </w:r>
      <w:r w:rsidR="00071E85">
        <w:rPr>
          <w:noProof/>
        </w:rPr>
        <w:t>61</w:t>
      </w:r>
      <w:r w:rsidR="00071E85">
        <w:rPr>
          <w:noProof/>
        </w:rPr>
        <w:fldChar w:fldCharType="end"/>
      </w:r>
      <w:bookmarkEnd w:id="648"/>
      <w:r w:rsidRPr="000110D6">
        <w:t>: Percentage of babies exclusively or fully breastfed at two weeks after birth, by DHB of residence</w:t>
      </w:r>
      <w:bookmarkEnd w:id="644"/>
      <w:bookmarkEnd w:id="645"/>
      <w:r w:rsidRPr="000110D6">
        <w:t>, 2011 and 201</w:t>
      </w:r>
      <w:bookmarkEnd w:id="646"/>
      <w:bookmarkEnd w:id="647"/>
      <w:bookmarkEnd w:id="649"/>
      <w:r w:rsidRPr="000110D6">
        <w:t>5</w:t>
      </w:r>
      <w:bookmarkEnd w:id="650"/>
      <w:bookmarkEnd w:id="651"/>
    </w:p>
    <w:p w:rsidR="000D44A5" w:rsidRPr="000110D6" w:rsidRDefault="000D44A5" w:rsidP="000D44A5">
      <w:r w:rsidRPr="000110D6">
        <w:rPr>
          <w:rFonts w:ascii="Arial" w:hAnsi="Arial"/>
          <w:noProof/>
          <w:sz w:val="18"/>
          <w:lang w:eastAsia="en-NZ"/>
        </w:rPr>
        <w:drawing>
          <wp:inline distT="0" distB="0" distL="0" distR="0" wp14:anchorId="01759A85" wp14:editId="17B59AD7">
            <wp:extent cx="5220000" cy="3511751"/>
            <wp:effectExtent l="0" t="0" r="0" b="0"/>
            <wp:docPr id="83" name="Picture 83" title="Figure 61: Percentage of babies exclusively or fully breastfed at two weeks after birth, by DHB of residence, 2011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abyYear_Breastfed.jpg"/>
                    <pic:cNvPicPr/>
                  </pic:nvPicPr>
                  <pic:blipFill>
                    <a:blip r:embed="rId85">
                      <a:extLst>
                        <a:ext uri="{28A0092B-C50C-407E-A947-70E740481C1C}">
                          <a14:useLocalDpi xmlns:a14="http://schemas.microsoft.com/office/drawing/2010/main" val="0"/>
                        </a:ext>
                      </a:extLst>
                    </a:blip>
                    <a:stretch>
                      <a:fillRect/>
                    </a:stretch>
                  </pic:blipFill>
                  <pic:spPr>
                    <a:xfrm>
                      <a:off x="0" y="0"/>
                      <a:ext cx="5220000" cy="3511751"/>
                    </a:xfrm>
                    <a:prstGeom prst="rect">
                      <a:avLst/>
                    </a:prstGeom>
                  </pic:spPr>
                </pic:pic>
              </a:graphicData>
            </a:graphic>
          </wp:inline>
        </w:drawing>
      </w:r>
    </w:p>
    <w:p w:rsidR="000D44A5" w:rsidRPr="000110D6" w:rsidRDefault="000D44A5" w:rsidP="001D4CCC">
      <w:pPr>
        <w:pStyle w:val="Note"/>
        <w:rPr>
          <w:rStyle w:val="NoteChar"/>
        </w:rPr>
      </w:pPr>
      <w:r w:rsidRPr="000110D6">
        <w:rPr>
          <w:rStyle w:val="NoteChar"/>
        </w:rPr>
        <w:t>Notes:</w:t>
      </w:r>
    </w:p>
    <w:p w:rsidR="000D44A5" w:rsidRPr="000110D6" w:rsidRDefault="000D44A5" w:rsidP="001D4CCC">
      <w:pPr>
        <w:pStyle w:val="Note"/>
        <w:rPr>
          <w:rStyle w:val="NoteChar"/>
        </w:rPr>
      </w:pPr>
      <w:r w:rsidRPr="000110D6">
        <w:rPr>
          <w:rStyle w:val="NoteChar"/>
        </w:rPr>
        <w:t>The denominator used to calculate the percentage is the number of babies, excluding those with unknown breastfeeding status at two weeks after birth.</w:t>
      </w:r>
    </w:p>
    <w:p w:rsidR="000D44A5" w:rsidRPr="000110D6" w:rsidRDefault="000D44A5" w:rsidP="001D4CCC">
      <w:pPr>
        <w:pStyle w:val="Note"/>
      </w:pPr>
      <w:r w:rsidRPr="000110D6">
        <w:t>Breastfeeding status is only available for babies of women registered with an LMC or a DHB primary maternity service</w:t>
      </w:r>
      <w:r>
        <w:t xml:space="preserve"> (approximately 92% of babies in 2015)</w:t>
      </w:r>
      <w:r w:rsidRPr="000110D6">
        <w:t>.</w:t>
      </w:r>
    </w:p>
    <w:p w:rsidR="000D44A5" w:rsidRDefault="000D44A5" w:rsidP="001D4CCC">
      <w:pPr>
        <w:pStyle w:val="Source"/>
      </w:pPr>
      <w:r>
        <w:t>Source: National Maternity Collection</w:t>
      </w:r>
    </w:p>
    <w:p w:rsidR="000D44A5" w:rsidRPr="00AF16D8" w:rsidRDefault="000D44A5" w:rsidP="001D4CCC">
      <w:pPr>
        <w:rPr>
          <w:highlight w:val="yellow"/>
        </w:rPr>
      </w:pPr>
    </w:p>
    <w:p w:rsidR="000D44A5" w:rsidRPr="00CE4002" w:rsidRDefault="000D44A5" w:rsidP="001D4CCC">
      <w:pPr>
        <w:pStyle w:val="Heading2"/>
      </w:pPr>
      <w:bookmarkStart w:id="652" w:name="_Toc431462738"/>
      <w:bookmarkStart w:id="653" w:name="_Toc479583276"/>
      <w:bookmarkStart w:id="654" w:name="_Toc485542644"/>
      <w:r w:rsidRPr="00CE4002">
        <w:lastRenderedPageBreak/>
        <w:t>Handover of care</w:t>
      </w:r>
      <w:bookmarkEnd w:id="652"/>
      <w:bookmarkEnd w:id="653"/>
      <w:bookmarkEnd w:id="654"/>
    </w:p>
    <w:p w:rsidR="000D44A5" w:rsidRPr="00CE4002" w:rsidRDefault="000D44A5" w:rsidP="001D4CCC">
      <w:pPr>
        <w:pStyle w:val="Box"/>
        <w:keepNext/>
      </w:pPr>
      <w:r w:rsidRPr="00CE4002">
        <w:t>Under the Primary Maternity Services Notice 2007, the LMC is responsible for ensuring that handover</w:t>
      </w:r>
      <w:r>
        <w:t xml:space="preserve"> to primary care and Well Child/</w:t>
      </w:r>
      <w:r w:rsidRPr="00CE4002">
        <w:t>Tamariki Ora services takes place. At four to six weeks after birth</w:t>
      </w:r>
      <w:r w:rsidR="00480E9F">
        <w:t>,</w:t>
      </w:r>
      <w:r w:rsidRPr="00CE4002">
        <w:t xml:space="preserve"> the LMC must:</w:t>
      </w:r>
    </w:p>
    <w:p w:rsidR="000D44A5" w:rsidRPr="00CE4002" w:rsidRDefault="000D44A5" w:rsidP="001D4CCC">
      <w:pPr>
        <w:pStyle w:val="BoxBullet"/>
        <w:keepNext/>
      </w:pPr>
      <w:r w:rsidRPr="00CE4002">
        <w:t>discharge the woman from LMC services and notify their GP</w:t>
      </w:r>
    </w:p>
    <w:p w:rsidR="000D44A5" w:rsidRPr="00CE4002" w:rsidRDefault="000D44A5" w:rsidP="001D4CCC">
      <w:pPr>
        <w:pStyle w:val="BoxBullet"/>
        <w:keepNext/>
      </w:pPr>
      <w:r w:rsidRPr="00CE4002">
        <w:t>transfer the baby</w:t>
      </w:r>
      <w:r w:rsidR="00CB6D20">
        <w:t>’</w:t>
      </w:r>
      <w:r>
        <w:t>s care to a Well Child/</w:t>
      </w:r>
      <w:r w:rsidRPr="00CE4002">
        <w:t>Tamariki Ora provider.</w:t>
      </w:r>
    </w:p>
    <w:p w:rsidR="000D44A5" w:rsidRPr="00CE4002" w:rsidRDefault="000D44A5" w:rsidP="001D4CCC">
      <w:pPr>
        <w:pStyle w:val="Box"/>
        <w:keepNext/>
      </w:pPr>
      <w:r w:rsidRPr="00CE4002">
        <w:t>Women may decline the refer</w:t>
      </w:r>
      <w:r>
        <w:t>ral to a GP and to a Well Child/</w:t>
      </w:r>
      <w:r w:rsidRPr="00CE4002">
        <w:t>Tamariki Ora provider.</w:t>
      </w:r>
    </w:p>
    <w:p w:rsidR="000D44A5" w:rsidRPr="00CE4002" w:rsidRDefault="000D44A5" w:rsidP="001D4CCC">
      <w:pPr>
        <w:pStyle w:val="Box"/>
        <w:keepNext/>
      </w:pPr>
      <w:r w:rsidRPr="00CE4002">
        <w:t>The data presented regarding referrals is sourced from LMC claim forms and is therefore only available for women who were registered with an LMC and their babies.</w:t>
      </w:r>
    </w:p>
    <w:p w:rsidR="000D44A5" w:rsidRPr="00AF16D8" w:rsidRDefault="000D44A5" w:rsidP="001D4CCC">
      <w:pPr>
        <w:keepNext/>
        <w:rPr>
          <w:highlight w:val="yellow"/>
        </w:rPr>
      </w:pPr>
    </w:p>
    <w:p w:rsidR="000D44A5" w:rsidRPr="00CE4002" w:rsidRDefault="000D44A5" w:rsidP="001D4CCC">
      <w:r w:rsidRPr="00CE4002">
        <w:t>Of the women who registered with an LMC in 2015, the vast majority accepted referral to their GPs at LMC discharge (95.4%). Care for the majority of the babies was transferred to a Well Child/Tamariki Ora provider (97.9%).</w:t>
      </w:r>
    </w:p>
    <w:p w:rsidR="000D44A5" w:rsidRPr="00CE4002" w:rsidRDefault="000D44A5" w:rsidP="001D4CCC"/>
    <w:p w:rsidR="000D44A5" w:rsidRPr="00CE4002" w:rsidRDefault="000D44A5" w:rsidP="001D4CCC">
      <w:r w:rsidRPr="00CE4002">
        <w:t>The proportion of referral for women and their babies has been consistently high at over 95% from 200</w:t>
      </w:r>
      <w:r>
        <w:t>8</w:t>
      </w:r>
      <w:r w:rsidRPr="00CE4002">
        <w:t xml:space="preserve"> to 2015 (</w:t>
      </w:r>
      <w:r w:rsidRPr="00CE4002">
        <w:fldChar w:fldCharType="begin"/>
      </w:r>
      <w:r w:rsidRPr="00CE4002">
        <w:instrText xml:space="preserve"> REF _Ref429046392 \h  \* MERGEFORMAT </w:instrText>
      </w:r>
      <w:r w:rsidRPr="00CE4002">
        <w:fldChar w:fldCharType="separate"/>
      </w:r>
      <w:r w:rsidR="00071E85" w:rsidRPr="00CE4002">
        <w:t xml:space="preserve">Figure </w:t>
      </w:r>
      <w:r w:rsidR="00071E85">
        <w:rPr>
          <w:noProof/>
        </w:rPr>
        <w:t>62</w:t>
      </w:r>
      <w:r w:rsidRPr="00CE4002">
        <w:fldChar w:fldCharType="end"/>
      </w:r>
      <w:r w:rsidRPr="00CE4002">
        <w:t>).</w:t>
      </w:r>
    </w:p>
    <w:p w:rsidR="000D44A5" w:rsidRPr="00AF16D8" w:rsidRDefault="000D44A5" w:rsidP="001D4CCC">
      <w:pPr>
        <w:rPr>
          <w:highlight w:val="yellow"/>
        </w:rPr>
      </w:pPr>
    </w:p>
    <w:p w:rsidR="000D44A5" w:rsidRPr="00CE4002" w:rsidRDefault="000D44A5" w:rsidP="001D4CCC">
      <w:pPr>
        <w:pStyle w:val="Figure"/>
      </w:pPr>
      <w:bookmarkStart w:id="655" w:name="_Ref429046392"/>
      <w:bookmarkStart w:id="656" w:name="_Toc400706149"/>
      <w:bookmarkStart w:id="657" w:name="_Toc405886985"/>
      <w:bookmarkStart w:id="658" w:name="_Toc412122475"/>
      <w:bookmarkStart w:id="659" w:name="_Toc428799360"/>
      <w:bookmarkStart w:id="660" w:name="_Toc433389820"/>
      <w:bookmarkStart w:id="661" w:name="_Toc485114393"/>
      <w:bookmarkStart w:id="662" w:name="_Toc485542729"/>
      <w:r w:rsidRPr="00CE4002">
        <w:t xml:space="preserve">Figure </w:t>
      </w:r>
      <w:r w:rsidR="00071E85">
        <w:fldChar w:fldCharType="begin"/>
      </w:r>
      <w:r w:rsidR="00071E85">
        <w:instrText xml:space="preserve"> SEQ Figure \* ARABIC </w:instrText>
      </w:r>
      <w:r w:rsidR="00071E85">
        <w:fldChar w:fldCharType="separate"/>
      </w:r>
      <w:r w:rsidR="00071E85">
        <w:rPr>
          <w:noProof/>
        </w:rPr>
        <w:t>62</w:t>
      </w:r>
      <w:r w:rsidR="00071E85">
        <w:rPr>
          <w:noProof/>
        </w:rPr>
        <w:fldChar w:fldCharType="end"/>
      </w:r>
      <w:bookmarkEnd w:id="655"/>
      <w:r w:rsidRPr="00CE4002">
        <w:rPr>
          <w:noProof/>
        </w:rPr>
        <w:t>:</w:t>
      </w:r>
      <w:r w:rsidRPr="00CE4002">
        <w:t xml:space="preserve"> Percentage of women referred to their general practitioner and babies to a Well Child/Tamariki Ora provider</w:t>
      </w:r>
      <w:bookmarkEnd w:id="656"/>
      <w:r w:rsidRPr="00CE4002">
        <w:t>, 200</w:t>
      </w:r>
      <w:r>
        <w:t>8</w:t>
      </w:r>
      <w:r w:rsidRPr="00CE4002">
        <w:t>–201</w:t>
      </w:r>
      <w:bookmarkEnd w:id="657"/>
      <w:bookmarkEnd w:id="658"/>
      <w:bookmarkEnd w:id="659"/>
      <w:bookmarkEnd w:id="660"/>
      <w:r w:rsidRPr="00CE4002">
        <w:t>5</w:t>
      </w:r>
      <w:bookmarkEnd w:id="661"/>
      <w:bookmarkEnd w:id="662"/>
    </w:p>
    <w:p w:rsidR="000D44A5" w:rsidRPr="00CE4002" w:rsidRDefault="000D44A5" w:rsidP="000D44A5">
      <w:r>
        <w:rPr>
          <w:noProof/>
          <w:lang w:eastAsia="en-NZ"/>
        </w:rPr>
        <w:drawing>
          <wp:inline distT="0" distB="0" distL="0" distR="0" wp14:anchorId="6A322FDF" wp14:editId="226378D2">
            <wp:extent cx="3956858" cy="3883733"/>
            <wp:effectExtent l="0" t="0" r="5715" b="2540"/>
            <wp:docPr id="51" name="Picture 51" title="Figure 62: Percentage of women referred to their general practitioner and babies to a Well Child/Tamariki Ora provider,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1417" b="1017"/>
                    <a:stretch/>
                  </pic:blipFill>
                  <pic:spPr bwMode="auto">
                    <a:xfrm>
                      <a:off x="0" y="0"/>
                      <a:ext cx="3975497" cy="3902028"/>
                    </a:xfrm>
                    <a:prstGeom prst="rect">
                      <a:avLst/>
                    </a:prstGeom>
                    <a:ln>
                      <a:noFill/>
                    </a:ln>
                    <a:extLst>
                      <a:ext uri="{53640926-AAD7-44D8-BBD7-CCE9431645EC}">
                        <a14:shadowObscured xmlns:a14="http://schemas.microsoft.com/office/drawing/2010/main"/>
                      </a:ext>
                    </a:extLst>
                  </pic:spPr>
                </pic:pic>
              </a:graphicData>
            </a:graphic>
          </wp:inline>
        </w:drawing>
      </w:r>
    </w:p>
    <w:p w:rsidR="000D44A5" w:rsidRPr="00CE4002" w:rsidRDefault="000D44A5" w:rsidP="001D4CCC">
      <w:pPr>
        <w:pStyle w:val="Note"/>
      </w:pPr>
      <w:r w:rsidRPr="00CE4002">
        <w:t>Notes:</w:t>
      </w:r>
    </w:p>
    <w:p w:rsidR="000D44A5" w:rsidRPr="00CE4002" w:rsidRDefault="000D44A5" w:rsidP="001D4CCC">
      <w:pPr>
        <w:pStyle w:val="Note"/>
      </w:pPr>
      <w:r w:rsidRPr="00CE4002">
        <w:t>The denominator used to calculate percentages is the number of women giving birth or of live-born babies, excluding those with unknown status regarding referral (4–6% each year).</w:t>
      </w:r>
    </w:p>
    <w:p w:rsidR="000D44A5" w:rsidRPr="00CE4002" w:rsidRDefault="000D44A5" w:rsidP="001D4CCC">
      <w:pPr>
        <w:pStyle w:val="Note"/>
      </w:pPr>
      <w:r w:rsidRPr="00CE4002">
        <w:t>Referral data is sourced from LMC claim forms and is therefore only available for women registered with an LMC and their babies.</w:t>
      </w:r>
    </w:p>
    <w:p w:rsidR="000D44A5" w:rsidRDefault="000D44A5" w:rsidP="001D4CCC">
      <w:pPr>
        <w:pStyle w:val="Source"/>
      </w:pPr>
      <w:r>
        <w:t>Source: National Maternity Collection</w:t>
      </w:r>
    </w:p>
    <w:p w:rsidR="001D4CCC" w:rsidRPr="001D4CCC" w:rsidRDefault="001D4CCC" w:rsidP="001D4CCC"/>
    <w:p w:rsidR="000D44A5" w:rsidRPr="00E05550" w:rsidRDefault="000D44A5" w:rsidP="001D4CCC">
      <w:pPr>
        <w:pStyle w:val="Heading1"/>
      </w:pPr>
      <w:bookmarkStart w:id="663" w:name="_Toc412122415"/>
      <w:bookmarkStart w:id="664" w:name="_Toc431462739"/>
      <w:bookmarkStart w:id="665" w:name="_Toc479583277"/>
      <w:bookmarkStart w:id="666" w:name="_Toc485542645"/>
      <w:r w:rsidRPr="00E05550">
        <w:lastRenderedPageBreak/>
        <w:t>References</w:t>
      </w:r>
      <w:bookmarkEnd w:id="663"/>
      <w:bookmarkEnd w:id="664"/>
      <w:bookmarkEnd w:id="665"/>
      <w:bookmarkEnd w:id="666"/>
    </w:p>
    <w:p w:rsidR="000D44A5" w:rsidRPr="00E05550" w:rsidRDefault="000D44A5" w:rsidP="000D44A5">
      <w:pPr>
        <w:pStyle w:val="References"/>
      </w:pPr>
      <w:r w:rsidRPr="00E05550">
        <w:t xml:space="preserve">APHO. 2008. </w:t>
      </w:r>
      <w:r w:rsidRPr="00E05550">
        <w:rPr>
          <w:i/>
        </w:rPr>
        <w:t>Technical Briefing 3: Commonly used public health statistics and their confidence intervals</w:t>
      </w:r>
      <w:r w:rsidRPr="00E05550">
        <w:t>.</w:t>
      </w:r>
      <w:r w:rsidRPr="00E05550">
        <w:rPr>
          <w:i/>
        </w:rPr>
        <w:t xml:space="preserve"> </w:t>
      </w:r>
      <w:r w:rsidRPr="00E05550">
        <w:t>London: Association of Public Health Observatories.</w:t>
      </w:r>
    </w:p>
    <w:p w:rsidR="000D44A5" w:rsidRPr="00E05550" w:rsidRDefault="000D44A5" w:rsidP="000D44A5">
      <w:pPr>
        <w:pStyle w:val="References"/>
      </w:pPr>
      <w:r w:rsidRPr="00E05550">
        <w:t xml:space="preserve">Birthplace in England Collaborative Group. 2011. Perinatal and maternal outcomes by planned place of birth for healthy women with low risk pregnancies: the Birthplace in England national prospective cohort study. </w:t>
      </w:r>
      <w:r w:rsidRPr="00E05550">
        <w:rPr>
          <w:i/>
        </w:rPr>
        <w:t>BMJ</w:t>
      </w:r>
      <w:r w:rsidRPr="00E05550">
        <w:t xml:space="preserve"> 343: d7400.</w:t>
      </w:r>
    </w:p>
    <w:p w:rsidR="000D44A5" w:rsidRPr="00E05550" w:rsidRDefault="000D44A5" w:rsidP="000D44A5">
      <w:pPr>
        <w:pStyle w:val="References"/>
      </w:pPr>
      <w:r w:rsidRPr="00E05550">
        <w:t xml:space="preserve">Chalmers B, Kaczorowski J, Darling R, et al. 2010. Cesarean and vaginal birth in Canadian women: a comparison of experiences. </w:t>
      </w:r>
      <w:r w:rsidRPr="00E05550">
        <w:rPr>
          <w:i/>
        </w:rPr>
        <w:t>Birth</w:t>
      </w:r>
      <w:r w:rsidRPr="00E05550">
        <w:t xml:space="preserve"> 37(1): 44–9. DOI: 10.1111/j.1523-536X.2009.00377.x (accessed 22 October 2015).</w:t>
      </w:r>
    </w:p>
    <w:p w:rsidR="000D44A5" w:rsidRPr="00E05550" w:rsidRDefault="000D44A5" w:rsidP="000D44A5">
      <w:pPr>
        <w:pStyle w:val="References"/>
      </w:pPr>
      <w:r w:rsidRPr="00E05550">
        <w:t xml:space="preserve">Gregory K, Jackson S, Korst L, et al. 2012. Cesarean versus vaginal delivery: Whose risks? Whose benefits? </w:t>
      </w:r>
      <w:r w:rsidRPr="00E05550">
        <w:rPr>
          <w:i/>
        </w:rPr>
        <w:t>American Journal of Perinatology</w:t>
      </w:r>
      <w:r w:rsidRPr="00E05550">
        <w:t xml:space="preserve"> 29(1): 7–18. DOI: 10.1055/s-0031-1285829 (accessed 22 October 2015).</w:t>
      </w:r>
    </w:p>
    <w:p w:rsidR="000D44A5" w:rsidRPr="00E05550" w:rsidRDefault="000D44A5" w:rsidP="000D44A5">
      <w:pPr>
        <w:pStyle w:val="References"/>
      </w:pPr>
      <w:r w:rsidRPr="00E05550">
        <w:t xml:space="preserve">Jordan S, Emery S, Bradshaw C, et al. 2005. The impact of intrapartum analgesia on infant feeding. </w:t>
      </w:r>
      <w:r w:rsidRPr="00E05550">
        <w:rPr>
          <w:i/>
        </w:rPr>
        <w:t>British Journal of Obstetrics &amp; Gynaecology</w:t>
      </w:r>
      <w:r w:rsidRPr="00E05550">
        <w:t xml:space="preserve"> 112: 927–34. DOI: 10.1111/j.1471-0528.2005.00548.x (accessed 22 October 2015).</w:t>
      </w:r>
    </w:p>
    <w:p w:rsidR="000D44A5" w:rsidRPr="00E05550" w:rsidRDefault="000D44A5" w:rsidP="000D44A5">
      <w:pPr>
        <w:pStyle w:val="References"/>
      </w:pPr>
      <w:r w:rsidRPr="00E05550">
        <w:t xml:space="preserve">Levine E, Ghai V, Barton J, et al. 2001. Mode of delivery and risk of respiratory diseases in newborns. </w:t>
      </w:r>
      <w:r w:rsidRPr="00E05550">
        <w:rPr>
          <w:i/>
        </w:rPr>
        <w:t>Obstetrics &amp; Gynaecology</w:t>
      </w:r>
      <w:r w:rsidRPr="00E05550">
        <w:t xml:space="preserve"> 97(3): 439–42.</w:t>
      </w:r>
    </w:p>
    <w:p w:rsidR="000D44A5" w:rsidRPr="00E05550" w:rsidRDefault="000D44A5" w:rsidP="000D44A5">
      <w:pPr>
        <w:pStyle w:val="References"/>
      </w:pPr>
      <w:r w:rsidRPr="00E05550">
        <w:t xml:space="preserve">Ministry of Health. 2002. </w:t>
      </w:r>
      <w:r w:rsidRPr="00E05550">
        <w:rPr>
          <w:i/>
        </w:rPr>
        <w:t>Breastfeeding: A guide to action</w:t>
      </w:r>
      <w:r w:rsidRPr="00E05550">
        <w:t>. Wellington: Ministry of Health.</w:t>
      </w:r>
    </w:p>
    <w:p w:rsidR="000D44A5" w:rsidRPr="00E05550" w:rsidRDefault="000D44A5" w:rsidP="000D44A5">
      <w:pPr>
        <w:pStyle w:val="References"/>
      </w:pPr>
      <w:r w:rsidRPr="00E05550">
        <w:t xml:space="preserve">Ministry of Health. 2004. </w:t>
      </w:r>
      <w:r w:rsidRPr="00E05550">
        <w:rPr>
          <w:i/>
        </w:rPr>
        <w:t>Ethnicity Data Protocols for the Health and Disability Sector</w:t>
      </w:r>
      <w:r w:rsidRPr="00E05550">
        <w:t>. Wellington: Ministry of Health.</w:t>
      </w:r>
    </w:p>
    <w:p w:rsidR="000D44A5" w:rsidRPr="00E05550" w:rsidRDefault="000D44A5" w:rsidP="000D44A5">
      <w:pPr>
        <w:pStyle w:val="References"/>
      </w:pPr>
      <w:r w:rsidRPr="00E05550">
        <w:t xml:space="preserve">Ministry of Health. 2006. </w:t>
      </w:r>
      <w:r w:rsidRPr="00E05550">
        <w:rPr>
          <w:i/>
        </w:rPr>
        <w:t>Report on Maternity: Maternal and newborn information 2003</w:t>
      </w:r>
      <w:r w:rsidRPr="00E05550">
        <w:t>.</w:t>
      </w:r>
      <w:r w:rsidRPr="00E05550">
        <w:rPr>
          <w:i/>
        </w:rPr>
        <w:t xml:space="preserve"> </w:t>
      </w:r>
      <w:r w:rsidRPr="00E05550">
        <w:t>Wellington: Ministry of Health.</w:t>
      </w:r>
    </w:p>
    <w:p w:rsidR="000D44A5" w:rsidRPr="00E05550" w:rsidRDefault="000D44A5" w:rsidP="000D44A5">
      <w:pPr>
        <w:pStyle w:val="References"/>
      </w:pPr>
      <w:r w:rsidRPr="00E05550">
        <w:t xml:space="preserve">Ministry of Health. 2012. </w:t>
      </w:r>
      <w:r w:rsidRPr="00E05550">
        <w:rPr>
          <w:i/>
        </w:rPr>
        <w:t>Guidelines for Consultation with Obstetric and Related Medical Services (Referral Guidelines)</w:t>
      </w:r>
      <w:r w:rsidRPr="00E05550">
        <w:t>. Wellington: Ministry of Health.</w:t>
      </w:r>
    </w:p>
    <w:p w:rsidR="000D44A5" w:rsidRPr="00E05550" w:rsidRDefault="000D44A5" w:rsidP="000D44A5">
      <w:pPr>
        <w:pStyle w:val="References"/>
      </w:pPr>
      <w:r w:rsidRPr="00E05550">
        <w:t xml:space="preserve">NICE. 2014. </w:t>
      </w:r>
      <w:r w:rsidRPr="00E05550">
        <w:rPr>
          <w:i/>
        </w:rPr>
        <w:t>Intrapartum Care: Care of healthy women and their babies during childbirth (NICE clinical guideline 190)</w:t>
      </w:r>
      <w:r w:rsidRPr="00E05550">
        <w:t>. London: National Institute of Health and Care Excellence.</w:t>
      </w:r>
    </w:p>
    <w:p w:rsidR="000D44A5" w:rsidRPr="00E05550" w:rsidRDefault="000D44A5" w:rsidP="000D44A5">
      <w:pPr>
        <w:pStyle w:val="References"/>
      </w:pPr>
      <w:r w:rsidRPr="00E05550">
        <w:t xml:space="preserve">OECD. 2015. Caesarean sections. In: </w:t>
      </w:r>
      <w:r w:rsidRPr="00E05550">
        <w:rPr>
          <w:i/>
        </w:rPr>
        <w:t>Health at a Glance 2015: OECD Indicators</w:t>
      </w:r>
      <w:r w:rsidRPr="00E05550">
        <w:t>. OECD Publishing.</w:t>
      </w:r>
    </w:p>
    <w:p w:rsidR="000D44A5" w:rsidRPr="00E05550" w:rsidRDefault="000D44A5" w:rsidP="000D44A5">
      <w:pPr>
        <w:pStyle w:val="References"/>
      </w:pPr>
      <w:r w:rsidRPr="00E05550">
        <w:t xml:space="preserve">Penders J, Thijs C, Vinc C, et al. 2006. Factors influencing the composition of the intestinal microbiota in early infancy. </w:t>
      </w:r>
      <w:r w:rsidRPr="00E05550">
        <w:rPr>
          <w:i/>
        </w:rPr>
        <w:t>Paediatrics</w:t>
      </w:r>
      <w:r w:rsidRPr="00E05550">
        <w:t xml:space="preserve"> 118(2): 511–21. DOI: 10.1542/peds.2005-2824 (accessed 22 October 2015).</w:t>
      </w:r>
    </w:p>
    <w:p w:rsidR="000D44A5" w:rsidRPr="00E05550" w:rsidRDefault="000D44A5" w:rsidP="000D44A5">
      <w:pPr>
        <w:pStyle w:val="References"/>
      </w:pPr>
      <w:r w:rsidRPr="00E05550">
        <w:t xml:space="preserve">PMMRC. 2014. </w:t>
      </w:r>
      <w:r w:rsidRPr="00E05550">
        <w:rPr>
          <w:i/>
        </w:rPr>
        <w:t>Eighth Annual Report of the Perinatal and Maternal Mortality Review Committee: Reporting mortality 2012.</w:t>
      </w:r>
      <w:r w:rsidRPr="00E05550">
        <w:t xml:space="preserve"> Wellington: Health Quality &amp; Safety Commission.</w:t>
      </w:r>
    </w:p>
    <w:p w:rsidR="000D44A5" w:rsidRPr="00E05550" w:rsidRDefault="000D44A5" w:rsidP="000D44A5">
      <w:pPr>
        <w:pStyle w:val="References"/>
      </w:pPr>
      <w:r w:rsidRPr="00E05550">
        <w:t xml:space="preserve">WHO. 1975. </w:t>
      </w:r>
      <w:r w:rsidRPr="00E05550">
        <w:rPr>
          <w:i/>
        </w:rPr>
        <w:t>International Classification of Diseases (Volume 1): 1975 revision</w:t>
      </w:r>
      <w:r w:rsidRPr="00E05550">
        <w:t>.</w:t>
      </w:r>
      <w:r w:rsidRPr="00E05550">
        <w:rPr>
          <w:i/>
        </w:rPr>
        <w:t xml:space="preserve"> </w:t>
      </w:r>
      <w:r w:rsidRPr="00E05550">
        <w:t>Geneva: World Health Organization.</w:t>
      </w:r>
    </w:p>
    <w:p w:rsidR="000D44A5" w:rsidRPr="00E05550" w:rsidRDefault="000D44A5" w:rsidP="000D44A5">
      <w:pPr>
        <w:pStyle w:val="References"/>
      </w:pPr>
      <w:r w:rsidRPr="00E05550">
        <w:t xml:space="preserve">WHO. 2005. </w:t>
      </w:r>
      <w:r w:rsidRPr="00E05550">
        <w:rPr>
          <w:i/>
        </w:rPr>
        <w:t>Maternal and Newborn Health in the WHO European Region: The challenges and the way forward: Fact sheet EURO/03/05</w:t>
      </w:r>
      <w:r w:rsidRPr="00E05550">
        <w:t>. Copenhagen: World Health Organization.</w:t>
      </w:r>
    </w:p>
    <w:p w:rsidR="000D44A5" w:rsidRPr="00E05550" w:rsidRDefault="000D44A5" w:rsidP="000D44A5">
      <w:pPr>
        <w:pStyle w:val="References"/>
      </w:pPr>
      <w:r w:rsidRPr="00E05550">
        <w:t xml:space="preserve">WHO, UNICEF. 2004. </w:t>
      </w:r>
      <w:r w:rsidRPr="00E05550">
        <w:rPr>
          <w:i/>
        </w:rPr>
        <w:t>Low Birthweight: Country, regional and global estimates</w:t>
      </w:r>
      <w:r w:rsidRPr="00E05550">
        <w:t>. New York: United Nations Children</w:t>
      </w:r>
      <w:r w:rsidR="00CB6D20">
        <w:t>’</w:t>
      </w:r>
      <w:r w:rsidRPr="00E05550">
        <w:t>s Fund.</w:t>
      </w:r>
    </w:p>
    <w:p w:rsidR="000D44A5" w:rsidRPr="00AF16D8" w:rsidRDefault="000D44A5" w:rsidP="001D4CCC">
      <w:pPr>
        <w:rPr>
          <w:highlight w:val="yellow"/>
        </w:rPr>
      </w:pPr>
      <w:bookmarkStart w:id="667" w:name="_Ref400698239"/>
      <w:bookmarkStart w:id="668" w:name="_Toc405887020"/>
      <w:bookmarkStart w:id="669" w:name="_Toc412122416"/>
    </w:p>
    <w:p w:rsidR="000D44A5" w:rsidRPr="00C87FBC" w:rsidRDefault="000D44A5" w:rsidP="001D4CCC">
      <w:pPr>
        <w:pStyle w:val="Heading1"/>
      </w:pPr>
      <w:bookmarkStart w:id="670" w:name="_Ref413143428"/>
      <w:bookmarkStart w:id="671" w:name="_Toc431462740"/>
      <w:bookmarkStart w:id="672" w:name="_Toc479583278"/>
      <w:bookmarkStart w:id="673" w:name="_Toc485542646"/>
      <w:r w:rsidRPr="00C87FBC">
        <w:lastRenderedPageBreak/>
        <w:t>Glossary</w:t>
      </w:r>
      <w:bookmarkEnd w:id="667"/>
      <w:bookmarkEnd w:id="668"/>
      <w:bookmarkEnd w:id="669"/>
      <w:bookmarkEnd w:id="670"/>
      <w:bookmarkEnd w:id="671"/>
      <w:bookmarkEnd w:id="672"/>
      <w:bookmarkEnd w:id="673"/>
    </w:p>
    <w:tbl>
      <w:tblPr>
        <w:tblW w:w="9464" w:type="dxa"/>
        <w:tblLayout w:type="fixed"/>
        <w:tblLook w:val="0420" w:firstRow="1" w:lastRow="0" w:firstColumn="0" w:lastColumn="0" w:noHBand="0" w:noVBand="1"/>
      </w:tblPr>
      <w:tblGrid>
        <w:gridCol w:w="2376"/>
        <w:gridCol w:w="7088"/>
      </w:tblGrid>
      <w:tr w:rsidR="000D44A5" w:rsidRPr="00C87FBC" w:rsidTr="007B3A51">
        <w:trPr>
          <w:cantSplit/>
          <w:tblHeader/>
        </w:trPr>
        <w:tc>
          <w:tcPr>
            <w:tcW w:w="2376" w:type="dxa"/>
          </w:tcPr>
          <w:p w:rsidR="000D44A5" w:rsidRPr="00C87FBC" w:rsidRDefault="000D44A5" w:rsidP="007B3A51">
            <w:pPr>
              <w:rPr>
                <w:b/>
                <w:sz w:val="20"/>
              </w:rPr>
            </w:pPr>
            <w:r w:rsidRPr="00C87FBC">
              <w:rPr>
                <w:b/>
                <w:sz w:val="20"/>
              </w:rPr>
              <w:t>Term</w:t>
            </w:r>
          </w:p>
        </w:tc>
        <w:tc>
          <w:tcPr>
            <w:tcW w:w="7088" w:type="dxa"/>
          </w:tcPr>
          <w:p w:rsidR="000D44A5" w:rsidRPr="00C87FBC" w:rsidRDefault="000D44A5" w:rsidP="007B3A51">
            <w:pPr>
              <w:rPr>
                <w:b/>
                <w:sz w:val="20"/>
              </w:rPr>
            </w:pPr>
            <w:r w:rsidRPr="00C87FBC">
              <w:rPr>
                <w:b/>
                <w:sz w:val="20"/>
              </w:rPr>
              <w:t>Definition</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Artificially fed</w:t>
            </w:r>
          </w:p>
        </w:tc>
        <w:tc>
          <w:tcPr>
            <w:tcW w:w="7088" w:type="dxa"/>
          </w:tcPr>
          <w:p w:rsidR="000D44A5" w:rsidRPr="00C87FBC" w:rsidRDefault="000D44A5" w:rsidP="007B3A51">
            <w:pPr>
              <w:spacing w:before="120"/>
              <w:rPr>
                <w:sz w:val="20"/>
              </w:rPr>
            </w:pPr>
            <w:r w:rsidRPr="00C87FBC">
              <w:rPr>
                <w:sz w:val="20"/>
              </w:rPr>
              <w:t>The newborn has had no breast milk but has had alternative liquid such as infant formula with or without solid food in the past 48 hours.</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Assisted birth</w:t>
            </w:r>
          </w:p>
        </w:tc>
        <w:tc>
          <w:tcPr>
            <w:tcW w:w="7088" w:type="dxa"/>
          </w:tcPr>
          <w:p w:rsidR="000D44A5" w:rsidRPr="00C87FBC" w:rsidRDefault="000D44A5" w:rsidP="007B3A51">
            <w:pPr>
              <w:spacing w:before="120"/>
              <w:rPr>
                <w:sz w:val="20"/>
              </w:rPr>
            </w:pPr>
            <w:r w:rsidRPr="00C87FBC">
              <w:rPr>
                <w:sz w:val="20"/>
              </w:rPr>
              <w:t>A vaginal birth (including breech birth) receiving obstetric assistance (eg, forceps, vacuum).</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Assisted birth, forceps</w:t>
            </w:r>
          </w:p>
        </w:tc>
        <w:tc>
          <w:tcPr>
            <w:tcW w:w="7088" w:type="dxa"/>
          </w:tcPr>
          <w:p w:rsidR="000D44A5" w:rsidRPr="00C87FBC" w:rsidRDefault="000D44A5" w:rsidP="007B3A51">
            <w:pPr>
              <w:spacing w:before="120"/>
              <w:rPr>
                <w:sz w:val="20"/>
              </w:rPr>
            </w:pPr>
            <w:r w:rsidRPr="00C87FBC">
              <w:rPr>
                <w:sz w:val="20"/>
              </w:rPr>
              <w:t xml:space="preserve">An assisted vaginal birth using a metallic obstetric instrument. See also </w:t>
            </w:r>
            <w:r w:rsidRPr="00C87FBC">
              <w:rPr>
                <w:i/>
                <w:sz w:val="20"/>
              </w:rPr>
              <w:t>Assisted birth</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Assisted birth, vacuum</w:t>
            </w:r>
          </w:p>
        </w:tc>
        <w:tc>
          <w:tcPr>
            <w:tcW w:w="7088" w:type="dxa"/>
          </w:tcPr>
          <w:p w:rsidR="000D44A5" w:rsidRPr="00C87FBC" w:rsidRDefault="000D44A5" w:rsidP="007B3A51">
            <w:pPr>
              <w:spacing w:before="120"/>
              <w:rPr>
                <w:sz w:val="20"/>
              </w:rPr>
            </w:pPr>
            <w:r w:rsidRPr="00C87FBC">
              <w:rPr>
                <w:sz w:val="20"/>
              </w:rPr>
              <w:t>An assisted vaginal birth using a suction cap applied to the baby</w:t>
            </w:r>
            <w:r w:rsidR="00CB6D20">
              <w:rPr>
                <w:sz w:val="20"/>
              </w:rPr>
              <w:t>’</w:t>
            </w:r>
            <w:r w:rsidRPr="00C87FBC">
              <w:rPr>
                <w:sz w:val="20"/>
              </w:rPr>
              <w:t xml:space="preserve">s head. See also </w:t>
            </w:r>
            <w:r w:rsidRPr="00C87FBC">
              <w:rPr>
                <w:i/>
                <w:sz w:val="20"/>
              </w:rPr>
              <w:t>Assisted birth</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Assisted breech birth</w:t>
            </w:r>
          </w:p>
        </w:tc>
        <w:tc>
          <w:tcPr>
            <w:tcW w:w="7088" w:type="dxa"/>
          </w:tcPr>
          <w:p w:rsidR="000D44A5" w:rsidRPr="00C87FBC" w:rsidRDefault="000D44A5" w:rsidP="007B3A51">
            <w:pPr>
              <w:spacing w:before="120"/>
              <w:rPr>
                <w:i/>
                <w:sz w:val="20"/>
              </w:rPr>
            </w:pPr>
            <w:r w:rsidRPr="00C87FBC">
              <w:rPr>
                <w:sz w:val="20"/>
              </w:rPr>
              <w:t xml:space="preserve">An assisted vaginal birth in which a baby being born feet or buttocks first is delivered spontaneously as far as its umbilicus and is then extracted. It may include the use of forceps. See also </w:t>
            </w:r>
            <w:r w:rsidRPr="00C87FBC">
              <w:rPr>
                <w:i/>
                <w:sz w:val="20"/>
              </w:rPr>
              <w:t>Assisted birth</w:t>
            </w:r>
            <w:r w:rsidRPr="00C87FBC">
              <w:rPr>
                <w:sz w:val="20"/>
              </w:rPr>
              <w:t xml:space="preserve">; </w:t>
            </w:r>
            <w:r w:rsidRPr="00C87FBC">
              <w:rPr>
                <w:i/>
                <w:sz w:val="20"/>
              </w:rPr>
              <w:t>Breech birth</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Augmentation (of labour)</w:t>
            </w:r>
          </w:p>
        </w:tc>
        <w:tc>
          <w:tcPr>
            <w:tcW w:w="7088" w:type="dxa"/>
          </w:tcPr>
          <w:p w:rsidR="000D44A5" w:rsidRPr="00C87FBC" w:rsidRDefault="000D44A5" w:rsidP="007B3A51">
            <w:pPr>
              <w:spacing w:before="120"/>
              <w:rPr>
                <w:sz w:val="20"/>
              </w:rPr>
            </w:pPr>
            <w:r w:rsidRPr="00C87FBC">
              <w:rPr>
                <w:sz w:val="20"/>
              </w:rPr>
              <w:t>The process of stimulating the uterus to increase the frequency, duration and intensity of contractions after the onset of spontaneous labour by artificial rupture of membranes or pharmacological means.</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Birth</w:t>
            </w:r>
          </w:p>
        </w:tc>
        <w:tc>
          <w:tcPr>
            <w:tcW w:w="7088" w:type="dxa"/>
          </w:tcPr>
          <w:p w:rsidR="000D44A5" w:rsidRPr="00C87FBC" w:rsidRDefault="000D44A5" w:rsidP="007B3A51">
            <w:pPr>
              <w:spacing w:before="120"/>
              <w:rPr>
                <w:sz w:val="20"/>
              </w:rPr>
            </w:pPr>
            <w:r w:rsidRPr="00C87FBC">
              <w:rPr>
                <w:sz w:val="20"/>
              </w:rPr>
              <w:t xml:space="preserve">The birth of a live-born or stillborn baby (or babies, in the case of a twin/multiple birth). See also </w:t>
            </w:r>
            <w:r w:rsidRPr="00C87FBC">
              <w:rPr>
                <w:i/>
                <w:sz w:val="20"/>
              </w:rPr>
              <w:t>Live-born baby</w:t>
            </w:r>
            <w:r w:rsidRPr="00C87FBC">
              <w:rPr>
                <w:sz w:val="20"/>
              </w:rPr>
              <w:t>;</w:t>
            </w:r>
            <w:r w:rsidRPr="00C87FBC">
              <w:rPr>
                <w:i/>
                <w:sz w:val="20"/>
              </w:rPr>
              <w:t xml:space="preserve"> Stillbirth</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Birth rate</w:t>
            </w:r>
          </w:p>
        </w:tc>
        <w:tc>
          <w:tcPr>
            <w:tcW w:w="7088" w:type="dxa"/>
          </w:tcPr>
          <w:p w:rsidR="000D44A5" w:rsidRPr="00C87FBC" w:rsidRDefault="000D44A5" w:rsidP="007B3A51">
            <w:pPr>
              <w:spacing w:before="120"/>
              <w:rPr>
                <w:sz w:val="20"/>
              </w:rPr>
            </w:pPr>
            <w:r w:rsidRPr="00C87FBC">
              <w:rPr>
                <w:noProof/>
                <w:sz w:val="20"/>
                <w:lang w:eastAsia="en-NZ"/>
              </w:rPr>
              <w:drawing>
                <wp:inline distT="0" distB="0" distL="0" distR="0" wp14:anchorId="46C5F64B" wp14:editId="33868113">
                  <wp:extent cx="3324225" cy="390525"/>
                  <wp:effectExtent l="0" t="0" r="9525" b="9525"/>
                  <wp:docPr id="64" name="Picture 64" descr="Number of women giving birth / female population of reproductive age * 100" title="Birth rat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24225" cy="390525"/>
                          </a:xfrm>
                          <a:prstGeom prst="rect">
                            <a:avLst/>
                          </a:prstGeom>
                          <a:noFill/>
                          <a:ln>
                            <a:noFill/>
                          </a:ln>
                        </pic:spPr>
                      </pic:pic>
                    </a:graphicData>
                  </a:graphic>
                </wp:inline>
              </w:drawing>
            </w:r>
          </w:p>
          <w:p w:rsidR="000D44A5" w:rsidRPr="00C87FBC" w:rsidRDefault="000D44A5" w:rsidP="007B3A51">
            <w:pPr>
              <w:spacing w:before="120"/>
              <w:rPr>
                <w:sz w:val="20"/>
              </w:rPr>
            </w:pPr>
            <w:r w:rsidRPr="00C87FBC">
              <w:rPr>
                <w:sz w:val="20"/>
              </w:rPr>
              <w:t xml:space="preserve">See also </w:t>
            </w:r>
            <w:r w:rsidRPr="00C87FBC">
              <w:rPr>
                <w:i/>
                <w:sz w:val="20"/>
              </w:rPr>
              <w:t>Reproductive age</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Birthing unit</w:t>
            </w:r>
          </w:p>
        </w:tc>
        <w:tc>
          <w:tcPr>
            <w:tcW w:w="7088" w:type="dxa"/>
          </w:tcPr>
          <w:p w:rsidR="000D44A5" w:rsidRPr="00C87FBC" w:rsidRDefault="000D44A5" w:rsidP="007B3A51">
            <w:pPr>
              <w:spacing w:before="120"/>
              <w:rPr>
                <w:sz w:val="20"/>
              </w:rPr>
            </w:pPr>
            <w:r w:rsidRPr="00C87FBC">
              <w:rPr>
                <w:sz w:val="20"/>
              </w:rPr>
              <w:t xml:space="preserve">A primary maternity facility, usually staffed by midwives. Birthing units provide care for women assessed as being at low risk of complications for labour and birth care. They do not provide epidural analgesia or operative birth services </w:t>
            </w:r>
            <w:r w:rsidRPr="00C87FBC">
              <w:t>(</w:t>
            </w:r>
            <w:r w:rsidRPr="00C87FBC">
              <w:rPr>
                <w:sz w:val="20"/>
              </w:rPr>
              <w:t xml:space="preserve">Ministry of Health 2012). See also </w:t>
            </w:r>
            <w:r w:rsidRPr="00C87FBC">
              <w:rPr>
                <w:i/>
                <w:sz w:val="20"/>
              </w:rPr>
              <w:t>Primary maternity facility</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Birthweight</w:t>
            </w:r>
          </w:p>
        </w:tc>
        <w:tc>
          <w:tcPr>
            <w:tcW w:w="7088" w:type="dxa"/>
          </w:tcPr>
          <w:p w:rsidR="000D44A5" w:rsidRPr="00C87FBC" w:rsidRDefault="000D44A5" w:rsidP="007B3A51">
            <w:pPr>
              <w:spacing w:before="120"/>
              <w:rPr>
                <w:sz w:val="20"/>
              </w:rPr>
            </w:pPr>
            <w:r w:rsidRPr="00C87FBC">
              <w:rPr>
                <w:sz w:val="20"/>
              </w:rPr>
              <w:t>The first weight of the fetus or newborn obtained after birth, preferably measured within the first hour of life before significant postnatal weight loss has occurred (WHO 1975).</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Breastfed, exclusive</w:t>
            </w:r>
          </w:p>
        </w:tc>
        <w:tc>
          <w:tcPr>
            <w:tcW w:w="7088" w:type="dxa"/>
          </w:tcPr>
          <w:p w:rsidR="000D44A5" w:rsidRPr="00C87FBC" w:rsidRDefault="000D44A5" w:rsidP="007B3A51">
            <w:pPr>
              <w:spacing w:before="120"/>
              <w:rPr>
                <w:sz w:val="20"/>
              </w:rPr>
            </w:pPr>
            <w:r w:rsidRPr="00C87FBC">
              <w:rPr>
                <w:sz w:val="20"/>
              </w:rPr>
              <w:t>An infant who has never, to the mother</w:t>
            </w:r>
            <w:r w:rsidR="00CB6D20">
              <w:rPr>
                <w:sz w:val="20"/>
              </w:rPr>
              <w:t>’</w:t>
            </w:r>
            <w:r w:rsidRPr="00C87FBC">
              <w:rPr>
                <w:sz w:val="20"/>
              </w:rPr>
              <w:t>s knowledge, had any water, formula or other liquid or solid food. Only breast milk (from the breast or expressed) and prescribed medicines (defined in the Medicines Act 1981) have been given to the baby from birth.</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Breastfed, fully</w:t>
            </w:r>
          </w:p>
        </w:tc>
        <w:tc>
          <w:tcPr>
            <w:tcW w:w="7088" w:type="dxa"/>
          </w:tcPr>
          <w:p w:rsidR="000D44A5" w:rsidRPr="00C87FBC" w:rsidRDefault="000D44A5" w:rsidP="007B3A51">
            <w:pPr>
              <w:spacing w:before="120"/>
              <w:rPr>
                <w:sz w:val="20"/>
              </w:rPr>
            </w:pPr>
            <w:r w:rsidRPr="00C87FBC">
              <w:rPr>
                <w:sz w:val="20"/>
              </w:rPr>
              <w:t>An infant has taken breast milk only, and no other liquids or solids except a minimal amount of water or prescribed medicines, in the past 48 hours.</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Breastfed, partial</w:t>
            </w:r>
          </w:p>
        </w:tc>
        <w:tc>
          <w:tcPr>
            <w:tcW w:w="7088" w:type="dxa"/>
          </w:tcPr>
          <w:p w:rsidR="000D44A5" w:rsidRPr="00C87FBC" w:rsidRDefault="000D44A5" w:rsidP="007B3A51">
            <w:pPr>
              <w:spacing w:before="120"/>
              <w:rPr>
                <w:sz w:val="20"/>
              </w:rPr>
            </w:pPr>
            <w:r w:rsidRPr="00C87FBC">
              <w:rPr>
                <w:sz w:val="20"/>
              </w:rPr>
              <w:t>An infant has taken some breast milk and some infant formula or other solid food in the past 48 hours.</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Breech birth</w:t>
            </w:r>
          </w:p>
        </w:tc>
        <w:tc>
          <w:tcPr>
            <w:tcW w:w="7088" w:type="dxa"/>
          </w:tcPr>
          <w:p w:rsidR="000D44A5" w:rsidRPr="00C87FBC" w:rsidRDefault="000D44A5" w:rsidP="007B3A51">
            <w:pPr>
              <w:spacing w:before="120"/>
              <w:rPr>
                <w:sz w:val="20"/>
              </w:rPr>
            </w:pPr>
            <w:r w:rsidRPr="00C87FBC">
              <w:rPr>
                <w:sz w:val="20"/>
              </w:rPr>
              <w:t>A vaginal birth of a baby by the buttocks or lower limbs first rather than the head. May be spontaneous or assisted.</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Breech extraction</w:t>
            </w:r>
          </w:p>
        </w:tc>
        <w:tc>
          <w:tcPr>
            <w:tcW w:w="7088" w:type="dxa"/>
          </w:tcPr>
          <w:p w:rsidR="000D44A5" w:rsidRPr="00C87FBC" w:rsidRDefault="000D44A5" w:rsidP="007B3A51">
            <w:pPr>
              <w:spacing w:before="120"/>
              <w:rPr>
                <w:sz w:val="20"/>
              </w:rPr>
            </w:pPr>
            <w:r w:rsidRPr="00C87FBC">
              <w:rPr>
                <w:sz w:val="20"/>
              </w:rPr>
              <w:t>An assisted vaginal birth performed by grasping the baby</w:t>
            </w:r>
            <w:r w:rsidR="00CB6D20">
              <w:rPr>
                <w:sz w:val="20"/>
              </w:rPr>
              <w:t>’</w:t>
            </w:r>
            <w:r w:rsidRPr="00C87FBC">
              <w:rPr>
                <w:sz w:val="20"/>
              </w:rPr>
              <w:t xml:space="preserve">s feet or buttocks before any part of the trunk is born and delivering by traction. It may include the use of forceps. See also </w:t>
            </w:r>
            <w:r w:rsidRPr="00C87FBC">
              <w:rPr>
                <w:i/>
                <w:sz w:val="20"/>
              </w:rPr>
              <w:t>Assisted birth</w:t>
            </w:r>
            <w:r w:rsidRPr="00C87FBC">
              <w:rPr>
                <w:sz w:val="20"/>
              </w:rPr>
              <w:t xml:space="preserve">; </w:t>
            </w:r>
            <w:r w:rsidRPr="00C87FBC">
              <w:rPr>
                <w:i/>
                <w:sz w:val="20"/>
              </w:rPr>
              <w:t>Breech birth</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Caesarean section</w:t>
            </w:r>
          </w:p>
        </w:tc>
        <w:tc>
          <w:tcPr>
            <w:tcW w:w="7088" w:type="dxa"/>
          </w:tcPr>
          <w:p w:rsidR="000D44A5" w:rsidRPr="00C87FBC" w:rsidRDefault="000D44A5" w:rsidP="007B3A51">
            <w:pPr>
              <w:spacing w:before="120"/>
              <w:rPr>
                <w:sz w:val="20"/>
              </w:rPr>
            </w:pPr>
            <w:r w:rsidRPr="00C87FBC">
              <w:rPr>
                <w:sz w:val="20"/>
              </w:rPr>
              <w:t>An operative delivery through an abdominal incision.</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lastRenderedPageBreak/>
              <w:t>Confidence interval</w:t>
            </w:r>
          </w:p>
        </w:tc>
        <w:tc>
          <w:tcPr>
            <w:tcW w:w="7088" w:type="dxa"/>
          </w:tcPr>
          <w:p w:rsidR="000D44A5" w:rsidRPr="00C87FBC" w:rsidRDefault="000D44A5" w:rsidP="007B3A51">
            <w:pPr>
              <w:spacing w:before="120"/>
              <w:rPr>
                <w:sz w:val="20"/>
              </w:rPr>
            </w:pPr>
            <w:r w:rsidRPr="00C87FBC">
              <w:rPr>
                <w:sz w:val="20"/>
              </w:rPr>
              <w:t>A range of values used to describe the uncertainty around a single value, used to estimate the true value in a population. Confidence intervals describe how different an estimate could have been if chance had led to a different set of data.</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Denominator</w:t>
            </w:r>
          </w:p>
        </w:tc>
        <w:tc>
          <w:tcPr>
            <w:tcW w:w="7088" w:type="dxa"/>
          </w:tcPr>
          <w:p w:rsidR="000D44A5" w:rsidRPr="00C87FBC" w:rsidRDefault="000D44A5" w:rsidP="007B3A51">
            <w:pPr>
              <w:spacing w:before="120"/>
              <w:rPr>
                <w:i/>
                <w:sz w:val="20"/>
              </w:rPr>
            </w:pPr>
            <w:r w:rsidRPr="00C87FBC">
              <w:rPr>
                <w:sz w:val="20"/>
              </w:rPr>
              <w:t>The number that appears at the bottom of a fraction, used to calculate proportions.</w:t>
            </w:r>
            <w:r w:rsidRPr="00C87FBC">
              <w:rPr>
                <w:b/>
                <w:sz w:val="20"/>
              </w:rPr>
              <w:t xml:space="preserve"> </w:t>
            </w:r>
            <w:r w:rsidRPr="00C87FBC">
              <w:rPr>
                <w:sz w:val="20"/>
              </w:rPr>
              <w:t>See also</w:t>
            </w:r>
            <w:r w:rsidRPr="00C87FBC">
              <w:rPr>
                <w:i/>
                <w:sz w:val="20"/>
              </w:rPr>
              <w:t xml:space="preserve"> Proportion</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Deprivation quintile</w:t>
            </w:r>
          </w:p>
        </w:tc>
        <w:tc>
          <w:tcPr>
            <w:tcW w:w="7088" w:type="dxa"/>
          </w:tcPr>
          <w:p w:rsidR="000D44A5" w:rsidRPr="00C87FBC" w:rsidRDefault="000D44A5" w:rsidP="007B3A51">
            <w:pPr>
              <w:spacing w:before="120"/>
              <w:rPr>
                <w:sz w:val="20"/>
              </w:rPr>
            </w:pPr>
            <w:r w:rsidRPr="00C87FBC">
              <w:rPr>
                <w:sz w:val="20"/>
              </w:rPr>
              <w:t xml:space="preserve">A measure of socioeconomic status derived from the 2006 or 2013 New Zealand Social Deprivation Index. The measure is calculated for small geographical units, which are then built up to the relevant geographic scale using weighted average </w:t>
            </w:r>
            <w:r w:rsidR="00CB6D20">
              <w:rPr>
                <w:sz w:val="20"/>
              </w:rPr>
              <w:t>‘</w:t>
            </w:r>
            <w:r w:rsidRPr="00C87FBC">
              <w:rPr>
                <w:sz w:val="20"/>
              </w:rPr>
              <w:t>usually resident population</w:t>
            </w:r>
            <w:r w:rsidR="00CB6D20">
              <w:rPr>
                <w:sz w:val="20"/>
              </w:rPr>
              <w:t>’</w:t>
            </w:r>
            <w:r w:rsidRPr="00C87FBC">
              <w:rPr>
                <w:sz w:val="20"/>
              </w:rPr>
              <w:t xml:space="preserve"> counts from the Census. Deprivation quintiles of residence range from 1 (least deprived) to 5 (most deprived). Approximately equal numbers of the total population reside in areas associated with each of the quintiles.</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District health board (DHB)</w:t>
            </w:r>
          </w:p>
        </w:tc>
        <w:tc>
          <w:tcPr>
            <w:tcW w:w="7088" w:type="dxa"/>
          </w:tcPr>
          <w:p w:rsidR="000D44A5" w:rsidRPr="00C87FBC" w:rsidRDefault="000D44A5" w:rsidP="007B3A51">
            <w:pPr>
              <w:spacing w:before="120"/>
              <w:rPr>
                <w:sz w:val="20"/>
              </w:rPr>
            </w:pPr>
            <w:r w:rsidRPr="00C87FBC">
              <w:rPr>
                <w:sz w:val="20"/>
              </w:rPr>
              <w:t>An organisation established under Section 19 of the New Zealand Public Health and Disability Act 2000, acting within a defined geographic region.</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Domicile code</w:t>
            </w:r>
          </w:p>
        </w:tc>
        <w:tc>
          <w:tcPr>
            <w:tcW w:w="7088" w:type="dxa"/>
          </w:tcPr>
          <w:p w:rsidR="000D44A5" w:rsidRPr="00C87FBC" w:rsidRDefault="000D44A5" w:rsidP="007B3A51">
            <w:pPr>
              <w:spacing w:before="120"/>
              <w:rPr>
                <w:sz w:val="20"/>
              </w:rPr>
            </w:pPr>
            <w:r w:rsidRPr="00C87FBC">
              <w:rPr>
                <w:sz w:val="20"/>
              </w:rPr>
              <w:t>A code representing the usual residential address of the woman giving birth or the live-born baby.</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Elective caesarean section</w:t>
            </w:r>
          </w:p>
        </w:tc>
        <w:tc>
          <w:tcPr>
            <w:tcW w:w="7088" w:type="dxa"/>
          </w:tcPr>
          <w:p w:rsidR="000D44A5" w:rsidRPr="00C87FBC" w:rsidRDefault="000D44A5" w:rsidP="007B3A51">
            <w:pPr>
              <w:spacing w:before="120"/>
              <w:rPr>
                <w:sz w:val="20"/>
              </w:rPr>
            </w:pPr>
            <w:r w:rsidRPr="00C87FBC">
              <w:rPr>
                <w:sz w:val="20"/>
              </w:rPr>
              <w:t xml:space="preserve">A caesarean section performed as a planned procedure before or following the onset of labour, where the decision to have a caesarean section was made before labour. See also </w:t>
            </w:r>
            <w:r w:rsidRPr="00C87FBC">
              <w:rPr>
                <w:i/>
                <w:sz w:val="20"/>
              </w:rPr>
              <w:t>Caesarean section</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Emergency caesarean section</w:t>
            </w:r>
          </w:p>
        </w:tc>
        <w:tc>
          <w:tcPr>
            <w:tcW w:w="7088" w:type="dxa"/>
          </w:tcPr>
          <w:p w:rsidR="000D44A5" w:rsidRPr="00C87FBC" w:rsidRDefault="000D44A5" w:rsidP="007B3A51">
            <w:pPr>
              <w:spacing w:before="120"/>
              <w:rPr>
                <w:sz w:val="20"/>
              </w:rPr>
            </w:pPr>
            <w:r w:rsidRPr="00C87FBC">
              <w:rPr>
                <w:sz w:val="20"/>
              </w:rPr>
              <w:t xml:space="preserve">A caesarean section performed urgently once labour has started. See also </w:t>
            </w:r>
            <w:r w:rsidRPr="00C87FBC">
              <w:rPr>
                <w:i/>
                <w:sz w:val="20"/>
              </w:rPr>
              <w:t>Caesarean section</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Epidural</w:t>
            </w:r>
          </w:p>
        </w:tc>
        <w:tc>
          <w:tcPr>
            <w:tcW w:w="7088" w:type="dxa"/>
          </w:tcPr>
          <w:p w:rsidR="000D44A5" w:rsidRPr="00C87FBC" w:rsidRDefault="000D44A5" w:rsidP="007B3A51">
            <w:pPr>
              <w:spacing w:before="120"/>
              <w:rPr>
                <w:sz w:val="20"/>
              </w:rPr>
            </w:pPr>
            <w:r w:rsidRPr="00C87FBC">
              <w:rPr>
                <w:sz w:val="20"/>
              </w:rPr>
              <w:t>A regional analgesic agent injected into the epidural space of the spinal cord.</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Episiotomy</w:t>
            </w:r>
          </w:p>
        </w:tc>
        <w:tc>
          <w:tcPr>
            <w:tcW w:w="7088" w:type="dxa"/>
          </w:tcPr>
          <w:p w:rsidR="000D44A5" w:rsidRPr="00C87FBC" w:rsidRDefault="000D44A5" w:rsidP="007B3A51">
            <w:pPr>
              <w:spacing w:before="120"/>
              <w:rPr>
                <w:sz w:val="20"/>
              </w:rPr>
            </w:pPr>
            <w:r w:rsidRPr="00C87FBC">
              <w:rPr>
                <w:sz w:val="20"/>
              </w:rPr>
              <w:t>An incision of the perineal tissue surrounding the vagina at the time of birth to facilitate delivery.</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Ethnicity, ethnic group</w:t>
            </w:r>
          </w:p>
        </w:tc>
        <w:tc>
          <w:tcPr>
            <w:tcW w:w="7088" w:type="dxa"/>
          </w:tcPr>
          <w:p w:rsidR="000D44A5" w:rsidRPr="00C87FBC" w:rsidRDefault="000D44A5" w:rsidP="007B3A51">
            <w:pPr>
              <w:spacing w:before="120"/>
              <w:rPr>
                <w:sz w:val="20"/>
              </w:rPr>
            </w:pPr>
            <w:r w:rsidRPr="00C87FBC">
              <w:rPr>
                <w:sz w:val="20"/>
              </w:rPr>
              <w:t>Ethnicity is the ethnic group or groups that people may identify with or feel they belong to. Ethnicity is self-perceived; a person may identify with more than one ethnic group (Ministry of Health 2004)</w:t>
            </w:r>
            <w:r w:rsidRPr="00C87FBC">
              <w:t>.</w:t>
            </w:r>
            <w:r w:rsidRPr="00C87FBC">
              <w:rPr>
                <w:sz w:val="20"/>
              </w:rPr>
              <w:t xml:space="preserve"> See also </w:t>
            </w:r>
            <w:r w:rsidRPr="00C87FBC">
              <w:rPr>
                <w:i/>
                <w:sz w:val="20"/>
              </w:rPr>
              <w:t>Prioritised ethnicity</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Facility (maternity)</w:t>
            </w:r>
          </w:p>
        </w:tc>
        <w:tc>
          <w:tcPr>
            <w:tcW w:w="7088" w:type="dxa"/>
          </w:tcPr>
          <w:p w:rsidR="000D44A5" w:rsidRPr="00C87FBC" w:rsidRDefault="000D44A5" w:rsidP="007B3A51">
            <w:pPr>
              <w:spacing w:before="120"/>
              <w:rPr>
                <w:sz w:val="20"/>
              </w:rPr>
            </w:pPr>
            <w:r w:rsidRPr="00C87FBC">
              <w:rPr>
                <w:sz w:val="20"/>
              </w:rPr>
              <w:t xml:space="preserve">See </w:t>
            </w:r>
            <w:r w:rsidRPr="00C87FBC">
              <w:rPr>
                <w:i/>
                <w:sz w:val="20"/>
              </w:rPr>
              <w:t>Maternity facility</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Forceps</w:t>
            </w:r>
          </w:p>
        </w:tc>
        <w:tc>
          <w:tcPr>
            <w:tcW w:w="7088" w:type="dxa"/>
          </w:tcPr>
          <w:p w:rsidR="000D44A5" w:rsidRPr="00C87FBC" w:rsidRDefault="000D44A5" w:rsidP="007B3A51">
            <w:pPr>
              <w:spacing w:before="120"/>
              <w:rPr>
                <w:sz w:val="20"/>
              </w:rPr>
            </w:pPr>
            <w:r w:rsidRPr="00C87FBC">
              <w:rPr>
                <w:sz w:val="20"/>
              </w:rPr>
              <w:t xml:space="preserve">See </w:t>
            </w:r>
            <w:r w:rsidRPr="00C87FBC">
              <w:rPr>
                <w:i/>
                <w:sz w:val="20"/>
              </w:rPr>
              <w:t>Assisted birth, forceps</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Gestation, gestational age</w:t>
            </w:r>
          </w:p>
        </w:tc>
        <w:tc>
          <w:tcPr>
            <w:tcW w:w="7088" w:type="dxa"/>
          </w:tcPr>
          <w:p w:rsidR="000D44A5" w:rsidRPr="00C87FBC" w:rsidRDefault="000D44A5" w:rsidP="007B3A51">
            <w:pPr>
              <w:spacing w:before="120"/>
              <w:rPr>
                <w:sz w:val="20"/>
              </w:rPr>
            </w:pPr>
            <w:r w:rsidRPr="00C87FBC">
              <w:rPr>
                <w:sz w:val="20"/>
              </w:rPr>
              <w:t>The duration of pregnancy measured from the first day of the last normal menstrual period to the delivery date, expressed in completed weeks (WHO 1975). Gestational age may also be derived from clinical assessment during pregnancy or from an examination of the baby after birth.</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Home birth</w:t>
            </w:r>
          </w:p>
        </w:tc>
        <w:tc>
          <w:tcPr>
            <w:tcW w:w="7088" w:type="dxa"/>
          </w:tcPr>
          <w:p w:rsidR="000D44A5" w:rsidRPr="00C87FBC" w:rsidRDefault="000D44A5" w:rsidP="007B3A51">
            <w:pPr>
              <w:spacing w:before="120"/>
              <w:rPr>
                <w:i/>
                <w:sz w:val="20"/>
              </w:rPr>
            </w:pPr>
            <w:r w:rsidRPr="00C87FBC">
              <w:rPr>
                <w:sz w:val="20"/>
              </w:rPr>
              <w:t>A</w:t>
            </w:r>
            <w:r>
              <w:rPr>
                <w:sz w:val="20"/>
              </w:rPr>
              <w:t xml:space="preserve">n intended home </w:t>
            </w:r>
            <w:r w:rsidRPr="00C87FBC">
              <w:rPr>
                <w:sz w:val="20"/>
              </w:rPr>
              <w:t>that takes place in a person</w:t>
            </w:r>
            <w:r w:rsidR="00CB6D20">
              <w:rPr>
                <w:sz w:val="20"/>
              </w:rPr>
              <w:t>’</w:t>
            </w:r>
            <w:r w:rsidRPr="00C87FBC">
              <w:rPr>
                <w:sz w:val="20"/>
              </w:rPr>
              <w:t>s home and not in a maternity facility or birthing unit. See also</w:t>
            </w:r>
            <w:r w:rsidRPr="00C87FBC">
              <w:rPr>
                <w:i/>
                <w:sz w:val="20"/>
              </w:rPr>
              <w:t xml:space="preserve"> Intended home birth</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Induction (of labour)</w:t>
            </w:r>
          </w:p>
        </w:tc>
        <w:tc>
          <w:tcPr>
            <w:tcW w:w="7088" w:type="dxa"/>
          </w:tcPr>
          <w:p w:rsidR="000D44A5" w:rsidRPr="00C87FBC" w:rsidRDefault="000D44A5" w:rsidP="007B3A51">
            <w:pPr>
              <w:spacing w:before="120"/>
              <w:rPr>
                <w:sz w:val="20"/>
              </w:rPr>
            </w:pPr>
            <w:r w:rsidRPr="00C87FBC">
              <w:rPr>
                <w:sz w:val="20"/>
              </w:rPr>
              <w:t>The process of artificially stimulating the uterus to start labour by artificial rupture of membranes or pharmacological means.</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Intended home birth</w:t>
            </w:r>
          </w:p>
        </w:tc>
        <w:tc>
          <w:tcPr>
            <w:tcW w:w="7088" w:type="dxa"/>
          </w:tcPr>
          <w:p w:rsidR="000D44A5" w:rsidRPr="00C87FBC" w:rsidRDefault="000D44A5" w:rsidP="007B3A51">
            <w:pPr>
              <w:spacing w:before="120"/>
              <w:rPr>
                <w:sz w:val="20"/>
              </w:rPr>
            </w:pPr>
            <w:r w:rsidRPr="00C87FBC">
              <w:rPr>
                <w:rFonts w:cs="Arial"/>
                <w:sz w:val="20"/>
              </w:rPr>
              <w:t>A birth for which there is a documented plan to give birth at home and the management of the labour commences at home. The birth may or may not occur at home.</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Intervention</w:t>
            </w:r>
          </w:p>
        </w:tc>
        <w:tc>
          <w:tcPr>
            <w:tcW w:w="7088" w:type="dxa"/>
          </w:tcPr>
          <w:p w:rsidR="000D44A5" w:rsidRPr="00C87FBC" w:rsidRDefault="000D44A5" w:rsidP="007B3A51">
            <w:pPr>
              <w:spacing w:before="120"/>
              <w:rPr>
                <w:sz w:val="20"/>
              </w:rPr>
            </w:pPr>
            <w:r w:rsidRPr="00C87FBC">
              <w:rPr>
                <w:sz w:val="20"/>
              </w:rPr>
              <w:t xml:space="preserve">An induction or augmentation of labour, an epidural during labour or an episiotomy. See also </w:t>
            </w:r>
            <w:r w:rsidRPr="00C87FBC">
              <w:rPr>
                <w:i/>
                <w:sz w:val="20"/>
              </w:rPr>
              <w:t>Augmentation</w:t>
            </w:r>
            <w:r w:rsidRPr="00C87FBC">
              <w:rPr>
                <w:sz w:val="20"/>
              </w:rPr>
              <w:t>;</w:t>
            </w:r>
            <w:r w:rsidRPr="00C87FBC">
              <w:rPr>
                <w:i/>
                <w:sz w:val="20"/>
              </w:rPr>
              <w:t xml:space="preserve"> Epidural</w:t>
            </w:r>
            <w:r w:rsidRPr="00C87FBC">
              <w:rPr>
                <w:sz w:val="20"/>
              </w:rPr>
              <w:t>;</w:t>
            </w:r>
            <w:r w:rsidRPr="00C87FBC">
              <w:rPr>
                <w:i/>
                <w:sz w:val="20"/>
              </w:rPr>
              <w:t xml:space="preserve"> Episiotomy</w:t>
            </w:r>
            <w:r w:rsidRPr="00C87FBC">
              <w:rPr>
                <w:sz w:val="20"/>
              </w:rPr>
              <w:t>;</w:t>
            </w:r>
            <w:r w:rsidRPr="00C87FBC">
              <w:rPr>
                <w:i/>
                <w:sz w:val="20"/>
              </w:rPr>
              <w:t xml:space="preserve"> Induction</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lastRenderedPageBreak/>
              <w:t>Lead Maternity Carer (LMC)</w:t>
            </w:r>
          </w:p>
        </w:tc>
        <w:tc>
          <w:tcPr>
            <w:tcW w:w="7088" w:type="dxa"/>
          </w:tcPr>
          <w:p w:rsidR="000D44A5" w:rsidRPr="00C87FBC" w:rsidRDefault="000D44A5" w:rsidP="007B3A51">
            <w:pPr>
              <w:spacing w:before="120"/>
              <w:rPr>
                <w:sz w:val="20"/>
              </w:rPr>
            </w:pPr>
            <w:r w:rsidRPr="00C87FBC">
              <w:rPr>
                <w:sz w:val="20"/>
              </w:rPr>
              <w:t>A person who:</w:t>
            </w:r>
          </w:p>
          <w:p w:rsidR="000D44A5" w:rsidRPr="00C87FBC" w:rsidRDefault="000D44A5" w:rsidP="007B3A51">
            <w:pPr>
              <w:pStyle w:val="Bullet"/>
              <w:spacing w:line="240" w:lineRule="auto"/>
              <w:rPr>
                <w:sz w:val="20"/>
              </w:rPr>
            </w:pPr>
            <w:r w:rsidRPr="00C87FBC">
              <w:rPr>
                <w:sz w:val="20"/>
              </w:rPr>
              <w:t>is:</w:t>
            </w:r>
          </w:p>
          <w:p w:rsidR="000D44A5" w:rsidRPr="00C87FBC" w:rsidRDefault="000D44A5" w:rsidP="007B3A51">
            <w:pPr>
              <w:pStyle w:val="Dash"/>
              <w:spacing w:line="240" w:lineRule="auto"/>
              <w:rPr>
                <w:sz w:val="20"/>
              </w:rPr>
            </w:pPr>
            <w:r w:rsidRPr="00C87FBC">
              <w:rPr>
                <w:sz w:val="20"/>
              </w:rPr>
              <w:t>a general practitioner with a Diploma in Obstetrics (or equivalent, as determined by the New Zealand College of General Practitioners); or</w:t>
            </w:r>
          </w:p>
          <w:p w:rsidR="000D44A5" w:rsidRPr="00C87FBC" w:rsidRDefault="000D44A5" w:rsidP="007B3A51">
            <w:pPr>
              <w:pStyle w:val="Dash"/>
              <w:spacing w:line="240" w:lineRule="auto"/>
              <w:rPr>
                <w:sz w:val="20"/>
              </w:rPr>
            </w:pPr>
            <w:r w:rsidRPr="00C87FBC">
              <w:rPr>
                <w:sz w:val="20"/>
              </w:rPr>
              <w:t>a midwife; or</w:t>
            </w:r>
          </w:p>
          <w:p w:rsidR="000D44A5" w:rsidRPr="00C87FBC" w:rsidRDefault="000D44A5" w:rsidP="007B3A51">
            <w:pPr>
              <w:pStyle w:val="Dash"/>
              <w:spacing w:line="240" w:lineRule="auto"/>
              <w:rPr>
                <w:sz w:val="20"/>
              </w:rPr>
            </w:pPr>
            <w:r w:rsidRPr="00C87FBC">
              <w:rPr>
                <w:sz w:val="20"/>
              </w:rPr>
              <w:t>an obstetrician; and</w:t>
            </w:r>
          </w:p>
          <w:p w:rsidR="000D44A5" w:rsidRPr="00C87FBC" w:rsidRDefault="000D44A5" w:rsidP="007B3A51">
            <w:pPr>
              <w:pStyle w:val="Bullet"/>
              <w:spacing w:line="240" w:lineRule="auto"/>
              <w:rPr>
                <w:sz w:val="20"/>
              </w:rPr>
            </w:pPr>
            <w:r w:rsidRPr="00C87FBC">
              <w:rPr>
                <w:sz w:val="20"/>
              </w:rPr>
              <w:t>is either:</w:t>
            </w:r>
          </w:p>
          <w:p w:rsidR="000D44A5" w:rsidRPr="00C87FBC" w:rsidRDefault="000D44A5" w:rsidP="007B3A51">
            <w:pPr>
              <w:pStyle w:val="Dash"/>
              <w:spacing w:line="240" w:lineRule="auto"/>
              <w:rPr>
                <w:sz w:val="20"/>
              </w:rPr>
            </w:pPr>
            <w:r w:rsidRPr="00C87FBC">
              <w:rPr>
                <w:sz w:val="20"/>
              </w:rPr>
              <w:t>a maternity provider in his or her own right; or</w:t>
            </w:r>
          </w:p>
          <w:p w:rsidR="000D44A5" w:rsidRPr="00C87FBC" w:rsidRDefault="000D44A5" w:rsidP="007B3A51">
            <w:pPr>
              <w:pStyle w:val="Dash"/>
              <w:spacing w:line="240" w:lineRule="auto"/>
              <w:rPr>
                <w:sz w:val="20"/>
              </w:rPr>
            </w:pPr>
            <w:r w:rsidRPr="00C87FBC">
              <w:rPr>
                <w:sz w:val="20"/>
              </w:rPr>
              <w:t>an employee or contractor of a maternity provider; and</w:t>
            </w:r>
          </w:p>
          <w:p w:rsidR="000D44A5" w:rsidRPr="00C87FBC" w:rsidRDefault="000D44A5" w:rsidP="007B3A51">
            <w:pPr>
              <w:pStyle w:val="Dash"/>
              <w:spacing w:line="240" w:lineRule="auto"/>
            </w:pPr>
            <w:r w:rsidRPr="00C87FBC">
              <w:rPr>
                <w:sz w:val="20"/>
              </w:rPr>
              <w:t>has been selected by the woman to provide her lead maternity care.</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Live-born baby, live birth</w:t>
            </w:r>
          </w:p>
        </w:tc>
        <w:tc>
          <w:tcPr>
            <w:tcW w:w="7088" w:type="dxa"/>
          </w:tcPr>
          <w:p w:rsidR="000D44A5" w:rsidRPr="00C87FBC" w:rsidRDefault="000D44A5" w:rsidP="007B3A51">
            <w:pPr>
              <w:spacing w:before="120"/>
              <w:rPr>
                <w:sz w:val="20"/>
              </w:rPr>
            </w:pPr>
            <w:r w:rsidRPr="00C87FBC">
              <w:rPr>
                <w:sz w:val="20"/>
              </w:rPr>
              <w:t>The complete expulsion or extraction from its mother of a product of conception, irrespective of duration of pregnancy, which, after such separation, breathes or shows any other evidence of life, such as beating of the heart, pulsation of the umbilical cord, or definite movement of voluntary muscles, whether or not the umbilical cord has been cut or the placenta is attached; each product of such a birth is considered live-born (WHO 1975).</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Low birthweight</w:t>
            </w:r>
          </w:p>
        </w:tc>
        <w:tc>
          <w:tcPr>
            <w:tcW w:w="7088" w:type="dxa"/>
          </w:tcPr>
          <w:p w:rsidR="000D44A5" w:rsidRPr="00C87FBC" w:rsidRDefault="000D44A5" w:rsidP="007B3A51">
            <w:pPr>
              <w:spacing w:before="120"/>
              <w:rPr>
                <w:sz w:val="20"/>
              </w:rPr>
            </w:pPr>
            <w:r w:rsidRPr="00C87FBC">
              <w:rPr>
                <w:sz w:val="20"/>
              </w:rPr>
              <w:t xml:space="preserve">A birthweight of less than 2.5 kg (WHO 1975). See also </w:t>
            </w:r>
            <w:r w:rsidRPr="00C87FBC">
              <w:rPr>
                <w:i/>
                <w:sz w:val="20"/>
              </w:rPr>
              <w:t>Birthweight</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Maternity facility</w:t>
            </w:r>
          </w:p>
        </w:tc>
        <w:tc>
          <w:tcPr>
            <w:tcW w:w="7088" w:type="dxa"/>
          </w:tcPr>
          <w:p w:rsidR="000D44A5" w:rsidRPr="00C87FBC" w:rsidRDefault="000D44A5" w:rsidP="007B3A51">
            <w:pPr>
              <w:spacing w:before="120"/>
              <w:rPr>
                <w:sz w:val="20"/>
              </w:rPr>
            </w:pPr>
            <w:r w:rsidRPr="00C87FBC">
              <w:rPr>
                <w:sz w:val="20"/>
              </w:rPr>
              <w:t xml:space="preserve">A facility that provides maternity services in accordance with the Tier Two Service Specification available from the Ministry of Health. See also </w:t>
            </w:r>
            <w:r w:rsidRPr="00C87FBC">
              <w:rPr>
                <w:i/>
                <w:sz w:val="20"/>
              </w:rPr>
              <w:t>Birthing unit</w:t>
            </w:r>
            <w:r w:rsidRPr="00C87FBC">
              <w:rPr>
                <w:sz w:val="20"/>
              </w:rPr>
              <w:t xml:space="preserve">; </w:t>
            </w:r>
            <w:r w:rsidRPr="00C87FBC">
              <w:rPr>
                <w:i/>
                <w:sz w:val="20"/>
              </w:rPr>
              <w:t>Primary facility</w:t>
            </w:r>
            <w:r w:rsidRPr="00C87FBC">
              <w:rPr>
                <w:sz w:val="20"/>
              </w:rPr>
              <w:t xml:space="preserve">; </w:t>
            </w:r>
            <w:r w:rsidRPr="00C87FBC">
              <w:rPr>
                <w:i/>
                <w:sz w:val="20"/>
              </w:rPr>
              <w:t>Secondary facility</w:t>
            </w:r>
            <w:r w:rsidRPr="00C87FBC">
              <w:rPr>
                <w:sz w:val="20"/>
              </w:rPr>
              <w:t xml:space="preserve">; </w:t>
            </w:r>
            <w:r w:rsidRPr="00C87FBC">
              <w:rPr>
                <w:i/>
                <w:sz w:val="20"/>
              </w:rPr>
              <w:t>Tertiary facility</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Median</w:t>
            </w:r>
          </w:p>
        </w:tc>
        <w:tc>
          <w:tcPr>
            <w:tcW w:w="7088" w:type="dxa"/>
          </w:tcPr>
          <w:p w:rsidR="000D44A5" w:rsidRPr="00C87FBC" w:rsidRDefault="000D44A5" w:rsidP="007B3A51">
            <w:pPr>
              <w:spacing w:before="120"/>
              <w:rPr>
                <w:sz w:val="20"/>
              </w:rPr>
            </w:pPr>
            <w:r w:rsidRPr="00C87FBC">
              <w:rPr>
                <w:sz w:val="20"/>
              </w:rPr>
              <w:t>The middle data point if data is ranked from the lowest to the highest. It is used instead of the mean when data does not have a normal distribution.</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Ministry of Health</w:t>
            </w:r>
          </w:p>
        </w:tc>
        <w:tc>
          <w:tcPr>
            <w:tcW w:w="7088" w:type="dxa"/>
          </w:tcPr>
          <w:p w:rsidR="000D44A5" w:rsidRPr="00C87FBC" w:rsidRDefault="000D44A5" w:rsidP="007B3A51">
            <w:pPr>
              <w:spacing w:before="120"/>
              <w:rPr>
                <w:sz w:val="20"/>
              </w:rPr>
            </w:pPr>
            <w:r w:rsidRPr="00C87FBC">
              <w:rPr>
                <w:sz w:val="20"/>
              </w:rPr>
              <w:t>The New Zealand Government</w:t>
            </w:r>
            <w:r w:rsidR="00CB6D20">
              <w:rPr>
                <w:sz w:val="20"/>
              </w:rPr>
              <w:t>’</w:t>
            </w:r>
            <w:r w:rsidRPr="00C87FBC">
              <w:rPr>
                <w:sz w:val="20"/>
              </w:rPr>
              <w:t>s principal advisor on health and disability, with overall responsibility for the management and development of the system.</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National Health Index (NHI) number</w:t>
            </w:r>
          </w:p>
        </w:tc>
        <w:tc>
          <w:tcPr>
            <w:tcW w:w="7088" w:type="dxa"/>
          </w:tcPr>
          <w:p w:rsidR="000D44A5" w:rsidRPr="00C87FBC" w:rsidRDefault="000D44A5" w:rsidP="007B3A51">
            <w:pPr>
              <w:spacing w:before="120"/>
              <w:rPr>
                <w:sz w:val="20"/>
              </w:rPr>
            </w:pPr>
            <w:r w:rsidRPr="00C87FBC">
              <w:rPr>
                <w:sz w:val="20"/>
              </w:rPr>
              <w:t>A unique identifier number allocated to individual service users by the National Health Index, managed by the Ministry of Health.</w:t>
            </w:r>
          </w:p>
        </w:tc>
      </w:tr>
      <w:tr w:rsidR="000D44A5" w:rsidRPr="00AF16D8" w:rsidTr="007B3A51">
        <w:trPr>
          <w:cantSplit/>
        </w:trPr>
        <w:tc>
          <w:tcPr>
            <w:tcW w:w="2376" w:type="dxa"/>
          </w:tcPr>
          <w:p w:rsidR="000D44A5" w:rsidRPr="00BC5636" w:rsidRDefault="000D44A5" w:rsidP="007B3A51">
            <w:pPr>
              <w:spacing w:before="120"/>
              <w:rPr>
                <w:sz w:val="20"/>
              </w:rPr>
            </w:pPr>
            <w:r w:rsidRPr="00BC5636">
              <w:rPr>
                <w:sz w:val="20"/>
              </w:rPr>
              <w:t>National Maternity Collection (MAT)</w:t>
            </w:r>
          </w:p>
        </w:tc>
        <w:tc>
          <w:tcPr>
            <w:tcW w:w="7088" w:type="dxa"/>
          </w:tcPr>
          <w:p w:rsidR="000D44A5" w:rsidRPr="00BC5636" w:rsidRDefault="000D44A5" w:rsidP="007B3A51">
            <w:pPr>
              <w:spacing w:before="120"/>
              <w:rPr>
                <w:sz w:val="20"/>
              </w:rPr>
            </w:pPr>
            <w:r w:rsidRPr="00BC5636">
              <w:rPr>
                <w:sz w:val="20"/>
              </w:rPr>
              <w:t>A collection of demographic and clinical information about mothers and live-born babies from publicly-funded maternity services provided up to nine months befor</w:t>
            </w:r>
            <w:r w:rsidR="00BE0429">
              <w:rPr>
                <w:sz w:val="20"/>
              </w:rPr>
              <w:t>e and three months after birth.</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National Minimum Dataset (NMDS)</w:t>
            </w:r>
          </w:p>
        </w:tc>
        <w:tc>
          <w:tcPr>
            <w:tcW w:w="7088" w:type="dxa"/>
          </w:tcPr>
          <w:p w:rsidR="000D44A5" w:rsidRPr="00C87FBC" w:rsidRDefault="000D44A5" w:rsidP="007B3A51">
            <w:pPr>
              <w:spacing w:before="120"/>
              <w:rPr>
                <w:sz w:val="20"/>
              </w:rPr>
            </w:pPr>
            <w:r w:rsidRPr="00C87FBC">
              <w:rPr>
                <w:sz w:val="20"/>
              </w:rPr>
              <w:t>A collection of health data that is collected routinely from all people discharged from a hospital in New Zealand.</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Normal birth</w:t>
            </w:r>
          </w:p>
        </w:tc>
        <w:tc>
          <w:tcPr>
            <w:tcW w:w="7088" w:type="dxa"/>
          </w:tcPr>
          <w:p w:rsidR="000D44A5" w:rsidRPr="00C87FBC" w:rsidRDefault="000D44A5" w:rsidP="007B3A51">
            <w:pPr>
              <w:spacing w:before="120"/>
              <w:rPr>
                <w:sz w:val="20"/>
              </w:rPr>
            </w:pPr>
            <w:r w:rsidRPr="00C87FBC">
              <w:rPr>
                <w:sz w:val="20"/>
              </w:rPr>
              <w:t>Spontaneous vaginal birth (includes spontaneous vertex and spontaneous breech), without an induced or augmented labour, an epidural or an episiotomy.</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Numerator</w:t>
            </w:r>
          </w:p>
        </w:tc>
        <w:tc>
          <w:tcPr>
            <w:tcW w:w="7088" w:type="dxa"/>
          </w:tcPr>
          <w:p w:rsidR="000D44A5" w:rsidRPr="00C87FBC" w:rsidRDefault="000D44A5" w:rsidP="007B3A51">
            <w:pPr>
              <w:spacing w:before="120"/>
              <w:rPr>
                <w:sz w:val="20"/>
              </w:rPr>
            </w:pPr>
            <w:r w:rsidRPr="00C87FBC">
              <w:rPr>
                <w:sz w:val="20"/>
              </w:rPr>
              <w:t>The number that appears at the top of a fraction, used to calculate proportions.</w:t>
            </w:r>
            <w:r w:rsidRPr="00C87FBC">
              <w:rPr>
                <w:b/>
                <w:sz w:val="20"/>
              </w:rPr>
              <w:t xml:space="preserve"> </w:t>
            </w:r>
            <w:r w:rsidRPr="00C87FBC">
              <w:rPr>
                <w:sz w:val="20"/>
              </w:rPr>
              <w:t xml:space="preserve">See also </w:t>
            </w:r>
            <w:r w:rsidRPr="00C87FBC">
              <w:rPr>
                <w:i/>
                <w:sz w:val="20"/>
              </w:rPr>
              <w:t>Proportion</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Parity</w:t>
            </w:r>
          </w:p>
        </w:tc>
        <w:tc>
          <w:tcPr>
            <w:tcW w:w="7088" w:type="dxa"/>
          </w:tcPr>
          <w:p w:rsidR="000D44A5" w:rsidRPr="00C87FBC" w:rsidRDefault="000D44A5" w:rsidP="007B3A51">
            <w:pPr>
              <w:spacing w:before="120"/>
              <w:rPr>
                <w:sz w:val="20"/>
              </w:rPr>
            </w:pPr>
            <w:r w:rsidRPr="00C87FBC">
              <w:rPr>
                <w:sz w:val="20"/>
              </w:rPr>
              <w:t>The number of times a woman has previously given birth, including stillbirths.</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Plurality</w:t>
            </w:r>
          </w:p>
        </w:tc>
        <w:tc>
          <w:tcPr>
            <w:tcW w:w="7088" w:type="dxa"/>
          </w:tcPr>
          <w:p w:rsidR="000D44A5" w:rsidRPr="00C87FBC" w:rsidRDefault="000D44A5" w:rsidP="007B3A51">
            <w:pPr>
              <w:spacing w:before="120"/>
              <w:rPr>
                <w:sz w:val="20"/>
              </w:rPr>
            </w:pPr>
            <w:r w:rsidRPr="00C87FBC">
              <w:rPr>
                <w:sz w:val="20"/>
              </w:rPr>
              <w:t>The number of babies resulting from a pregnancy.</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Postnatal</w:t>
            </w:r>
          </w:p>
        </w:tc>
        <w:tc>
          <w:tcPr>
            <w:tcW w:w="7088" w:type="dxa"/>
          </w:tcPr>
          <w:p w:rsidR="000D44A5" w:rsidRPr="00C87FBC" w:rsidRDefault="000D44A5" w:rsidP="007B3A51">
            <w:pPr>
              <w:spacing w:before="120"/>
              <w:rPr>
                <w:sz w:val="20"/>
              </w:rPr>
            </w:pPr>
            <w:r>
              <w:rPr>
                <w:sz w:val="20"/>
              </w:rPr>
              <w:t xml:space="preserve">The period following birth, up to </w:t>
            </w:r>
            <w:r w:rsidRPr="00C87FBC">
              <w:rPr>
                <w:sz w:val="20"/>
              </w:rPr>
              <w:t xml:space="preserve">six weeks </w:t>
            </w:r>
            <w:r>
              <w:rPr>
                <w:sz w:val="20"/>
              </w:rPr>
              <w:t>after birth</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t>Preterm birth, preterm labour</w:t>
            </w:r>
          </w:p>
        </w:tc>
        <w:tc>
          <w:tcPr>
            <w:tcW w:w="7088" w:type="dxa"/>
          </w:tcPr>
          <w:p w:rsidR="000D44A5" w:rsidRPr="00C87FBC" w:rsidRDefault="000D44A5" w:rsidP="007B3A51">
            <w:pPr>
              <w:spacing w:before="120"/>
              <w:rPr>
                <w:sz w:val="20"/>
              </w:rPr>
            </w:pPr>
            <w:r w:rsidRPr="00C87FBC">
              <w:rPr>
                <w:sz w:val="20"/>
              </w:rPr>
              <w:t>Birth or labour before 37 completed weeks</w:t>
            </w:r>
            <w:r w:rsidR="00CB6D20">
              <w:rPr>
                <w:sz w:val="20"/>
              </w:rPr>
              <w:t>’</w:t>
            </w:r>
            <w:r w:rsidRPr="00C87FBC">
              <w:rPr>
                <w:sz w:val="20"/>
              </w:rPr>
              <w:t xml:space="preserve"> of gestation (WHO 1975).</w:t>
            </w:r>
            <w:r w:rsidRPr="00C87FBC">
              <w:rPr>
                <w:sz w:val="20"/>
              </w:rPr>
              <w:br/>
              <w:t xml:space="preserve">See also </w:t>
            </w:r>
            <w:r w:rsidRPr="00C87FBC">
              <w:rPr>
                <w:i/>
                <w:sz w:val="20"/>
              </w:rPr>
              <w:t>Gestation</w:t>
            </w:r>
            <w:r w:rsidRPr="00C87FBC">
              <w:rPr>
                <w:sz w:val="20"/>
              </w:rPr>
              <w:t>.</w:t>
            </w:r>
          </w:p>
        </w:tc>
      </w:tr>
      <w:tr w:rsidR="000D44A5" w:rsidRPr="00AF16D8" w:rsidTr="007B3A51">
        <w:trPr>
          <w:cantSplit/>
        </w:trPr>
        <w:tc>
          <w:tcPr>
            <w:tcW w:w="2376" w:type="dxa"/>
          </w:tcPr>
          <w:p w:rsidR="000D44A5" w:rsidRPr="00C87FBC" w:rsidRDefault="000D44A5" w:rsidP="007B3A51">
            <w:pPr>
              <w:spacing w:before="120"/>
              <w:rPr>
                <w:sz w:val="20"/>
              </w:rPr>
            </w:pPr>
            <w:r w:rsidRPr="00C87FBC">
              <w:rPr>
                <w:sz w:val="20"/>
              </w:rPr>
              <w:lastRenderedPageBreak/>
              <w:t>Primary maternity facility, primary facility</w:t>
            </w:r>
          </w:p>
        </w:tc>
        <w:tc>
          <w:tcPr>
            <w:tcW w:w="7088" w:type="dxa"/>
          </w:tcPr>
          <w:p w:rsidR="000D44A5" w:rsidRPr="00C87FBC" w:rsidRDefault="000D44A5" w:rsidP="007B3A51">
            <w:pPr>
              <w:spacing w:before="120"/>
              <w:rPr>
                <w:sz w:val="20"/>
              </w:rPr>
            </w:pPr>
            <w:r w:rsidRPr="00C87FBC">
              <w:rPr>
                <w:sz w:val="20"/>
              </w:rPr>
              <w:t xml:space="preserve">A maternity unit that provides care for normal births with care provision from midwives. It is specifically for women assessed as being at low risk of complications for labour and birth care. Access to specialist secondary maternity services and care will require transfer to a secondary or tertiary facility. Primary facilities do not provide epidural analgesia or operative birth services. Birthing units are considered to be primary facilities. See also </w:t>
            </w:r>
            <w:r w:rsidRPr="00C87FBC">
              <w:rPr>
                <w:i/>
                <w:sz w:val="20"/>
              </w:rPr>
              <w:t>Birthing unit</w:t>
            </w:r>
            <w:r w:rsidRPr="00C87FBC">
              <w:rPr>
                <w:sz w:val="20"/>
              </w:rPr>
              <w:t xml:space="preserve">; </w:t>
            </w:r>
            <w:r w:rsidRPr="00C87FBC">
              <w:rPr>
                <w:i/>
                <w:sz w:val="20"/>
              </w:rPr>
              <w:t>Maternity facility</w:t>
            </w:r>
            <w:r w:rsidRPr="00C87FBC">
              <w:rPr>
                <w:sz w:val="20"/>
              </w:rPr>
              <w:t>.</w:t>
            </w:r>
          </w:p>
        </w:tc>
      </w:tr>
      <w:tr w:rsidR="000D44A5" w:rsidRPr="00C87FBC" w:rsidTr="007B3A51">
        <w:trPr>
          <w:cantSplit/>
        </w:trPr>
        <w:tc>
          <w:tcPr>
            <w:tcW w:w="2376" w:type="dxa"/>
          </w:tcPr>
          <w:p w:rsidR="000D44A5" w:rsidRPr="00C87FBC" w:rsidRDefault="000D44A5" w:rsidP="00BE0429">
            <w:pPr>
              <w:spacing w:before="120"/>
              <w:rPr>
                <w:sz w:val="20"/>
              </w:rPr>
            </w:pPr>
            <w:r w:rsidRPr="00C87FBC">
              <w:rPr>
                <w:sz w:val="20"/>
              </w:rPr>
              <w:t>Primary Maternity Services Notice 2007</w:t>
            </w:r>
          </w:p>
        </w:tc>
        <w:tc>
          <w:tcPr>
            <w:tcW w:w="7088" w:type="dxa"/>
          </w:tcPr>
          <w:p w:rsidR="000D44A5" w:rsidRPr="00C87FBC" w:rsidRDefault="000D44A5" w:rsidP="00BE0429">
            <w:pPr>
              <w:spacing w:before="120"/>
              <w:rPr>
                <w:sz w:val="20"/>
              </w:rPr>
            </w:pPr>
            <w:r w:rsidRPr="00C87FBC">
              <w:rPr>
                <w:sz w:val="20"/>
              </w:rPr>
              <w:t>Notice pursuant to Section 88 of the New Zealand Public Health and Disability Act 2000 that came into force on 1 July 2007.</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Prioritised ethnicity</w:t>
            </w:r>
          </w:p>
        </w:tc>
        <w:tc>
          <w:tcPr>
            <w:tcW w:w="7088" w:type="dxa"/>
          </w:tcPr>
          <w:p w:rsidR="000D44A5" w:rsidRPr="00C87FBC" w:rsidRDefault="000D44A5" w:rsidP="007B3A51">
            <w:pPr>
              <w:spacing w:before="120"/>
              <w:rPr>
                <w:sz w:val="20"/>
              </w:rPr>
            </w:pPr>
            <w:r w:rsidRPr="00C87FBC">
              <w:rPr>
                <w:sz w:val="20"/>
              </w:rPr>
              <w:t xml:space="preserve">A system by which each individual is allocated to a single ethnic group using the priority system Māori &gt; Pacific peoples &gt; Indian &gt; Asian (excluding Indian) &gt; European &gt; Other. See also </w:t>
            </w:r>
            <w:r w:rsidRPr="00C87FBC">
              <w:rPr>
                <w:i/>
                <w:sz w:val="20"/>
              </w:rPr>
              <w:t>Ethnicity.</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Proportion</w:t>
            </w:r>
          </w:p>
        </w:tc>
        <w:tc>
          <w:tcPr>
            <w:tcW w:w="7088" w:type="dxa"/>
          </w:tcPr>
          <w:p w:rsidR="000D44A5" w:rsidRPr="00C87FBC" w:rsidRDefault="000D44A5" w:rsidP="007B3A51">
            <w:pPr>
              <w:spacing w:before="120"/>
              <w:rPr>
                <w:sz w:val="20"/>
              </w:rPr>
            </w:pPr>
            <w:r w:rsidRPr="00C87FBC">
              <w:rPr>
                <w:sz w:val="20"/>
              </w:rPr>
              <w:t>A part, share or number considered in comparative relation to a whole. Proportions are calculated by dividing the numerator by the denominator, and are expressed as a percentage in this publication.</w:t>
            </w:r>
            <w:r w:rsidRPr="00C87FBC">
              <w:rPr>
                <w:i/>
                <w:sz w:val="20"/>
              </w:rPr>
              <w:t xml:space="preserve"> </w:t>
            </w:r>
            <w:r w:rsidRPr="00C87FBC">
              <w:rPr>
                <w:sz w:val="20"/>
              </w:rPr>
              <w:t xml:space="preserve">See also </w:t>
            </w:r>
            <w:r w:rsidRPr="00C87FBC">
              <w:rPr>
                <w:i/>
                <w:sz w:val="20"/>
              </w:rPr>
              <w:t>Denominator</w:t>
            </w:r>
            <w:r w:rsidRPr="00C87FBC">
              <w:rPr>
                <w:sz w:val="20"/>
              </w:rPr>
              <w:t>;</w:t>
            </w:r>
            <w:r w:rsidRPr="00C87FBC">
              <w:rPr>
                <w:i/>
                <w:sz w:val="20"/>
              </w:rPr>
              <w:t xml:space="preserve"> Numerator</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Reproductive age</w:t>
            </w:r>
          </w:p>
        </w:tc>
        <w:tc>
          <w:tcPr>
            <w:tcW w:w="7088" w:type="dxa"/>
          </w:tcPr>
          <w:p w:rsidR="000D44A5" w:rsidRPr="00C87FBC" w:rsidRDefault="000D44A5" w:rsidP="007B3A51">
            <w:pPr>
              <w:spacing w:before="120"/>
              <w:rPr>
                <w:sz w:val="20"/>
              </w:rPr>
            </w:pPr>
            <w:r w:rsidRPr="00C87FBC">
              <w:rPr>
                <w:sz w:val="20"/>
              </w:rPr>
              <w:t>Aged between 15 and 44 years.</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Secondary maternity facility, secondary facility</w:t>
            </w:r>
          </w:p>
        </w:tc>
        <w:tc>
          <w:tcPr>
            <w:tcW w:w="7088" w:type="dxa"/>
          </w:tcPr>
          <w:p w:rsidR="000D44A5" w:rsidRPr="00C87FBC" w:rsidRDefault="000D44A5" w:rsidP="007B3A51">
            <w:pPr>
              <w:spacing w:before="120"/>
              <w:rPr>
                <w:sz w:val="20"/>
              </w:rPr>
            </w:pPr>
            <w:r w:rsidRPr="00C87FBC">
              <w:rPr>
                <w:sz w:val="20"/>
              </w:rPr>
              <w:t>A hospital that can provide care for normal births, complicated pregnancies and births, including operative births and caesarean sections, plus specialist adjunct services including anaesthetics and paediatrics. As a minimum, secondary facilities include an obstetrician rostered on site during working hours and on call after hours, with access to support from an anaesthetist, paediatrician, radiological, laboratory and neonatal services (Ministry of Health 2012).</w:t>
            </w:r>
            <w:r w:rsidRPr="00C87FBC">
              <w:t xml:space="preserve"> </w:t>
            </w:r>
            <w:r w:rsidRPr="00C87FBC">
              <w:rPr>
                <w:sz w:val="20"/>
              </w:rPr>
              <w:t xml:space="preserve">See also </w:t>
            </w:r>
            <w:r w:rsidRPr="00C87FBC">
              <w:rPr>
                <w:i/>
                <w:sz w:val="20"/>
              </w:rPr>
              <w:t>Maternity facility</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Spontaneous breech</w:t>
            </w:r>
          </w:p>
        </w:tc>
        <w:tc>
          <w:tcPr>
            <w:tcW w:w="7088" w:type="dxa"/>
          </w:tcPr>
          <w:p w:rsidR="000D44A5" w:rsidRPr="00C87FBC" w:rsidRDefault="000D44A5" w:rsidP="007B3A51">
            <w:pPr>
              <w:spacing w:before="120"/>
              <w:rPr>
                <w:sz w:val="20"/>
              </w:rPr>
            </w:pPr>
            <w:r w:rsidRPr="00C87FBC">
              <w:rPr>
                <w:sz w:val="20"/>
              </w:rPr>
              <w:t xml:space="preserve">The birth of a baby in a breech presentation without obstetric intervention to facilitate delivery. See also </w:t>
            </w:r>
            <w:r w:rsidRPr="00C87FBC">
              <w:rPr>
                <w:i/>
                <w:sz w:val="20"/>
              </w:rPr>
              <w:t>Breech birth</w:t>
            </w:r>
            <w:r w:rsidRPr="00C87FBC">
              <w:rPr>
                <w:sz w:val="20"/>
              </w:rPr>
              <w:t>;</w:t>
            </w:r>
            <w:r w:rsidRPr="00C87FBC">
              <w:rPr>
                <w:i/>
                <w:sz w:val="20"/>
              </w:rPr>
              <w:t xml:space="preserve"> Spontaneous vaginal birth</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Spontaneous vaginal birth</w:t>
            </w:r>
          </w:p>
        </w:tc>
        <w:tc>
          <w:tcPr>
            <w:tcW w:w="7088" w:type="dxa"/>
          </w:tcPr>
          <w:p w:rsidR="000D44A5" w:rsidRPr="00C87FBC" w:rsidRDefault="000D44A5" w:rsidP="007B3A51">
            <w:pPr>
              <w:spacing w:before="120"/>
              <w:rPr>
                <w:sz w:val="20"/>
              </w:rPr>
            </w:pPr>
            <w:r w:rsidRPr="00C87FBC">
              <w:rPr>
                <w:sz w:val="20"/>
              </w:rPr>
              <w:t>A vaginal birth without obstetric intervention to facilitate delivery. Includes spontaneous vertex and spontaneous breech births.</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Spontaneous vertex birth</w:t>
            </w:r>
          </w:p>
        </w:tc>
        <w:tc>
          <w:tcPr>
            <w:tcW w:w="7088" w:type="dxa"/>
          </w:tcPr>
          <w:p w:rsidR="000D44A5" w:rsidRPr="00C87FBC" w:rsidRDefault="000D44A5" w:rsidP="007B3A51">
            <w:pPr>
              <w:spacing w:before="120"/>
              <w:rPr>
                <w:sz w:val="20"/>
              </w:rPr>
            </w:pPr>
            <w:r w:rsidRPr="00C87FBC">
              <w:rPr>
                <w:sz w:val="20"/>
              </w:rPr>
              <w:t xml:space="preserve">The birth of a baby in a vertex presentation without any obstetric intervention to facilitate delivery. See also </w:t>
            </w:r>
            <w:r w:rsidRPr="00C87FBC">
              <w:rPr>
                <w:i/>
                <w:sz w:val="20"/>
              </w:rPr>
              <w:t>Spontaneous vaginal birth</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Stillbirth, stillborn baby</w:t>
            </w:r>
          </w:p>
        </w:tc>
        <w:tc>
          <w:tcPr>
            <w:tcW w:w="7088" w:type="dxa"/>
          </w:tcPr>
          <w:p w:rsidR="000D44A5" w:rsidRPr="00C87FBC" w:rsidRDefault="000D44A5" w:rsidP="007B3A51">
            <w:pPr>
              <w:spacing w:before="120"/>
              <w:rPr>
                <w:sz w:val="20"/>
              </w:rPr>
            </w:pPr>
            <w:r w:rsidRPr="00C87FBC">
              <w:rPr>
                <w:sz w:val="20"/>
              </w:rPr>
              <w:t xml:space="preserve">A dead fetus that (a) weighed 400 g or more when issued from its mother, or (b) issued from its mother after the 20th week of pregnancy (Births, Deaths, Marriages, and Relationships Registration Act 1995). See also </w:t>
            </w:r>
            <w:r w:rsidRPr="00C87FBC">
              <w:rPr>
                <w:i/>
                <w:sz w:val="20"/>
              </w:rPr>
              <w:t>Birth</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Term birth, term labour</w:t>
            </w:r>
          </w:p>
        </w:tc>
        <w:tc>
          <w:tcPr>
            <w:tcW w:w="7088" w:type="dxa"/>
          </w:tcPr>
          <w:p w:rsidR="000D44A5" w:rsidRPr="00C87FBC" w:rsidRDefault="000D44A5" w:rsidP="007B3A51">
            <w:pPr>
              <w:spacing w:before="120"/>
              <w:rPr>
                <w:sz w:val="20"/>
              </w:rPr>
            </w:pPr>
            <w:r w:rsidRPr="00C87FBC">
              <w:rPr>
                <w:sz w:val="20"/>
              </w:rPr>
              <w:t>Birth or labour at 37–41 completed weeks</w:t>
            </w:r>
            <w:r w:rsidR="00CB6D20">
              <w:rPr>
                <w:sz w:val="20"/>
              </w:rPr>
              <w:t>’</w:t>
            </w:r>
            <w:r w:rsidRPr="00C87FBC">
              <w:rPr>
                <w:sz w:val="20"/>
              </w:rPr>
              <w:t xml:space="preserve"> gestation (WHO 1975). See also </w:t>
            </w:r>
            <w:r w:rsidRPr="00C87FBC">
              <w:rPr>
                <w:i/>
                <w:sz w:val="20"/>
              </w:rPr>
              <w:t>Gestation</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Tertiary maternity facility, tertiary facility</w:t>
            </w:r>
          </w:p>
        </w:tc>
        <w:tc>
          <w:tcPr>
            <w:tcW w:w="7088" w:type="dxa"/>
          </w:tcPr>
          <w:p w:rsidR="000D44A5" w:rsidRPr="00C87FBC" w:rsidRDefault="000D44A5" w:rsidP="007B3A51">
            <w:pPr>
              <w:spacing w:before="120"/>
              <w:rPr>
                <w:sz w:val="20"/>
              </w:rPr>
            </w:pPr>
            <w:r w:rsidRPr="00C87FBC">
              <w:rPr>
                <w:sz w:val="20"/>
              </w:rPr>
              <w:t>A hospital that can provide care for women with high-risk, complex pregnancies, by specialised multidisciplinary teams. Tertiary maternity care includes an obstetric specialist or registrar immediately available on site 24 hours a day and an on-site, level 3 neonatal service (Ministry of Health 2012).</w:t>
            </w:r>
            <w:r w:rsidRPr="00C87FBC">
              <w:t xml:space="preserve"> </w:t>
            </w:r>
            <w:r w:rsidRPr="00C87FBC">
              <w:rPr>
                <w:sz w:val="20"/>
              </w:rPr>
              <w:t xml:space="preserve">See also </w:t>
            </w:r>
            <w:r w:rsidRPr="00C87FBC">
              <w:rPr>
                <w:i/>
                <w:sz w:val="20"/>
              </w:rPr>
              <w:t>Maternity facility</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Trimester</w:t>
            </w:r>
          </w:p>
        </w:tc>
        <w:tc>
          <w:tcPr>
            <w:tcW w:w="7088" w:type="dxa"/>
          </w:tcPr>
          <w:p w:rsidR="000D44A5" w:rsidRPr="00C87FBC" w:rsidRDefault="000D44A5" w:rsidP="007B3A51">
            <w:pPr>
              <w:spacing w:before="120"/>
              <w:rPr>
                <w:sz w:val="20"/>
              </w:rPr>
            </w:pPr>
            <w:r w:rsidRPr="00C87FBC">
              <w:rPr>
                <w:sz w:val="20"/>
              </w:rPr>
              <w:t>One of three periods into which a woman</w:t>
            </w:r>
            <w:r w:rsidR="00CB6D20">
              <w:rPr>
                <w:sz w:val="20"/>
              </w:rPr>
              <w:t>’</w:t>
            </w:r>
            <w:r w:rsidRPr="00C87FBC">
              <w:rPr>
                <w:sz w:val="20"/>
              </w:rPr>
              <w:t>s pregnancy is divided: first trimester: &lt;13 weeks</w:t>
            </w:r>
            <w:r w:rsidR="00CB6D20">
              <w:rPr>
                <w:sz w:val="20"/>
              </w:rPr>
              <w:t>’</w:t>
            </w:r>
            <w:r w:rsidRPr="00C87FBC">
              <w:rPr>
                <w:sz w:val="20"/>
              </w:rPr>
              <w:t xml:space="preserve"> gestation; second trimester: 13–28 weeks</w:t>
            </w:r>
            <w:r w:rsidR="00CB6D20">
              <w:rPr>
                <w:sz w:val="20"/>
              </w:rPr>
              <w:t>’</w:t>
            </w:r>
            <w:r w:rsidRPr="00C87FBC">
              <w:rPr>
                <w:sz w:val="20"/>
              </w:rPr>
              <w:t xml:space="preserve"> gestation; third trimester: 29+ weeks</w:t>
            </w:r>
            <w:r w:rsidR="00CB6D20">
              <w:rPr>
                <w:sz w:val="20"/>
              </w:rPr>
              <w:t>’</w:t>
            </w:r>
            <w:r w:rsidRPr="00C87FBC">
              <w:rPr>
                <w:sz w:val="20"/>
              </w:rPr>
              <w:t xml:space="preserve"> gestation.</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Vacuum extraction</w:t>
            </w:r>
          </w:p>
        </w:tc>
        <w:tc>
          <w:tcPr>
            <w:tcW w:w="7088" w:type="dxa"/>
          </w:tcPr>
          <w:p w:rsidR="000D44A5" w:rsidRPr="00C87FBC" w:rsidRDefault="000D44A5" w:rsidP="007B3A51">
            <w:pPr>
              <w:spacing w:before="120"/>
              <w:rPr>
                <w:sz w:val="20"/>
              </w:rPr>
            </w:pPr>
            <w:r w:rsidRPr="00C87FBC">
              <w:rPr>
                <w:sz w:val="20"/>
              </w:rPr>
              <w:t xml:space="preserve">See </w:t>
            </w:r>
            <w:r w:rsidRPr="00C87FBC">
              <w:rPr>
                <w:i/>
                <w:sz w:val="20"/>
              </w:rPr>
              <w:t>Assisted birth</w:t>
            </w:r>
            <w:r w:rsidRPr="00C87FBC">
              <w:rPr>
                <w:sz w:val="20"/>
              </w:rPr>
              <w:t>,</w:t>
            </w:r>
            <w:r w:rsidRPr="00C87FBC">
              <w:rPr>
                <w:i/>
                <w:sz w:val="20"/>
              </w:rPr>
              <w:t xml:space="preserve"> vacuum</w:t>
            </w:r>
            <w:r w:rsidRPr="00C87FBC">
              <w:rPr>
                <w:sz w:val="20"/>
              </w:rPr>
              <w:t>.</w:t>
            </w:r>
          </w:p>
        </w:tc>
      </w:tr>
      <w:tr w:rsidR="000D44A5" w:rsidRPr="00C87FBC" w:rsidTr="007B3A51">
        <w:trPr>
          <w:cantSplit/>
        </w:trPr>
        <w:tc>
          <w:tcPr>
            <w:tcW w:w="2376" w:type="dxa"/>
          </w:tcPr>
          <w:p w:rsidR="000D44A5" w:rsidRPr="00C87FBC" w:rsidRDefault="000D44A5" w:rsidP="007B3A51">
            <w:pPr>
              <w:spacing w:before="120"/>
              <w:rPr>
                <w:sz w:val="20"/>
              </w:rPr>
            </w:pPr>
            <w:r w:rsidRPr="00C87FBC">
              <w:rPr>
                <w:sz w:val="20"/>
              </w:rPr>
              <w:t>Well Child/Tamariki Ora</w:t>
            </w:r>
          </w:p>
        </w:tc>
        <w:tc>
          <w:tcPr>
            <w:tcW w:w="7088" w:type="dxa"/>
          </w:tcPr>
          <w:p w:rsidR="000D44A5" w:rsidRPr="00C87FBC" w:rsidRDefault="000D44A5" w:rsidP="007B3A51">
            <w:pPr>
              <w:spacing w:before="120"/>
              <w:rPr>
                <w:sz w:val="20"/>
              </w:rPr>
            </w:pPr>
            <w:r w:rsidRPr="00C87FBC">
              <w:rPr>
                <w:sz w:val="20"/>
              </w:rPr>
              <w:t>The Well Child/Tamariki Ora programme is a package of universal health services offered free to all New Zealand families/whānau for children from birth to five years.</w:t>
            </w:r>
          </w:p>
        </w:tc>
      </w:tr>
    </w:tbl>
    <w:p w:rsidR="000D44A5" w:rsidRPr="00C87FBC" w:rsidRDefault="000D44A5" w:rsidP="00BE0429"/>
    <w:p w:rsidR="000D44A5" w:rsidRPr="00C87FBC" w:rsidRDefault="000D44A5" w:rsidP="00BE0429">
      <w:pPr>
        <w:pStyle w:val="Heading1"/>
      </w:pPr>
      <w:bookmarkStart w:id="674" w:name="_Toc405887021"/>
      <w:bookmarkStart w:id="675" w:name="_Toc412122417"/>
      <w:bookmarkStart w:id="676" w:name="_Toc431462741"/>
      <w:bookmarkStart w:id="677" w:name="_Toc479583279"/>
      <w:bookmarkStart w:id="678" w:name="_Toc485542647"/>
      <w:r w:rsidRPr="00C87FBC">
        <w:lastRenderedPageBreak/>
        <w:t>Appendices</w:t>
      </w:r>
      <w:bookmarkEnd w:id="674"/>
      <w:bookmarkEnd w:id="675"/>
      <w:bookmarkEnd w:id="676"/>
      <w:bookmarkEnd w:id="677"/>
      <w:bookmarkEnd w:id="678"/>
    </w:p>
    <w:p w:rsidR="000D44A5" w:rsidRPr="00AD57BB" w:rsidRDefault="000D44A5" w:rsidP="00AD57BB">
      <w:r w:rsidRPr="00C87FBC">
        <w:t>The appendices are as follows:</w:t>
      </w:r>
    </w:p>
    <w:p w:rsidR="000D44A5" w:rsidRPr="00C87FBC" w:rsidRDefault="000D44A5" w:rsidP="00AD57BB">
      <w:pPr>
        <w:pStyle w:val="Bullet"/>
      </w:pPr>
      <w:r w:rsidRPr="00C87FBC">
        <w:t>Appendix 1: Maternity model of care</w:t>
      </w:r>
    </w:p>
    <w:p w:rsidR="000D44A5" w:rsidRPr="00C87FBC" w:rsidRDefault="000D44A5" w:rsidP="00AD57BB">
      <w:pPr>
        <w:pStyle w:val="Bullet"/>
      </w:pPr>
      <w:r w:rsidRPr="00C87FBC">
        <w:t>Appendix 2: National Maternity Collection</w:t>
      </w:r>
    </w:p>
    <w:p w:rsidR="000D44A5" w:rsidRPr="00C87FBC" w:rsidRDefault="000D44A5" w:rsidP="00AD57BB">
      <w:pPr>
        <w:pStyle w:val="Bullet"/>
      </w:pPr>
      <w:r w:rsidRPr="00C87FBC">
        <w:t>Appendix 3: Technical notes</w:t>
      </w:r>
    </w:p>
    <w:p w:rsidR="000D44A5" w:rsidRPr="00C87FBC" w:rsidRDefault="000D44A5" w:rsidP="00AD57BB">
      <w:pPr>
        <w:pStyle w:val="Bullet"/>
      </w:pPr>
      <w:r w:rsidRPr="00C87FBC">
        <w:t>Appendix 4: Guide to reading maps</w:t>
      </w:r>
    </w:p>
    <w:p w:rsidR="000D44A5" w:rsidRPr="00C87FBC" w:rsidRDefault="000D44A5" w:rsidP="00AD57BB">
      <w:pPr>
        <w:pStyle w:val="Bullet"/>
      </w:pPr>
      <w:r w:rsidRPr="00C87FBC">
        <w:t>Appendix 5: Catchment areas.</w:t>
      </w:r>
    </w:p>
    <w:p w:rsidR="000D44A5" w:rsidRPr="00C87FBC" w:rsidRDefault="000D44A5" w:rsidP="00AD57BB"/>
    <w:p w:rsidR="000D44A5" w:rsidRPr="00C87FBC" w:rsidRDefault="000D44A5" w:rsidP="00AD57BB">
      <w:pPr>
        <w:pStyle w:val="Heading2"/>
      </w:pPr>
      <w:bookmarkStart w:id="679" w:name="_Ref401917457"/>
      <w:bookmarkStart w:id="680" w:name="_Toc405887022"/>
      <w:bookmarkStart w:id="681" w:name="_Toc412122418"/>
      <w:bookmarkStart w:id="682" w:name="_Ref413143300"/>
      <w:bookmarkStart w:id="683" w:name="_Toc431462742"/>
      <w:bookmarkStart w:id="684" w:name="_Toc479583280"/>
      <w:bookmarkStart w:id="685" w:name="_Toc485542648"/>
      <w:bookmarkStart w:id="686" w:name="_Ref400705619"/>
      <w:r w:rsidRPr="00C87FBC">
        <w:t>Appendix 1: Maternity model of care</w:t>
      </w:r>
      <w:bookmarkEnd w:id="679"/>
      <w:bookmarkEnd w:id="680"/>
      <w:bookmarkEnd w:id="681"/>
      <w:bookmarkEnd w:id="682"/>
      <w:bookmarkEnd w:id="683"/>
      <w:bookmarkEnd w:id="684"/>
      <w:bookmarkEnd w:id="685"/>
    </w:p>
    <w:p w:rsidR="000D44A5" w:rsidRPr="00C87FBC" w:rsidRDefault="000D44A5" w:rsidP="00AD57BB">
      <w:r w:rsidRPr="00C87FBC">
        <w:t>Maternity services in New Zealand are classified according to the level of complexity of clinical care a woman and her baby require – either primary, secondary or tertiary. Maternity services are provided by a range of practitioners (midwives, GPs, medical specialists, radiologists and childbirth educators) and in a range of settings (a woman</w:t>
      </w:r>
      <w:r w:rsidR="00CB6D20">
        <w:t>’</w:t>
      </w:r>
      <w:r w:rsidRPr="00C87FBC">
        <w:t>s home, consulting rooms, primary birthing units and hospitals).</w:t>
      </w:r>
    </w:p>
    <w:p w:rsidR="000D44A5" w:rsidRPr="00C87FBC" w:rsidRDefault="000D44A5" w:rsidP="00AD57BB"/>
    <w:p w:rsidR="000D44A5" w:rsidRPr="00C87FBC" w:rsidRDefault="000D44A5" w:rsidP="00AD57BB">
      <w:r w:rsidRPr="00C87FBC">
        <w:t>There are a range of employment and contracting models in place for maternity services, including direct Ministry funding, DHB funding, private funding or a mix of these. Most maternity services are free to eligible women, although some services have co-payments.</w:t>
      </w:r>
    </w:p>
    <w:p w:rsidR="000D44A5" w:rsidRPr="00AF16D8" w:rsidRDefault="000D44A5" w:rsidP="00AD57BB">
      <w:pPr>
        <w:rPr>
          <w:highlight w:val="yellow"/>
        </w:rPr>
      </w:pPr>
    </w:p>
    <w:p w:rsidR="000D44A5" w:rsidRPr="00C87FBC" w:rsidRDefault="000D44A5" w:rsidP="00AD57BB">
      <w:pPr>
        <w:pStyle w:val="Heading3"/>
      </w:pPr>
      <w:r w:rsidRPr="00C87FBC">
        <w:t>Primary maternity care</w:t>
      </w:r>
    </w:p>
    <w:p w:rsidR="000D44A5" w:rsidRPr="00AD57BB" w:rsidRDefault="000D44A5" w:rsidP="00AD57BB">
      <w:pPr>
        <w:rPr>
          <w:spacing w:val="-2"/>
        </w:rPr>
      </w:pPr>
      <w:r w:rsidRPr="00AD57BB">
        <w:rPr>
          <w:spacing w:val="-2"/>
        </w:rPr>
        <w:t>The Primary Maternity Services Notice 2007, pursuant to Section 88 of the New Zealand Public Health and Disability Act 2000, sets out the objectives of primary maternity services, which are to:</w:t>
      </w:r>
    </w:p>
    <w:p w:rsidR="000D44A5" w:rsidRPr="00C87FBC" w:rsidRDefault="000D44A5" w:rsidP="00AD57BB">
      <w:pPr>
        <w:pStyle w:val="Bullet"/>
      </w:pPr>
      <w:r w:rsidRPr="00C87FBC">
        <w:t>give each woman, her partner and her family/whānau every opportunity to have a fulfilling outcome to the woman</w:t>
      </w:r>
      <w:r w:rsidR="00CB6D20">
        <w:t>’</w:t>
      </w:r>
      <w:r w:rsidRPr="00C87FBC">
        <w:t>s pregnancy and childbirth by facilitating the provision of primary maternity services that are safe, informed by evidence and based on partnership, information and choice</w:t>
      </w:r>
    </w:p>
    <w:p w:rsidR="000D44A5" w:rsidRPr="00C87FBC" w:rsidRDefault="000D44A5" w:rsidP="00AD57BB">
      <w:pPr>
        <w:pStyle w:val="Bullet"/>
      </w:pPr>
      <w:r w:rsidRPr="00C87FBC">
        <w:t>recognise that pregnancy and childbirth are a normal life stage for most women</w:t>
      </w:r>
    </w:p>
    <w:p w:rsidR="000D44A5" w:rsidRPr="00C87FBC" w:rsidRDefault="000D44A5" w:rsidP="00AD57BB">
      <w:pPr>
        <w:pStyle w:val="Bullet"/>
      </w:pPr>
      <w:r w:rsidRPr="00C87FBC">
        <w:t>provide the woman with continuity of care through her LMC, who is responsible for assessing her needs, and planning her care with her and the care of her baby</w:t>
      </w:r>
    </w:p>
    <w:p w:rsidR="000D44A5" w:rsidRPr="00C87FBC" w:rsidRDefault="000D44A5" w:rsidP="00AD57BB">
      <w:pPr>
        <w:pStyle w:val="Bullet"/>
        <w:rPr>
          <w:spacing w:val="-2"/>
        </w:rPr>
      </w:pPr>
      <w:r w:rsidRPr="00C87FBC">
        <w:rPr>
          <w:spacing w:val="-2"/>
        </w:rPr>
        <w:t>facilitate the provision of appropriate additional care for those women and babies who need it.</w:t>
      </w:r>
    </w:p>
    <w:p w:rsidR="000D44A5" w:rsidRPr="00C87FBC" w:rsidRDefault="000D44A5" w:rsidP="00AD57BB"/>
    <w:p w:rsidR="000D44A5" w:rsidRPr="00C87FBC" w:rsidRDefault="000D44A5" w:rsidP="00AD57BB">
      <w:r w:rsidRPr="00C87FBC">
        <w:t>All eligible women in New Zealand are entitled to continuity of primary maternity care through an LMC. Women who choose a midwife or GP as their LMC receive this care for free. Women may also choose to receiv</w:t>
      </w:r>
      <w:r>
        <w:t>e primary maternity care from a private</w:t>
      </w:r>
      <w:r w:rsidRPr="00C87FBC">
        <w:t xml:space="preserve"> obstetrician operating as an LMC, but they usually have to pay a co-payment for this care.</w:t>
      </w:r>
    </w:p>
    <w:p w:rsidR="000D44A5" w:rsidRPr="00C87FBC" w:rsidRDefault="000D44A5" w:rsidP="00AD57BB"/>
    <w:p w:rsidR="000D44A5" w:rsidRPr="00C87FBC" w:rsidRDefault="000D44A5" w:rsidP="00AD57BB">
      <w:r w:rsidRPr="00C87FBC">
        <w:t>Women who do not access an LMC, either through choice or lack of availability, are entitled to receive primary maternity services from their DHB. Women are less likely to receive continuity of care within a DHB primary maternity services service than they are with an LMC. The Primary Maternity Services Tier Two Service Specification sets the requirement for the delivery of DHB primary maternity services and is largely analogous to the Primary Maternity Services Notices 2007.</w:t>
      </w:r>
    </w:p>
    <w:p w:rsidR="000D44A5" w:rsidRPr="00AF16D8" w:rsidRDefault="000D44A5" w:rsidP="00AD57BB">
      <w:pPr>
        <w:rPr>
          <w:highlight w:val="yellow"/>
        </w:rPr>
      </w:pPr>
    </w:p>
    <w:p w:rsidR="000D44A5" w:rsidRPr="003E755C" w:rsidRDefault="000D44A5" w:rsidP="00AD57BB">
      <w:pPr>
        <w:pStyle w:val="Heading3"/>
      </w:pPr>
      <w:r w:rsidRPr="003E755C">
        <w:lastRenderedPageBreak/>
        <w:t>Place of birth</w:t>
      </w:r>
    </w:p>
    <w:p w:rsidR="000D44A5" w:rsidRPr="003E755C" w:rsidRDefault="000D44A5" w:rsidP="00AD57BB">
      <w:r w:rsidRPr="003E755C">
        <w:t>Women are entitled to choose where they give birth. This may include a tertiary hospital, secondary hospital, primary birthing unit or at home. Women are entitled to give birth at a facility with greater clinical capacity than their expected clinical need. Primary birthing units and home birth are recommended for women likely to experience normal birth. Place of birth usually reflects the local configuration of facilities and LMC access agreements, in addition to clinical need and then woman</w:t>
      </w:r>
      <w:r w:rsidR="00CB6D20">
        <w:t>’</w:t>
      </w:r>
      <w:r w:rsidRPr="003E755C">
        <w:t>s preference.</w:t>
      </w:r>
    </w:p>
    <w:p w:rsidR="000D44A5" w:rsidRPr="003E755C" w:rsidRDefault="000D44A5" w:rsidP="00AD57BB"/>
    <w:p w:rsidR="000D44A5" w:rsidRPr="003E755C" w:rsidRDefault="000D44A5" w:rsidP="00AD57BB">
      <w:pPr>
        <w:pStyle w:val="Heading3"/>
      </w:pPr>
      <w:r w:rsidRPr="003E755C">
        <w:t>Current funding model</w:t>
      </w:r>
    </w:p>
    <w:p w:rsidR="000D44A5" w:rsidRPr="003E755C" w:rsidRDefault="000D44A5" w:rsidP="000D44A5">
      <w:r w:rsidRPr="003E755C">
        <w:t xml:space="preserve">The majority of pregnant women receive </w:t>
      </w:r>
      <w:r>
        <w:t xml:space="preserve">primary maternity </w:t>
      </w:r>
      <w:r w:rsidRPr="003E755C">
        <w:t>services funded through the Notice. The Notice is a modular, fee-for-service model that specifies service expectations and funds LMC services,</w:t>
      </w:r>
      <w:r w:rsidRPr="00AD57BB">
        <w:t xml:space="preserve"> </w:t>
      </w:r>
      <w:r w:rsidRPr="003E755C">
        <w:t>non</w:t>
      </w:r>
      <w:r w:rsidRPr="003E755C">
        <w:noBreakHyphen/>
        <w:t>LMC first trimester and urgent care, primary maternity ultrasounds and some specialist services.</w:t>
      </w:r>
    </w:p>
    <w:p w:rsidR="000D44A5" w:rsidRPr="003E755C" w:rsidRDefault="000D44A5" w:rsidP="00AD57BB"/>
    <w:p w:rsidR="000D44A5" w:rsidRPr="003E755C" w:rsidRDefault="000D44A5" w:rsidP="00AD57BB">
      <w:r w:rsidRPr="003E755C">
        <w:t xml:space="preserve">The Ministry of Health also purchases primary maternity services from DHBs. The DHB is defined in the DHB Service Coverage Schedule as the </w:t>
      </w:r>
      <w:r w:rsidR="00CB6D20">
        <w:t>‘</w:t>
      </w:r>
      <w:r w:rsidRPr="003E755C">
        <w:t>[primary maternity service] provider of last resort</w:t>
      </w:r>
      <w:r w:rsidR="00CB6D20">
        <w:t>’</w:t>
      </w:r>
      <w:r w:rsidRPr="003E755C">
        <w:t xml:space="preserve"> and is expected to meet the primary maternity service needs of women who do not receive care from a midwife LMC funded via the Notice, including women with no LMC and </w:t>
      </w:r>
      <w:r>
        <w:t xml:space="preserve">the midwife component of care for </w:t>
      </w:r>
      <w:r w:rsidRPr="003E755C">
        <w:t>women who are under the care of an obstetric or GP LMC.</w:t>
      </w:r>
    </w:p>
    <w:p w:rsidR="000D44A5" w:rsidRPr="003E755C" w:rsidRDefault="000D44A5" w:rsidP="00AD57BB"/>
    <w:p w:rsidR="000D44A5" w:rsidRPr="003E755C" w:rsidRDefault="000D44A5" w:rsidP="00AD57BB">
      <w:r w:rsidRPr="003E755C">
        <w:t xml:space="preserve">The extent of primary maternity services being provided by DHBs varies significantly by DHB, ranging from DHBs that do not currently provide any primary maternity services to </w:t>
      </w:r>
      <w:r>
        <w:t>a DHB</w:t>
      </w:r>
      <w:r w:rsidRPr="003E755C">
        <w:t xml:space="preserve"> that provide</w:t>
      </w:r>
      <w:r>
        <w:t>s</w:t>
      </w:r>
      <w:r w:rsidRPr="003E755C">
        <w:t xml:space="preserve"> primary maternity services </w:t>
      </w:r>
      <w:r>
        <w:t xml:space="preserve">a notable proportion </w:t>
      </w:r>
      <w:r w:rsidRPr="003E755C">
        <w:t>of their women giving birth.</w:t>
      </w:r>
      <w:r w:rsidRPr="00AD57BB">
        <w:rPr>
          <w:rStyle w:val="FootnoteReference"/>
        </w:rPr>
        <w:footnoteReference w:id="18"/>
      </w:r>
      <w:r w:rsidRPr="003E755C">
        <w:t xml:space="preserve"> This has changed notably over time.</w:t>
      </w:r>
    </w:p>
    <w:p w:rsidR="000D44A5" w:rsidRPr="003E755C" w:rsidRDefault="000D44A5" w:rsidP="00AD57BB"/>
    <w:p w:rsidR="000D44A5" w:rsidRPr="003E755C" w:rsidRDefault="000D44A5" w:rsidP="00AD57BB">
      <w:r w:rsidRPr="003E755C">
        <w:t>The Ministry of Health purchases all secondary and tertiary services and all maternity facilities from DHBs. These services and facilities are free for all eligible women</w:t>
      </w:r>
      <w:r>
        <w:t xml:space="preserve"> and access is based on clinical need</w:t>
      </w:r>
      <w:r w:rsidRPr="003E755C">
        <w:t>.</w:t>
      </w:r>
    </w:p>
    <w:p w:rsidR="000D44A5" w:rsidRPr="00AF16D8" w:rsidRDefault="000D44A5" w:rsidP="00AD57BB">
      <w:pPr>
        <w:rPr>
          <w:highlight w:val="yellow"/>
        </w:rPr>
      </w:pPr>
    </w:p>
    <w:p w:rsidR="000D44A5" w:rsidRPr="003E755C" w:rsidRDefault="000D44A5" w:rsidP="00AD57BB">
      <w:pPr>
        <w:pStyle w:val="Heading2"/>
        <w:keepNext w:val="0"/>
        <w:pageBreakBefore/>
        <w:spacing w:before="0" w:after="240"/>
      </w:pPr>
      <w:bookmarkStart w:id="687" w:name="_Ref404612824"/>
      <w:bookmarkStart w:id="688" w:name="_Toc405887023"/>
      <w:bookmarkStart w:id="689" w:name="_Toc412122419"/>
      <w:bookmarkStart w:id="690" w:name="_Toc431462743"/>
      <w:bookmarkStart w:id="691" w:name="_Toc479583281"/>
      <w:bookmarkStart w:id="692" w:name="_Toc485542649"/>
      <w:bookmarkStart w:id="693" w:name="_Ref401917935"/>
      <w:bookmarkStart w:id="694" w:name="_Ref401917968"/>
      <w:r w:rsidRPr="003E755C">
        <w:lastRenderedPageBreak/>
        <w:t>Appendix 2: National Maternity Collection</w:t>
      </w:r>
      <w:bookmarkEnd w:id="687"/>
      <w:bookmarkEnd w:id="688"/>
      <w:bookmarkEnd w:id="689"/>
      <w:bookmarkEnd w:id="690"/>
      <w:bookmarkEnd w:id="691"/>
      <w:bookmarkEnd w:id="692"/>
    </w:p>
    <w:p w:rsidR="000D44A5" w:rsidRPr="003E755C" w:rsidRDefault="000D44A5" w:rsidP="00AD57BB">
      <w:r w:rsidRPr="003E755C">
        <w:t>The Ministry of Health</w:t>
      </w:r>
      <w:r w:rsidR="00CB6D20">
        <w:t>’</w:t>
      </w:r>
      <w:r w:rsidRPr="003E755C">
        <w:t>s National Maternity Collection provides statistical, demographic and clinical information about selected publicly funded maternity services up to nine months before and three months after a birth. It collates data about each pregnancy that results in birth and each live-born baby separately from:</w:t>
      </w:r>
    </w:p>
    <w:p w:rsidR="000D44A5" w:rsidRPr="003E755C" w:rsidRDefault="000D44A5" w:rsidP="00AD57BB">
      <w:pPr>
        <w:pStyle w:val="Bullet"/>
      </w:pPr>
      <w:r w:rsidRPr="003E755C">
        <w:t>inpatient and day-patient health event data during pregnancy, birth and the postnatal period for women giving birth and their babies, sourced from the National Minimum Dataset (NMDS)</w:t>
      </w:r>
    </w:p>
    <w:p w:rsidR="000D44A5" w:rsidRPr="003E755C" w:rsidRDefault="000D44A5" w:rsidP="00AD57BB">
      <w:pPr>
        <w:pStyle w:val="Bullet"/>
      </w:pPr>
      <w:r w:rsidRPr="003E755C">
        <w:t>Lead Maternity Carer (LMC) claim forms for primary maternity services provided under the Primary Maternity Services Notice 2007</w:t>
      </w:r>
    </w:p>
    <w:p w:rsidR="000D44A5" w:rsidRPr="003E755C" w:rsidRDefault="000D44A5" w:rsidP="00AD57BB">
      <w:pPr>
        <w:pStyle w:val="Bullet"/>
      </w:pPr>
      <w:r w:rsidRPr="003E755C">
        <w:t>primary maternity services provided by DHBs to women who do not have a midwife LMC.</w:t>
      </w:r>
      <w:r w:rsidRPr="00AD57BB">
        <w:rPr>
          <w:rStyle w:val="FootnoteReference"/>
        </w:rPr>
        <w:footnoteReference w:id="19"/>
      </w:r>
    </w:p>
    <w:p w:rsidR="000D44A5" w:rsidRPr="00AF16D8" w:rsidRDefault="000D44A5" w:rsidP="00AD57BB">
      <w:pPr>
        <w:rPr>
          <w:highlight w:val="yellow"/>
        </w:rPr>
      </w:pPr>
    </w:p>
    <w:p w:rsidR="000D44A5" w:rsidRPr="003E755C" w:rsidRDefault="000D44A5" w:rsidP="00AD57BB">
      <w:r w:rsidRPr="003E755C">
        <w:t xml:space="preserve">These sources are collected for administrative purposes, including the funding of maternity </w:t>
      </w:r>
      <w:r w:rsidRPr="00C7187F">
        <w:t>services. See below for further notes about each of the three sources of data for the National Maternity Collection, as well as a breakdown of data sources for women giving birth in 2015 (</w:t>
      </w:r>
      <w:r w:rsidRPr="00C7187F">
        <w:fldChar w:fldCharType="begin"/>
      </w:r>
      <w:r w:rsidRPr="00C7187F">
        <w:instrText xml:space="preserve"> REF _Ref428959728 \h  \* MERGEFORMAT </w:instrText>
      </w:r>
      <w:r w:rsidRPr="00C7187F">
        <w:fldChar w:fldCharType="separate"/>
      </w:r>
      <w:r w:rsidR="00071E85" w:rsidRPr="00C7187F">
        <w:t>Figure </w:t>
      </w:r>
      <w:r w:rsidR="00071E85">
        <w:t>63</w:t>
      </w:r>
      <w:r w:rsidRPr="00C7187F">
        <w:fldChar w:fldCharType="end"/>
      </w:r>
      <w:r w:rsidRPr="00C7187F">
        <w:t>).</w:t>
      </w:r>
    </w:p>
    <w:p w:rsidR="000D44A5" w:rsidRPr="00AF16D8" w:rsidRDefault="000D44A5" w:rsidP="00AD57BB">
      <w:pPr>
        <w:rPr>
          <w:highlight w:val="yellow"/>
        </w:rPr>
      </w:pPr>
    </w:p>
    <w:p w:rsidR="000D44A5" w:rsidRPr="00C7187F" w:rsidRDefault="000D44A5" w:rsidP="00AD57BB">
      <w:pPr>
        <w:pStyle w:val="Figure"/>
      </w:pPr>
      <w:bookmarkStart w:id="695" w:name="_Ref428959728"/>
      <w:bookmarkStart w:id="696" w:name="_Toc433389821"/>
      <w:bookmarkStart w:id="697" w:name="_Toc485114394"/>
      <w:bookmarkStart w:id="698" w:name="_Toc485542730"/>
      <w:bookmarkStart w:id="699" w:name="_Toc405886986"/>
      <w:bookmarkStart w:id="700" w:name="_Toc412122476"/>
      <w:bookmarkStart w:id="701" w:name="_Toc428799361"/>
      <w:r w:rsidRPr="00C7187F">
        <w:t>Figure </w:t>
      </w:r>
      <w:r w:rsidR="00071E85">
        <w:fldChar w:fldCharType="begin"/>
      </w:r>
      <w:r w:rsidR="00071E85">
        <w:instrText xml:space="preserve"> SEQ Figure \* ARABIC </w:instrText>
      </w:r>
      <w:r w:rsidR="00071E85">
        <w:fldChar w:fldCharType="separate"/>
      </w:r>
      <w:r w:rsidR="00071E85">
        <w:rPr>
          <w:noProof/>
        </w:rPr>
        <w:t>63</w:t>
      </w:r>
      <w:r w:rsidR="00071E85">
        <w:rPr>
          <w:noProof/>
        </w:rPr>
        <w:fldChar w:fldCharType="end"/>
      </w:r>
      <w:bookmarkEnd w:id="695"/>
      <w:r w:rsidRPr="00C7187F">
        <w:rPr>
          <w:noProof/>
        </w:rPr>
        <w:t>:</w:t>
      </w:r>
      <w:r w:rsidRPr="00C7187F">
        <w:t xml:space="preserve"> Number of women giving birth in 2015 recorded in the National Maternity Collection by data source and place of birth</w:t>
      </w:r>
      <w:bookmarkEnd w:id="696"/>
      <w:bookmarkEnd w:id="697"/>
      <w:bookmarkEnd w:id="698"/>
    </w:p>
    <w:bookmarkEnd w:id="699"/>
    <w:bookmarkEnd w:id="700"/>
    <w:bookmarkEnd w:id="701"/>
    <w:p w:rsidR="000D44A5" w:rsidRDefault="000D44A5" w:rsidP="000D44A5">
      <w:pPr>
        <w:rPr>
          <w:highlight w:val="yellow"/>
        </w:rPr>
      </w:pPr>
      <w:r>
        <w:rPr>
          <w:noProof/>
          <w:lang w:eastAsia="en-NZ"/>
        </w:rPr>
        <w:drawing>
          <wp:inline distT="0" distB="0" distL="0" distR="0" wp14:anchorId="3B97F8D2" wp14:editId="50317691">
            <wp:extent cx="5178829" cy="4239490"/>
            <wp:effectExtent l="0" t="0" r="3175" b="8890"/>
            <wp:docPr id="23" name="Picture 23" title="Figure 63: Number of women giving birth in 2015 recorded in the National Maternity Collection by data source and plac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434" t="3835" r="2779" b="2925"/>
                    <a:stretch/>
                  </pic:blipFill>
                  <pic:spPr bwMode="auto">
                    <a:xfrm>
                      <a:off x="0" y="0"/>
                      <a:ext cx="5190550" cy="4249085"/>
                    </a:xfrm>
                    <a:prstGeom prst="rect">
                      <a:avLst/>
                    </a:prstGeom>
                    <a:ln>
                      <a:noFill/>
                    </a:ln>
                    <a:extLst>
                      <a:ext uri="{53640926-AAD7-44D8-BBD7-CCE9431645EC}">
                        <a14:shadowObscured xmlns:a14="http://schemas.microsoft.com/office/drawing/2010/main"/>
                      </a:ext>
                    </a:extLst>
                  </pic:spPr>
                </pic:pic>
              </a:graphicData>
            </a:graphic>
          </wp:inline>
        </w:drawing>
      </w:r>
    </w:p>
    <w:p w:rsidR="00AD57BB" w:rsidRPr="00AF16D8" w:rsidRDefault="00AD57BB" w:rsidP="00AD57BB">
      <w:pPr>
        <w:rPr>
          <w:highlight w:val="yellow"/>
        </w:rPr>
      </w:pPr>
    </w:p>
    <w:p w:rsidR="000D44A5" w:rsidRPr="003E755C" w:rsidRDefault="000D44A5" w:rsidP="00AD57BB">
      <w:pPr>
        <w:pStyle w:val="Heading3"/>
      </w:pPr>
      <w:r w:rsidRPr="003E755C">
        <w:lastRenderedPageBreak/>
        <w:t>National Minimum Dataset</w:t>
      </w:r>
    </w:p>
    <w:p w:rsidR="000D44A5" w:rsidRPr="003E755C" w:rsidRDefault="000D44A5" w:rsidP="00AD57BB">
      <w:r w:rsidRPr="003E755C">
        <w:t>The NMDS stores administrative information routinely collected for all publicly funded inpatients of a New Zealand maternity facility (publicly and privately funded hospitals and birthing units). This information contains a large amount of demographic and clinical data, including data on diagnoses and procedures used. The information is assigned standardised codes that are internationally comparable. The classification system used is the International Statistical Classification of Diseases and Related Health Problems, 10th Revision, Australian Modification (ICD-10-AM). This system is designed for the classification of morbidity and mortality information for statistical, epidemiological and clinical purposes. Refer to the NMDS Data Dictionary for more information on the data held in the NMDS.</w:t>
      </w:r>
    </w:p>
    <w:p w:rsidR="000D44A5" w:rsidRPr="00AF16D8" w:rsidRDefault="000D44A5" w:rsidP="00AD57BB">
      <w:pPr>
        <w:rPr>
          <w:highlight w:val="yellow"/>
        </w:rPr>
      </w:pPr>
    </w:p>
    <w:p w:rsidR="000D44A5" w:rsidRPr="003E755C" w:rsidRDefault="000D44A5" w:rsidP="000D44A5">
      <w:pPr>
        <w:pStyle w:val="Heading3"/>
      </w:pPr>
      <w:r w:rsidRPr="003E755C">
        <w:t>Lead Maternity Carer claims data</w:t>
      </w:r>
    </w:p>
    <w:p w:rsidR="000D44A5" w:rsidRPr="003E755C" w:rsidRDefault="000D44A5" w:rsidP="000D44A5">
      <w:r w:rsidRPr="003E755C">
        <w:t>This data set contains information on women and babies who access primary maternity services funded under the Primary Maternity Services Notice 2007. This information is received through the claim forms and includes all women registered with an LMC. Data sourced from LMC claim forms includes details on registration with an LMC, as well as other antenatal and postnatal factors (eg, parity, smoking status and breastfeeding status).</w:t>
      </w:r>
    </w:p>
    <w:p w:rsidR="000D44A5" w:rsidRPr="003E755C" w:rsidRDefault="000D44A5" w:rsidP="000D44A5"/>
    <w:p w:rsidR="000D44A5" w:rsidRPr="003E755C" w:rsidRDefault="000D44A5" w:rsidP="000D44A5">
      <w:pPr>
        <w:pStyle w:val="Heading3"/>
      </w:pPr>
      <w:r w:rsidRPr="003E755C">
        <w:t>DHB-funded primary maternity services data</w:t>
      </w:r>
    </w:p>
    <w:p w:rsidR="000D44A5" w:rsidRPr="003E755C" w:rsidRDefault="000D44A5" w:rsidP="000D44A5">
      <w:r w:rsidRPr="003E755C">
        <w:t>Collection of the data set from DHB-funded primary maternity services is under way. This data set contains information (similar to LMC claims data) on women who access DHB primary maternity services, including DHB caseload midwives, DHB primary midwifery teams and shared care arrangements. Once complete, this data set will increase the scope of information the Ministry of Health holds on women who access primary maternity services, and their babies.</w:t>
      </w:r>
    </w:p>
    <w:p w:rsidR="000D44A5" w:rsidRPr="00AF16D8" w:rsidRDefault="000D44A5" w:rsidP="000D44A5">
      <w:pPr>
        <w:rPr>
          <w:highlight w:val="yellow"/>
        </w:rPr>
      </w:pPr>
    </w:p>
    <w:p w:rsidR="000D44A5" w:rsidRPr="003E755C" w:rsidRDefault="000D44A5" w:rsidP="00AD57BB">
      <w:pPr>
        <w:pStyle w:val="Heading2"/>
        <w:keepNext w:val="0"/>
        <w:pageBreakBefore/>
        <w:spacing w:before="0" w:after="240"/>
      </w:pPr>
      <w:bookmarkStart w:id="702" w:name="_Ref404613218"/>
      <w:bookmarkStart w:id="703" w:name="_Toc405887024"/>
      <w:bookmarkStart w:id="704" w:name="_Toc412122420"/>
      <w:bookmarkStart w:id="705" w:name="_Ref413143331"/>
      <w:bookmarkStart w:id="706" w:name="_Ref413143486"/>
      <w:bookmarkStart w:id="707" w:name="_Ref413152247"/>
      <w:bookmarkStart w:id="708" w:name="_Toc431462744"/>
      <w:bookmarkStart w:id="709" w:name="_Toc479583282"/>
      <w:bookmarkStart w:id="710" w:name="_Toc485542650"/>
      <w:r w:rsidRPr="003E755C">
        <w:lastRenderedPageBreak/>
        <w:t>Appendix 3: Technical notes</w:t>
      </w:r>
      <w:bookmarkEnd w:id="686"/>
      <w:bookmarkEnd w:id="693"/>
      <w:bookmarkEnd w:id="694"/>
      <w:bookmarkEnd w:id="702"/>
      <w:bookmarkEnd w:id="703"/>
      <w:bookmarkEnd w:id="704"/>
      <w:bookmarkEnd w:id="705"/>
      <w:bookmarkEnd w:id="706"/>
      <w:bookmarkEnd w:id="707"/>
      <w:bookmarkEnd w:id="708"/>
      <w:bookmarkEnd w:id="709"/>
      <w:bookmarkEnd w:id="710"/>
    </w:p>
    <w:p w:rsidR="000D44A5" w:rsidRPr="003E755C" w:rsidRDefault="000D44A5" w:rsidP="00AD57BB">
      <w:pPr>
        <w:pStyle w:val="Heading3"/>
      </w:pPr>
      <w:bookmarkStart w:id="711" w:name="_Ref405795358"/>
      <w:r w:rsidRPr="003E755C">
        <w:t>Ethnicity</w:t>
      </w:r>
      <w:bookmarkEnd w:id="711"/>
    </w:p>
    <w:p w:rsidR="000D44A5" w:rsidRPr="003E755C" w:rsidRDefault="000D44A5" w:rsidP="00AD57BB">
      <w:r w:rsidRPr="003E755C">
        <w:t xml:space="preserve">This publication uses </w:t>
      </w:r>
      <w:r w:rsidRPr="003E755C">
        <w:rPr>
          <w:i/>
        </w:rPr>
        <w:t>prioritised ethnicity</w:t>
      </w:r>
      <w:r w:rsidRPr="003E755C">
        <w:t>, whereby each person represented in the data is allocated to a single ethnic group using the priority system Māori &gt; Pacific</w:t>
      </w:r>
      <w:r>
        <w:t xml:space="preserve"> peoples</w:t>
      </w:r>
      <w:r w:rsidRPr="003E755C">
        <w:t xml:space="preserve"> &gt; Indian &gt; Asian (excluding Indian) &gt; Other ethnicities&gt; European. The aim of prioritisation is to ensure that where it is necessary to assign people to a single ethnic group, ethnic groups that are small or important in terms of policy are not swamped by the European ethnic group. This is also a more robust method of dealing with the low rate of multiple ethnicities in health sector data. </w:t>
      </w:r>
      <w:r w:rsidRPr="003E755C">
        <w:rPr>
          <w:rFonts w:cs="Calibri"/>
        </w:rPr>
        <w:t>Further information on ethnicity data protocols for the health and disability sector is available from the Ministry of Health ethnicity protocols (Ministry of Health 2004)</w:t>
      </w:r>
      <w:r w:rsidRPr="003E755C">
        <w:t>.</w:t>
      </w:r>
    </w:p>
    <w:p w:rsidR="000D44A5" w:rsidRPr="003E755C" w:rsidRDefault="000D44A5" w:rsidP="00AD57BB"/>
    <w:p w:rsidR="000D44A5" w:rsidRPr="003E755C" w:rsidRDefault="000D44A5" w:rsidP="00AD57BB">
      <w:r w:rsidRPr="003E755C">
        <w:t xml:space="preserve">Individuals recorded as being of Other ethnicities are primarily Middle Eastern, Latin American or African. The number of individuals in the Other ethnic group is small, and therefore the </w:t>
      </w:r>
      <w:r w:rsidR="00CB6D20">
        <w:t>‘</w:t>
      </w:r>
      <w:r w:rsidRPr="003E755C">
        <w:t>Other</w:t>
      </w:r>
      <w:r w:rsidR="00CB6D20">
        <w:t>’</w:t>
      </w:r>
      <w:r w:rsidRPr="003E755C">
        <w:t xml:space="preserve"> group is often included with the European group for analysis.</w:t>
      </w:r>
    </w:p>
    <w:p w:rsidR="000D44A5" w:rsidRPr="003E755C" w:rsidRDefault="000D44A5" w:rsidP="00AD57BB"/>
    <w:p w:rsidR="000D44A5" w:rsidRPr="003E755C" w:rsidRDefault="000D44A5" w:rsidP="00AD57BB">
      <w:r w:rsidRPr="003E755C">
        <w:t>In this publication, individuals are commonly presented as the following ethnic groups: Māori, Pacific</w:t>
      </w:r>
      <w:r>
        <w:t xml:space="preserve"> peoples</w:t>
      </w:r>
      <w:r w:rsidRPr="003E755C">
        <w:t>, Indian, Asian (excl</w:t>
      </w:r>
      <w:r w:rsidR="007E161A">
        <w:t>uding</w:t>
      </w:r>
      <w:r w:rsidRPr="003E755C">
        <w:t xml:space="preserve"> Indian) and European or Other. Information on individual ethnic groups that are aggregated in this publication can be made available on request.</w:t>
      </w:r>
    </w:p>
    <w:p w:rsidR="000D44A5" w:rsidRPr="00AF16D8" w:rsidRDefault="000D44A5" w:rsidP="00AD57BB">
      <w:pPr>
        <w:rPr>
          <w:highlight w:val="yellow"/>
        </w:rPr>
      </w:pPr>
    </w:p>
    <w:p w:rsidR="000D44A5" w:rsidRPr="003E755C" w:rsidRDefault="000D44A5" w:rsidP="00AD57BB">
      <w:pPr>
        <w:pStyle w:val="Heading3"/>
      </w:pPr>
      <w:bookmarkStart w:id="712" w:name="_Ref409775946"/>
      <w:r w:rsidRPr="003E755C">
        <w:t>Deprivation</w:t>
      </w:r>
      <w:bookmarkEnd w:id="712"/>
    </w:p>
    <w:p w:rsidR="000D44A5" w:rsidRPr="003E755C" w:rsidRDefault="000D44A5" w:rsidP="00AD57BB">
      <w:r w:rsidRPr="003E755C">
        <w:t xml:space="preserve">The </w:t>
      </w:r>
      <w:r w:rsidRPr="003E755C">
        <w:rPr>
          <w:rFonts w:cs="Calibri"/>
        </w:rPr>
        <w:t>New Zealand Deprivation Index</w:t>
      </w:r>
      <w:r w:rsidRPr="003E755C">
        <w:t xml:space="preserve"> (NZDep) is a measure of socioeconomic status calculated for small geographic areas. The calculation uses nine variables from each Census of Population and Dwellings and provides a summary deprivation score between 1 and 10 for each meshblock (small geographical unit containing a median of 90 people).</w:t>
      </w:r>
    </w:p>
    <w:p w:rsidR="000D44A5" w:rsidRPr="003E755C" w:rsidRDefault="000D44A5" w:rsidP="00AD57BB"/>
    <w:p w:rsidR="000D44A5" w:rsidRPr="003E755C" w:rsidRDefault="000D44A5" w:rsidP="00AD57BB">
      <w:r w:rsidRPr="003E755C">
        <w:t xml:space="preserve">The Ministry of Health maps the meshblocks to domicile codes, which are built up to the relevant geographic scale using weighted average census usually resident population counts. Further information about socioeconomic deprivation in New Zealand is available on the </w:t>
      </w:r>
      <w:hyperlink r:id="rId89" w:anchor="atlas" w:history="1">
        <w:r w:rsidRPr="003E755C">
          <w:rPr>
            <w:rStyle w:val="Hyperlink"/>
          </w:rPr>
          <w:t>University of Otago</w:t>
        </w:r>
      </w:hyperlink>
      <w:r w:rsidR="0021121A">
        <w:t xml:space="preserve"> website www.otago.ac.nz</w:t>
      </w:r>
    </w:p>
    <w:p w:rsidR="000D44A5" w:rsidRPr="003E755C" w:rsidRDefault="000D44A5" w:rsidP="00AD57BB"/>
    <w:p w:rsidR="000D44A5" w:rsidRPr="003E755C" w:rsidRDefault="000D44A5" w:rsidP="00AD57BB">
      <w:r w:rsidRPr="003E755C">
        <w:t>In this publication, individuals are categorised into deprivation quintiles, ranging from 1 (least deprived) to 5 (most deprived). As this pub</w:t>
      </w:r>
      <w:r>
        <w:t>lication includes births over a</w:t>
      </w:r>
      <w:r w:rsidRPr="003E755C">
        <w:t xml:space="preserve"> period</w:t>
      </w:r>
      <w:r w:rsidRPr="003E755C">
        <w:br/>
        <w:t>(2006–2015) that included the occurrence of the 2006 and 2013 Censuses, the deprivation quintiles are derived from:</w:t>
      </w:r>
    </w:p>
    <w:p w:rsidR="000D44A5" w:rsidRPr="003E755C" w:rsidRDefault="000D44A5" w:rsidP="00AD57BB">
      <w:pPr>
        <w:pStyle w:val="Bullet"/>
      </w:pPr>
      <w:r w:rsidRPr="003E755C">
        <w:t>the 2006 NZDep for women giving birth or babies born before 2010 (mid-point between Censuses)</w:t>
      </w:r>
    </w:p>
    <w:p w:rsidR="000D44A5" w:rsidRPr="003E755C" w:rsidRDefault="000D44A5" w:rsidP="00AD57BB">
      <w:pPr>
        <w:pStyle w:val="Bullet"/>
      </w:pPr>
      <w:r w:rsidRPr="003E755C">
        <w:t>the 2013 NZDep for women giving birth or babies born from 2010 onwards.</w:t>
      </w:r>
    </w:p>
    <w:p w:rsidR="000D44A5" w:rsidRPr="003E755C" w:rsidRDefault="000D44A5" w:rsidP="00AD57BB"/>
    <w:p w:rsidR="000D44A5" w:rsidRPr="003E755C" w:rsidRDefault="000D44A5" w:rsidP="00AD57BB">
      <w:r>
        <w:t>This measure is designed so a</w:t>
      </w:r>
      <w:r w:rsidRPr="003E755C">
        <w:t>pproximately equal numbers of the population reside in areas associated with each of the five deprivation quintile areas.</w:t>
      </w:r>
    </w:p>
    <w:p w:rsidR="000D44A5" w:rsidRPr="00AF16D8" w:rsidRDefault="000D44A5" w:rsidP="00AD57BB">
      <w:pPr>
        <w:rPr>
          <w:highlight w:val="yellow"/>
        </w:rPr>
      </w:pPr>
    </w:p>
    <w:p w:rsidR="000D44A5" w:rsidRPr="003E755C" w:rsidRDefault="000D44A5" w:rsidP="00AD57BB">
      <w:pPr>
        <w:pStyle w:val="Heading3"/>
      </w:pPr>
      <w:bookmarkStart w:id="713" w:name="_Ref405795333"/>
      <w:r w:rsidRPr="003E755C">
        <w:lastRenderedPageBreak/>
        <w:t>Type of birth</w:t>
      </w:r>
      <w:bookmarkEnd w:id="713"/>
    </w:p>
    <w:p w:rsidR="000D44A5" w:rsidRPr="003E755C" w:rsidRDefault="000D44A5" w:rsidP="00AD57BB">
      <w:pPr>
        <w:keepNext/>
      </w:pPr>
      <w:r w:rsidRPr="003E755C">
        <w:t>Information on types of birth procedure is only available for women giving birth at a maternity facility. Women giving birth at home are assumed to have had a spontaneous vertex birth.</w:t>
      </w:r>
    </w:p>
    <w:p w:rsidR="000D44A5" w:rsidRPr="003E755C" w:rsidRDefault="000D44A5" w:rsidP="00AD57BB">
      <w:pPr>
        <w:keepNext/>
      </w:pPr>
    </w:p>
    <w:p w:rsidR="000D44A5" w:rsidRPr="003E755C" w:rsidRDefault="000D44A5" w:rsidP="00AD57BB">
      <w:pPr>
        <w:keepLines/>
      </w:pPr>
      <w:r w:rsidRPr="003E755C">
        <w:t xml:space="preserve">Some women have more than one birth procedure reported for the birth of their baby. This publication uses a priority system by which a maximum of one procedure type is reported per woman giving birth. Table </w:t>
      </w:r>
      <w:r w:rsidRPr="003E755C">
        <w:rPr>
          <w:noProof/>
        </w:rPr>
        <w:t>7</w:t>
      </w:r>
      <w:r w:rsidRPr="003E755C">
        <w:t xml:space="preserve"> shows the priority system, and how this publication has aggregated each birth procedure into a type of birth for reporting purposes.</w:t>
      </w:r>
    </w:p>
    <w:p w:rsidR="000D44A5" w:rsidRPr="003E755C" w:rsidRDefault="000D44A5" w:rsidP="00AD57BB"/>
    <w:p w:rsidR="000D44A5" w:rsidRPr="003E755C" w:rsidRDefault="000D44A5" w:rsidP="00AD57BB">
      <w:pPr>
        <w:pStyle w:val="Table"/>
      </w:pPr>
      <w:bookmarkStart w:id="714" w:name="_Toc400706126"/>
      <w:bookmarkStart w:id="715" w:name="_Toc405886993"/>
      <w:bookmarkStart w:id="716" w:name="_Toc412122483"/>
      <w:bookmarkStart w:id="717" w:name="_Toc428802814"/>
      <w:bookmarkStart w:id="718" w:name="_Toc433389744"/>
      <w:bookmarkStart w:id="719" w:name="_Toc479605821"/>
      <w:bookmarkStart w:id="720" w:name="_Toc485542659"/>
      <w:r w:rsidRPr="003E755C">
        <w:t xml:space="preserve">Table </w:t>
      </w:r>
      <w:r w:rsidR="00071E85">
        <w:fldChar w:fldCharType="begin"/>
      </w:r>
      <w:r w:rsidR="00071E85">
        <w:instrText xml:space="preserve"> SEQ Table \* ARABIC </w:instrText>
      </w:r>
      <w:r w:rsidR="00071E85">
        <w:fldChar w:fldCharType="separate"/>
      </w:r>
      <w:r w:rsidR="00071E85">
        <w:rPr>
          <w:noProof/>
        </w:rPr>
        <w:t>7</w:t>
      </w:r>
      <w:r w:rsidR="00071E85">
        <w:rPr>
          <w:noProof/>
        </w:rPr>
        <w:fldChar w:fldCharType="end"/>
      </w:r>
      <w:r w:rsidRPr="003E755C">
        <w:rPr>
          <w:noProof/>
        </w:rPr>
        <w:t>:</w:t>
      </w:r>
      <w:r w:rsidRPr="003E755C">
        <w:t xml:space="preserve"> Priority for reporting birth procedures</w:t>
      </w:r>
      <w:bookmarkEnd w:id="714"/>
      <w:bookmarkEnd w:id="715"/>
      <w:bookmarkEnd w:id="716"/>
      <w:bookmarkEnd w:id="717"/>
      <w:bookmarkEnd w:id="718"/>
      <w:bookmarkEnd w:id="719"/>
      <w:bookmarkEnd w:id="720"/>
    </w:p>
    <w:tbl>
      <w:tblPr>
        <w:tblW w:w="0" w:type="auto"/>
        <w:tblInd w:w="57" w:type="dxa"/>
        <w:tblBorders>
          <w:top w:val="single" w:sz="4" w:space="0" w:color="auto"/>
          <w:bottom w:val="single" w:sz="4" w:space="0" w:color="auto"/>
        </w:tblBorders>
        <w:tblLayout w:type="fixed"/>
        <w:tblCellMar>
          <w:left w:w="57" w:type="dxa"/>
          <w:right w:w="57" w:type="dxa"/>
        </w:tblCellMar>
        <w:tblLook w:val="0420" w:firstRow="1" w:lastRow="0" w:firstColumn="0" w:lastColumn="0" w:noHBand="0" w:noVBand="1"/>
      </w:tblPr>
      <w:tblGrid>
        <w:gridCol w:w="959"/>
        <w:gridCol w:w="2693"/>
        <w:gridCol w:w="2693"/>
      </w:tblGrid>
      <w:tr w:rsidR="000D44A5" w:rsidRPr="003E755C" w:rsidTr="007B3A51">
        <w:trPr>
          <w:cantSplit/>
        </w:trPr>
        <w:tc>
          <w:tcPr>
            <w:tcW w:w="959" w:type="dxa"/>
            <w:tcBorders>
              <w:top w:val="single" w:sz="4" w:space="0" w:color="auto"/>
              <w:bottom w:val="single" w:sz="4" w:space="0" w:color="auto"/>
            </w:tcBorders>
          </w:tcPr>
          <w:p w:rsidR="000D44A5" w:rsidRPr="003E755C" w:rsidRDefault="000D44A5" w:rsidP="007B3A51">
            <w:pPr>
              <w:pStyle w:val="TableText"/>
              <w:rPr>
                <w:b/>
              </w:rPr>
            </w:pPr>
            <w:r w:rsidRPr="003E755C">
              <w:rPr>
                <w:b/>
              </w:rPr>
              <w:t>Priority</w:t>
            </w:r>
          </w:p>
        </w:tc>
        <w:tc>
          <w:tcPr>
            <w:tcW w:w="2693" w:type="dxa"/>
            <w:tcBorders>
              <w:top w:val="single" w:sz="4" w:space="0" w:color="auto"/>
              <w:bottom w:val="single" w:sz="4" w:space="0" w:color="auto"/>
            </w:tcBorders>
          </w:tcPr>
          <w:p w:rsidR="000D44A5" w:rsidRPr="003E755C" w:rsidRDefault="000D44A5" w:rsidP="007B3A51">
            <w:pPr>
              <w:pStyle w:val="TableText"/>
              <w:rPr>
                <w:b/>
              </w:rPr>
            </w:pPr>
            <w:r w:rsidRPr="003E755C">
              <w:rPr>
                <w:b/>
              </w:rPr>
              <w:t>Birth procedure</w:t>
            </w:r>
          </w:p>
        </w:tc>
        <w:tc>
          <w:tcPr>
            <w:tcW w:w="2693" w:type="dxa"/>
            <w:tcBorders>
              <w:top w:val="single" w:sz="4" w:space="0" w:color="auto"/>
              <w:bottom w:val="single" w:sz="4" w:space="0" w:color="auto"/>
            </w:tcBorders>
          </w:tcPr>
          <w:p w:rsidR="000D44A5" w:rsidRPr="003E755C" w:rsidRDefault="000D44A5" w:rsidP="007B3A51">
            <w:pPr>
              <w:pStyle w:val="TableText"/>
              <w:rPr>
                <w:b/>
              </w:rPr>
            </w:pPr>
            <w:r w:rsidRPr="003E755C">
              <w:rPr>
                <w:b/>
              </w:rPr>
              <w:t>Type of birth (aggregated)</w:t>
            </w:r>
          </w:p>
        </w:tc>
      </w:tr>
      <w:tr w:rsidR="000D44A5" w:rsidRPr="003E755C" w:rsidTr="00AD57BB">
        <w:trPr>
          <w:cantSplit/>
        </w:trPr>
        <w:tc>
          <w:tcPr>
            <w:tcW w:w="959" w:type="dxa"/>
            <w:tcBorders>
              <w:top w:val="single" w:sz="4" w:space="0" w:color="auto"/>
              <w:bottom w:val="single" w:sz="4" w:space="0" w:color="A6A6A6" w:themeColor="background1" w:themeShade="A6"/>
            </w:tcBorders>
            <w:shd w:val="clear" w:color="auto" w:fill="auto"/>
          </w:tcPr>
          <w:p w:rsidR="000D44A5" w:rsidRPr="003E755C" w:rsidRDefault="000D44A5" w:rsidP="007B3A51">
            <w:pPr>
              <w:pStyle w:val="TableText"/>
            </w:pPr>
            <w:r w:rsidRPr="003E755C">
              <w:t>1</w:t>
            </w:r>
          </w:p>
        </w:tc>
        <w:tc>
          <w:tcPr>
            <w:tcW w:w="2693" w:type="dxa"/>
            <w:tcBorders>
              <w:top w:val="single" w:sz="4" w:space="0" w:color="auto"/>
              <w:bottom w:val="single" w:sz="4" w:space="0" w:color="A6A6A6" w:themeColor="background1" w:themeShade="A6"/>
            </w:tcBorders>
            <w:shd w:val="clear" w:color="auto" w:fill="auto"/>
          </w:tcPr>
          <w:p w:rsidR="000D44A5" w:rsidRPr="003E755C" w:rsidRDefault="000D44A5" w:rsidP="007B3A51">
            <w:pPr>
              <w:pStyle w:val="TableText"/>
            </w:pPr>
            <w:r w:rsidRPr="003E755C">
              <w:t>Emergency caesarean</w:t>
            </w:r>
          </w:p>
        </w:tc>
        <w:tc>
          <w:tcPr>
            <w:tcW w:w="2693" w:type="dxa"/>
            <w:tcBorders>
              <w:top w:val="single" w:sz="4" w:space="0" w:color="auto"/>
              <w:bottom w:val="single" w:sz="4" w:space="0" w:color="A6A6A6" w:themeColor="background1" w:themeShade="A6"/>
            </w:tcBorders>
            <w:shd w:val="clear" w:color="auto" w:fill="auto"/>
          </w:tcPr>
          <w:p w:rsidR="000D44A5" w:rsidRPr="003E755C" w:rsidRDefault="000D44A5" w:rsidP="007B3A51">
            <w:pPr>
              <w:pStyle w:val="TableText"/>
            </w:pPr>
            <w:r w:rsidRPr="003E755C">
              <w:t>Caesarean section</w:t>
            </w:r>
          </w:p>
        </w:tc>
      </w:tr>
      <w:tr w:rsidR="000D44A5" w:rsidRPr="003E755C" w:rsidTr="00AD57BB">
        <w:trPr>
          <w:cantSplit/>
        </w:trPr>
        <w:tc>
          <w:tcPr>
            <w:tcW w:w="959"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2</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Elective caesarean</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Caesarean section</w:t>
            </w:r>
          </w:p>
        </w:tc>
      </w:tr>
      <w:tr w:rsidR="000D44A5" w:rsidRPr="003E755C" w:rsidTr="00AD57BB">
        <w:trPr>
          <w:cantSplit/>
        </w:trPr>
        <w:tc>
          <w:tcPr>
            <w:tcW w:w="959"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3</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Breech extraction</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Assisted birth</w:t>
            </w:r>
          </w:p>
        </w:tc>
      </w:tr>
      <w:tr w:rsidR="000D44A5" w:rsidRPr="003E755C" w:rsidTr="00AD57BB">
        <w:trPr>
          <w:cantSplit/>
        </w:trPr>
        <w:tc>
          <w:tcPr>
            <w:tcW w:w="959"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4</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Assisted breech</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Assisted birth</w:t>
            </w:r>
          </w:p>
        </w:tc>
      </w:tr>
      <w:tr w:rsidR="000D44A5" w:rsidRPr="003E755C" w:rsidTr="00AD57BB">
        <w:trPr>
          <w:cantSplit/>
        </w:trPr>
        <w:tc>
          <w:tcPr>
            <w:tcW w:w="959"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5</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Spontaneous breech</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Spontaneous vaginal birth</w:t>
            </w:r>
          </w:p>
        </w:tc>
      </w:tr>
      <w:tr w:rsidR="000D44A5" w:rsidRPr="003E755C" w:rsidTr="00AD57BB">
        <w:trPr>
          <w:cantSplit/>
        </w:trPr>
        <w:tc>
          <w:tcPr>
            <w:tcW w:w="959"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6</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Forceps and vacuum</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Assisted birth</w:t>
            </w:r>
          </w:p>
        </w:tc>
      </w:tr>
      <w:tr w:rsidR="000D44A5" w:rsidRPr="003E755C" w:rsidTr="00AD57BB">
        <w:trPr>
          <w:cantSplit/>
        </w:trPr>
        <w:tc>
          <w:tcPr>
            <w:tcW w:w="959"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7</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Forceps</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Assisted birth</w:t>
            </w:r>
          </w:p>
        </w:tc>
      </w:tr>
      <w:tr w:rsidR="000D44A5" w:rsidRPr="003E755C" w:rsidTr="00AD57BB">
        <w:trPr>
          <w:cantSplit/>
        </w:trPr>
        <w:tc>
          <w:tcPr>
            <w:tcW w:w="959"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8</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Vacuum</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Assisted birth</w:t>
            </w:r>
          </w:p>
        </w:tc>
      </w:tr>
      <w:tr w:rsidR="000D44A5" w:rsidRPr="003E755C" w:rsidTr="00AD57BB">
        <w:trPr>
          <w:cantSplit/>
        </w:trPr>
        <w:tc>
          <w:tcPr>
            <w:tcW w:w="959"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9</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Spontaneous vertex</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0D44A5" w:rsidRPr="003E755C" w:rsidRDefault="000D44A5" w:rsidP="007B3A51">
            <w:pPr>
              <w:pStyle w:val="TableText"/>
            </w:pPr>
            <w:r w:rsidRPr="003E755C">
              <w:t>Spontaneous vaginal birth</w:t>
            </w:r>
          </w:p>
        </w:tc>
      </w:tr>
      <w:tr w:rsidR="000D44A5" w:rsidRPr="00AF16D8" w:rsidTr="00AD57BB">
        <w:trPr>
          <w:cantSplit/>
        </w:trPr>
        <w:tc>
          <w:tcPr>
            <w:tcW w:w="959" w:type="dxa"/>
            <w:tcBorders>
              <w:top w:val="single" w:sz="4" w:space="0" w:color="A6A6A6" w:themeColor="background1" w:themeShade="A6"/>
            </w:tcBorders>
            <w:shd w:val="clear" w:color="auto" w:fill="auto"/>
          </w:tcPr>
          <w:p w:rsidR="000D44A5" w:rsidRPr="003E755C" w:rsidRDefault="000D44A5" w:rsidP="007B3A51">
            <w:pPr>
              <w:pStyle w:val="TableText"/>
            </w:pPr>
            <w:r w:rsidRPr="003E755C">
              <w:t>10</w:t>
            </w:r>
          </w:p>
        </w:tc>
        <w:tc>
          <w:tcPr>
            <w:tcW w:w="2693" w:type="dxa"/>
            <w:tcBorders>
              <w:top w:val="single" w:sz="4" w:space="0" w:color="A6A6A6" w:themeColor="background1" w:themeShade="A6"/>
            </w:tcBorders>
            <w:shd w:val="clear" w:color="auto" w:fill="auto"/>
          </w:tcPr>
          <w:p w:rsidR="000D44A5" w:rsidRPr="003E755C" w:rsidRDefault="000D44A5" w:rsidP="007B3A51">
            <w:pPr>
              <w:pStyle w:val="TableText"/>
            </w:pPr>
            <w:r w:rsidRPr="003E755C">
              <w:t>Not stated</w:t>
            </w:r>
          </w:p>
        </w:tc>
        <w:tc>
          <w:tcPr>
            <w:tcW w:w="2693" w:type="dxa"/>
            <w:tcBorders>
              <w:top w:val="single" w:sz="4" w:space="0" w:color="A6A6A6" w:themeColor="background1" w:themeShade="A6"/>
            </w:tcBorders>
            <w:shd w:val="clear" w:color="auto" w:fill="auto"/>
          </w:tcPr>
          <w:p w:rsidR="000D44A5" w:rsidRPr="003E755C" w:rsidRDefault="000D44A5" w:rsidP="007B3A51">
            <w:pPr>
              <w:pStyle w:val="TableText"/>
            </w:pPr>
            <w:r w:rsidRPr="003E755C">
              <w:t>Unknown</w:t>
            </w:r>
          </w:p>
        </w:tc>
      </w:tr>
    </w:tbl>
    <w:p w:rsidR="000D44A5" w:rsidRPr="00AF16D8" w:rsidRDefault="000D44A5" w:rsidP="00AD57BB">
      <w:pPr>
        <w:rPr>
          <w:highlight w:val="yellow"/>
        </w:rPr>
      </w:pPr>
    </w:p>
    <w:p w:rsidR="000D44A5" w:rsidRPr="00193BB0" w:rsidRDefault="000D44A5" w:rsidP="00AD57BB">
      <w:pPr>
        <w:pStyle w:val="Heading3"/>
      </w:pPr>
      <w:bookmarkStart w:id="721" w:name="_Ref429147696"/>
      <w:r w:rsidRPr="00193BB0">
        <w:t>Denominators used for calculating birth rates</w:t>
      </w:r>
      <w:bookmarkEnd w:id="721"/>
    </w:p>
    <w:p w:rsidR="000D44A5" w:rsidRPr="00193BB0" w:rsidRDefault="000D44A5" w:rsidP="00AD57BB">
      <w:r w:rsidRPr="00193BB0">
        <w:t>The following data sets were used as denominators to calculate birth rates in this publication:</w:t>
      </w:r>
    </w:p>
    <w:p w:rsidR="000D44A5" w:rsidRPr="00193BB0" w:rsidRDefault="000D44A5" w:rsidP="00AD57BB">
      <w:pPr>
        <w:pStyle w:val="Bullet"/>
      </w:pPr>
      <w:r w:rsidRPr="00193BB0">
        <w:t>estimated resident population by prioritised ethnicity, age, sex and DHB as at 30 June</w:t>
      </w:r>
      <w:r w:rsidR="00AD57BB">
        <w:br/>
      </w:r>
      <w:r w:rsidRPr="00193BB0">
        <w:t>2006–2013</w:t>
      </w:r>
    </w:p>
    <w:p w:rsidR="000D44A5" w:rsidRPr="00193BB0" w:rsidRDefault="000D44A5" w:rsidP="00AD57BB">
      <w:pPr>
        <w:pStyle w:val="Bullet"/>
      </w:pPr>
      <w:r w:rsidRPr="00193BB0">
        <w:t>estimated resident population by age, sex and DHB as at 30 June 2015</w:t>
      </w:r>
    </w:p>
    <w:p w:rsidR="000D44A5" w:rsidRPr="00193BB0" w:rsidRDefault="000D44A5" w:rsidP="00AD57BB">
      <w:pPr>
        <w:pStyle w:val="Bullet"/>
      </w:pPr>
      <w:r w:rsidRPr="00193BB0">
        <w:t>population projections derived from the estimated resident population as at 30 June, by prioritised ethnicity, age, sex and DHB, 2015</w:t>
      </w:r>
    </w:p>
    <w:p w:rsidR="000D44A5" w:rsidRPr="00193BB0" w:rsidRDefault="000D44A5" w:rsidP="00AD57BB">
      <w:pPr>
        <w:pStyle w:val="Bullet"/>
      </w:pPr>
      <w:r w:rsidRPr="00193BB0">
        <w:t>Census 2006 usually resident population by deprivation quintile, age, sex and DHB</w:t>
      </w:r>
    </w:p>
    <w:p w:rsidR="000D44A5" w:rsidRPr="00193BB0" w:rsidRDefault="000D44A5" w:rsidP="00AD57BB">
      <w:pPr>
        <w:pStyle w:val="Bullet"/>
      </w:pPr>
      <w:r w:rsidRPr="00193BB0">
        <w:t>estimated resident population by deprivation quintile, age, sex and DHB as at 30 June 2013.</w:t>
      </w:r>
    </w:p>
    <w:p w:rsidR="000D44A5" w:rsidRPr="00193BB0" w:rsidRDefault="000D44A5" w:rsidP="00AD57BB"/>
    <w:p w:rsidR="000D44A5" w:rsidRPr="00193BB0" w:rsidRDefault="000D44A5" w:rsidP="00AD57BB">
      <w:r w:rsidRPr="00193BB0">
        <w:t xml:space="preserve">All data sets were supplied as customised extracts from Statistics New Zealand. Further information about the methods used to prepare estimates and projections, as well as their limitations, is available on the </w:t>
      </w:r>
      <w:hyperlink r:id="rId90" w:history="1">
        <w:r w:rsidRPr="00193BB0">
          <w:rPr>
            <w:rStyle w:val="Hyperlink"/>
          </w:rPr>
          <w:t>Statistics New Zealand website</w:t>
        </w:r>
      </w:hyperlink>
      <w:r w:rsidRPr="00193BB0">
        <w:t xml:space="preserve"> www.stats.govt.nz</w:t>
      </w:r>
    </w:p>
    <w:p w:rsidR="000D44A5" w:rsidRPr="00193BB0" w:rsidRDefault="000D44A5" w:rsidP="00AD57BB"/>
    <w:p w:rsidR="000D44A5" w:rsidRPr="00193BB0" w:rsidRDefault="000D44A5" w:rsidP="00AD57BB">
      <w:r w:rsidRPr="00193BB0">
        <w:t>Estimated resident population counts are regarded as the best available population, and are used whenever possible as the denominator to calculate birth rates in this publication.</w:t>
      </w:r>
    </w:p>
    <w:p w:rsidR="000D44A5" w:rsidRPr="00193BB0" w:rsidRDefault="000D44A5" w:rsidP="00AD57BB"/>
    <w:p w:rsidR="000D44A5" w:rsidRPr="00193BB0" w:rsidRDefault="000D44A5" w:rsidP="00AD57BB">
      <w:r w:rsidRPr="00193BB0">
        <w:t>Annual population counts used to calculate birth rates by neighbourhood deprivation quintile were derived by applying the best available population count to the proportion of people in each deprivation quintile (only available on census years). The proportion of people in each deprivation quintile was based on:</w:t>
      </w:r>
    </w:p>
    <w:p w:rsidR="000D44A5" w:rsidRPr="00193BB0" w:rsidRDefault="000D44A5" w:rsidP="00AD57BB">
      <w:pPr>
        <w:pStyle w:val="Bullet"/>
      </w:pPr>
      <w:r w:rsidRPr="00193BB0">
        <w:t>the 2006 Census usually resident population, to calculate rates before 2010</w:t>
      </w:r>
    </w:p>
    <w:p w:rsidR="000D44A5" w:rsidRPr="00193BB0" w:rsidRDefault="000D44A5" w:rsidP="00AD57BB">
      <w:pPr>
        <w:pStyle w:val="Bullet"/>
      </w:pPr>
      <w:r w:rsidRPr="00193BB0">
        <w:t>the estimated resident population as at 30 June 2013, to calculate rates from 2010 onwards.</w:t>
      </w:r>
    </w:p>
    <w:p w:rsidR="000D44A5" w:rsidRPr="00AF16D8" w:rsidRDefault="000D44A5" w:rsidP="00AD57BB">
      <w:pPr>
        <w:rPr>
          <w:highlight w:val="yellow"/>
        </w:rPr>
      </w:pPr>
      <w:bookmarkStart w:id="722" w:name="_Ref401227286"/>
      <w:bookmarkStart w:id="723" w:name="_Toc405887025"/>
      <w:bookmarkStart w:id="724" w:name="_Toc412122421"/>
    </w:p>
    <w:p w:rsidR="000D44A5" w:rsidRPr="003E755C" w:rsidRDefault="000D44A5" w:rsidP="00AD57BB">
      <w:pPr>
        <w:pStyle w:val="Heading2"/>
        <w:keepNext w:val="0"/>
        <w:pageBreakBefore/>
        <w:spacing w:before="0" w:after="240"/>
      </w:pPr>
      <w:bookmarkStart w:id="725" w:name="_Ref413143403"/>
      <w:bookmarkStart w:id="726" w:name="_Ref413152570"/>
      <w:bookmarkStart w:id="727" w:name="_Toc431462745"/>
      <w:bookmarkStart w:id="728" w:name="_Toc479583283"/>
      <w:bookmarkStart w:id="729" w:name="_Toc485542651"/>
      <w:r w:rsidRPr="003E755C">
        <w:lastRenderedPageBreak/>
        <w:t>Appendix 4: Guide to reading maps</w:t>
      </w:r>
      <w:bookmarkEnd w:id="722"/>
      <w:bookmarkEnd w:id="723"/>
      <w:bookmarkEnd w:id="724"/>
      <w:bookmarkEnd w:id="725"/>
      <w:bookmarkEnd w:id="726"/>
      <w:bookmarkEnd w:id="727"/>
      <w:bookmarkEnd w:id="728"/>
      <w:bookmarkEnd w:id="729"/>
    </w:p>
    <w:p w:rsidR="000D44A5" w:rsidRPr="00AF16D8" w:rsidRDefault="000D44A5" w:rsidP="00AD57BB">
      <w:pPr>
        <w:rPr>
          <w:highlight w:val="yellow"/>
        </w:rPr>
      </w:pPr>
      <w:r w:rsidRPr="003E755C">
        <w:rPr>
          <w:noProof/>
          <w:lang w:eastAsia="en-NZ"/>
        </w:rPr>
        <w:drawing>
          <wp:inline distT="0" distB="0" distL="0" distR="0" wp14:anchorId="3CC9C65B" wp14:editId="23CB529F">
            <wp:extent cx="5586152" cy="6483928"/>
            <wp:effectExtent l="0" t="0" r="0" b="0"/>
            <wp:docPr id="88" name="Picture 88" descr="Darkest colour on map represents the highest rate/percentage and the lighest colour represents the lowest rate/percentage. &#10;Inset shows an enlarged version of the DHBs in the greater Auckland and Wellington regions. &#10;Extent indicators show the location of the geographic area of the insets.&#10;Legend shows the measure and rage of values for each colour/category presented. &#10;" title="Guide to read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030" t="2226" b="6417"/>
                    <a:stretch/>
                  </pic:blipFill>
                  <pic:spPr bwMode="auto">
                    <a:xfrm>
                      <a:off x="0" y="0"/>
                      <a:ext cx="5585455" cy="6483119"/>
                    </a:xfrm>
                    <a:prstGeom prst="rect">
                      <a:avLst/>
                    </a:prstGeom>
                    <a:noFill/>
                    <a:ln>
                      <a:noFill/>
                    </a:ln>
                    <a:extLst>
                      <a:ext uri="{53640926-AAD7-44D8-BBD7-CCE9431645EC}">
                        <a14:shadowObscured xmlns:a14="http://schemas.microsoft.com/office/drawing/2010/main"/>
                      </a:ext>
                    </a:extLst>
                  </pic:spPr>
                </pic:pic>
              </a:graphicData>
            </a:graphic>
          </wp:inline>
        </w:drawing>
      </w:r>
    </w:p>
    <w:p w:rsidR="000D44A5" w:rsidRPr="00AF16D8" w:rsidRDefault="000D44A5" w:rsidP="00AD57BB">
      <w:pPr>
        <w:rPr>
          <w:highlight w:val="yellow"/>
        </w:rPr>
      </w:pPr>
    </w:p>
    <w:p w:rsidR="000D44A5" w:rsidRPr="008B23C1" w:rsidRDefault="000D44A5" w:rsidP="00AD57BB">
      <w:pPr>
        <w:pStyle w:val="Heading2"/>
        <w:keepNext w:val="0"/>
        <w:pageBreakBefore/>
        <w:spacing w:before="0" w:after="240"/>
      </w:pPr>
      <w:bookmarkStart w:id="730" w:name="_Toc395786578"/>
      <w:bookmarkStart w:id="731" w:name="_Ref399429857"/>
      <w:bookmarkStart w:id="732" w:name="_Ref400705629"/>
      <w:bookmarkStart w:id="733" w:name="_Toc405887026"/>
      <w:bookmarkStart w:id="734" w:name="_Toc412122422"/>
      <w:bookmarkStart w:id="735" w:name="_Toc431462746"/>
      <w:bookmarkStart w:id="736" w:name="_Toc479583284"/>
      <w:bookmarkStart w:id="737" w:name="_Toc485542652"/>
      <w:r w:rsidRPr="008B23C1">
        <w:lastRenderedPageBreak/>
        <w:t>Appendix 5: Catchment areas</w:t>
      </w:r>
      <w:bookmarkEnd w:id="730"/>
      <w:bookmarkEnd w:id="731"/>
      <w:bookmarkEnd w:id="732"/>
      <w:bookmarkEnd w:id="733"/>
      <w:bookmarkEnd w:id="734"/>
      <w:bookmarkEnd w:id="735"/>
      <w:bookmarkEnd w:id="736"/>
      <w:bookmarkEnd w:id="737"/>
    </w:p>
    <w:p w:rsidR="000D44A5" w:rsidRPr="008B23C1" w:rsidRDefault="000D44A5" w:rsidP="00AD57BB">
      <w:r w:rsidRPr="008B23C1">
        <w:t>The list of available primary, secondary and tertiary maternity facilities by DHB is provided below. Figure 63 presents their geographical locations.</w:t>
      </w:r>
    </w:p>
    <w:p w:rsidR="000D44A5" w:rsidRPr="008B23C1" w:rsidRDefault="000D44A5" w:rsidP="00AD57BB"/>
    <w:tbl>
      <w:tblPr>
        <w:tblW w:w="9356" w:type="dxa"/>
        <w:tblInd w:w="57" w:type="dxa"/>
        <w:tblBorders>
          <w:top w:val="single" w:sz="4" w:space="0" w:color="auto"/>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2127"/>
        <w:gridCol w:w="2409"/>
        <w:gridCol w:w="2410"/>
        <w:gridCol w:w="2410"/>
      </w:tblGrid>
      <w:tr w:rsidR="000D44A5" w:rsidRPr="008B23C1" w:rsidTr="007B3A51">
        <w:trPr>
          <w:cantSplit/>
          <w:tblHeader/>
        </w:trPr>
        <w:tc>
          <w:tcPr>
            <w:tcW w:w="2127" w:type="dxa"/>
            <w:tcBorders>
              <w:top w:val="single" w:sz="4" w:space="0" w:color="auto"/>
              <w:bottom w:val="single" w:sz="4" w:space="0" w:color="auto"/>
            </w:tcBorders>
          </w:tcPr>
          <w:p w:rsidR="000D44A5" w:rsidRPr="008B23C1" w:rsidRDefault="000D44A5" w:rsidP="007B3A51">
            <w:pPr>
              <w:pStyle w:val="TableText"/>
              <w:rPr>
                <w:rFonts w:ascii="Georgia" w:hAnsi="Georgia" w:cs="Arial"/>
                <w:b/>
              </w:rPr>
            </w:pPr>
            <w:r w:rsidRPr="008B23C1">
              <w:rPr>
                <w:rFonts w:ascii="Georgia" w:hAnsi="Georgia" w:cs="Arial"/>
                <w:b/>
              </w:rPr>
              <w:t>District health board</w:t>
            </w:r>
          </w:p>
        </w:tc>
        <w:tc>
          <w:tcPr>
            <w:tcW w:w="2409" w:type="dxa"/>
            <w:tcBorders>
              <w:top w:val="single" w:sz="4" w:space="0" w:color="auto"/>
              <w:bottom w:val="single" w:sz="4" w:space="0" w:color="auto"/>
            </w:tcBorders>
            <w:vAlign w:val="center"/>
          </w:tcPr>
          <w:p w:rsidR="000D44A5" w:rsidRPr="008B23C1" w:rsidRDefault="000D44A5" w:rsidP="007B3A51">
            <w:pPr>
              <w:pStyle w:val="TableText"/>
              <w:rPr>
                <w:rFonts w:ascii="Georgia" w:hAnsi="Georgia" w:cs="Arial"/>
                <w:b/>
                <w:vertAlign w:val="superscript"/>
              </w:rPr>
            </w:pPr>
            <w:r w:rsidRPr="008B23C1">
              <w:rPr>
                <w:rFonts w:ascii="Georgia" w:hAnsi="Georgia" w:cs="Arial"/>
                <w:b/>
              </w:rPr>
              <w:t>Tertiary facility</w:t>
            </w:r>
            <w:r w:rsidRPr="008B23C1">
              <w:rPr>
                <w:rFonts w:ascii="Georgia" w:hAnsi="Georgia" w:cs="Arial"/>
                <w:b/>
                <w:vertAlign w:val="superscript"/>
              </w:rPr>
              <w:t>1</w:t>
            </w:r>
          </w:p>
        </w:tc>
        <w:tc>
          <w:tcPr>
            <w:tcW w:w="2410" w:type="dxa"/>
            <w:tcBorders>
              <w:top w:val="single" w:sz="4" w:space="0" w:color="auto"/>
              <w:bottom w:val="single" w:sz="4" w:space="0" w:color="auto"/>
            </w:tcBorders>
            <w:vAlign w:val="center"/>
          </w:tcPr>
          <w:p w:rsidR="000D44A5" w:rsidRPr="008B23C1" w:rsidRDefault="000D44A5" w:rsidP="007B3A51">
            <w:pPr>
              <w:pStyle w:val="TableText"/>
              <w:rPr>
                <w:rFonts w:ascii="Georgia" w:hAnsi="Georgia" w:cs="Arial"/>
                <w:b/>
                <w:vertAlign w:val="superscript"/>
              </w:rPr>
            </w:pPr>
            <w:r w:rsidRPr="008B23C1">
              <w:rPr>
                <w:rFonts w:ascii="Georgia" w:hAnsi="Georgia" w:cs="Arial"/>
                <w:b/>
              </w:rPr>
              <w:t>Secondary facility</w:t>
            </w:r>
            <w:r w:rsidRPr="008B23C1">
              <w:rPr>
                <w:rFonts w:ascii="Georgia" w:hAnsi="Georgia" w:cs="Arial"/>
                <w:b/>
                <w:vertAlign w:val="superscript"/>
              </w:rPr>
              <w:t>2</w:t>
            </w:r>
          </w:p>
        </w:tc>
        <w:tc>
          <w:tcPr>
            <w:tcW w:w="2410" w:type="dxa"/>
            <w:tcBorders>
              <w:top w:val="single" w:sz="4" w:space="0" w:color="auto"/>
              <w:bottom w:val="single" w:sz="4" w:space="0" w:color="auto"/>
            </w:tcBorders>
            <w:vAlign w:val="center"/>
          </w:tcPr>
          <w:p w:rsidR="000D44A5" w:rsidRPr="008B23C1" w:rsidRDefault="000D44A5" w:rsidP="007B3A51">
            <w:pPr>
              <w:pStyle w:val="TableText"/>
              <w:rPr>
                <w:rFonts w:ascii="Georgia" w:hAnsi="Georgia" w:cs="Arial"/>
                <w:b/>
                <w:vertAlign w:val="superscript"/>
              </w:rPr>
            </w:pPr>
            <w:r w:rsidRPr="008B23C1">
              <w:rPr>
                <w:rFonts w:ascii="Georgia" w:hAnsi="Georgia" w:cs="Arial"/>
                <w:b/>
              </w:rPr>
              <w:t>Primary facility</w:t>
            </w:r>
            <w:r w:rsidRPr="008B23C1">
              <w:rPr>
                <w:rFonts w:ascii="Georgia" w:hAnsi="Georgia" w:cs="Arial"/>
                <w:b/>
                <w:vertAlign w:val="superscript"/>
              </w:rPr>
              <w:t>3</w:t>
            </w:r>
          </w:p>
        </w:tc>
      </w:tr>
      <w:tr w:rsidR="000D44A5" w:rsidRPr="008B23C1" w:rsidTr="007B3A51">
        <w:trPr>
          <w:cantSplit/>
        </w:trPr>
        <w:tc>
          <w:tcPr>
            <w:tcW w:w="2127" w:type="dxa"/>
            <w:tcBorders>
              <w:top w:val="single" w:sz="4" w:space="0" w:color="auto"/>
            </w:tcBorders>
          </w:tcPr>
          <w:p w:rsidR="000D44A5" w:rsidRPr="008B23C1" w:rsidRDefault="000D44A5" w:rsidP="007B3A51">
            <w:pPr>
              <w:pStyle w:val="TableText"/>
              <w:rPr>
                <w:rFonts w:ascii="Georgia" w:hAnsi="Georgia" w:cs="Arial"/>
              </w:rPr>
            </w:pPr>
            <w:r w:rsidRPr="008B23C1">
              <w:rPr>
                <w:rFonts w:ascii="Georgia" w:hAnsi="Georgia" w:cs="Arial"/>
              </w:rPr>
              <w:t>Northland</w:t>
            </w:r>
          </w:p>
        </w:tc>
        <w:tc>
          <w:tcPr>
            <w:tcW w:w="2409" w:type="dxa"/>
            <w:vMerge w:val="restart"/>
            <w:tcBorders>
              <w:top w:val="single" w:sz="4" w:space="0" w:color="auto"/>
            </w:tcBorders>
          </w:tcPr>
          <w:p w:rsidR="000D44A5" w:rsidRPr="008B23C1" w:rsidRDefault="000D44A5" w:rsidP="007B3A51">
            <w:pPr>
              <w:pStyle w:val="TableText"/>
              <w:rPr>
                <w:rFonts w:ascii="Georgia" w:hAnsi="Georgia" w:cs="Arial"/>
              </w:rPr>
            </w:pPr>
            <w:r w:rsidRPr="008B23C1">
              <w:rPr>
                <w:rFonts w:ascii="Georgia" w:hAnsi="Georgia" w:cs="Arial"/>
              </w:rPr>
              <w:t>Auckland City</w:t>
            </w:r>
          </w:p>
        </w:tc>
        <w:tc>
          <w:tcPr>
            <w:tcW w:w="2410" w:type="dxa"/>
            <w:tcBorders>
              <w:top w:val="single" w:sz="4" w:space="0" w:color="auto"/>
            </w:tcBorders>
          </w:tcPr>
          <w:p w:rsidR="000D44A5" w:rsidRPr="008B23C1" w:rsidRDefault="000D44A5" w:rsidP="007B3A51">
            <w:pPr>
              <w:pStyle w:val="TableText"/>
              <w:rPr>
                <w:rFonts w:ascii="Georgia" w:hAnsi="Georgia" w:cs="Arial"/>
              </w:rPr>
            </w:pPr>
            <w:r w:rsidRPr="008B23C1">
              <w:rPr>
                <w:rFonts w:ascii="Georgia" w:hAnsi="Georgia" w:cs="Arial"/>
              </w:rPr>
              <w:t>Whangarei</w:t>
            </w:r>
          </w:p>
        </w:tc>
        <w:tc>
          <w:tcPr>
            <w:tcW w:w="2410" w:type="dxa"/>
            <w:tcBorders>
              <w:top w:val="single" w:sz="4" w:space="0" w:color="auto"/>
            </w:tcBorders>
          </w:tcPr>
          <w:p w:rsidR="000D44A5" w:rsidRPr="008B23C1" w:rsidRDefault="000D44A5" w:rsidP="007B3A51">
            <w:pPr>
              <w:pStyle w:val="TableText"/>
              <w:rPr>
                <w:rFonts w:ascii="Georgia" w:hAnsi="Georgia" w:cs="Arial"/>
              </w:rPr>
            </w:pPr>
            <w:r w:rsidRPr="008B23C1">
              <w:rPr>
                <w:rFonts w:ascii="Georgia" w:hAnsi="Georgia" w:cs="Arial"/>
              </w:rPr>
              <w:t>Bay of Islands</w:t>
            </w:r>
          </w:p>
          <w:p w:rsidR="000D44A5" w:rsidRPr="008B23C1" w:rsidRDefault="000D44A5" w:rsidP="007B3A51">
            <w:pPr>
              <w:pStyle w:val="TableText"/>
              <w:rPr>
                <w:rFonts w:ascii="Georgia" w:hAnsi="Georgia" w:cs="Arial"/>
              </w:rPr>
            </w:pPr>
            <w:r w:rsidRPr="008B23C1">
              <w:rPr>
                <w:rFonts w:ascii="Georgia" w:hAnsi="Georgia" w:cs="Arial"/>
              </w:rPr>
              <w:t>Dargaville</w:t>
            </w:r>
            <w:r>
              <w:rPr>
                <w:rFonts w:ascii="Georgia" w:hAnsi="Georgia" w:cs="Arial"/>
              </w:rPr>
              <w:t xml:space="preserve"> (closed)</w:t>
            </w:r>
          </w:p>
          <w:p w:rsidR="000D44A5" w:rsidRPr="008B23C1" w:rsidRDefault="000D44A5" w:rsidP="007B3A51">
            <w:pPr>
              <w:pStyle w:val="TableText"/>
              <w:rPr>
                <w:rFonts w:ascii="Georgia" w:hAnsi="Georgia" w:cs="Arial"/>
              </w:rPr>
            </w:pPr>
            <w:r w:rsidRPr="008B23C1">
              <w:rPr>
                <w:rFonts w:ascii="Georgia" w:hAnsi="Georgia" w:cs="Arial"/>
              </w:rPr>
              <w:t>Hokianga Health</w:t>
            </w:r>
          </w:p>
          <w:p w:rsidR="000D44A5" w:rsidRPr="008B23C1" w:rsidRDefault="000D44A5" w:rsidP="007B3A51">
            <w:pPr>
              <w:pStyle w:val="TableText"/>
              <w:rPr>
                <w:rFonts w:ascii="Georgia" w:hAnsi="Georgia" w:cs="Arial"/>
              </w:rPr>
            </w:pPr>
            <w:r w:rsidRPr="008B23C1">
              <w:rPr>
                <w:rFonts w:ascii="Georgia" w:hAnsi="Georgia" w:cs="Arial"/>
              </w:rPr>
              <w:t>Kaitaia</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Waitemata</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North Shore</w:t>
            </w:r>
          </w:p>
          <w:p w:rsidR="000D44A5" w:rsidRPr="008B23C1" w:rsidRDefault="000D44A5" w:rsidP="007B3A51">
            <w:pPr>
              <w:pStyle w:val="TableText"/>
              <w:rPr>
                <w:rFonts w:ascii="Georgia" w:hAnsi="Georgia" w:cs="Arial"/>
              </w:rPr>
            </w:pPr>
            <w:r w:rsidRPr="008B23C1">
              <w:rPr>
                <w:rFonts w:ascii="Georgia" w:hAnsi="Georgia" w:cs="Arial"/>
              </w:rPr>
              <w:t>Waitakere</w:t>
            </w: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Helensville</w:t>
            </w:r>
          </w:p>
          <w:p w:rsidR="000D44A5" w:rsidRPr="008B23C1" w:rsidRDefault="000D44A5" w:rsidP="007B3A51">
            <w:pPr>
              <w:pStyle w:val="TableText"/>
              <w:rPr>
                <w:rFonts w:ascii="Georgia" w:hAnsi="Georgia" w:cs="Arial"/>
              </w:rPr>
            </w:pPr>
            <w:r w:rsidRPr="008B23C1">
              <w:rPr>
                <w:rFonts w:ascii="Georgia" w:hAnsi="Georgia" w:cs="Arial"/>
              </w:rPr>
              <w:t>Warkworth</w:t>
            </w:r>
          </w:p>
          <w:p w:rsidR="000D44A5" w:rsidRPr="008B23C1" w:rsidRDefault="000D44A5" w:rsidP="007B3A51">
            <w:pPr>
              <w:pStyle w:val="TableText"/>
              <w:rPr>
                <w:rFonts w:ascii="Georgia" w:hAnsi="Georgia" w:cs="Arial"/>
              </w:rPr>
            </w:pPr>
            <w:r w:rsidRPr="008B23C1">
              <w:rPr>
                <w:rFonts w:ascii="Georgia" w:hAnsi="Georgia" w:cs="Arial"/>
              </w:rPr>
              <w:t>Wellsford</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Auckland</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Birthcare Auckland</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Counties Manukau</w:t>
            </w:r>
          </w:p>
        </w:tc>
        <w:tc>
          <w:tcPr>
            <w:tcW w:w="2409" w:type="dxa"/>
          </w:tcPr>
          <w:p w:rsidR="000D44A5" w:rsidRPr="008B23C1" w:rsidRDefault="000D44A5" w:rsidP="007B3A51">
            <w:pPr>
              <w:pStyle w:val="TableText"/>
              <w:rPr>
                <w:rFonts w:ascii="Georgia" w:hAnsi="Georgia" w:cs="Arial"/>
              </w:rPr>
            </w:pPr>
            <w:r w:rsidRPr="008B23C1">
              <w:rPr>
                <w:rFonts w:ascii="Georgia" w:hAnsi="Georgia" w:cs="Arial"/>
              </w:rPr>
              <w:t>Middlemore</w:t>
            </w:r>
          </w:p>
        </w:tc>
        <w:tc>
          <w:tcPr>
            <w:tcW w:w="2410" w:type="dxa"/>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Botany Downs</w:t>
            </w:r>
          </w:p>
          <w:p w:rsidR="000D44A5" w:rsidRPr="008B23C1" w:rsidRDefault="000D44A5" w:rsidP="007B3A51">
            <w:pPr>
              <w:pStyle w:val="TableText"/>
              <w:rPr>
                <w:rFonts w:ascii="Georgia" w:hAnsi="Georgia" w:cs="Arial"/>
              </w:rPr>
            </w:pPr>
            <w:r w:rsidRPr="008B23C1">
              <w:rPr>
                <w:rFonts w:ascii="Georgia" w:hAnsi="Georgia" w:cs="Arial"/>
              </w:rPr>
              <w:t>Papakura</w:t>
            </w:r>
          </w:p>
          <w:p w:rsidR="000D44A5" w:rsidRPr="008B23C1" w:rsidRDefault="000D44A5" w:rsidP="007B3A51">
            <w:pPr>
              <w:pStyle w:val="TableText"/>
              <w:rPr>
                <w:rFonts w:ascii="Georgia" w:hAnsi="Georgia" w:cs="Arial"/>
              </w:rPr>
            </w:pPr>
            <w:r w:rsidRPr="008B23C1">
              <w:rPr>
                <w:rFonts w:ascii="Georgia" w:hAnsi="Georgia" w:cs="Arial"/>
              </w:rPr>
              <w:t>Pukekohe</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Waikato</w:t>
            </w:r>
          </w:p>
        </w:tc>
        <w:tc>
          <w:tcPr>
            <w:tcW w:w="2409" w:type="dxa"/>
            <w:vMerge w:val="restart"/>
          </w:tcPr>
          <w:p w:rsidR="000D44A5" w:rsidRPr="008B23C1" w:rsidRDefault="000D44A5" w:rsidP="007B3A51">
            <w:pPr>
              <w:pStyle w:val="TableText"/>
              <w:rPr>
                <w:rFonts w:ascii="Georgia" w:hAnsi="Georgia" w:cs="Arial"/>
              </w:rPr>
            </w:pPr>
            <w:r w:rsidRPr="008B23C1">
              <w:rPr>
                <w:rFonts w:ascii="Georgia" w:hAnsi="Georgia" w:cs="Arial"/>
              </w:rPr>
              <w:t>Waikato</w:t>
            </w:r>
          </w:p>
        </w:tc>
        <w:tc>
          <w:tcPr>
            <w:tcW w:w="2410" w:type="dxa"/>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Birthcare Huntly</w:t>
            </w:r>
          </w:p>
          <w:p w:rsidR="000D44A5" w:rsidRPr="008B23C1" w:rsidRDefault="000D44A5" w:rsidP="007B3A51">
            <w:pPr>
              <w:pStyle w:val="TableText"/>
              <w:rPr>
                <w:rFonts w:ascii="Georgia" w:hAnsi="Georgia" w:cs="Arial"/>
              </w:rPr>
            </w:pPr>
            <w:r w:rsidRPr="008B23C1">
              <w:rPr>
                <w:rFonts w:ascii="Georgia" w:hAnsi="Georgia" w:cs="Arial"/>
              </w:rPr>
              <w:t>Matariki</w:t>
            </w:r>
            <w:r>
              <w:rPr>
                <w:rFonts w:ascii="Georgia" w:hAnsi="Georgia" w:cs="Arial"/>
              </w:rPr>
              <w:t xml:space="preserve"> (closed)</w:t>
            </w:r>
          </w:p>
          <w:p w:rsidR="000D44A5" w:rsidRPr="008B23C1" w:rsidRDefault="000D44A5" w:rsidP="007B3A51">
            <w:pPr>
              <w:pStyle w:val="TableText"/>
              <w:rPr>
                <w:rFonts w:ascii="Georgia" w:hAnsi="Georgia" w:cs="Arial"/>
              </w:rPr>
            </w:pPr>
            <w:r w:rsidRPr="008B23C1">
              <w:rPr>
                <w:rFonts w:ascii="Georgia" w:hAnsi="Georgia" w:cs="Arial"/>
              </w:rPr>
              <w:t>Pohlen Trust</w:t>
            </w:r>
          </w:p>
          <w:p w:rsidR="000D44A5" w:rsidRPr="008B23C1" w:rsidRDefault="000D44A5" w:rsidP="007B3A51">
            <w:pPr>
              <w:pStyle w:val="TableText"/>
              <w:rPr>
                <w:rFonts w:ascii="Georgia" w:hAnsi="Georgia" w:cs="Arial"/>
              </w:rPr>
            </w:pPr>
            <w:r w:rsidRPr="008B23C1">
              <w:rPr>
                <w:rFonts w:ascii="Georgia" w:hAnsi="Georgia" w:cs="Arial"/>
              </w:rPr>
              <w:t>Rhoda Read</w:t>
            </w:r>
            <w:r>
              <w:rPr>
                <w:rFonts w:ascii="Georgia" w:hAnsi="Georgia" w:cs="Arial"/>
              </w:rPr>
              <w:t xml:space="preserve"> (closed)</w:t>
            </w:r>
          </w:p>
          <w:p w:rsidR="000D44A5" w:rsidRPr="008B23C1" w:rsidRDefault="000D44A5" w:rsidP="007B3A51">
            <w:pPr>
              <w:pStyle w:val="TableText"/>
              <w:rPr>
                <w:rFonts w:ascii="Georgia" w:hAnsi="Georgia" w:cs="Arial"/>
              </w:rPr>
            </w:pPr>
            <w:r w:rsidRPr="008B23C1">
              <w:rPr>
                <w:rFonts w:ascii="Georgia" w:hAnsi="Georgia" w:cs="Arial"/>
              </w:rPr>
              <w:t>River Ridge</w:t>
            </w:r>
          </w:p>
          <w:p w:rsidR="000D44A5" w:rsidRPr="008B23C1" w:rsidRDefault="000D44A5" w:rsidP="007B3A51">
            <w:pPr>
              <w:pStyle w:val="TableText"/>
              <w:rPr>
                <w:rFonts w:ascii="Georgia" w:hAnsi="Georgia" w:cs="Arial"/>
              </w:rPr>
            </w:pPr>
            <w:r w:rsidRPr="008B23C1">
              <w:rPr>
                <w:rFonts w:ascii="Georgia" w:hAnsi="Georgia" w:cs="Arial"/>
              </w:rPr>
              <w:t>Taumarunui</w:t>
            </w:r>
          </w:p>
          <w:p w:rsidR="000D44A5" w:rsidRPr="008B23C1" w:rsidRDefault="000D44A5" w:rsidP="007B3A51">
            <w:pPr>
              <w:pStyle w:val="TableText"/>
              <w:rPr>
                <w:rFonts w:ascii="Georgia" w:hAnsi="Georgia" w:cs="Arial"/>
              </w:rPr>
            </w:pPr>
            <w:r w:rsidRPr="008B23C1">
              <w:rPr>
                <w:rFonts w:ascii="Georgia" w:hAnsi="Georgia" w:cs="Arial"/>
              </w:rPr>
              <w:t>Te Awamutu</w:t>
            </w:r>
          </w:p>
          <w:p w:rsidR="000D44A5" w:rsidRPr="008B23C1" w:rsidRDefault="000D44A5" w:rsidP="007B3A51">
            <w:pPr>
              <w:pStyle w:val="TableText"/>
              <w:rPr>
                <w:rFonts w:ascii="Georgia" w:hAnsi="Georgia" w:cs="Arial"/>
              </w:rPr>
            </w:pPr>
            <w:r w:rsidRPr="008B23C1">
              <w:rPr>
                <w:rFonts w:ascii="Georgia" w:hAnsi="Georgia" w:cs="Arial"/>
              </w:rPr>
              <w:t>Te Kuiti</w:t>
            </w:r>
          </w:p>
          <w:p w:rsidR="000D44A5" w:rsidRPr="008B23C1" w:rsidRDefault="000D44A5" w:rsidP="007B3A51">
            <w:pPr>
              <w:pStyle w:val="TableText"/>
              <w:rPr>
                <w:rFonts w:ascii="Georgia" w:hAnsi="Georgia" w:cs="Arial"/>
              </w:rPr>
            </w:pPr>
            <w:r w:rsidRPr="008B23C1">
              <w:rPr>
                <w:rFonts w:ascii="Georgia" w:hAnsi="Georgia" w:cs="Arial"/>
              </w:rPr>
              <w:t>Thames</w:t>
            </w:r>
          </w:p>
          <w:p w:rsidR="000D44A5" w:rsidRPr="008B23C1" w:rsidRDefault="000D44A5" w:rsidP="007B3A51">
            <w:pPr>
              <w:pStyle w:val="TableText"/>
              <w:rPr>
                <w:rFonts w:ascii="Georgia" w:hAnsi="Georgia" w:cs="Arial"/>
              </w:rPr>
            </w:pPr>
            <w:r w:rsidRPr="008B23C1">
              <w:rPr>
                <w:rFonts w:ascii="Georgia" w:hAnsi="Georgia" w:cs="Arial"/>
              </w:rPr>
              <w:t>Tokoroa</w:t>
            </w:r>
          </w:p>
          <w:p w:rsidR="000D44A5" w:rsidRPr="008B23C1" w:rsidRDefault="000D44A5" w:rsidP="007B3A51">
            <w:pPr>
              <w:pStyle w:val="TableText"/>
              <w:rPr>
                <w:rFonts w:ascii="Georgia" w:hAnsi="Georgia" w:cs="Arial"/>
              </w:rPr>
            </w:pPr>
            <w:r w:rsidRPr="008B23C1">
              <w:rPr>
                <w:rFonts w:ascii="Georgia" w:hAnsi="Georgia" w:cs="Arial"/>
              </w:rPr>
              <w:t>Waihi</w:t>
            </w:r>
          </w:p>
          <w:p w:rsidR="000D44A5" w:rsidRPr="008B23C1" w:rsidRDefault="000D44A5" w:rsidP="007B3A51">
            <w:pPr>
              <w:pStyle w:val="TableText"/>
              <w:rPr>
                <w:rFonts w:ascii="Georgia" w:hAnsi="Georgia" w:cs="Arial"/>
              </w:rPr>
            </w:pPr>
            <w:r w:rsidRPr="008B23C1">
              <w:rPr>
                <w:rFonts w:ascii="Georgia" w:hAnsi="Georgia" w:cs="Arial"/>
              </w:rPr>
              <w:t>Waterford</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Lakes</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Rotorua</w:t>
            </w: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Taupo</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Bay of Plenty</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Tauranga</w:t>
            </w:r>
          </w:p>
          <w:p w:rsidR="000D44A5" w:rsidRPr="008B23C1" w:rsidRDefault="000D44A5" w:rsidP="007B3A51">
            <w:pPr>
              <w:pStyle w:val="TableText"/>
              <w:rPr>
                <w:rFonts w:ascii="Georgia" w:hAnsi="Georgia" w:cs="Arial"/>
              </w:rPr>
            </w:pPr>
            <w:r w:rsidRPr="008B23C1">
              <w:rPr>
                <w:rFonts w:ascii="Georgia" w:hAnsi="Georgia" w:cs="Arial"/>
              </w:rPr>
              <w:t>Whakatane</w:t>
            </w: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Bethlehem</w:t>
            </w:r>
          </w:p>
          <w:p w:rsidR="000D44A5" w:rsidRPr="008B23C1" w:rsidRDefault="000D44A5" w:rsidP="007B3A51">
            <w:pPr>
              <w:pStyle w:val="TableText"/>
              <w:rPr>
                <w:rFonts w:ascii="Georgia" w:hAnsi="Georgia" w:cs="Arial"/>
              </w:rPr>
            </w:pPr>
            <w:r w:rsidRPr="008B23C1">
              <w:rPr>
                <w:rFonts w:ascii="Georgia" w:hAnsi="Georgia" w:cs="Arial"/>
              </w:rPr>
              <w:t>Murupara</w:t>
            </w:r>
          </w:p>
          <w:p w:rsidR="000D44A5" w:rsidRPr="008B23C1" w:rsidRDefault="000D44A5" w:rsidP="007B3A51">
            <w:pPr>
              <w:pStyle w:val="TableText"/>
              <w:rPr>
                <w:rFonts w:ascii="Georgia" w:hAnsi="Georgia" w:cs="Arial"/>
              </w:rPr>
            </w:pPr>
            <w:r w:rsidRPr="008B23C1">
              <w:rPr>
                <w:rFonts w:ascii="Georgia" w:hAnsi="Georgia" w:cs="Arial"/>
              </w:rPr>
              <w:t>Opotiki</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Tair</w:t>
            </w:r>
            <w:r w:rsidRPr="008B23C1">
              <w:t>ā</w:t>
            </w:r>
            <w:r w:rsidRPr="008B23C1">
              <w:rPr>
                <w:rFonts w:ascii="Georgia" w:hAnsi="Georgia" w:cs="Arial"/>
              </w:rPr>
              <w:t>whiti</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Gisborne</w:t>
            </w: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Ngati Porou Hauora</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Taranaki</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Taranaki Base</w:t>
            </w: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Elizabeth R</w:t>
            </w:r>
            <w:r>
              <w:rPr>
                <w:rFonts w:ascii="Georgia" w:hAnsi="Georgia" w:cs="Arial"/>
              </w:rPr>
              <w:t xml:space="preserve"> (closed)</w:t>
            </w:r>
          </w:p>
          <w:p w:rsidR="000D44A5" w:rsidRPr="008B23C1" w:rsidRDefault="000D44A5" w:rsidP="007B3A51">
            <w:pPr>
              <w:pStyle w:val="TableText"/>
              <w:rPr>
                <w:rFonts w:ascii="Georgia" w:hAnsi="Georgia" w:cs="Arial"/>
              </w:rPr>
            </w:pPr>
            <w:r w:rsidRPr="008B23C1">
              <w:rPr>
                <w:rFonts w:ascii="Georgia" w:hAnsi="Georgia" w:cs="Arial"/>
              </w:rPr>
              <w:t>Hawera</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Hawke</w:t>
            </w:r>
            <w:r w:rsidR="00CB6D20">
              <w:rPr>
                <w:rFonts w:ascii="Georgia" w:hAnsi="Georgia" w:cs="Arial"/>
              </w:rPr>
              <w:t>’</w:t>
            </w:r>
            <w:r w:rsidRPr="008B23C1">
              <w:rPr>
                <w:rFonts w:ascii="Georgia" w:hAnsi="Georgia" w:cs="Arial"/>
              </w:rPr>
              <w:t>s Bay</w:t>
            </w:r>
          </w:p>
        </w:tc>
        <w:tc>
          <w:tcPr>
            <w:tcW w:w="2409" w:type="dxa"/>
            <w:vMerge w:val="restart"/>
          </w:tcPr>
          <w:p w:rsidR="000D44A5" w:rsidRPr="008B23C1" w:rsidRDefault="000D44A5" w:rsidP="007B3A51">
            <w:pPr>
              <w:pStyle w:val="TableText"/>
              <w:rPr>
                <w:rFonts w:ascii="Georgia" w:hAnsi="Georgia" w:cs="Arial"/>
              </w:rPr>
            </w:pPr>
            <w:r w:rsidRPr="008B23C1">
              <w:rPr>
                <w:rFonts w:ascii="Georgia" w:hAnsi="Georgia" w:cs="Arial"/>
              </w:rPr>
              <w:t>Wellington</w:t>
            </w: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Hawke</w:t>
            </w:r>
            <w:r w:rsidR="00CB6D20">
              <w:rPr>
                <w:rFonts w:ascii="Georgia" w:hAnsi="Georgia" w:cs="Arial"/>
              </w:rPr>
              <w:t>’</w:t>
            </w:r>
            <w:r w:rsidRPr="008B23C1">
              <w:rPr>
                <w:rFonts w:ascii="Georgia" w:hAnsi="Georgia" w:cs="Arial"/>
              </w:rPr>
              <w:t>s Bay Regional</w:t>
            </w: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Wairoa</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MidCentral</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Palmerston North</w:t>
            </w: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Dannevirke</w:t>
            </w:r>
          </w:p>
          <w:p w:rsidR="000D44A5" w:rsidRPr="008B23C1" w:rsidRDefault="000D44A5" w:rsidP="007B3A51">
            <w:pPr>
              <w:pStyle w:val="TableText"/>
              <w:rPr>
                <w:rFonts w:ascii="Georgia" w:hAnsi="Georgia" w:cs="Arial"/>
              </w:rPr>
            </w:pPr>
            <w:r w:rsidRPr="008B23C1">
              <w:rPr>
                <w:rFonts w:ascii="Georgia" w:hAnsi="Georgia" w:cs="Arial"/>
              </w:rPr>
              <w:t>Horowhenua</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Whanganui</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Whanganui</w:t>
            </w: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Otaihape</w:t>
            </w:r>
          </w:p>
          <w:p w:rsidR="000D44A5" w:rsidRPr="008B23C1" w:rsidRDefault="000D44A5" w:rsidP="007B3A51">
            <w:pPr>
              <w:pStyle w:val="TableText"/>
              <w:rPr>
                <w:rFonts w:ascii="Georgia" w:hAnsi="Georgia" w:cs="Arial"/>
              </w:rPr>
            </w:pPr>
            <w:r w:rsidRPr="008B23C1">
              <w:rPr>
                <w:rFonts w:ascii="Georgia" w:hAnsi="Georgia" w:cs="Arial"/>
              </w:rPr>
              <w:t>Waimarino</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Capital &amp; Coast</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Kāpiti</w:t>
            </w:r>
          </w:p>
          <w:p w:rsidR="000D44A5" w:rsidRPr="008B23C1" w:rsidRDefault="000D44A5" w:rsidP="007B3A51">
            <w:pPr>
              <w:pStyle w:val="TableText"/>
              <w:rPr>
                <w:rFonts w:ascii="Georgia" w:hAnsi="Georgia" w:cs="Arial"/>
              </w:rPr>
            </w:pPr>
            <w:r w:rsidRPr="008B23C1">
              <w:rPr>
                <w:rFonts w:ascii="Georgia" w:hAnsi="Georgia" w:cs="Arial"/>
              </w:rPr>
              <w:t>Kenepuru</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Hutt Valley</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Hutt</w:t>
            </w:r>
          </w:p>
        </w:tc>
        <w:tc>
          <w:tcPr>
            <w:tcW w:w="2410" w:type="dxa"/>
          </w:tcPr>
          <w:p w:rsidR="000D44A5" w:rsidRPr="008B23C1" w:rsidRDefault="000D44A5" w:rsidP="007B3A51">
            <w:pPr>
              <w:pStyle w:val="TableText"/>
              <w:rPr>
                <w:rFonts w:ascii="Georgia" w:hAnsi="Georgia" w:cs="Arial"/>
              </w:rPr>
            </w:pPr>
          </w:p>
        </w:tc>
      </w:tr>
      <w:tr w:rsidR="000D44A5" w:rsidRPr="008B23C1" w:rsidTr="007B3A51">
        <w:trPr>
          <w:cantSplit/>
        </w:trPr>
        <w:tc>
          <w:tcPr>
            <w:tcW w:w="2127" w:type="dxa"/>
            <w:tcBorders>
              <w:bottom w:val="single" w:sz="4" w:space="0" w:color="808080" w:themeColor="background1" w:themeShade="80"/>
            </w:tcBorders>
          </w:tcPr>
          <w:p w:rsidR="000D44A5" w:rsidRPr="008B23C1" w:rsidRDefault="000D44A5" w:rsidP="007B3A51">
            <w:pPr>
              <w:pStyle w:val="TableText"/>
              <w:rPr>
                <w:rFonts w:ascii="Georgia" w:hAnsi="Georgia" w:cs="Arial"/>
              </w:rPr>
            </w:pPr>
            <w:r w:rsidRPr="008B23C1">
              <w:rPr>
                <w:rFonts w:ascii="Georgia" w:hAnsi="Georgia" w:cs="Arial"/>
              </w:rPr>
              <w:t>Wairarapa</w:t>
            </w:r>
          </w:p>
        </w:tc>
        <w:tc>
          <w:tcPr>
            <w:tcW w:w="2409" w:type="dxa"/>
            <w:vMerge/>
            <w:tcBorders>
              <w:bottom w:val="single" w:sz="4" w:space="0" w:color="808080" w:themeColor="background1" w:themeShade="80"/>
            </w:tcBorders>
          </w:tcPr>
          <w:p w:rsidR="000D44A5" w:rsidRPr="008B23C1" w:rsidRDefault="000D44A5" w:rsidP="007B3A51">
            <w:pPr>
              <w:pStyle w:val="TableText"/>
              <w:rPr>
                <w:rFonts w:ascii="Georgia" w:hAnsi="Georgia" w:cs="Arial"/>
              </w:rPr>
            </w:pPr>
          </w:p>
        </w:tc>
        <w:tc>
          <w:tcPr>
            <w:tcW w:w="2410" w:type="dxa"/>
            <w:tcBorders>
              <w:bottom w:val="single" w:sz="4" w:space="0" w:color="808080" w:themeColor="background1" w:themeShade="80"/>
            </w:tcBorders>
          </w:tcPr>
          <w:p w:rsidR="000D44A5" w:rsidRPr="008B23C1" w:rsidRDefault="000D44A5" w:rsidP="007B3A51">
            <w:pPr>
              <w:pStyle w:val="TableText"/>
              <w:rPr>
                <w:rFonts w:ascii="Georgia" w:hAnsi="Georgia" w:cs="Arial"/>
              </w:rPr>
            </w:pPr>
            <w:r w:rsidRPr="008B23C1">
              <w:rPr>
                <w:rFonts w:ascii="Georgia" w:hAnsi="Georgia" w:cs="Arial"/>
              </w:rPr>
              <w:t>Wairarapa</w:t>
            </w:r>
          </w:p>
        </w:tc>
        <w:tc>
          <w:tcPr>
            <w:tcW w:w="2410" w:type="dxa"/>
            <w:tcBorders>
              <w:bottom w:val="single" w:sz="4" w:space="0" w:color="808080" w:themeColor="background1" w:themeShade="80"/>
            </w:tcBorders>
          </w:tcPr>
          <w:p w:rsidR="000D44A5" w:rsidRPr="008B23C1" w:rsidRDefault="000D44A5" w:rsidP="007B3A51">
            <w:pPr>
              <w:pStyle w:val="TableText"/>
              <w:rPr>
                <w:rFonts w:ascii="Georgia" w:hAnsi="Georgia" w:cs="Arial"/>
              </w:rPr>
            </w:pPr>
          </w:p>
        </w:tc>
      </w:tr>
      <w:tr w:rsidR="000D44A5" w:rsidRPr="008B23C1" w:rsidTr="007B3A51">
        <w:trPr>
          <w:cantSplit/>
        </w:trPr>
        <w:tc>
          <w:tcPr>
            <w:tcW w:w="2127" w:type="dxa"/>
            <w:tcBorders>
              <w:top w:val="single" w:sz="4" w:space="0" w:color="808080" w:themeColor="background1" w:themeShade="80"/>
              <w:bottom w:val="single" w:sz="4" w:space="0" w:color="808080" w:themeColor="background1" w:themeShade="80"/>
            </w:tcBorders>
          </w:tcPr>
          <w:p w:rsidR="000D44A5" w:rsidRPr="008B23C1" w:rsidRDefault="000D44A5" w:rsidP="007B3A51">
            <w:pPr>
              <w:pStyle w:val="TableText"/>
              <w:rPr>
                <w:rFonts w:ascii="Georgia" w:hAnsi="Georgia" w:cs="Arial"/>
              </w:rPr>
            </w:pPr>
            <w:r w:rsidRPr="008B23C1">
              <w:rPr>
                <w:rFonts w:ascii="Georgia" w:hAnsi="Georgia" w:cs="Arial"/>
              </w:rPr>
              <w:t>Nelson Marlborough</w:t>
            </w:r>
          </w:p>
        </w:tc>
        <w:tc>
          <w:tcPr>
            <w:tcW w:w="2409" w:type="dxa"/>
            <w:vMerge/>
            <w:tcBorders>
              <w:top w:val="single" w:sz="4" w:space="0" w:color="808080" w:themeColor="background1" w:themeShade="80"/>
              <w:bottom w:val="single" w:sz="4" w:space="0" w:color="808080" w:themeColor="background1" w:themeShade="80"/>
            </w:tcBorders>
          </w:tcPr>
          <w:p w:rsidR="000D44A5" w:rsidRPr="008B23C1" w:rsidRDefault="000D44A5" w:rsidP="007B3A51">
            <w:pPr>
              <w:pStyle w:val="TableText"/>
              <w:rPr>
                <w:rFonts w:ascii="Georgia" w:hAnsi="Georgia" w:cs="Arial"/>
              </w:rPr>
            </w:pPr>
          </w:p>
        </w:tc>
        <w:tc>
          <w:tcPr>
            <w:tcW w:w="2410" w:type="dxa"/>
            <w:tcBorders>
              <w:top w:val="single" w:sz="4" w:space="0" w:color="808080" w:themeColor="background1" w:themeShade="80"/>
              <w:bottom w:val="single" w:sz="4" w:space="0" w:color="808080" w:themeColor="background1" w:themeShade="80"/>
            </w:tcBorders>
          </w:tcPr>
          <w:p w:rsidR="000D44A5" w:rsidRPr="008B23C1" w:rsidRDefault="000D44A5" w:rsidP="007B3A51">
            <w:pPr>
              <w:pStyle w:val="TableText"/>
              <w:rPr>
                <w:rFonts w:ascii="Georgia" w:hAnsi="Georgia" w:cs="Arial"/>
              </w:rPr>
            </w:pPr>
            <w:r w:rsidRPr="008B23C1">
              <w:rPr>
                <w:rFonts w:ascii="Georgia" w:hAnsi="Georgia" w:cs="Arial"/>
              </w:rPr>
              <w:t>Wairau</w:t>
            </w:r>
          </w:p>
          <w:p w:rsidR="000D44A5" w:rsidRPr="008B23C1" w:rsidRDefault="000D44A5" w:rsidP="007B3A51">
            <w:pPr>
              <w:pStyle w:val="TableText"/>
              <w:rPr>
                <w:rFonts w:ascii="Georgia" w:hAnsi="Georgia" w:cs="Arial"/>
              </w:rPr>
            </w:pPr>
            <w:r w:rsidRPr="008B23C1">
              <w:rPr>
                <w:rFonts w:ascii="Georgia" w:hAnsi="Georgia" w:cs="Arial"/>
              </w:rPr>
              <w:t>Nelson</w:t>
            </w:r>
          </w:p>
        </w:tc>
        <w:tc>
          <w:tcPr>
            <w:tcW w:w="2410" w:type="dxa"/>
            <w:tcBorders>
              <w:top w:val="single" w:sz="4" w:space="0" w:color="808080" w:themeColor="background1" w:themeShade="80"/>
              <w:bottom w:val="single" w:sz="4" w:space="0" w:color="808080" w:themeColor="background1" w:themeShade="80"/>
            </w:tcBorders>
          </w:tcPr>
          <w:p w:rsidR="000D44A5" w:rsidRPr="008B23C1" w:rsidRDefault="000D44A5" w:rsidP="007B3A51">
            <w:pPr>
              <w:pStyle w:val="TableText"/>
              <w:rPr>
                <w:rFonts w:ascii="Georgia" w:hAnsi="Georgia" w:cs="Arial"/>
              </w:rPr>
            </w:pPr>
            <w:r w:rsidRPr="008B23C1">
              <w:rPr>
                <w:rFonts w:ascii="Georgia" w:hAnsi="Georgia" w:cs="Arial"/>
              </w:rPr>
              <w:t>Golden Bay</w:t>
            </w:r>
          </w:p>
          <w:p w:rsidR="000D44A5" w:rsidRPr="008B23C1" w:rsidRDefault="000D44A5" w:rsidP="007B3A51">
            <w:pPr>
              <w:pStyle w:val="TableText"/>
              <w:rPr>
                <w:rFonts w:ascii="Georgia" w:hAnsi="Georgia" w:cs="Arial"/>
              </w:rPr>
            </w:pPr>
            <w:r w:rsidRPr="008B23C1">
              <w:rPr>
                <w:rFonts w:ascii="Georgia" w:hAnsi="Georgia" w:cs="Arial"/>
              </w:rPr>
              <w:t>Motueka</w:t>
            </w:r>
          </w:p>
        </w:tc>
      </w:tr>
      <w:tr w:rsidR="000D44A5" w:rsidRPr="008B23C1" w:rsidTr="007B3A51">
        <w:trPr>
          <w:cantSplit/>
        </w:trPr>
        <w:tc>
          <w:tcPr>
            <w:tcW w:w="2127" w:type="dxa"/>
            <w:tcBorders>
              <w:top w:val="single" w:sz="4" w:space="0" w:color="808080" w:themeColor="background1" w:themeShade="80"/>
            </w:tcBorders>
          </w:tcPr>
          <w:p w:rsidR="000D44A5" w:rsidRPr="008B23C1" w:rsidRDefault="000D44A5" w:rsidP="007B3A51">
            <w:pPr>
              <w:pStyle w:val="TableText"/>
              <w:keepNext/>
              <w:rPr>
                <w:rFonts w:ascii="Georgia" w:hAnsi="Georgia" w:cs="Arial"/>
              </w:rPr>
            </w:pPr>
            <w:r w:rsidRPr="008B23C1">
              <w:rPr>
                <w:rFonts w:ascii="Georgia" w:hAnsi="Georgia" w:cs="Arial"/>
              </w:rPr>
              <w:lastRenderedPageBreak/>
              <w:t>West Coast</w:t>
            </w:r>
          </w:p>
        </w:tc>
        <w:tc>
          <w:tcPr>
            <w:tcW w:w="2409" w:type="dxa"/>
            <w:vMerge w:val="restart"/>
            <w:tcBorders>
              <w:top w:val="single" w:sz="4" w:space="0" w:color="808080" w:themeColor="background1" w:themeShade="80"/>
            </w:tcBorders>
          </w:tcPr>
          <w:p w:rsidR="000D44A5" w:rsidRPr="008B23C1" w:rsidRDefault="000D44A5" w:rsidP="007B3A51">
            <w:pPr>
              <w:pStyle w:val="TableText"/>
              <w:keepNext/>
              <w:rPr>
                <w:rFonts w:ascii="Georgia" w:hAnsi="Georgia" w:cs="Arial"/>
              </w:rPr>
            </w:pPr>
            <w:r w:rsidRPr="008B23C1">
              <w:rPr>
                <w:rFonts w:ascii="Georgia" w:hAnsi="Georgia" w:cs="Arial"/>
              </w:rPr>
              <w:t>Christchurch</w:t>
            </w:r>
          </w:p>
        </w:tc>
        <w:tc>
          <w:tcPr>
            <w:tcW w:w="2410" w:type="dxa"/>
            <w:tcBorders>
              <w:top w:val="single" w:sz="4" w:space="0" w:color="808080" w:themeColor="background1" w:themeShade="80"/>
            </w:tcBorders>
          </w:tcPr>
          <w:p w:rsidR="000D44A5" w:rsidRPr="008B23C1" w:rsidRDefault="000D44A5" w:rsidP="007B3A51">
            <w:pPr>
              <w:pStyle w:val="TableText"/>
              <w:keepNext/>
              <w:rPr>
                <w:rFonts w:ascii="Georgia" w:hAnsi="Georgia" w:cs="Arial"/>
              </w:rPr>
            </w:pPr>
            <w:r w:rsidRPr="008B23C1">
              <w:rPr>
                <w:rFonts w:ascii="Georgia" w:hAnsi="Georgia" w:cs="Arial"/>
              </w:rPr>
              <w:t>Grey Base</w:t>
            </w:r>
          </w:p>
        </w:tc>
        <w:tc>
          <w:tcPr>
            <w:tcW w:w="2410" w:type="dxa"/>
            <w:tcBorders>
              <w:top w:val="single" w:sz="4" w:space="0" w:color="808080" w:themeColor="background1" w:themeShade="80"/>
            </w:tcBorders>
          </w:tcPr>
          <w:p w:rsidR="000D44A5" w:rsidRDefault="000D44A5" w:rsidP="007B3A51">
            <w:pPr>
              <w:pStyle w:val="TableText"/>
              <w:keepNext/>
              <w:rPr>
                <w:rFonts w:ascii="Georgia" w:hAnsi="Georgia" w:cs="Arial"/>
              </w:rPr>
            </w:pPr>
            <w:r w:rsidRPr="008B23C1">
              <w:rPr>
                <w:rFonts w:ascii="Georgia" w:hAnsi="Georgia" w:cs="Arial"/>
              </w:rPr>
              <w:t>Buller</w:t>
            </w:r>
          </w:p>
          <w:p w:rsidR="00F66C46" w:rsidRPr="008B23C1" w:rsidRDefault="00F66C46" w:rsidP="007B3A51">
            <w:pPr>
              <w:pStyle w:val="TableText"/>
              <w:keepNext/>
              <w:rPr>
                <w:rFonts w:ascii="Georgia" w:hAnsi="Georgia" w:cs="Arial"/>
              </w:rPr>
            </w:pPr>
            <w:r>
              <w:rPr>
                <w:rFonts w:ascii="Georgia" w:hAnsi="Georgia" w:cs="Arial"/>
              </w:rPr>
              <w:t>Reefton</w:t>
            </w:r>
          </w:p>
        </w:tc>
      </w:tr>
      <w:tr w:rsidR="000D44A5" w:rsidRPr="008B23C1" w:rsidTr="007B3A51">
        <w:trPr>
          <w:cantSplit/>
        </w:trPr>
        <w:tc>
          <w:tcPr>
            <w:tcW w:w="2127" w:type="dxa"/>
          </w:tcPr>
          <w:p w:rsidR="000D44A5" w:rsidRPr="008B23C1" w:rsidRDefault="000D44A5" w:rsidP="007B3A51">
            <w:pPr>
              <w:pStyle w:val="TableText"/>
              <w:rPr>
                <w:rFonts w:ascii="Georgia" w:hAnsi="Georgia" w:cs="Arial"/>
              </w:rPr>
            </w:pPr>
            <w:r w:rsidRPr="008B23C1">
              <w:rPr>
                <w:rFonts w:ascii="Georgia" w:hAnsi="Georgia" w:cs="Arial"/>
              </w:rPr>
              <w:t>Canterbury</w:t>
            </w:r>
          </w:p>
        </w:tc>
        <w:tc>
          <w:tcPr>
            <w:tcW w:w="2409" w:type="dxa"/>
            <w:vMerge/>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p>
        </w:tc>
        <w:tc>
          <w:tcPr>
            <w:tcW w:w="2410" w:type="dxa"/>
          </w:tcPr>
          <w:p w:rsidR="000D44A5" w:rsidRPr="008B23C1" w:rsidRDefault="000D44A5" w:rsidP="007B3A51">
            <w:pPr>
              <w:pStyle w:val="TableText"/>
              <w:rPr>
                <w:rFonts w:ascii="Georgia" w:hAnsi="Georgia" w:cs="Arial"/>
              </w:rPr>
            </w:pPr>
            <w:r w:rsidRPr="008B23C1">
              <w:rPr>
                <w:rFonts w:ascii="Georgia" w:hAnsi="Georgia" w:cs="Arial"/>
              </w:rPr>
              <w:t>Akaroa</w:t>
            </w:r>
            <w:r>
              <w:rPr>
                <w:rFonts w:ascii="Georgia" w:hAnsi="Georgia" w:cs="Arial"/>
              </w:rPr>
              <w:t xml:space="preserve"> (closed)</w:t>
            </w:r>
          </w:p>
          <w:p w:rsidR="000D44A5" w:rsidRPr="008B23C1" w:rsidRDefault="000D44A5" w:rsidP="007B3A51">
            <w:pPr>
              <w:pStyle w:val="TableText"/>
              <w:rPr>
                <w:rFonts w:ascii="Georgia" w:hAnsi="Georgia" w:cs="Arial"/>
              </w:rPr>
            </w:pPr>
            <w:r w:rsidRPr="008B23C1">
              <w:rPr>
                <w:rFonts w:ascii="Georgia" w:hAnsi="Georgia" w:cs="Arial"/>
              </w:rPr>
              <w:t>Ashburton</w:t>
            </w:r>
          </w:p>
          <w:p w:rsidR="000D44A5" w:rsidRPr="008B23C1" w:rsidRDefault="000D44A5" w:rsidP="007B3A51">
            <w:pPr>
              <w:pStyle w:val="TableText"/>
              <w:rPr>
                <w:rFonts w:ascii="Georgia" w:hAnsi="Georgia" w:cs="Arial"/>
              </w:rPr>
            </w:pPr>
            <w:r w:rsidRPr="008B23C1">
              <w:rPr>
                <w:rFonts w:ascii="Georgia" w:hAnsi="Georgia" w:cs="Arial"/>
              </w:rPr>
              <w:t>Burwood</w:t>
            </w:r>
            <w:r>
              <w:rPr>
                <w:rFonts w:ascii="Georgia" w:hAnsi="Georgia" w:cs="Arial"/>
              </w:rPr>
              <w:t xml:space="preserve"> (closed)</w:t>
            </w:r>
          </w:p>
          <w:p w:rsidR="000D44A5" w:rsidRPr="008B23C1" w:rsidRDefault="000D44A5" w:rsidP="007B3A51">
            <w:pPr>
              <w:pStyle w:val="TableText"/>
              <w:rPr>
                <w:rFonts w:ascii="Georgia" w:hAnsi="Georgia" w:cs="Arial"/>
              </w:rPr>
            </w:pPr>
            <w:r w:rsidRPr="008B23C1">
              <w:rPr>
                <w:rFonts w:ascii="Georgia" w:hAnsi="Georgia" w:cs="Arial"/>
              </w:rPr>
              <w:t>Darfield</w:t>
            </w:r>
          </w:p>
          <w:p w:rsidR="000D44A5" w:rsidRPr="008B23C1" w:rsidRDefault="000D44A5" w:rsidP="007B3A51">
            <w:pPr>
              <w:pStyle w:val="TableText"/>
              <w:rPr>
                <w:rFonts w:ascii="Georgia" w:hAnsi="Georgia" w:cs="Arial"/>
              </w:rPr>
            </w:pPr>
            <w:r w:rsidRPr="008B23C1">
              <w:rPr>
                <w:rFonts w:ascii="Georgia" w:hAnsi="Georgia" w:cs="Arial"/>
              </w:rPr>
              <w:t>Kaikoura</w:t>
            </w:r>
          </w:p>
          <w:p w:rsidR="000D44A5" w:rsidRPr="008B23C1" w:rsidRDefault="000D44A5" w:rsidP="007B3A51">
            <w:pPr>
              <w:pStyle w:val="TableText"/>
              <w:rPr>
                <w:rFonts w:ascii="Georgia" w:hAnsi="Georgia" w:cs="Arial"/>
              </w:rPr>
            </w:pPr>
            <w:r w:rsidRPr="008B23C1">
              <w:rPr>
                <w:rFonts w:ascii="Georgia" w:hAnsi="Georgia" w:cs="Arial"/>
              </w:rPr>
              <w:t>Lincoln</w:t>
            </w:r>
          </w:p>
          <w:p w:rsidR="000D44A5" w:rsidRPr="008B23C1" w:rsidRDefault="000D44A5" w:rsidP="007B3A51">
            <w:pPr>
              <w:pStyle w:val="TableText"/>
              <w:rPr>
                <w:rFonts w:ascii="Georgia" w:hAnsi="Georgia" w:cs="Arial"/>
              </w:rPr>
            </w:pPr>
            <w:r w:rsidRPr="008B23C1">
              <w:rPr>
                <w:rFonts w:ascii="Georgia" w:hAnsi="Georgia" w:cs="Arial"/>
              </w:rPr>
              <w:t>Rangiora</w:t>
            </w:r>
          </w:p>
          <w:p w:rsidR="000D44A5" w:rsidRPr="008B23C1" w:rsidRDefault="000D44A5" w:rsidP="007B3A51">
            <w:pPr>
              <w:pStyle w:val="TableText"/>
              <w:rPr>
                <w:rFonts w:ascii="Georgia" w:hAnsi="Georgia" w:cs="Arial"/>
              </w:rPr>
            </w:pPr>
            <w:r w:rsidRPr="008B23C1">
              <w:rPr>
                <w:rFonts w:ascii="Georgia" w:hAnsi="Georgia" w:cs="Arial"/>
              </w:rPr>
              <w:t>St George</w:t>
            </w:r>
            <w:r w:rsidR="00CB6D20">
              <w:rPr>
                <w:rFonts w:ascii="Georgia" w:hAnsi="Georgia" w:cs="Arial"/>
              </w:rPr>
              <w:t>’</w:t>
            </w:r>
            <w:r w:rsidRPr="008B23C1">
              <w:rPr>
                <w:rFonts w:ascii="Georgia" w:hAnsi="Georgia" w:cs="Arial"/>
              </w:rPr>
              <w:t>s</w:t>
            </w:r>
          </w:p>
          <w:p w:rsidR="000D44A5" w:rsidRPr="008B23C1" w:rsidRDefault="000D44A5" w:rsidP="007B3A51">
            <w:pPr>
              <w:pStyle w:val="TableText"/>
              <w:rPr>
                <w:rFonts w:ascii="Georgia" w:hAnsi="Georgia" w:cs="Arial"/>
              </w:rPr>
            </w:pPr>
            <w:r>
              <w:rPr>
                <w:rFonts w:ascii="Georgia" w:hAnsi="Georgia" w:cs="Arial"/>
              </w:rPr>
              <w:t>Waikari (closed)</w:t>
            </w:r>
          </w:p>
        </w:tc>
      </w:tr>
      <w:tr w:rsidR="000D44A5" w:rsidRPr="008B23C1" w:rsidTr="007B3A51">
        <w:trPr>
          <w:cantSplit/>
        </w:trPr>
        <w:tc>
          <w:tcPr>
            <w:tcW w:w="2127" w:type="dxa"/>
            <w:tcBorders>
              <w:bottom w:val="single" w:sz="4" w:space="0" w:color="808080" w:themeColor="background1" w:themeShade="80"/>
            </w:tcBorders>
          </w:tcPr>
          <w:p w:rsidR="000D44A5" w:rsidRPr="008B23C1" w:rsidRDefault="000D44A5" w:rsidP="007B3A51">
            <w:pPr>
              <w:pStyle w:val="TableText"/>
              <w:rPr>
                <w:rFonts w:ascii="Georgia" w:hAnsi="Georgia" w:cs="Arial"/>
              </w:rPr>
            </w:pPr>
            <w:r w:rsidRPr="008B23C1">
              <w:rPr>
                <w:rFonts w:ascii="Georgia" w:hAnsi="Georgia" w:cs="Arial"/>
              </w:rPr>
              <w:t>South Canterbury</w:t>
            </w:r>
          </w:p>
        </w:tc>
        <w:tc>
          <w:tcPr>
            <w:tcW w:w="2409" w:type="dxa"/>
            <w:vMerge/>
          </w:tcPr>
          <w:p w:rsidR="000D44A5" w:rsidRPr="008B23C1" w:rsidRDefault="000D44A5" w:rsidP="007B3A51">
            <w:pPr>
              <w:pStyle w:val="TableText"/>
              <w:rPr>
                <w:rFonts w:ascii="Georgia" w:hAnsi="Georgia" w:cs="Arial"/>
              </w:rPr>
            </w:pPr>
          </w:p>
        </w:tc>
        <w:tc>
          <w:tcPr>
            <w:tcW w:w="2410" w:type="dxa"/>
            <w:tcBorders>
              <w:bottom w:val="single" w:sz="4" w:space="0" w:color="808080" w:themeColor="background1" w:themeShade="80"/>
            </w:tcBorders>
          </w:tcPr>
          <w:p w:rsidR="000D44A5" w:rsidRPr="008B23C1" w:rsidRDefault="000D44A5" w:rsidP="007B3A51">
            <w:pPr>
              <w:pStyle w:val="TableText"/>
              <w:rPr>
                <w:rFonts w:ascii="Georgia" w:hAnsi="Georgia" w:cs="Arial"/>
              </w:rPr>
            </w:pPr>
            <w:r w:rsidRPr="008B23C1">
              <w:rPr>
                <w:rFonts w:ascii="Georgia" w:hAnsi="Georgia" w:cs="Arial"/>
              </w:rPr>
              <w:t>Timaru</w:t>
            </w:r>
          </w:p>
        </w:tc>
        <w:tc>
          <w:tcPr>
            <w:tcW w:w="2410" w:type="dxa"/>
            <w:tcBorders>
              <w:bottom w:val="single" w:sz="4" w:space="0" w:color="808080" w:themeColor="background1" w:themeShade="80"/>
            </w:tcBorders>
          </w:tcPr>
          <w:p w:rsidR="000D44A5" w:rsidRPr="008B23C1" w:rsidRDefault="000D44A5" w:rsidP="007B3A51">
            <w:pPr>
              <w:pStyle w:val="TableText"/>
              <w:rPr>
                <w:rFonts w:ascii="Georgia" w:hAnsi="Georgia" w:cs="Arial"/>
              </w:rPr>
            </w:pPr>
          </w:p>
        </w:tc>
      </w:tr>
      <w:tr w:rsidR="000D44A5" w:rsidRPr="00AF16D8" w:rsidTr="007B3A51">
        <w:trPr>
          <w:cantSplit/>
        </w:trPr>
        <w:tc>
          <w:tcPr>
            <w:tcW w:w="2127" w:type="dxa"/>
            <w:tcBorders>
              <w:top w:val="single" w:sz="4" w:space="0" w:color="808080" w:themeColor="background1" w:themeShade="80"/>
              <w:bottom w:val="single" w:sz="4" w:space="0" w:color="auto"/>
            </w:tcBorders>
          </w:tcPr>
          <w:p w:rsidR="000D44A5" w:rsidRPr="008B23C1" w:rsidRDefault="000D44A5" w:rsidP="007B3A51">
            <w:pPr>
              <w:pStyle w:val="TableText"/>
              <w:rPr>
                <w:rFonts w:ascii="Georgia" w:hAnsi="Georgia" w:cs="Arial"/>
              </w:rPr>
            </w:pPr>
            <w:r w:rsidRPr="008B23C1">
              <w:rPr>
                <w:rFonts w:ascii="Georgia" w:hAnsi="Georgia" w:cs="Arial"/>
              </w:rPr>
              <w:t>Southern</w:t>
            </w:r>
          </w:p>
        </w:tc>
        <w:tc>
          <w:tcPr>
            <w:tcW w:w="2409" w:type="dxa"/>
            <w:tcBorders>
              <w:bottom w:val="single" w:sz="4" w:space="0" w:color="auto"/>
            </w:tcBorders>
          </w:tcPr>
          <w:p w:rsidR="000D44A5" w:rsidRPr="008B23C1" w:rsidRDefault="000D44A5" w:rsidP="007B3A51">
            <w:pPr>
              <w:pStyle w:val="TableText"/>
              <w:rPr>
                <w:rFonts w:ascii="Georgia" w:hAnsi="Georgia" w:cs="Arial"/>
              </w:rPr>
            </w:pPr>
            <w:r w:rsidRPr="008B23C1">
              <w:rPr>
                <w:rFonts w:ascii="Georgia" w:hAnsi="Georgia" w:cs="Arial"/>
              </w:rPr>
              <w:t>Dunedin</w:t>
            </w:r>
          </w:p>
        </w:tc>
        <w:tc>
          <w:tcPr>
            <w:tcW w:w="2410" w:type="dxa"/>
            <w:tcBorders>
              <w:top w:val="single" w:sz="4" w:space="0" w:color="808080" w:themeColor="background1" w:themeShade="80"/>
              <w:bottom w:val="single" w:sz="4" w:space="0" w:color="auto"/>
            </w:tcBorders>
          </w:tcPr>
          <w:p w:rsidR="000D44A5" w:rsidRPr="008B23C1" w:rsidRDefault="000D44A5" w:rsidP="007B3A51">
            <w:pPr>
              <w:pStyle w:val="TableText"/>
              <w:rPr>
                <w:rFonts w:ascii="Georgia" w:hAnsi="Georgia" w:cs="Arial"/>
              </w:rPr>
            </w:pPr>
            <w:r w:rsidRPr="008B23C1">
              <w:rPr>
                <w:rFonts w:ascii="Georgia" w:hAnsi="Georgia" w:cs="Arial"/>
              </w:rPr>
              <w:t>Southland</w:t>
            </w:r>
          </w:p>
        </w:tc>
        <w:tc>
          <w:tcPr>
            <w:tcW w:w="2410" w:type="dxa"/>
            <w:tcBorders>
              <w:top w:val="single" w:sz="4" w:space="0" w:color="808080" w:themeColor="background1" w:themeShade="80"/>
              <w:bottom w:val="single" w:sz="4" w:space="0" w:color="auto"/>
            </w:tcBorders>
          </w:tcPr>
          <w:p w:rsidR="000D44A5" w:rsidRPr="008B23C1" w:rsidRDefault="000D44A5" w:rsidP="007B3A51">
            <w:pPr>
              <w:pStyle w:val="TableText"/>
              <w:rPr>
                <w:rFonts w:ascii="Georgia" w:hAnsi="Georgia" w:cs="Arial"/>
              </w:rPr>
            </w:pPr>
            <w:r w:rsidRPr="008B23C1">
              <w:rPr>
                <w:rFonts w:ascii="Georgia" w:hAnsi="Georgia" w:cs="Arial"/>
              </w:rPr>
              <w:t>Charlotte Jean</w:t>
            </w:r>
          </w:p>
          <w:p w:rsidR="000D44A5" w:rsidRPr="008B23C1" w:rsidRDefault="000D44A5" w:rsidP="007B3A51">
            <w:pPr>
              <w:pStyle w:val="TableText"/>
              <w:rPr>
                <w:rFonts w:ascii="Georgia" w:hAnsi="Georgia" w:cs="Arial"/>
              </w:rPr>
            </w:pPr>
            <w:r w:rsidRPr="008B23C1">
              <w:rPr>
                <w:rFonts w:ascii="Georgia" w:hAnsi="Georgia" w:cs="Arial"/>
              </w:rPr>
              <w:t>Clutha</w:t>
            </w:r>
          </w:p>
          <w:p w:rsidR="000D44A5" w:rsidRPr="008B23C1" w:rsidRDefault="000D44A5" w:rsidP="007B3A51">
            <w:pPr>
              <w:pStyle w:val="TableText"/>
              <w:rPr>
                <w:rFonts w:ascii="Georgia" w:hAnsi="Georgia" w:cs="Arial"/>
              </w:rPr>
            </w:pPr>
            <w:r w:rsidRPr="008B23C1">
              <w:rPr>
                <w:rFonts w:ascii="Georgia" w:hAnsi="Georgia" w:cs="Arial"/>
              </w:rPr>
              <w:t>Dunstan</w:t>
            </w:r>
          </w:p>
          <w:p w:rsidR="000D44A5" w:rsidRPr="008B23C1" w:rsidRDefault="000D44A5" w:rsidP="007B3A51">
            <w:pPr>
              <w:pStyle w:val="TableText"/>
              <w:rPr>
                <w:rFonts w:ascii="Georgia" w:hAnsi="Georgia" w:cs="Arial"/>
              </w:rPr>
            </w:pPr>
            <w:r w:rsidRPr="008B23C1">
              <w:rPr>
                <w:rFonts w:ascii="Georgia" w:hAnsi="Georgia" w:cs="Arial"/>
              </w:rPr>
              <w:t>Gore</w:t>
            </w:r>
          </w:p>
          <w:p w:rsidR="000D44A5" w:rsidRPr="008B23C1" w:rsidRDefault="000D44A5" w:rsidP="007B3A51">
            <w:pPr>
              <w:pStyle w:val="TableText"/>
              <w:rPr>
                <w:rFonts w:ascii="Georgia" w:hAnsi="Georgia" w:cs="Arial"/>
              </w:rPr>
            </w:pPr>
            <w:r w:rsidRPr="008B23C1">
              <w:rPr>
                <w:rFonts w:ascii="Georgia" w:hAnsi="Georgia" w:cs="Arial"/>
              </w:rPr>
              <w:t>Lakes District</w:t>
            </w:r>
          </w:p>
          <w:p w:rsidR="000D44A5" w:rsidRPr="008B23C1" w:rsidRDefault="000D44A5" w:rsidP="007B3A51">
            <w:pPr>
              <w:pStyle w:val="TableText"/>
              <w:rPr>
                <w:rFonts w:ascii="Georgia" w:hAnsi="Georgia" w:cs="Arial"/>
              </w:rPr>
            </w:pPr>
            <w:r w:rsidRPr="008B23C1">
              <w:rPr>
                <w:rFonts w:ascii="Georgia" w:hAnsi="Georgia" w:cs="Arial"/>
              </w:rPr>
              <w:t>Lumsden</w:t>
            </w:r>
          </w:p>
          <w:p w:rsidR="000D44A5" w:rsidRPr="008B23C1" w:rsidRDefault="000D44A5" w:rsidP="007B3A51">
            <w:pPr>
              <w:pStyle w:val="TableText"/>
              <w:rPr>
                <w:rFonts w:ascii="Georgia" w:hAnsi="Georgia" w:cs="Arial"/>
              </w:rPr>
            </w:pPr>
            <w:r w:rsidRPr="008B23C1">
              <w:rPr>
                <w:rFonts w:ascii="Georgia" w:hAnsi="Georgia" w:cs="Arial"/>
              </w:rPr>
              <w:t>Maniototo</w:t>
            </w:r>
            <w:r>
              <w:rPr>
                <w:rFonts w:ascii="Georgia" w:hAnsi="Georgia" w:cs="Arial"/>
              </w:rPr>
              <w:t xml:space="preserve"> (closed)</w:t>
            </w:r>
          </w:p>
          <w:p w:rsidR="000D44A5" w:rsidRPr="008B23C1" w:rsidRDefault="000D44A5" w:rsidP="007B3A51">
            <w:pPr>
              <w:pStyle w:val="TableText"/>
              <w:rPr>
                <w:rFonts w:ascii="Georgia" w:hAnsi="Georgia" w:cs="Arial"/>
              </w:rPr>
            </w:pPr>
            <w:r w:rsidRPr="008B23C1">
              <w:rPr>
                <w:rFonts w:ascii="Georgia" w:hAnsi="Georgia" w:cs="Arial"/>
              </w:rPr>
              <w:t>Oamaru</w:t>
            </w:r>
          </w:p>
          <w:p w:rsidR="00AC5039" w:rsidRDefault="000D44A5" w:rsidP="00AC5039">
            <w:pPr>
              <w:pStyle w:val="TableText"/>
              <w:rPr>
                <w:rFonts w:ascii="Georgia" w:hAnsi="Georgia" w:cs="Arial"/>
              </w:rPr>
            </w:pPr>
            <w:r w:rsidRPr="008B23C1">
              <w:rPr>
                <w:rFonts w:ascii="Georgia" w:hAnsi="Georgia" w:cs="Arial"/>
              </w:rPr>
              <w:t>Tuatapere</w:t>
            </w:r>
          </w:p>
          <w:p w:rsidR="000D44A5" w:rsidRPr="008B23C1" w:rsidRDefault="000D44A5" w:rsidP="00AC5039">
            <w:pPr>
              <w:pStyle w:val="TableText"/>
              <w:rPr>
                <w:rFonts w:ascii="Georgia" w:hAnsi="Georgia" w:cs="Arial"/>
              </w:rPr>
            </w:pPr>
            <w:r w:rsidRPr="008B23C1">
              <w:rPr>
                <w:rFonts w:ascii="Georgia" w:hAnsi="Georgia" w:cs="Arial"/>
              </w:rPr>
              <w:t>Winton</w:t>
            </w:r>
          </w:p>
        </w:tc>
      </w:tr>
    </w:tbl>
    <w:p w:rsidR="000D44A5" w:rsidRPr="00FD73E3" w:rsidRDefault="000D44A5" w:rsidP="000D44A5">
      <w:pPr>
        <w:pStyle w:val="Note"/>
        <w:ind w:left="284" w:hanging="284"/>
        <w:rPr>
          <w:rFonts w:ascii="Georgia" w:hAnsi="Georgia" w:cs="Arial"/>
        </w:rPr>
      </w:pPr>
      <w:r w:rsidRPr="00FD73E3">
        <w:rPr>
          <w:rFonts w:ascii="Georgia" w:hAnsi="Georgia" w:cs="Arial"/>
        </w:rPr>
        <w:t>1</w:t>
      </w:r>
      <w:r w:rsidRPr="00FD73E3">
        <w:rPr>
          <w:rFonts w:ascii="Georgia" w:hAnsi="Georgia" w:cs="Arial"/>
        </w:rPr>
        <w:tab/>
        <w:t>A hospital that provides care for women with high-risk, complex pregnancies by specialised multidisciplinary teams. Tertiary maternity care includes an obstetric specialist or registrar immediately available on site 24 hours a day, and an on-site, level 3 neonatal service.</w:t>
      </w:r>
    </w:p>
    <w:p w:rsidR="000D44A5" w:rsidRPr="00FD73E3" w:rsidRDefault="000D44A5" w:rsidP="000D44A5">
      <w:pPr>
        <w:pStyle w:val="Note"/>
        <w:ind w:left="284" w:hanging="284"/>
        <w:rPr>
          <w:rFonts w:ascii="Georgia" w:hAnsi="Georgia" w:cs="Arial"/>
        </w:rPr>
      </w:pPr>
      <w:r w:rsidRPr="00FD73E3">
        <w:rPr>
          <w:rFonts w:ascii="Georgia" w:hAnsi="Georgia" w:cs="Arial"/>
        </w:rPr>
        <w:t>2</w:t>
      </w:r>
      <w:r w:rsidRPr="00FD73E3">
        <w:rPr>
          <w:rFonts w:ascii="Georgia" w:hAnsi="Georgia" w:cs="Arial"/>
        </w:rPr>
        <w:tab/>
        <w:t>A hospital that provides care for normal births, complicated pregnancies and births, including operative births and caesarean sections, plus specialist adjunct services including anaesthetics and paediatrics. As a minimum, secondary facilities include an obstetrician rostered on site during working hours and on call after hours, with access to support from an anaesthetist, paediatrician, radiological, laboratory and neonatal services.</w:t>
      </w:r>
    </w:p>
    <w:p w:rsidR="00E30671" w:rsidRPr="00E30671" w:rsidRDefault="000D44A5" w:rsidP="00E30671">
      <w:pPr>
        <w:pStyle w:val="Note"/>
        <w:ind w:left="284" w:hanging="284"/>
        <w:rPr>
          <w:rFonts w:ascii="Georgia" w:hAnsi="Georgia" w:cs="Arial"/>
        </w:rPr>
      </w:pPr>
      <w:r w:rsidRPr="00FD73E3">
        <w:rPr>
          <w:rFonts w:ascii="Georgia" w:hAnsi="Georgia" w:cs="Arial"/>
        </w:rPr>
        <w:t>3</w:t>
      </w:r>
      <w:r w:rsidRPr="00FD73E3">
        <w:rPr>
          <w:rFonts w:ascii="Georgia" w:hAnsi="Georgia" w:cs="Arial"/>
        </w:rPr>
        <w:tab/>
        <w:t>A maternity unit that provides care for normal births with care provision from midwives. It is specifically for women assessed as being at low risk of complications for labour and birth care. Access to specialist secondary maternity services and care will require transfer to a secondary or tertiary facility. Primary facilities do not provide epidural analgesia or operative birth services. Birthing units are consi</w:t>
      </w:r>
      <w:r>
        <w:rPr>
          <w:rFonts w:ascii="Georgia" w:hAnsi="Georgia" w:cs="Arial"/>
        </w:rPr>
        <w:t>dered to be primary facilities. A number of units have closed, as indicated in brackets.</w:t>
      </w:r>
    </w:p>
    <w:p w:rsidR="00070C09" w:rsidRDefault="00070C09" w:rsidP="00070C09">
      <w:pPr>
        <w:pStyle w:val="Figure"/>
        <w:sectPr w:rsidR="00070C09" w:rsidSect="009D5125">
          <w:headerReference w:type="default" r:id="rId92"/>
          <w:footerReference w:type="default" r:id="rId93"/>
          <w:pgSz w:w="11907" w:h="16834" w:code="9"/>
          <w:pgMar w:top="851" w:right="1134" w:bottom="1134" w:left="1134" w:header="284" w:footer="567" w:gutter="284"/>
          <w:pgNumType w:start="1"/>
          <w:cols w:space="720"/>
        </w:sectPr>
      </w:pPr>
      <w:bookmarkStart w:id="738" w:name="_Ref429046765"/>
      <w:bookmarkStart w:id="739" w:name="_Toc395786653"/>
      <w:bookmarkStart w:id="740" w:name="_Toc400706164"/>
      <w:bookmarkStart w:id="741" w:name="_Toc405886987"/>
      <w:bookmarkStart w:id="742" w:name="_Toc412122477"/>
      <w:bookmarkStart w:id="743" w:name="_Toc428799362"/>
      <w:bookmarkStart w:id="744" w:name="_Toc433389822"/>
      <w:bookmarkStart w:id="745" w:name="_Toc485114395"/>
    </w:p>
    <w:p w:rsidR="000D44A5" w:rsidRPr="00FD73E3" w:rsidRDefault="000D44A5" w:rsidP="005652E2">
      <w:pPr>
        <w:pStyle w:val="Figure"/>
        <w:spacing w:before="0"/>
      </w:pPr>
      <w:bookmarkStart w:id="746" w:name="_Toc485542731"/>
      <w:r w:rsidRPr="00FD73E3">
        <w:lastRenderedPageBreak/>
        <w:t xml:space="preserve">Figure </w:t>
      </w:r>
      <w:r w:rsidR="00071E85">
        <w:fldChar w:fldCharType="begin"/>
      </w:r>
      <w:r w:rsidR="00071E85">
        <w:instrText xml:space="preserve"> SEQ Figure \* ARABIC </w:instrText>
      </w:r>
      <w:r w:rsidR="00071E85">
        <w:fldChar w:fldCharType="separate"/>
      </w:r>
      <w:r w:rsidR="00071E85">
        <w:rPr>
          <w:noProof/>
        </w:rPr>
        <w:t>64</w:t>
      </w:r>
      <w:r w:rsidR="00071E85">
        <w:rPr>
          <w:noProof/>
        </w:rPr>
        <w:fldChar w:fldCharType="end"/>
      </w:r>
      <w:bookmarkEnd w:id="738"/>
      <w:r w:rsidRPr="00FD73E3">
        <w:rPr>
          <w:noProof/>
        </w:rPr>
        <w:t>:</w:t>
      </w:r>
      <w:r w:rsidRPr="00FD73E3">
        <w:t xml:space="preserve"> Maternity facilities in New Zealand, by DHB region and facility type</w:t>
      </w:r>
      <w:bookmarkEnd w:id="739"/>
      <w:bookmarkEnd w:id="740"/>
      <w:bookmarkEnd w:id="741"/>
      <w:bookmarkEnd w:id="742"/>
      <w:bookmarkEnd w:id="743"/>
      <w:bookmarkEnd w:id="744"/>
      <w:bookmarkEnd w:id="745"/>
      <w:bookmarkEnd w:id="746"/>
    </w:p>
    <w:p w:rsidR="000D44A5" w:rsidRPr="00FD73E3" w:rsidRDefault="000D44A5" w:rsidP="000D44A5">
      <w:r w:rsidRPr="00FD73E3">
        <w:rPr>
          <w:noProof/>
          <w:lang w:eastAsia="en-NZ"/>
        </w:rPr>
        <w:drawing>
          <wp:inline distT="0" distB="0" distL="0" distR="0" wp14:anchorId="61B80F22" wp14:editId="6D297A78">
            <wp:extent cx="7740000" cy="5243594"/>
            <wp:effectExtent l="0" t="0" r="0" b="0"/>
            <wp:docPr id="13" name="Picture 13" title="Figure 63: Maternity facilities in New Zealand, by DHB region and fac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ernityFacilities_20150907.jpg"/>
                    <pic:cNvPicPr/>
                  </pic:nvPicPr>
                  <pic:blipFill>
                    <a:blip r:embed="rId94">
                      <a:extLst>
                        <a:ext uri="{28A0092B-C50C-407E-A947-70E740481C1C}">
                          <a14:useLocalDpi xmlns:a14="http://schemas.microsoft.com/office/drawing/2010/main" val="0"/>
                        </a:ext>
                      </a:extLst>
                    </a:blip>
                    <a:stretch>
                      <a:fillRect/>
                    </a:stretch>
                  </pic:blipFill>
                  <pic:spPr>
                    <a:xfrm>
                      <a:off x="0" y="0"/>
                      <a:ext cx="7740000" cy="5243594"/>
                    </a:xfrm>
                    <a:prstGeom prst="rect">
                      <a:avLst/>
                    </a:prstGeom>
                  </pic:spPr>
                </pic:pic>
              </a:graphicData>
            </a:graphic>
          </wp:inline>
        </w:drawing>
      </w:r>
    </w:p>
    <w:p w:rsidR="000D44A5" w:rsidRDefault="000D44A5" w:rsidP="005652E2">
      <w:pPr>
        <w:pStyle w:val="Note"/>
      </w:pPr>
      <w:r w:rsidRPr="00FD73E3">
        <w:t>Note: Not all facilities presented in this map provided birth care in 2015.</w:t>
      </w:r>
    </w:p>
    <w:p w:rsidR="000D44A5" w:rsidRPr="000D44A5" w:rsidRDefault="000D44A5" w:rsidP="005652E2"/>
    <w:sectPr w:rsidR="000D44A5" w:rsidRPr="000D44A5" w:rsidSect="005652E2">
      <w:pgSz w:w="16834" w:h="11907" w:orient="landscape" w:code="9"/>
      <w:pgMar w:top="1134" w:right="1134" w:bottom="1134" w:left="1134" w:header="28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6E8" w:rsidRDefault="00A026E8">
      <w:pPr>
        <w:spacing w:line="240" w:lineRule="auto"/>
      </w:pPr>
      <w:r>
        <w:separator/>
      </w:r>
    </w:p>
    <w:p w:rsidR="00A026E8" w:rsidRDefault="00A026E8"/>
  </w:endnote>
  <w:endnote w:type="continuationSeparator" w:id="0">
    <w:p w:rsidR="00A026E8" w:rsidRDefault="00A026E8">
      <w:pPr>
        <w:spacing w:line="240" w:lineRule="auto"/>
      </w:pPr>
      <w:r>
        <w:continuationSeparator/>
      </w:r>
    </w:p>
    <w:p w:rsidR="00A026E8" w:rsidRDefault="00A02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Pr="00581136" w:rsidRDefault="00480E9F" w:rsidP="00F9366A">
    <w:pPr>
      <w:pStyle w:val="Footer"/>
      <w:pBdr>
        <w:bottom w:val="single" w:sz="4" w:space="1" w:color="auto"/>
      </w:pBdr>
      <w:tabs>
        <w:tab w:val="right" w:pos="8504"/>
      </w:tabs>
      <w:ind w:left="-1559"/>
      <w:rPr>
        <w:b/>
      </w:rPr>
    </w:pPr>
    <w:r w:rsidRPr="00581136">
      <w:rPr>
        <w:b/>
      </w:rPr>
      <w:t>Released 201</w:t>
    </w:r>
    <w:r>
      <w:rPr>
        <w:b/>
      </w:rPr>
      <w:t>7</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Default="00480E9F"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Default="00480E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Pr="00275D08" w:rsidRDefault="00480E9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071E85">
      <w:rPr>
        <w:rStyle w:val="PageNumber"/>
        <w:noProof/>
      </w:rPr>
      <w:t>10</w:t>
    </w:r>
    <w:r w:rsidRPr="00FC46E7">
      <w:rPr>
        <w:rStyle w:val="PageNumber"/>
      </w:rPr>
      <w:fldChar w:fldCharType="end"/>
    </w:r>
    <w:r>
      <w:tab/>
      <w:t>Report on Maternity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Default="00480E9F" w:rsidP="00533B90">
    <w:pPr>
      <w:pStyle w:val="RectoFooter"/>
    </w:pPr>
    <w:r>
      <w:tab/>
      <w:t>Report on Maternity 2015</w:t>
    </w:r>
    <w:r>
      <w:tab/>
    </w:r>
    <w:r>
      <w:rPr>
        <w:rStyle w:val="PageNumber"/>
      </w:rPr>
      <w:fldChar w:fldCharType="begin"/>
    </w:r>
    <w:r>
      <w:rPr>
        <w:rStyle w:val="PageNumber"/>
      </w:rPr>
      <w:instrText xml:space="preserve"> PAGE </w:instrText>
    </w:r>
    <w:r>
      <w:rPr>
        <w:rStyle w:val="PageNumber"/>
      </w:rPr>
      <w:fldChar w:fldCharType="separate"/>
    </w:r>
    <w:r w:rsidR="00071E85">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Default="00480E9F" w:rsidP="009E3C8C">
    <w:pPr>
      <w:pStyle w:val="RectoFooter"/>
    </w:pPr>
    <w:r>
      <w:tab/>
      <w:t>Report on Maternity 2015</w:t>
    </w:r>
    <w:r>
      <w:tab/>
    </w:r>
    <w:r>
      <w:rPr>
        <w:rStyle w:val="PageNumber"/>
      </w:rPr>
      <w:fldChar w:fldCharType="begin"/>
    </w:r>
    <w:r>
      <w:rPr>
        <w:rStyle w:val="PageNumber"/>
      </w:rPr>
      <w:instrText xml:space="preserve"> PAGE </w:instrText>
    </w:r>
    <w:r>
      <w:rPr>
        <w:rStyle w:val="PageNumber"/>
      </w:rPr>
      <w:fldChar w:fldCharType="separate"/>
    </w:r>
    <w:r w:rsidR="00071E85">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6E8" w:rsidRPr="00A26E6B" w:rsidRDefault="00A026E8" w:rsidP="00A26E6B"/>
  </w:footnote>
  <w:footnote w:type="continuationSeparator" w:id="0">
    <w:p w:rsidR="00A026E8" w:rsidRDefault="00A026E8">
      <w:pPr>
        <w:spacing w:line="240" w:lineRule="auto"/>
      </w:pPr>
      <w:r>
        <w:continuationSeparator/>
      </w:r>
    </w:p>
    <w:p w:rsidR="00A026E8" w:rsidRDefault="00A026E8"/>
  </w:footnote>
  <w:footnote w:id="1">
    <w:p w:rsidR="00480E9F" w:rsidRPr="00744723" w:rsidRDefault="00480E9F" w:rsidP="007B3A51">
      <w:pPr>
        <w:pStyle w:val="FootnoteText"/>
      </w:pPr>
      <w:r w:rsidRPr="007B3A51">
        <w:rPr>
          <w:rStyle w:val="FootnoteReference"/>
        </w:rPr>
        <w:footnoteRef/>
      </w:r>
      <w:r>
        <w:tab/>
      </w:r>
      <w:r w:rsidRPr="00801B23">
        <w:t xml:space="preserve">Data on maternal deaths and stillborn babies is recorded in the Mortality Collection and is not included in the National Maternity Collection. Statistics about maternal deaths are presented in the </w:t>
      </w:r>
      <w:hyperlink r:id="rId1" w:history="1">
        <w:r w:rsidRPr="00801B23">
          <w:rPr>
            <w:rStyle w:val="Hyperlink"/>
            <w:rFonts w:cs="Arial"/>
          </w:rPr>
          <w:t>Mortality and Demographic Data series</w:t>
        </w:r>
      </w:hyperlink>
      <w:r w:rsidRPr="00801B23">
        <w:t xml:space="preserve">. Statistics about stillborn babies are presented in the </w:t>
      </w:r>
      <w:hyperlink r:id="rId2" w:history="1">
        <w:r w:rsidRPr="00801B23">
          <w:rPr>
            <w:rStyle w:val="Hyperlink"/>
          </w:rPr>
          <w:t>Fetal and Infant Deaths</w:t>
        </w:r>
        <w:r w:rsidRPr="00801B23">
          <w:rPr>
            <w:rStyle w:val="Hyperlink"/>
            <w:rFonts w:cs="Arial"/>
          </w:rPr>
          <w:t xml:space="preserve"> series</w:t>
        </w:r>
      </w:hyperlink>
      <w:r w:rsidRPr="00801B23">
        <w:t xml:space="preserve"> and in the </w:t>
      </w:r>
      <w:hyperlink r:id="rId3" w:history="1">
        <w:r w:rsidRPr="00801B23">
          <w:rPr>
            <w:rStyle w:val="Hyperlink"/>
          </w:rPr>
          <w:t>annual report</w:t>
        </w:r>
      </w:hyperlink>
      <w:r w:rsidRPr="00801B23">
        <w:t xml:space="preserve"> of</w:t>
      </w:r>
      <w:r>
        <w:t xml:space="preserve"> the Perinatal and Maternal Mortality Review Committee.</w:t>
      </w:r>
    </w:p>
  </w:footnote>
  <w:footnote w:id="2">
    <w:p w:rsidR="00480E9F" w:rsidRPr="00AA2006" w:rsidRDefault="00480E9F" w:rsidP="007B3A51">
      <w:pPr>
        <w:pStyle w:val="FootnoteText"/>
      </w:pPr>
      <w:r w:rsidRPr="007B3A51">
        <w:rPr>
          <w:rStyle w:val="FootnoteReference"/>
        </w:rPr>
        <w:footnoteRef/>
      </w:r>
      <w:r w:rsidRPr="00AA2006">
        <w:tab/>
        <w:t>Age was recorded for all women giving birth.</w:t>
      </w:r>
    </w:p>
  </w:footnote>
  <w:footnote w:id="3">
    <w:p w:rsidR="00480E9F" w:rsidRDefault="00480E9F" w:rsidP="007E161A">
      <w:pPr>
        <w:pStyle w:val="FootnoteText"/>
      </w:pPr>
      <w:r w:rsidRPr="006A760E">
        <w:rPr>
          <w:rStyle w:val="FootnoteReference"/>
        </w:rPr>
        <w:footnoteRef/>
      </w:r>
      <w:r>
        <w:tab/>
        <w:t>Population denominator data is not available for the Indian ethnic group. Birth rates for the Asian ethnic group include women of Indian and of Asian (excluding Indian) ethnicities.</w:t>
      </w:r>
    </w:p>
  </w:footnote>
  <w:footnote w:id="4">
    <w:p w:rsidR="00480E9F" w:rsidRDefault="00480E9F" w:rsidP="007E161A">
      <w:pPr>
        <w:pStyle w:val="FootnoteText"/>
      </w:pPr>
      <w:r w:rsidRPr="007E161A">
        <w:rPr>
          <w:rStyle w:val="FootnoteReference"/>
        </w:rPr>
        <w:footnoteRef/>
      </w:r>
      <w:r w:rsidRPr="00115EE2">
        <w:tab/>
        <w:t>Neighbourhood deprivation quintile was unknown for 2026 women (3.4%).</w:t>
      </w:r>
    </w:p>
  </w:footnote>
  <w:footnote w:id="5">
    <w:p w:rsidR="00480E9F" w:rsidRDefault="00480E9F" w:rsidP="00834D1E">
      <w:pPr>
        <w:pStyle w:val="FootnoteText"/>
      </w:pPr>
      <w:r w:rsidRPr="00834D1E">
        <w:rPr>
          <w:rStyle w:val="FootnoteReference"/>
        </w:rPr>
        <w:footnoteRef/>
      </w:r>
      <w:r>
        <w:tab/>
        <w:t>Parity was unknown for 803 women (1.4%).</w:t>
      </w:r>
    </w:p>
  </w:footnote>
  <w:footnote w:id="6">
    <w:p w:rsidR="00480E9F" w:rsidRDefault="00480E9F" w:rsidP="00834D1E">
      <w:pPr>
        <w:pStyle w:val="FootnoteText"/>
      </w:pPr>
      <w:r w:rsidRPr="00834D1E">
        <w:rPr>
          <w:rStyle w:val="FootnoteReference"/>
        </w:rPr>
        <w:footnoteRef/>
      </w:r>
      <w:r>
        <w:tab/>
        <w:t>BMI was unknown for 293 women (0.5%).</w:t>
      </w:r>
    </w:p>
  </w:footnote>
  <w:footnote w:id="7">
    <w:p w:rsidR="00480E9F" w:rsidRDefault="00480E9F" w:rsidP="00834D1E">
      <w:pPr>
        <w:pStyle w:val="FootnoteText"/>
      </w:pPr>
      <w:r w:rsidRPr="00834D1E">
        <w:rPr>
          <w:rStyle w:val="FootnoteReference"/>
        </w:rPr>
        <w:footnoteRef/>
      </w:r>
      <w:r>
        <w:tab/>
        <w:t>Smoking status was unknown for 135 women (0.2%)</w:t>
      </w:r>
      <w:r w:rsidRPr="00722784">
        <w:t xml:space="preserve"> </w:t>
      </w:r>
      <w:r>
        <w:t>at first registration and for 2,056 women (3.6%) at two weeks after birth.</w:t>
      </w:r>
    </w:p>
  </w:footnote>
  <w:footnote w:id="8">
    <w:p w:rsidR="00480E9F" w:rsidRPr="00F8788F" w:rsidRDefault="00480E9F" w:rsidP="00834D1E">
      <w:pPr>
        <w:pStyle w:val="FootnoteText"/>
      </w:pPr>
      <w:r w:rsidRPr="00834D1E">
        <w:rPr>
          <w:rStyle w:val="FootnoteReference"/>
        </w:rPr>
        <w:footnoteRef/>
      </w:r>
      <w:r>
        <w:tab/>
      </w:r>
      <w:r w:rsidRPr="00BD5A21">
        <w:t>Primary Maternity Services Notice 2007</w:t>
      </w:r>
      <w:r>
        <w:t>,</w:t>
      </w:r>
      <w:r w:rsidRPr="00BD5A21">
        <w:t xml:space="preserve"> pursuant to Section 88 of the New Zealand Public Health and Disability Act 2000.</w:t>
      </w:r>
    </w:p>
  </w:footnote>
  <w:footnote w:id="9">
    <w:p w:rsidR="00480E9F" w:rsidRDefault="00480E9F" w:rsidP="00834D1E">
      <w:pPr>
        <w:pStyle w:val="FootnoteText"/>
      </w:pPr>
      <w:r w:rsidRPr="00834D1E">
        <w:rPr>
          <w:rStyle w:val="FootnoteReference"/>
        </w:rPr>
        <w:footnoteRef/>
      </w:r>
      <w:r>
        <w:tab/>
        <w:t>Not all DHBs provide primary maternity services and not all DHBs who provide maternity primary services have reported to the National Maternity Collection. Collection of this data (from 2014 onwards) is under way.</w:t>
      </w:r>
    </w:p>
  </w:footnote>
  <w:footnote w:id="10">
    <w:p w:rsidR="00480E9F" w:rsidRDefault="00480E9F" w:rsidP="00DA58BE">
      <w:pPr>
        <w:pStyle w:val="FootnoteText"/>
      </w:pPr>
      <w:r w:rsidRPr="00DA58BE">
        <w:rPr>
          <w:rStyle w:val="FootnoteReference"/>
        </w:rPr>
        <w:footnoteRef/>
      </w:r>
      <w:r w:rsidRPr="00653EB2">
        <w:tab/>
      </w:r>
      <w:r>
        <w:t>The caesarean section rate presented here is not comparable to the percentage of caesarean sections given elsewhere in this publication. The OECD report uses live births, while this publication uses the number of women giving birth as the denominator for rate or percentage calculations.</w:t>
      </w:r>
    </w:p>
  </w:footnote>
  <w:footnote w:id="11">
    <w:p w:rsidR="00480E9F" w:rsidRDefault="00480E9F" w:rsidP="00DA58BE">
      <w:pPr>
        <w:pStyle w:val="FootnoteText"/>
      </w:pPr>
      <w:r w:rsidRPr="00DA58BE">
        <w:rPr>
          <w:rStyle w:val="FootnoteReference"/>
        </w:rPr>
        <w:footnoteRef/>
      </w:r>
      <w:r>
        <w:tab/>
        <w:t>Calculated by dividing the number of caesarean sections (14,859) by the number of live-born babies (59,308) and multiplying by 100.</w:t>
      </w:r>
    </w:p>
  </w:footnote>
  <w:footnote w:id="12">
    <w:p w:rsidR="00480E9F" w:rsidRDefault="00480E9F" w:rsidP="00CE3A17">
      <w:pPr>
        <w:pStyle w:val="FootnoteText"/>
      </w:pPr>
      <w:r w:rsidRPr="00CE3A17">
        <w:rPr>
          <w:rStyle w:val="FootnoteReference"/>
        </w:rPr>
        <w:footnoteRef/>
      </w:r>
      <w:r>
        <w:tab/>
      </w:r>
      <w:r w:rsidRPr="00A97763">
        <w:t>Women who had their labour both induced and augmented are recorded as having had an induction only. Therefore, the number of augmentations presented may be lower than the true number.</w:t>
      </w:r>
    </w:p>
  </w:footnote>
  <w:footnote w:id="13">
    <w:p w:rsidR="00480E9F" w:rsidRDefault="00480E9F" w:rsidP="00CE3A17">
      <w:pPr>
        <w:pStyle w:val="FootnoteText"/>
      </w:pPr>
      <w:r w:rsidRPr="00CE3A17">
        <w:rPr>
          <w:rStyle w:val="FootnoteReference"/>
        </w:rPr>
        <w:footnoteRef/>
      </w:r>
      <w:r>
        <w:tab/>
        <w:t>Plurality was unknown for 315 women (0.5%).</w:t>
      </w:r>
    </w:p>
  </w:footnote>
  <w:footnote w:id="14">
    <w:p w:rsidR="00480E9F" w:rsidRPr="00F802B2" w:rsidRDefault="00480E9F" w:rsidP="007B4F8C">
      <w:pPr>
        <w:pStyle w:val="FootnoteText"/>
      </w:pPr>
      <w:r w:rsidRPr="007B4F8C">
        <w:rPr>
          <w:rStyle w:val="FootnoteReference"/>
        </w:rPr>
        <w:footnoteRef/>
      </w:r>
      <w:r>
        <w:tab/>
      </w:r>
      <w:r w:rsidRPr="00F802B2">
        <w:t xml:space="preserve">Birthweight </w:t>
      </w:r>
      <w:r>
        <w:t>was unknown for 2,843 babies (4.8</w:t>
      </w:r>
      <w:r w:rsidRPr="00F802B2">
        <w:t>%).</w:t>
      </w:r>
    </w:p>
  </w:footnote>
  <w:footnote w:id="15">
    <w:p w:rsidR="00480E9F" w:rsidRPr="00C81CA9" w:rsidRDefault="00480E9F" w:rsidP="007B4F8C">
      <w:pPr>
        <w:pStyle w:val="FootnoteText"/>
      </w:pPr>
      <w:r w:rsidRPr="007B4F8C">
        <w:rPr>
          <w:rStyle w:val="FootnoteReference"/>
        </w:rPr>
        <w:footnoteRef/>
      </w:r>
      <w:r>
        <w:tab/>
      </w:r>
      <w:r w:rsidRPr="00C81CA9">
        <w:t xml:space="preserve">These </w:t>
      </w:r>
      <w:r>
        <w:t xml:space="preserve">numbers </w:t>
      </w:r>
      <w:r w:rsidRPr="00C81CA9">
        <w:t xml:space="preserve">include </w:t>
      </w:r>
      <w:r>
        <w:t xml:space="preserve">babies </w:t>
      </w:r>
      <w:r w:rsidRPr="00C81CA9">
        <w:t>born preterm.</w:t>
      </w:r>
      <w:r>
        <w:t xml:space="preserve"> A full description of term babies with a low birthweight is provided in the ‘</w:t>
      </w:r>
      <w:r>
        <w:fldChar w:fldCharType="begin"/>
      </w:r>
      <w:r>
        <w:instrText xml:space="preserve"> REF _Ref410124242 \h </w:instrText>
      </w:r>
      <w:r>
        <w:fldChar w:fldCharType="separate"/>
      </w:r>
      <w:r w:rsidR="00071E85" w:rsidRPr="002058B7">
        <w:t>Gestation</w:t>
      </w:r>
      <w:r>
        <w:fldChar w:fldCharType="end"/>
      </w:r>
      <w:r>
        <w:t>‘ section.</w:t>
      </w:r>
    </w:p>
  </w:footnote>
  <w:footnote w:id="16">
    <w:p w:rsidR="00480E9F" w:rsidRPr="00A454CC" w:rsidRDefault="00480E9F" w:rsidP="00194C0F">
      <w:pPr>
        <w:pStyle w:val="FootnoteText"/>
      </w:pPr>
      <w:r w:rsidRPr="00194C0F">
        <w:rPr>
          <w:rStyle w:val="FootnoteReference"/>
        </w:rPr>
        <w:footnoteRef/>
      </w:r>
      <w:r>
        <w:tab/>
        <w:t>The number of preterm babies presented here includes both spontaneous preterm births and iatrogenic preterm births.</w:t>
      </w:r>
    </w:p>
  </w:footnote>
  <w:footnote w:id="17">
    <w:p w:rsidR="00480E9F" w:rsidRPr="00A33999" w:rsidRDefault="00480E9F" w:rsidP="00194C0F">
      <w:pPr>
        <w:pStyle w:val="FootnoteText"/>
      </w:pPr>
      <w:r w:rsidRPr="00194C0F">
        <w:rPr>
          <w:rStyle w:val="FootnoteReference"/>
        </w:rPr>
        <w:footnoteRef/>
      </w:r>
      <w:r w:rsidRPr="00752632">
        <w:tab/>
        <w:t>In this section, term babies includes babies born at over 41 weeks</w:t>
      </w:r>
      <w:r>
        <w:t>’</w:t>
      </w:r>
      <w:r w:rsidRPr="00752632">
        <w:t xml:space="preserve"> gestation.</w:t>
      </w:r>
    </w:p>
  </w:footnote>
  <w:footnote w:id="18">
    <w:p w:rsidR="00480E9F" w:rsidRPr="0099619F" w:rsidRDefault="00480E9F" w:rsidP="00AD57BB">
      <w:pPr>
        <w:pStyle w:val="FootnoteText"/>
      </w:pPr>
      <w:r w:rsidRPr="00AD57BB">
        <w:rPr>
          <w:rStyle w:val="FootnoteReference"/>
        </w:rPr>
        <w:footnoteRef/>
      </w:r>
      <w:r w:rsidRPr="00C857DE">
        <w:tab/>
        <w:t>In 2015</w:t>
      </w:r>
      <w:r>
        <w:t>,</w:t>
      </w:r>
      <w:r w:rsidRPr="00C857DE">
        <w:t xml:space="preserve"> 19% of women giving birth in </w:t>
      </w:r>
      <w:r>
        <w:t>Auckland</w:t>
      </w:r>
      <w:r w:rsidRPr="00C857DE">
        <w:t xml:space="preserve"> DHB region first registered with the DHB primary maternity service.</w:t>
      </w:r>
    </w:p>
  </w:footnote>
  <w:footnote w:id="19">
    <w:p w:rsidR="00480E9F" w:rsidRDefault="00480E9F" w:rsidP="00AD57BB">
      <w:pPr>
        <w:pStyle w:val="FootnoteText"/>
      </w:pPr>
      <w:r w:rsidRPr="00AD57BB">
        <w:rPr>
          <w:rStyle w:val="FootnoteReference"/>
        </w:rPr>
        <w:footnoteRef/>
      </w:r>
      <w:r w:rsidRPr="007F4DEB">
        <w:tab/>
      </w:r>
      <w:r w:rsidRPr="006A522D">
        <w:t>Collection of this data</w:t>
      </w:r>
      <w:r>
        <w:t xml:space="preserve"> </w:t>
      </w:r>
      <w:r w:rsidRPr="006A522D">
        <w:t xml:space="preserve">set </w:t>
      </w:r>
      <w:r>
        <w:t xml:space="preserve">(from 2014 onwards) </w:t>
      </w:r>
      <w:r w:rsidRPr="006A522D">
        <w:t>is under</w:t>
      </w:r>
      <w:r>
        <w:t xml:space="preserve"> way, and is incomplete at this time. Data currently available in the National Maternity Collection has been included in this publication.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Default="00480E9F" w:rsidP="009216CC">
    <w:pPr>
      <w:pStyle w:val="Header"/>
      <w:ind w:left="-1559"/>
    </w:pPr>
    <w:r>
      <w:rPr>
        <w:noProof/>
        <w:lang w:eastAsia="en-NZ"/>
      </w:rPr>
      <w:drawing>
        <wp:inline distT="0" distB="0" distL="0" distR="0" wp14:anchorId="605D6451" wp14:editId="79DE5CE0">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Default="00480E9F"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Default="00480E9F"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E9F" w:rsidRDefault="00480E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30B26"/>
    <w:rsid w:val="00032C0A"/>
    <w:rsid w:val="00035257"/>
    <w:rsid w:val="0006228D"/>
    <w:rsid w:val="00070C09"/>
    <w:rsid w:val="00071E85"/>
    <w:rsid w:val="00072BD6"/>
    <w:rsid w:val="00075B78"/>
    <w:rsid w:val="00082CD6"/>
    <w:rsid w:val="00085AFE"/>
    <w:rsid w:val="000B0730"/>
    <w:rsid w:val="000D44A5"/>
    <w:rsid w:val="000F2AE2"/>
    <w:rsid w:val="00102063"/>
    <w:rsid w:val="0010541C"/>
    <w:rsid w:val="00106F93"/>
    <w:rsid w:val="00111D50"/>
    <w:rsid w:val="00113B8E"/>
    <w:rsid w:val="001342C7"/>
    <w:rsid w:val="0013585C"/>
    <w:rsid w:val="00142954"/>
    <w:rsid w:val="001460E0"/>
    <w:rsid w:val="00147F71"/>
    <w:rsid w:val="00150A6E"/>
    <w:rsid w:val="0016468A"/>
    <w:rsid w:val="00194C0F"/>
    <w:rsid w:val="001A21B4"/>
    <w:rsid w:val="001A5CF5"/>
    <w:rsid w:val="001B39D2"/>
    <w:rsid w:val="001B4BF8"/>
    <w:rsid w:val="001C4326"/>
    <w:rsid w:val="001D3541"/>
    <w:rsid w:val="001D4CCC"/>
    <w:rsid w:val="001F45A7"/>
    <w:rsid w:val="00201A01"/>
    <w:rsid w:val="002104D3"/>
    <w:rsid w:val="0021121A"/>
    <w:rsid w:val="00213A33"/>
    <w:rsid w:val="0021763B"/>
    <w:rsid w:val="00246DB1"/>
    <w:rsid w:val="002476B5"/>
    <w:rsid w:val="00253ECF"/>
    <w:rsid w:val="002546A1"/>
    <w:rsid w:val="00254742"/>
    <w:rsid w:val="00275D08"/>
    <w:rsid w:val="0028341D"/>
    <w:rsid w:val="002858E3"/>
    <w:rsid w:val="0029190A"/>
    <w:rsid w:val="00292C5A"/>
    <w:rsid w:val="00295241"/>
    <w:rsid w:val="002A4DFC"/>
    <w:rsid w:val="002B047D"/>
    <w:rsid w:val="002B732B"/>
    <w:rsid w:val="002C2219"/>
    <w:rsid w:val="002D0DF2"/>
    <w:rsid w:val="002D23BD"/>
    <w:rsid w:val="002E0B47"/>
    <w:rsid w:val="002F7213"/>
    <w:rsid w:val="0030382F"/>
    <w:rsid w:val="0030408D"/>
    <w:rsid w:val="003060E4"/>
    <w:rsid w:val="003160E7"/>
    <w:rsid w:val="0031739E"/>
    <w:rsid w:val="003325AB"/>
    <w:rsid w:val="003332D1"/>
    <w:rsid w:val="0033412B"/>
    <w:rsid w:val="00343365"/>
    <w:rsid w:val="00353501"/>
    <w:rsid w:val="003606F8"/>
    <w:rsid w:val="003648EF"/>
    <w:rsid w:val="003673E6"/>
    <w:rsid w:val="00377264"/>
    <w:rsid w:val="003A26A5"/>
    <w:rsid w:val="003A3761"/>
    <w:rsid w:val="003A5FEA"/>
    <w:rsid w:val="003B1D10"/>
    <w:rsid w:val="003C76D4"/>
    <w:rsid w:val="003D2CC5"/>
    <w:rsid w:val="003E7C46"/>
    <w:rsid w:val="003F2808"/>
    <w:rsid w:val="003F52A7"/>
    <w:rsid w:val="0040240C"/>
    <w:rsid w:val="00404E13"/>
    <w:rsid w:val="00413021"/>
    <w:rsid w:val="00440BE0"/>
    <w:rsid w:val="00442C1C"/>
    <w:rsid w:val="0044522B"/>
    <w:rsid w:val="0044584B"/>
    <w:rsid w:val="00447CB7"/>
    <w:rsid w:val="00455CC9"/>
    <w:rsid w:val="00460826"/>
    <w:rsid w:val="00460EA7"/>
    <w:rsid w:val="0046195B"/>
    <w:rsid w:val="0046596D"/>
    <w:rsid w:val="00480E9F"/>
    <w:rsid w:val="00487C04"/>
    <w:rsid w:val="004907E1"/>
    <w:rsid w:val="004A035B"/>
    <w:rsid w:val="004A38D7"/>
    <w:rsid w:val="004A778C"/>
    <w:rsid w:val="004C03D8"/>
    <w:rsid w:val="004C2E6A"/>
    <w:rsid w:val="004C64B8"/>
    <w:rsid w:val="004D2A2D"/>
    <w:rsid w:val="004D6689"/>
    <w:rsid w:val="004E1BA5"/>
    <w:rsid w:val="004E1D1D"/>
    <w:rsid w:val="004E7832"/>
    <w:rsid w:val="004E7AC8"/>
    <w:rsid w:val="004F0C94"/>
    <w:rsid w:val="005019AE"/>
    <w:rsid w:val="00503749"/>
    <w:rsid w:val="00504CF4"/>
    <w:rsid w:val="0050635B"/>
    <w:rsid w:val="005151C2"/>
    <w:rsid w:val="0053199F"/>
    <w:rsid w:val="00533B90"/>
    <w:rsid w:val="005410F8"/>
    <w:rsid w:val="005448EC"/>
    <w:rsid w:val="00545963"/>
    <w:rsid w:val="00550256"/>
    <w:rsid w:val="00553958"/>
    <w:rsid w:val="0055763D"/>
    <w:rsid w:val="005621F2"/>
    <w:rsid w:val="005652E2"/>
    <w:rsid w:val="00567B58"/>
    <w:rsid w:val="005702AE"/>
    <w:rsid w:val="00573B97"/>
    <w:rsid w:val="005763E0"/>
    <w:rsid w:val="00581136"/>
    <w:rsid w:val="005A27CA"/>
    <w:rsid w:val="005A43BD"/>
    <w:rsid w:val="005E226E"/>
    <w:rsid w:val="005E2636"/>
    <w:rsid w:val="006015D7"/>
    <w:rsid w:val="00601B21"/>
    <w:rsid w:val="006041F0"/>
    <w:rsid w:val="00626CF8"/>
    <w:rsid w:val="00634ED8"/>
    <w:rsid w:val="00636D7D"/>
    <w:rsid w:val="00637408"/>
    <w:rsid w:val="00642868"/>
    <w:rsid w:val="00647AFE"/>
    <w:rsid w:val="006512BC"/>
    <w:rsid w:val="00653A5A"/>
    <w:rsid w:val="006575F4"/>
    <w:rsid w:val="006579E6"/>
    <w:rsid w:val="00663EDC"/>
    <w:rsid w:val="00671078"/>
    <w:rsid w:val="006758CA"/>
    <w:rsid w:val="00680A04"/>
    <w:rsid w:val="00686D80"/>
    <w:rsid w:val="00694895"/>
    <w:rsid w:val="00697E2E"/>
    <w:rsid w:val="006A25A2"/>
    <w:rsid w:val="006B0E73"/>
    <w:rsid w:val="006B4A4D"/>
    <w:rsid w:val="006B5695"/>
    <w:rsid w:val="006C78EB"/>
    <w:rsid w:val="006D1660"/>
    <w:rsid w:val="006F1B67"/>
    <w:rsid w:val="0070091D"/>
    <w:rsid w:val="00702854"/>
    <w:rsid w:val="0071741C"/>
    <w:rsid w:val="00742B90"/>
    <w:rsid w:val="0074434D"/>
    <w:rsid w:val="00771B1E"/>
    <w:rsid w:val="00773C95"/>
    <w:rsid w:val="0078171E"/>
    <w:rsid w:val="00795B34"/>
    <w:rsid w:val="007B1770"/>
    <w:rsid w:val="007B3A51"/>
    <w:rsid w:val="007B4D3E"/>
    <w:rsid w:val="007B4F8C"/>
    <w:rsid w:val="007B7C70"/>
    <w:rsid w:val="007D2151"/>
    <w:rsid w:val="007D42CC"/>
    <w:rsid w:val="007D5DE4"/>
    <w:rsid w:val="007E0777"/>
    <w:rsid w:val="007E1341"/>
    <w:rsid w:val="007E161A"/>
    <w:rsid w:val="007E1B41"/>
    <w:rsid w:val="007E30B9"/>
    <w:rsid w:val="007E74F1"/>
    <w:rsid w:val="007F0F0C"/>
    <w:rsid w:val="007F1288"/>
    <w:rsid w:val="00800A8A"/>
    <w:rsid w:val="0080155C"/>
    <w:rsid w:val="008052E1"/>
    <w:rsid w:val="00822F2C"/>
    <w:rsid w:val="008305E8"/>
    <w:rsid w:val="00834D1E"/>
    <w:rsid w:val="00860826"/>
    <w:rsid w:val="00860E21"/>
    <w:rsid w:val="00863117"/>
    <w:rsid w:val="0086388B"/>
    <w:rsid w:val="008642E5"/>
    <w:rsid w:val="00872D2E"/>
    <w:rsid w:val="00872D93"/>
    <w:rsid w:val="00880470"/>
    <w:rsid w:val="00880D94"/>
    <w:rsid w:val="008924DE"/>
    <w:rsid w:val="008A3755"/>
    <w:rsid w:val="008B264F"/>
    <w:rsid w:val="008B6F83"/>
    <w:rsid w:val="008B7FD8"/>
    <w:rsid w:val="008C2973"/>
    <w:rsid w:val="008C6324"/>
    <w:rsid w:val="008C64C4"/>
    <w:rsid w:val="008D74D5"/>
    <w:rsid w:val="008F29BE"/>
    <w:rsid w:val="008F4AE5"/>
    <w:rsid w:val="008F51EB"/>
    <w:rsid w:val="00900197"/>
    <w:rsid w:val="00900242"/>
    <w:rsid w:val="00902F55"/>
    <w:rsid w:val="0090582B"/>
    <w:rsid w:val="009060C0"/>
    <w:rsid w:val="009133F5"/>
    <w:rsid w:val="00920A27"/>
    <w:rsid w:val="00921216"/>
    <w:rsid w:val="009216CC"/>
    <w:rsid w:val="00930D08"/>
    <w:rsid w:val="00932D69"/>
    <w:rsid w:val="00944647"/>
    <w:rsid w:val="00977B8A"/>
    <w:rsid w:val="00982971"/>
    <w:rsid w:val="009845AD"/>
    <w:rsid w:val="00995BA0"/>
    <w:rsid w:val="009A418B"/>
    <w:rsid w:val="009A4473"/>
    <w:rsid w:val="009C151C"/>
    <w:rsid w:val="009D02FA"/>
    <w:rsid w:val="009D5125"/>
    <w:rsid w:val="009D60B8"/>
    <w:rsid w:val="009D7D4B"/>
    <w:rsid w:val="009E36ED"/>
    <w:rsid w:val="009E3C8C"/>
    <w:rsid w:val="009E6B77"/>
    <w:rsid w:val="009F460A"/>
    <w:rsid w:val="00A026E8"/>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80363"/>
    <w:rsid w:val="00A83E9D"/>
    <w:rsid w:val="00A9169D"/>
    <w:rsid w:val="00AA240C"/>
    <w:rsid w:val="00AC101C"/>
    <w:rsid w:val="00AC5039"/>
    <w:rsid w:val="00AD4CF1"/>
    <w:rsid w:val="00AD57BB"/>
    <w:rsid w:val="00AD5988"/>
    <w:rsid w:val="00AF7800"/>
    <w:rsid w:val="00B072E0"/>
    <w:rsid w:val="00B253F6"/>
    <w:rsid w:val="00B305DB"/>
    <w:rsid w:val="00B332F8"/>
    <w:rsid w:val="00B3492B"/>
    <w:rsid w:val="00B34D71"/>
    <w:rsid w:val="00B4646F"/>
    <w:rsid w:val="00B55C7D"/>
    <w:rsid w:val="00B63038"/>
    <w:rsid w:val="00B64BD8"/>
    <w:rsid w:val="00B701D1"/>
    <w:rsid w:val="00B7082C"/>
    <w:rsid w:val="00B73AF2"/>
    <w:rsid w:val="00B7551A"/>
    <w:rsid w:val="00B773F1"/>
    <w:rsid w:val="00B86AB1"/>
    <w:rsid w:val="00BB2CBB"/>
    <w:rsid w:val="00BC59F1"/>
    <w:rsid w:val="00BE0429"/>
    <w:rsid w:val="00BF3DE1"/>
    <w:rsid w:val="00BF4843"/>
    <w:rsid w:val="00BF5205"/>
    <w:rsid w:val="00C12508"/>
    <w:rsid w:val="00C23728"/>
    <w:rsid w:val="00C45AA2"/>
    <w:rsid w:val="00C55BEF"/>
    <w:rsid w:val="00C66296"/>
    <w:rsid w:val="00C77282"/>
    <w:rsid w:val="00C84DE5"/>
    <w:rsid w:val="00C86248"/>
    <w:rsid w:val="00CA4C33"/>
    <w:rsid w:val="00CA6F4A"/>
    <w:rsid w:val="00CB5229"/>
    <w:rsid w:val="00CB6D20"/>
    <w:rsid w:val="00CD2119"/>
    <w:rsid w:val="00CD237A"/>
    <w:rsid w:val="00CD36AC"/>
    <w:rsid w:val="00CD7384"/>
    <w:rsid w:val="00CE13A3"/>
    <w:rsid w:val="00CE3A17"/>
    <w:rsid w:val="00CF1747"/>
    <w:rsid w:val="00D23323"/>
    <w:rsid w:val="00D2392A"/>
    <w:rsid w:val="00D25FFE"/>
    <w:rsid w:val="00D4476F"/>
    <w:rsid w:val="00D54D50"/>
    <w:rsid w:val="00D66797"/>
    <w:rsid w:val="00D7087C"/>
    <w:rsid w:val="00D70C3C"/>
    <w:rsid w:val="00D72BE5"/>
    <w:rsid w:val="00D82F26"/>
    <w:rsid w:val="00D863D0"/>
    <w:rsid w:val="00D87C87"/>
    <w:rsid w:val="00D90E07"/>
    <w:rsid w:val="00DA58BE"/>
    <w:rsid w:val="00DB39CF"/>
    <w:rsid w:val="00DD0BCD"/>
    <w:rsid w:val="00DD447A"/>
    <w:rsid w:val="00DE3B20"/>
    <w:rsid w:val="00DE6C94"/>
    <w:rsid w:val="00DE6FD7"/>
    <w:rsid w:val="00E23271"/>
    <w:rsid w:val="00E24F80"/>
    <w:rsid w:val="00E259F3"/>
    <w:rsid w:val="00E30671"/>
    <w:rsid w:val="00E33238"/>
    <w:rsid w:val="00E43EB1"/>
    <w:rsid w:val="00E4486C"/>
    <w:rsid w:val="00E460B6"/>
    <w:rsid w:val="00E511D5"/>
    <w:rsid w:val="00E60249"/>
    <w:rsid w:val="00E65269"/>
    <w:rsid w:val="00E76D66"/>
    <w:rsid w:val="00EA796A"/>
    <w:rsid w:val="00EB1856"/>
    <w:rsid w:val="00EC50CE"/>
    <w:rsid w:val="00EC5B34"/>
    <w:rsid w:val="00EE2D5C"/>
    <w:rsid w:val="00EE4ADE"/>
    <w:rsid w:val="00EE5CB7"/>
    <w:rsid w:val="00F024FE"/>
    <w:rsid w:val="00F05AD4"/>
    <w:rsid w:val="00F1681F"/>
    <w:rsid w:val="00F25970"/>
    <w:rsid w:val="00F5180D"/>
    <w:rsid w:val="00F63781"/>
    <w:rsid w:val="00F66C46"/>
    <w:rsid w:val="00F67496"/>
    <w:rsid w:val="00F801BA"/>
    <w:rsid w:val="00F8533E"/>
    <w:rsid w:val="00F9366A"/>
    <w:rsid w:val="00F946C9"/>
    <w:rsid w:val="00F97F76"/>
    <w:rsid w:val="00FA74EE"/>
    <w:rsid w:val="00FC3711"/>
    <w:rsid w:val="00FC46E7"/>
    <w:rsid w:val="00FC5D25"/>
    <w:rsid w:val="00FD0D7E"/>
    <w:rsid w:val="00FE048C"/>
    <w:rsid w:val="00FE6E13"/>
    <w:rsid w:val="00FF15F6"/>
    <w:rsid w:val="00FF35CD"/>
    <w:rsid w:val="00FF527C"/>
    <w:rsid w:val="00FF65CD"/>
    <w:rsid w:val="00FF7D3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37580DA9-741A-4B5F-950B-CEB74F18C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D20"/>
    <w:pPr>
      <w:spacing w:line="264" w:lineRule="auto"/>
    </w:pPr>
    <w:rPr>
      <w:rFonts w:ascii="Georgia" w:hAnsi="Georgia"/>
      <w:sz w:val="22"/>
      <w:lang w:eastAsia="en-GB"/>
    </w:rPr>
  </w:style>
  <w:style w:type="paragraph" w:styleId="Heading1">
    <w:name w:val="heading 1"/>
    <w:basedOn w:val="Normal"/>
    <w:next w:val="Normal"/>
    <w:link w:val="Heading1Char"/>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paragraph" w:styleId="Heading6">
    <w:name w:val="heading 6"/>
    <w:basedOn w:val="Normal"/>
    <w:next w:val="Normal"/>
    <w:link w:val="Heading6Char"/>
    <w:qFormat/>
    <w:rsid w:val="000D44A5"/>
    <w:pPr>
      <w:pBdr>
        <w:bottom w:val="dotted" w:sz="6" w:space="1" w:color="4F81BD"/>
      </w:pBdr>
      <w:spacing w:before="300" w:after="200" w:line="360" w:lineRule="auto"/>
      <w:outlineLvl w:val="5"/>
    </w:pPr>
    <w:rPr>
      <w:caps/>
      <w:color w:val="365F91"/>
      <w:spacing w:val="10"/>
    </w:rPr>
  </w:style>
  <w:style w:type="paragraph" w:styleId="Heading7">
    <w:name w:val="heading 7"/>
    <w:basedOn w:val="Normal"/>
    <w:next w:val="Normal"/>
    <w:link w:val="Heading7Char"/>
    <w:qFormat/>
    <w:rsid w:val="000D44A5"/>
    <w:pPr>
      <w:spacing w:before="300" w:after="200" w:line="360" w:lineRule="auto"/>
      <w:outlineLvl w:val="6"/>
    </w:pPr>
    <w:rPr>
      <w:caps/>
      <w:color w:val="365F91"/>
      <w:spacing w:val="10"/>
    </w:rPr>
  </w:style>
  <w:style w:type="paragraph" w:styleId="Heading8">
    <w:name w:val="heading 8"/>
    <w:basedOn w:val="Normal"/>
    <w:next w:val="Normal"/>
    <w:link w:val="Heading8Char"/>
    <w:qFormat/>
    <w:rsid w:val="000D44A5"/>
    <w:pPr>
      <w:spacing w:before="300" w:after="200" w:line="360" w:lineRule="auto"/>
      <w:outlineLvl w:val="7"/>
    </w:pPr>
    <w:rPr>
      <w:caps/>
      <w:spacing w:val="10"/>
      <w:sz w:val="18"/>
      <w:szCs w:val="18"/>
    </w:rPr>
  </w:style>
  <w:style w:type="paragraph" w:styleId="Heading9">
    <w:name w:val="heading 9"/>
    <w:basedOn w:val="Normal"/>
    <w:next w:val="Normal"/>
    <w:link w:val="Heading9Char"/>
    <w:qFormat/>
    <w:rsid w:val="000D44A5"/>
    <w:pPr>
      <w:spacing w:before="300" w:after="200" w:line="360" w:lineRule="auto"/>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4E7832"/>
    <w:pPr>
      <w:tabs>
        <w:tab w:val="right" w:pos="9356"/>
      </w:tabs>
      <w:spacing w:before="280"/>
      <w:ind w:right="567"/>
    </w:pPr>
    <w:rPr>
      <w:b/>
    </w:rPr>
  </w:style>
  <w:style w:type="paragraph" w:styleId="TOC2">
    <w:name w:val="toc 2"/>
    <w:basedOn w:val="Normal"/>
    <w:next w:val="Normal"/>
    <w:uiPriority w:val="39"/>
    <w:rsid w:val="004E7832"/>
    <w:pPr>
      <w:tabs>
        <w:tab w:val="left" w:pos="284"/>
        <w:tab w:val="right" w:pos="9356"/>
      </w:tabs>
      <w:spacing w:before="40"/>
      <w:ind w:left="284" w:right="567"/>
    </w:pPr>
  </w:style>
  <w:style w:type="paragraph" w:styleId="TOC3">
    <w:name w:val="toc 3"/>
    <w:basedOn w:val="Normal"/>
    <w:next w:val="Normal"/>
    <w:uiPriority w:val="39"/>
    <w:rsid w:val="004E7832"/>
    <w:pPr>
      <w:tabs>
        <w:tab w:val="right" w:pos="9356"/>
      </w:tabs>
      <w:spacing w:before="9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7E161A"/>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7B3A51"/>
    <w:pPr>
      <w:spacing w:before="80"/>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7B3A51"/>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035257"/>
    <w:rPr>
      <w:rFonts w:ascii="Georgia" w:hAnsi="Georgia"/>
      <w:b/>
      <w:sz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Heading6Char">
    <w:name w:val="Heading 6 Char"/>
    <w:basedOn w:val="DefaultParagraphFont"/>
    <w:link w:val="Heading6"/>
    <w:rsid w:val="000D44A5"/>
    <w:rPr>
      <w:rFonts w:ascii="Georgia" w:hAnsi="Georgia"/>
      <w:caps/>
      <w:color w:val="365F91"/>
      <w:spacing w:val="10"/>
      <w:sz w:val="22"/>
      <w:lang w:eastAsia="en-GB"/>
    </w:rPr>
  </w:style>
  <w:style w:type="character" w:customStyle="1" w:styleId="Heading7Char">
    <w:name w:val="Heading 7 Char"/>
    <w:basedOn w:val="DefaultParagraphFont"/>
    <w:link w:val="Heading7"/>
    <w:rsid w:val="000D44A5"/>
    <w:rPr>
      <w:rFonts w:ascii="Georgia" w:hAnsi="Georgia"/>
      <w:caps/>
      <w:color w:val="365F91"/>
      <w:spacing w:val="10"/>
      <w:sz w:val="22"/>
      <w:lang w:eastAsia="en-GB"/>
    </w:rPr>
  </w:style>
  <w:style w:type="character" w:customStyle="1" w:styleId="Heading8Char">
    <w:name w:val="Heading 8 Char"/>
    <w:basedOn w:val="DefaultParagraphFont"/>
    <w:link w:val="Heading8"/>
    <w:rsid w:val="000D44A5"/>
    <w:rPr>
      <w:rFonts w:ascii="Georgia" w:hAnsi="Georgia"/>
      <w:caps/>
      <w:spacing w:val="10"/>
      <w:sz w:val="18"/>
      <w:szCs w:val="18"/>
      <w:lang w:eastAsia="en-GB"/>
    </w:rPr>
  </w:style>
  <w:style w:type="character" w:customStyle="1" w:styleId="Heading9Char">
    <w:name w:val="Heading 9 Char"/>
    <w:basedOn w:val="DefaultParagraphFont"/>
    <w:link w:val="Heading9"/>
    <w:rsid w:val="000D44A5"/>
    <w:rPr>
      <w:rFonts w:ascii="Georgia" w:hAnsi="Georgia"/>
      <w:i/>
      <w:caps/>
      <w:spacing w:val="1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www.health.govt.nz/publication/report-maternity-2014" TargetMode="External"/><Relationship Id="rId34" Type="http://schemas.openxmlformats.org/officeDocument/2006/relationships/image" Target="media/image16.jp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hyperlink" Target="http://www.otago.ac.nz/wellington/departments/publichealth/research/hirp/otago020194.html"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emf"/><Relationship Id="rId5" Type="http://schemas.openxmlformats.org/officeDocument/2006/relationships/webSettings" Target="webSettings.xml"/><Relationship Id="rId61" Type="http://schemas.openxmlformats.org/officeDocument/2006/relationships/image" Target="media/image42.jpg"/><Relationship Id="rId82" Type="http://schemas.openxmlformats.org/officeDocument/2006/relationships/image" Target="media/image63.jpg"/><Relationship Id="rId90" Type="http://schemas.openxmlformats.org/officeDocument/2006/relationships/hyperlink" Target="http://www.stats.govt.nz/" TargetMode="External"/><Relationship Id="rId95"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hyperlink" Target="http://www.health.govt.nz"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image" Target="media/image29.jp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jpg"/><Relationship Id="rId8" Type="http://schemas.openxmlformats.org/officeDocument/2006/relationships/header" Target="header1.xml"/><Relationship Id="rId51" Type="http://schemas.openxmlformats.org/officeDocument/2006/relationships/image" Target="media/image32.jpg"/><Relationship Id="rId72" Type="http://schemas.openxmlformats.org/officeDocument/2006/relationships/image" Target="media/image53.png"/><Relationship Id="rId80" Type="http://schemas.openxmlformats.org/officeDocument/2006/relationships/image" Target="media/image61.jpg"/><Relationship Id="rId85" Type="http://schemas.openxmlformats.org/officeDocument/2006/relationships/image" Target="media/image66.jpg"/><Relationship Id="rId93"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hyperlink" Target="http://www.midwife.org.nz/women-in-new-zealand/about-lead-maternity-carer-lmc-services" TargetMode="External"/><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www.health.govt.nz/publication/report-maternity-2014" TargetMode="Externa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jp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0.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data-enquiries@moh.govt.nz?subject=Report%20on%20Maternity,%202014" TargetMode="External"/><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1.jp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hqsc.govt.nz/our-programmes/mrc/pmmrc/publications-and-resources/publication/2123/" TargetMode="External"/><Relationship Id="rId2" Type="http://schemas.openxmlformats.org/officeDocument/2006/relationships/hyperlink" Target="http://www.health.govt.nz/nz-health-statistics/health-statistics-and-data-sets/fetal-and-infant-deaths-series" TargetMode="External"/><Relationship Id="rId1" Type="http://schemas.openxmlformats.org/officeDocument/2006/relationships/hyperlink" Target="http://www.health.govt.nz/nz-health-statistics/health-statistics-and-data-sets/mortality-and-demographic-data-se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66B3-5516-43F1-BD64-A7DFFE00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90</Pages>
  <Words>22714</Words>
  <Characters>130807</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Report on Maternity 2015</vt:lpstr>
    </vt:vector>
  </TitlesOfParts>
  <Company>Microsoft</Company>
  <LinksUpToDate>false</LinksUpToDate>
  <CharactersWithSpaces>153215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Maternity 2015</dc:title>
  <dc:creator>Dianne Grain</dc:creator>
  <cp:lastModifiedBy>Selina Takanashi</cp:lastModifiedBy>
  <cp:revision>6</cp:revision>
  <cp:lastPrinted>2017-12-12T01:34:00Z</cp:lastPrinted>
  <dcterms:created xsi:type="dcterms:W3CDTF">2017-12-12T01:33:00Z</dcterms:created>
  <dcterms:modified xsi:type="dcterms:W3CDTF">2017-12-12T01:35:00Z</dcterms:modified>
</cp:coreProperties>
</file>