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ECF60" w14:textId="77777777" w:rsidR="001A1D11" w:rsidRPr="001A1D11" w:rsidRDefault="001A1D11" w:rsidP="001A1D11">
      <w:pPr>
        <w:pStyle w:val="Heading2"/>
        <w:rPr>
          <w:sz w:val="60"/>
          <w:szCs w:val="60"/>
        </w:rPr>
      </w:pPr>
      <w:bookmarkStart w:id="0" w:name="_Toc495680454"/>
      <w:r w:rsidRPr="001A1D11">
        <w:rPr>
          <w:sz w:val="60"/>
          <w:szCs w:val="60"/>
        </w:rPr>
        <w:t>Bay of Plenty and Lakes disability respite market</w:t>
      </w:r>
      <w:bookmarkEnd w:id="0"/>
    </w:p>
    <w:p w14:paraId="3D9674A9" w14:textId="77777777" w:rsidR="001A1D11" w:rsidRDefault="001A1D11" w:rsidP="001A1D11">
      <w:pPr>
        <w:pStyle w:val="Table"/>
      </w:pPr>
      <w:r>
        <w:t>Bay of Plenty/Lakes at a glance (Support Net Kupenga Hao Ite Ora Tauranga NASC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1A1D11" w14:paraId="12E60F8F" w14:textId="77777777" w:rsidTr="00956A81">
        <w:tc>
          <w:tcPr>
            <w:tcW w:w="7083" w:type="dxa"/>
          </w:tcPr>
          <w:p w14:paraId="5006489E" w14:textId="77777777" w:rsidR="001A1D11" w:rsidRPr="001E1C76" w:rsidRDefault="001A1D11" w:rsidP="00956A81">
            <w:pPr>
              <w:pStyle w:val="TableText"/>
            </w:pPr>
            <w:r>
              <w:t xml:space="preserve">Number of people receiving DSS support in region </w:t>
            </w:r>
          </w:p>
        </w:tc>
        <w:tc>
          <w:tcPr>
            <w:tcW w:w="1843" w:type="dxa"/>
          </w:tcPr>
          <w:p w14:paraId="1C1CAB58" w14:textId="77777777" w:rsidR="001A1D11" w:rsidRPr="002B7D4A" w:rsidRDefault="001A1D11" w:rsidP="00956A81">
            <w:pPr>
              <w:pStyle w:val="TableText"/>
              <w:jc w:val="right"/>
              <w:rPr>
                <w:b/>
              </w:rPr>
            </w:pPr>
            <w:r>
              <w:rPr>
                <w:b/>
              </w:rPr>
              <w:t>2,617</w:t>
            </w:r>
          </w:p>
        </w:tc>
      </w:tr>
      <w:tr w:rsidR="001A1D11" w14:paraId="03B52B51" w14:textId="77777777" w:rsidTr="00956A81">
        <w:tc>
          <w:tcPr>
            <w:tcW w:w="7083" w:type="dxa"/>
          </w:tcPr>
          <w:p w14:paraId="1EEFAA75" w14:textId="77777777" w:rsidR="001A1D11" w:rsidRPr="001E1C76" w:rsidRDefault="001A1D11" w:rsidP="00956A81">
            <w:pPr>
              <w:pStyle w:val="TableText"/>
            </w:pPr>
            <w:r w:rsidRPr="001E1C76">
              <w:t xml:space="preserve">Number of people allocated respite </w:t>
            </w:r>
            <w:r>
              <w:t>in region</w:t>
            </w:r>
          </w:p>
        </w:tc>
        <w:tc>
          <w:tcPr>
            <w:tcW w:w="1843" w:type="dxa"/>
          </w:tcPr>
          <w:p w14:paraId="6B6B053F" w14:textId="77777777" w:rsidR="001A1D11" w:rsidRPr="002B7D4A" w:rsidRDefault="001A1D11" w:rsidP="00956A81">
            <w:pPr>
              <w:pStyle w:val="TableText"/>
              <w:jc w:val="right"/>
              <w:rPr>
                <w:b/>
              </w:rPr>
            </w:pPr>
            <w:r>
              <w:rPr>
                <w:b/>
              </w:rPr>
              <w:t>1,529</w:t>
            </w:r>
          </w:p>
        </w:tc>
      </w:tr>
      <w:tr w:rsidR="001A1D11" w14:paraId="14F5AA4D" w14:textId="77777777" w:rsidTr="00956A81">
        <w:tc>
          <w:tcPr>
            <w:tcW w:w="7083" w:type="dxa"/>
          </w:tcPr>
          <w:p w14:paraId="584B656B" w14:textId="77777777" w:rsidR="001A1D11" w:rsidRPr="001E1C76" w:rsidRDefault="001A1D11" w:rsidP="00956A81">
            <w:pPr>
              <w:pStyle w:val="TableText"/>
            </w:pPr>
            <w:r w:rsidRPr="001E1C76">
              <w:t>% people allocated respite who are Māori</w:t>
            </w:r>
          </w:p>
        </w:tc>
        <w:tc>
          <w:tcPr>
            <w:tcW w:w="1843" w:type="dxa"/>
          </w:tcPr>
          <w:p w14:paraId="5F7E8D0A" w14:textId="77777777" w:rsidR="001A1D11" w:rsidRPr="002B7D4A" w:rsidRDefault="001A1D11" w:rsidP="00956A81">
            <w:pPr>
              <w:pStyle w:val="TableText"/>
              <w:jc w:val="right"/>
              <w:rPr>
                <w:b/>
              </w:rPr>
            </w:pPr>
            <w:r>
              <w:rPr>
                <w:b/>
              </w:rPr>
              <w:t>34%</w:t>
            </w:r>
          </w:p>
        </w:tc>
      </w:tr>
      <w:tr w:rsidR="001A1D11" w14:paraId="17EE4072" w14:textId="77777777" w:rsidTr="00956A81">
        <w:tc>
          <w:tcPr>
            <w:tcW w:w="7083" w:type="dxa"/>
          </w:tcPr>
          <w:p w14:paraId="2F931481" w14:textId="77777777" w:rsidR="001A1D11" w:rsidRPr="001E1C76" w:rsidRDefault="001A1D11" w:rsidP="00956A81">
            <w:pPr>
              <w:pStyle w:val="TableText"/>
            </w:pPr>
            <w:r>
              <w:t>% people with respite allocation aged 21 years or under</w:t>
            </w:r>
          </w:p>
        </w:tc>
        <w:tc>
          <w:tcPr>
            <w:tcW w:w="1843" w:type="dxa"/>
          </w:tcPr>
          <w:p w14:paraId="38866C1C" w14:textId="77777777" w:rsidR="001A1D11" w:rsidRPr="002B7D4A" w:rsidRDefault="001A1D11" w:rsidP="00956A81">
            <w:pPr>
              <w:pStyle w:val="TableText"/>
              <w:jc w:val="right"/>
              <w:rPr>
                <w:b/>
              </w:rPr>
            </w:pPr>
            <w:r>
              <w:rPr>
                <w:b/>
              </w:rPr>
              <w:t>70%</w:t>
            </w:r>
          </w:p>
        </w:tc>
      </w:tr>
    </w:tbl>
    <w:p w14:paraId="3805C96B" w14:textId="77777777" w:rsidR="001A1D11" w:rsidRDefault="001A1D11" w:rsidP="001A1D11"/>
    <w:p w14:paraId="510CECBB" w14:textId="77777777" w:rsidR="001A1D11" w:rsidRDefault="001A1D11" w:rsidP="001A1D11">
      <w:pPr>
        <w:pStyle w:val="Heading2"/>
      </w:pPr>
      <w:bookmarkStart w:id="1" w:name="_Toc495680455"/>
      <w:r>
        <w:t>Current respite allocations</w:t>
      </w:r>
      <w:bookmarkEnd w:id="1"/>
    </w:p>
    <w:p w14:paraId="77E29A1F" w14:textId="5E1D7764" w:rsidR="001A1D11" w:rsidRDefault="001A1D11" w:rsidP="001A1D11">
      <w:pPr>
        <w:pStyle w:val="Bullet"/>
      </w:pPr>
      <w:r>
        <w:t xml:space="preserve">110 people are allocated facility-based respite (57% are aged 21 years or less). The total </w:t>
      </w:r>
      <w:r w:rsidR="003F5213">
        <w:t xml:space="preserve">annual </w:t>
      </w:r>
      <w:r>
        <w:t xml:space="preserve">value of the facility-based respite allocation in Bay of Plenty/Lakes is </w:t>
      </w:r>
      <w:r w:rsidR="003F5213">
        <w:t xml:space="preserve">currently </w:t>
      </w:r>
      <w:r>
        <w:t xml:space="preserve">just over $1 million per year. </w:t>
      </w:r>
    </w:p>
    <w:p w14:paraId="4B3F8F72" w14:textId="77777777" w:rsidR="001A1D11" w:rsidRDefault="001A1D11" w:rsidP="001A1D11">
      <w:pPr>
        <w:pStyle w:val="Bullet"/>
      </w:pPr>
      <w:r>
        <w:t xml:space="preserve">67 people are currently allocated contracted in-home respite, at a total value of approx. $422,000 per year. </w:t>
      </w:r>
    </w:p>
    <w:p w14:paraId="606EEFBD" w14:textId="77777777" w:rsidR="001A1D11" w:rsidRDefault="001A1D11" w:rsidP="001A1D11">
      <w:pPr>
        <w:pStyle w:val="Bullet"/>
      </w:pPr>
      <w:r>
        <w:t xml:space="preserve">1,469 people are allocated Carer Support, at a total value of around $4.6 million per year. </w:t>
      </w:r>
    </w:p>
    <w:p w14:paraId="1AF01202" w14:textId="77777777" w:rsidR="001A1D11" w:rsidRDefault="001A1D11" w:rsidP="001A1D11">
      <w:pPr>
        <w:pStyle w:val="Bullet"/>
      </w:pPr>
      <w:r>
        <w:t>80 people in Bay of Plenty/Lakes use IF Respite at a value of $492,000.</w:t>
      </w:r>
    </w:p>
    <w:p w14:paraId="06EFA33B" w14:textId="77777777" w:rsidR="001A1D11" w:rsidRDefault="001A1D11" w:rsidP="001A1D11"/>
    <w:p w14:paraId="3255D35E" w14:textId="77777777" w:rsidR="001A1D11" w:rsidRDefault="001A1D11" w:rsidP="001A1D11">
      <w:pPr>
        <w:pStyle w:val="Heading2"/>
      </w:pPr>
      <w:bookmarkStart w:id="2" w:name="_Toc495680456"/>
      <w:r>
        <w:t>Current respite options available</w:t>
      </w:r>
      <w:bookmarkEnd w:id="2"/>
    </w:p>
    <w:p w14:paraId="219A9B30" w14:textId="77777777" w:rsidR="001A1D11" w:rsidRPr="00BC34FE" w:rsidRDefault="001A1D11" w:rsidP="001A1D11">
      <w:pPr>
        <w:pStyle w:val="Heading3"/>
      </w:pPr>
      <w:r>
        <w:t>Overnight respite options</w:t>
      </w:r>
    </w:p>
    <w:p w14:paraId="43403257" w14:textId="2B7A2C4B" w:rsidR="001A1D11" w:rsidRDefault="001A1D11" w:rsidP="001A1D11">
      <w:pPr>
        <w:pStyle w:val="Bullet"/>
      </w:pPr>
      <w:r>
        <w:t xml:space="preserve">There is one dedicated family-based respite service for children aged 5 to 21 in Tauranga. Infants and children aged up to five can also use the specialist respite service in Hamilton, but few do. </w:t>
      </w:r>
    </w:p>
    <w:p w14:paraId="10D80C66" w14:textId="77777777" w:rsidR="001A1D11" w:rsidRDefault="001A1D11" w:rsidP="001A1D11">
      <w:pPr>
        <w:pStyle w:val="Bullet"/>
      </w:pPr>
      <w:r>
        <w:t xml:space="preserve">There is one dedicated respite house for adults in Tauranga. The service has around 95% occupancy. </w:t>
      </w:r>
    </w:p>
    <w:p w14:paraId="4B6061E5" w14:textId="615392D7" w:rsidR="001A1D11" w:rsidRDefault="001A1D11" w:rsidP="001A1D11">
      <w:pPr>
        <w:pStyle w:val="Bullet"/>
      </w:pPr>
      <w:r>
        <w:t xml:space="preserve">There is one contracted aged care facility in the Bay of Plenty and Lakes regions that provide overnight respite for adults with disabilities. Some people use IF respite to purchase overnight respite at aged care facilities. </w:t>
      </w:r>
    </w:p>
    <w:p w14:paraId="4B987AE9" w14:textId="77777777" w:rsidR="001A1D11" w:rsidRDefault="001A1D11" w:rsidP="001A1D11"/>
    <w:p w14:paraId="33B02BFD" w14:textId="77777777" w:rsidR="001A1D11" w:rsidRDefault="001A1D11" w:rsidP="001A1D11">
      <w:pPr>
        <w:pStyle w:val="Heading3"/>
      </w:pPr>
      <w:r w:rsidRPr="002049BC">
        <w:t>Daytime respite options</w:t>
      </w:r>
      <w:r w:rsidRPr="007067CF">
        <w:t xml:space="preserve">  </w:t>
      </w:r>
    </w:p>
    <w:p w14:paraId="08945F9B" w14:textId="77777777" w:rsidR="001A1D11" w:rsidRDefault="001A1D11" w:rsidP="001A1D11">
      <w:pPr>
        <w:pStyle w:val="Bullet"/>
      </w:pPr>
      <w:r>
        <w:t>There are around 15 services that offer weekday activity options for adults. These include community participation programmes, employment-related activities and day services.</w:t>
      </w:r>
    </w:p>
    <w:p w14:paraId="007C9AF2" w14:textId="77777777" w:rsidR="004C2011" w:rsidRDefault="001A1D11" w:rsidP="004C2011">
      <w:pPr>
        <w:pStyle w:val="Bullet"/>
      </w:pPr>
      <w:r>
        <w:t>There is a disability-specific out-of-school care programme (before, after school and school holiday programme) operating from Taupo and another from Tauranga. Many mainstream out-of-school care programmes operate.</w:t>
      </w:r>
      <w:r w:rsidR="004C2011">
        <w:t xml:space="preserve"> </w:t>
      </w:r>
      <w:r w:rsidR="004C2011">
        <w:t xml:space="preserve">There are also several holiday camps in the region. </w:t>
      </w:r>
    </w:p>
    <w:p w14:paraId="47F400D5" w14:textId="1C6EF385" w:rsidR="001A1D11" w:rsidRDefault="001A1D11" w:rsidP="001A1D11">
      <w:pPr>
        <w:pStyle w:val="Bullet"/>
      </w:pPr>
      <w:bookmarkStart w:id="3" w:name="_GoBack"/>
      <w:bookmarkEnd w:id="3"/>
      <w:r>
        <w:lastRenderedPageBreak/>
        <w:t xml:space="preserve">A few social, recreational and sporting options are available in the regions, including a Lego club for young people with autism in Rotorua, a Dungeons &amp; Dragons club in Tauranga, and a drama club in Tauranga. </w:t>
      </w:r>
    </w:p>
    <w:p w14:paraId="76D0D819" w14:textId="57A34317" w:rsidR="001A1D11" w:rsidRDefault="001A1D11" w:rsidP="001A1D11">
      <w:pPr>
        <w:pStyle w:val="Bullet"/>
      </w:pPr>
      <w:r>
        <w:t xml:space="preserve">Sporting activities available for people with disabilities in the region include Riding for the Disabled, swimming lessons, Special Olympics, Parafed and </w:t>
      </w:r>
      <w:r w:rsidRPr="003472FA">
        <w:t>Halberg Allsports.</w:t>
      </w:r>
      <w:r>
        <w:t xml:space="preserve"> </w:t>
      </w:r>
    </w:p>
    <w:p w14:paraId="44FF266D" w14:textId="77777777" w:rsidR="001A1D11" w:rsidRDefault="001A1D11" w:rsidP="001A1D11"/>
    <w:p w14:paraId="0B71FA71" w14:textId="77777777" w:rsidR="001A1D11" w:rsidRDefault="001A1D11" w:rsidP="001A1D11">
      <w:pPr>
        <w:pStyle w:val="Heading2"/>
      </w:pPr>
      <w:bookmarkStart w:id="4" w:name="_Toc495680457"/>
      <w:r>
        <w:t>Gaps in the Bay of Plenty respite market</w:t>
      </w:r>
      <w:bookmarkEnd w:id="4"/>
    </w:p>
    <w:p w14:paraId="2EA18889" w14:textId="77777777" w:rsidR="001A1D11" w:rsidRDefault="001A1D11" w:rsidP="001A1D11">
      <w:pPr>
        <w:pStyle w:val="Bullet"/>
      </w:pPr>
      <w:r>
        <w:t xml:space="preserve">There are no disability-specific, facility-based respite options outside of Tauranga. Long travel times are a barrier for people to access these services. Few options exist for adults with physical disabilities or very high needs. </w:t>
      </w:r>
    </w:p>
    <w:p w14:paraId="3B261C60" w14:textId="303F0337" w:rsidR="001A1D11" w:rsidRDefault="001A1D11" w:rsidP="001A1D11">
      <w:pPr>
        <w:pStyle w:val="Bullet"/>
      </w:pPr>
      <w:r>
        <w:t xml:space="preserve">There are no disability-specific out-of-school care options in Rotorua. </w:t>
      </w:r>
    </w:p>
    <w:p w14:paraId="6CD8B387" w14:textId="401B62B8" w:rsidR="00C8166E" w:rsidRDefault="001A1D11" w:rsidP="001A1D11">
      <w:pPr>
        <w:pStyle w:val="Bullet"/>
      </w:pPr>
      <w:r>
        <w:t>There are few social, recreational or sporting options for children and adults across the region.</w:t>
      </w:r>
    </w:p>
    <w:sectPr w:rsidR="00C8166E" w:rsidSect="00B507D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65216" w14:textId="77777777" w:rsidR="008B112B" w:rsidRDefault="008B112B" w:rsidP="00B507D0">
      <w:pPr>
        <w:spacing w:line="240" w:lineRule="auto"/>
      </w:pPr>
      <w:r>
        <w:separator/>
      </w:r>
    </w:p>
  </w:endnote>
  <w:endnote w:type="continuationSeparator" w:id="0">
    <w:p w14:paraId="108F3813" w14:textId="77777777" w:rsidR="008B112B" w:rsidRDefault="008B112B" w:rsidP="00B50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4D4DD" w14:textId="77777777" w:rsidR="00C8166E" w:rsidRPr="00275D08" w:rsidRDefault="00C8166E" w:rsidP="00387344">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4C2011">
      <w:rPr>
        <w:rStyle w:val="PageNumber"/>
        <w:noProof/>
      </w:rPr>
      <w:t>2</w:t>
    </w:r>
    <w:r w:rsidRPr="00FC46E7">
      <w:rPr>
        <w:rStyle w:val="PageNumber"/>
      </w:rPr>
      <w:fldChar w:fldCharType="end"/>
    </w:r>
    <w:r>
      <w:tab/>
      <w:t>The Disability Respite Market in New Zealand</w:t>
    </w:r>
  </w:p>
  <w:p w14:paraId="7CA7050A" w14:textId="77777777" w:rsidR="00C8166E" w:rsidRDefault="00C81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38BA0" w14:textId="77777777" w:rsidR="00C8166E" w:rsidRDefault="00C8166E">
    <w:pPr>
      <w:pStyle w:val="Footer"/>
      <w:jc w:val="right"/>
    </w:pPr>
  </w:p>
  <w:sdt>
    <w:sdtPr>
      <w:id w:val="777686637"/>
      <w:docPartObj>
        <w:docPartGallery w:val="Page Numbers (Bottom of Page)"/>
        <w:docPartUnique/>
      </w:docPartObj>
    </w:sdtPr>
    <w:sdtEndPr>
      <w:rPr>
        <w:noProof/>
      </w:rPr>
    </w:sdtEndPr>
    <w:sdtContent>
      <w:p w14:paraId="0DB048B4" w14:textId="77777777" w:rsidR="00C8166E" w:rsidRDefault="00C8166E" w:rsidP="00387344">
        <w:pPr>
          <w:pStyle w:val="RectoFooter"/>
        </w:pPr>
        <w:r>
          <w:t>The Disability Respite Market in New Zealand</w:t>
        </w:r>
        <w:r>
          <w:tab/>
        </w:r>
        <w:r w:rsidRPr="00C7208A">
          <w:rPr>
            <w:b/>
          </w:rPr>
          <w:fldChar w:fldCharType="begin"/>
        </w:r>
        <w:r w:rsidRPr="00C7208A">
          <w:rPr>
            <w:b/>
          </w:rPr>
          <w:instrText xml:space="preserve"> PAGE   \* MERGEFORMAT </w:instrText>
        </w:r>
        <w:r w:rsidRPr="00C7208A">
          <w:rPr>
            <w:b/>
          </w:rPr>
          <w:fldChar w:fldCharType="separate"/>
        </w:r>
        <w:r w:rsidR="008B112B">
          <w:rPr>
            <w:b/>
            <w:noProof/>
          </w:rPr>
          <w:t>1</w:t>
        </w:r>
        <w:r w:rsidRPr="00C7208A">
          <w:rPr>
            <w:b/>
            <w:noProof/>
          </w:rPr>
          <w:fldChar w:fldCharType="end"/>
        </w:r>
      </w:p>
    </w:sdtContent>
  </w:sdt>
  <w:p w14:paraId="3EE1D11F" w14:textId="77777777" w:rsidR="00C8166E" w:rsidRDefault="00C8166E" w:rsidP="00387344">
    <w:pPr>
      <w:pStyle w:val="Recto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95E9F" w14:textId="77777777" w:rsidR="008B112B" w:rsidRDefault="008B112B" w:rsidP="00B507D0">
      <w:pPr>
        <w:spacing w:line="240" w:lineRule="auto"/>
      </w:pPr>
      <w:r>
        <w:separator/>
      </w:r>
    </w:p>
  </w:footnote>
  <w:footnote w:type="continuationSeparator" w:id="0">
    <w:p w14:paraId="2977DF8F" w14:textId="77777777" w:rsidR="008B112B" w:rsidRDefault="008B112B" w:rsidP="00B507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17629" w14:textId="77777777" w:rsidR="00C8166E" w:rsidRDefault="00C8166E">
    <w:pPr>
      <w:pStyle w:val="Header"/>
    </w:pPr>
  </w:p>
  <w:p w14:paraId="43AEAB22" w14:textId="77777777" w:rsidR="00C8166E" w:rsidRDefault="00C81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F5B0F" w14:textId="77777777" w:rsidR="00C8166E" w:rsidRDefault="00C8166E">
    <w:pPr>
      <w:pStyle w:val="Header"/>
    </w:pPr>
    <w:r>
      <w:rPr>
        <w:noProof/>
        <w:lang w:eastAsia="en-NZ"/>
      </w:rPr>
      <w:drawing>
        <wp:inline distT="0" distB="0" distL="0" distR="0" wp14:anchorId="34F629E0" wp14:editId="437BACEF">
          <wp:extent cx="5667375" cy="541020"/>
          <wp:effectExtent l="0" t="0" r="9525" b="0"/>
          <wp:docPr id="2" name="Picture 2" descr="C:\Users\APETHIG\AppData\Local\Temp\notes2D4894\~6425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THIG\AppData\Local\Temp\notes2D4894\~642503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244" cy="5537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D0"/>
    <w:rsid w:val="00022445"/>
    <w:rsid w:val="00025F2B"/>
    <w:rsid w:val="001A1D11"/>
    <w:rsid w:val="001B0EC0"/>
    <w:rsid w:val="00387344"/>
    <w:rsid w:val="003F5213"/>
    <w:rsid w:val="004C2011"/>
    <w:rsid w:val="004D04B9"/>
    <w:rsid w:val="0051396F"/>
    <w:rsid w:val="00561F59"/>
    <w:rsid w:val="008B112B"/>
    <w:rsid w:val="008D7B90"/>
    <w:rsid w:val="00B507D0"/>
    <w:rsid w:val="00BE405D"/>
    <w:rsid w:val="00C8166E"/>
    <w:rsid w:val="00DA1822"/>
    <w:rsid w:val="00E0594F"/>
    <w:rsid w:val="00F83C1D"/>
    <w:rsid w:val="00FD04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CC497"/>
  <w15:chartTrackingRefBased/>
  <w15:docId w15:val="{9BF05D6D-FADC-4B02-A176-CD74E535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D0"/>
    <w:pPr>
      <w:spacing w:after="0" w:line="264" w:lineRule="auto"/>
    </w:pPr>
    <w:rPr>
      <w:rFonts w:ascii="Georgia" w:eastAsia="Times New Roman" w:hAnsi="Georgia" w:cs="Times New Roman"/>
      <w:szCs w:val="20"/>
      <w:lang w:eastAsia="en-GB"/>
    </w:rPr>
  </w:style>
  <w:style w:type="paragraph" w:styleId="Heading1">
    <w:name w:val="heading 1"/>
    <w:basedOn w:val="Normal"/>
    <w:next w:val="Normal"/>
    <w:link w:val="Heading1Char"/>
    <w:uiPriority w:val="9"/>
    <w:qFormat/>
    <w:rsid w:val="00B507D0"/>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B507D0"/>
    <w:pPr>
      <w:keepNext/>
      <w:spacing w:before="120" w:after="120"/>
      <w:outlineLvl w:val="1"/>
    </w:pPr>
    <w:rPr>
      <w:b/>
      <w:sz w:val="40"/>
    </w:rPr>
  </w:style>
  <w:style w:type="paragraph" w:styleId="Heading3">
    <w:name w:val="heading 3"/>
    <w:basedOn w:val="Normal"/>
    <w:next w:val="Normal"/>
    <w:link w:val="Heading3Char"/>
    <w:qFormat/>
    <w:rsid w:val="00B507D0"/>
    <w:pPr>
      <w:keepNext/>
      <w:spacing w:before="120" w:after="120"/>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7D0"/>
    <w:rPr>
      <w:rFonts w:ascii="Georgia" w:eastAsia="Times New Roman" w:hAnsi="Georgia" w:cs="Times New Roman"/>
      <w:b/>
      <w:sz w:val="60"/>
      <w:szCs w:val="20"/>
      <w:lang w:eastAsia="en-GB"/>
    </w:rPr>
  </w:style>
  <w:style w:type="character" w:customStyle="1" w:styleId="Heading2Char">
    <w:name w:val="Heading 2 Char"/>
    <w:basedOn w:val="DefaultParagraphFont"/>
    <w:link w:val="Heading2"/>
    <w:uiPriority w:val="9"/>
    <w:rsid w:val="00B507D0"/>
    <w:rPr>
      <w:rFonts w:ascii="Georgia" w:eastAsia="Times New Roman" w:hAnsi="Georgia" w:cs="Times New Roman"/>
      <w:b/>
      <w:sz w:val="40"/>
      <w:szCs w:val="20"/>
      <w:lang w:eastAsia="en-GB"/>
    </w:rPr>
  </w:style>
  <w:style w:type="character" w:customStyle="1" w:styleId="Heading3Char">
    <w:name w:val="Heading 3 Char"/>
    <w:basedOn w:val="DefaultParagraphFont"/>
    <w:link w:val="Heading3"/>
    <w:uiPriority w:val="9"/>
    <w:rsid w:val="00B507D0"/>
    <w:rPr>
      <w:rFonts w:ascii="Georgia" w:eastAsia="Times New Roman" w:hAnsi="Georgia" w:cs="Times New Roman"/>
      <w:b/>
      <w:sz w:val="28"/>
      <w:szCs w:val="20"/>
      <w:lang w:eastAsia="en-GB"/>
    </w:rPr>
  </w:style>
  <w:style w:type="paragraph" w:customStyle="1" w:styleId="Bullet">
    <w:name w:val="Bullet"/>
    <w:basedOn w:val="Normal"/>
    <w:qFormat/>
    <w:rsid w:val="00B507D0"/>
    <w:pPr>
      <w:numPr>
        <w:numId w:val="1"/>
      </w:numPr>
      <w:spacing w:before="90"/>
    </w:pPr>
  </w:style>
  <w:style w:type="paragraph" w:customStyle="1" w:styleId="Table">
    <w:name w:val="Table"/>
    <w:basedOn w:val="Normal"/>
    <w:qFormat/>
    <w:rsid w:val="00B507D0"/>
    <w:pPr>
      <w:keepNext/>
      <w:spacing w:before="120" w:after="120"/>
    </w:pPr>
    <w:rPr>
      <w:b/>
      <w:sz w:val="20"/>
    </w:rPr>
  </w:style>
  <w:style w:type="paragraph" w:customStyle="1" w:styleId="TableText">
    <w:name w:val="TableText"/>
    <w:basedOn w:val="Normal"/>
    <w:link w:val="TableTextChar"/>
    <w:qFormat/>
    <w:rsid w:val="00B507D0"/>
    <w:pPr>
      <w:spacing w:before="60" w:after="60" w:line="240" w:lineRule="auto"/>
    </w:pPr>
    <w:rPr>
      <w:rFonts w:ascii="Arial" w:hAnsi="Arial"/>
      <w:sz w:val="18"/>
    </w:rPr>
  </w:style>
  <w:style w:type="table" w:styleId="TableGrid">
    <w:name w:val="Table Grid"/>
    <w:basedOn w:val="TableNormal"/>
    <w:uiPriority w:val="39"/>
    <w:rsid w:val="00B507D0"/>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Text Char"/>
    <w:link w:val="TableText"/>
    <w:locked/>
    <w:rsid w:val="00B507D0"/>
    <w:rPr>
      <w:rFonts w:ascii="Arial" w:eastAsia="Times New Roman" w:hAnsi="Arial" w:cs="Times New Roman"/>
      <w:sz w:val="18"/>
      <w:szCs w:val="20"/>
      <w:lang w:eastAsia="en-GB"/>
    </w:rPr>
  </w:style>
  <w:style w:type="paragraph" w:styleId="Header">
    <w:name w:val="header"/>
    <w:basedOn w:val="Normal"/>
    <w:link w:val="HeaderChar"/>
    <w:uiPriority w:val="99"/>
    <w:unhideWhenUsed/>
    <w:rsid w:val="00B507D0"/>
    <w:pPr>
      <w:tabs>
        <w:tab w:val="center" w:pos="4513"/>
        <w:tab w:val="right" w:pos="9026"/>
      </w:tabs>
      <w:spacing w:line="240" w:lineRule="auto"/>
    </w:pPr>
  </w:style>
  <w:style w:type="character" w:customStyle="1" w:styleId="HeaderChar">
    <w:name w:val="Header Char"/>
    <w:basedOn w:val="DefaultParagraphFont"/>
    <w:link w:val="Header"/>
    <w:uiPriority w:val="99"/>
    <w:rsid w:val="00B507D0"/>
    <w:rPr>
      <w:rFonts w:ascii="Georgia" w:eastAsia="Times New Roman" w:hAnsi="Georgia" w:cs="Times New Roman"/>
      <w:szCs w:val="20"/>
      <w:lang w:eastAsia="en-GB"/>
    </w:rPr>
  </w:style>
  <w:style w:type="paragraph" w:styleId="Footer">
    <w:name w:val="footer"/>
    <w:basedOn w:val="Normal"/>
    <w:link w:val="FooterChar"/>
    <w:uiPriority w:val="99"/>
    <w:unhideWhenUsed/>
    <w:rsid w:val="00B507D0"/>
    <w:pPr>
      <w:tabs>
        <w:tab w:val="center" w:pos="4513"/>
        <w:tab w:val="right" w:pos="9026"/>
      </w:tabs>
      <w:spacing w:line="240" w:lineRule="auto"/>
    </w:pPr>
  </w:style>
  <w:style w:type="character" w:customStyle="1" w:styleId="FooterChar">
    <w:name w:val="Footer Char"/>
    <w:basedOn w:val="DefaultParagraphFont"/>
    <w:link w:val="Footer"/>
    <w:uiPriority w:val="99"/>
    <w:rsid w:val="00B507D0"/>
    <w:rPr>
      <w:rFonts w:ascii="Georgia" w:eastAsia="Times New Roman" w:hAnsi="Georgia" w:cs="Times New Roman"/>
      <w:szCs w:val="20"/>
      <w:lang w:eastAsia="en-GB"/>
    </w:rPr>
  </w:style>
  <w:style w:type="character" w:styleId="PageNumber">
    <w:name w:val="page number"/>
    <w:basedOn w:val="DefaultParagraphFont"/>
    <w:rsid w:val="00387344"/>
    <w:rPr>
      <w:rFonts w:ascii="Georgia" w:hAnsi="Georgia" w:cs="Times New Roman"/>
      <w:b/>
      <w:sz w:val="22"/>
    </w:rPr>
  </w:style>
  <w:style w:type="paragraph" w:customStyle="1" w:styleId="RectoFooter">
    <w:name w:val="Recto Footer"/>
    <w:basedOn w:val="Footer"/>
    <w:rsid w:val="00387344"/>
    <w:pPr>
      <w:pBdr>
        <w:top w:val="single" w:sz="4" w:space="4" w:color="auto"/>
      </w:pBdr>
      <w:tabs>
        <w:tab w:val="clear" w:pos="4513"/>
        <w:tab w:val="clear" w:pos="9026"/>
        <w:tab w:val="right" w:pos="8647"/>
        <w:tab w:val="right" w:pos="9356"/>
      </w:tabs>
      <w:spacing w:before="120" w:after="120"/>
    </w:pPr>
    <w:rPr>
      <w:sz w:val="20"/>
    </w:rPr>
  </w:style>
  <w:style w:type="paragraph" w:customStyle="1" w:styleId="VersoFooter">
    <w:name w:val="Verso Footer"/>
    <w:basedOn w:val="Footer"/>
    <w:rsid w:val="00387344"/>
    <w:pPr>
      <w:pBdr>
        <w:top w:val="single" w:sz="4" w:space="4" w:color="auto"/>
      </w:pBdr>
      <w:tabs>
        <w:tab w:val="clear" w:pos="4513"/>
        <w:tab w:val="clear" w:pos="9026"/>
      </w:tabs>
      <w:spacing w:line="264" w:lineRule="auto"/>
      <w:ind w:left="709" w:hanging="709"/>
    </w:pPr>
    <w:rPr>
      <w:sz w:val="20"/>
    </w:rPr>
  </w:style>
  <w:style w:type="paragraph" w:customStyle="1" w:styleId="Dash">
    <w:name w:val="Dash"/>
    <w:basedOn w:val="Bullet"/>
    <w:qFormat/>
    <w:rsid w:val="00C8166E"/>
    <w:pPr>
      <w:numPr>
        <w:numId w:val="2"/>
      </w:numPr>
      <w:spacing w:before="60"/>
    </w:pPr>
  </w:style>
  <w:style w:type="character" w:styleId="CommentReference">
    <w:name w:val="annotation reference"/>
    <w:basedOn w:val="DefaultParagraphFont"/>
    <w:uiPriority w:val="99"/>
    <w:semiHidden/>
    <w:unhideWhenUsed/>
    <w:rsid w:val="00C8166E"/>
    <w:rPr>
      <w:sz w:val="16"/>
      <w:szCs w:val="16"/>
    </w:rPr>
  </w:style>
  <w:style w:type="paragraph" w:styleId="CommentText">
    <w:name w:val="annotation text"/>
    <w:basedOn w:val="Normal"/>
    <w:link w:val="CommentTextChar"/>
    <w:uiPriority w:val="99"/>
    <w:semiHidden/>
    <w:unhideWhenUsed/>
    <w:rsid w:val="00C8166E"/>
    <w:pPr>
      <w:spacing w:line="240" w:lineRule="auto"/>
    </w:pPr>
    <w:rPr>
      <w:sz w:val="20"/>
    </w:rPr>
  </w:style>
  <w:style w:type="character" w:customStyle="1" w:styleId="CommentTextChar">
    <w:name w:val="Comment Text Char"/>
    <w:basedOn w:val="DefaultParagraphFont"/>
    <w:link w:val="CommentText"/>
    <w:uiPriority w:val="99"/>
    <w:semiHidden/>
    <w:rsid w:val="00C8166E"/>
    <w:rPr>
      <w:rFonts w:ascii="Georgia" w:eastAsia="Times New Roman" w:hAnsi="Georgia" w:cs="Times New Roman"/>
      <w:sz w:val="20"/>
      <w:szCs w:val="20"/>
      <w:lang w:eastAsia="en-GB"/>
    </w:rPr>
  </w:style>
  <w:style w:type="paragraph" w:styleId="BalloonText">
    <w:name w:val="Balloon Text"/>
    <w:basedOn w:val="Normal"/>
    <w:link w:val="BalloonTextChar"/>
    <w:uiPriority w:val="99"/>
    <w:semiHidden/>
    <w:unhideWhenUsed/>
    <w:rsid w:val="00C816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66E"/>
    <w:rPr>
      <w:rFonts w:ascii="Segoe UI" w:eastAsia="Times New Roman" w:hAnsi="Segoe UI" w:cs="Segoe UI"/>
      <w:sz w:val="18"/>
      <w:szCs w:val="18"/>
      <w:lang w:eastAsia="en-GB"/>
    </w:rPr>
  </w:style>
  <w:style w:type="paragraph" w:customStyle="1" w:styleId="BoxBullet">
    <w:name w:val="BoxBullet"/>
    <w:basedOn w:val="Normal"/>
    <w:qFormat/>
    <w:rsid w:val="004D04B9"/>
    <w:pPr>
      <w:numPr>
        <w:numId w:val="3"/>
      </w:numPr>
      <w:pBdr>
        <w:top w:val="single" w:sz="4" w:space="12" w:color="auto"/>
        <w:left w:val="single" w:sz="4" w:space="12" w:color="auto"/>
        <w:bottom w:val="single" w:sz="4" w:space="12" w:color="auto"/>
        <w:right w:val="single" w:sz="4" w:space="12" w:color="auto"/>
      </w:pBdr>
      <w:tabs>
        <w:tab w:val="clear" w:pos="360"/>
      </w:tabs>
      <w:spacing w:before="60"/>
      <w:ind w:left="568"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D8B4B-8BC5-4DFE-B647-804B3552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7A3EA893</Template>
  <TotalTime>4</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Chrisp</dc:creator>
  <cp:keywords/>
  <dc:description/>
  <cp:lastModifiedBy>Deborah Mills</cp:lastModifiedBy>
  <cp:revision>6</cp:revision>
  <dcterms:created xsi:type="dcterms:W3CDTF">2017-10-25T01:18:00Z</dcterms:created>
  <dcterms:modified xsi:type="dcterms:W3CDTF">2018-04-05T02:57:00Z</dcterms:modified>
</cp:coreProperties>
</file>